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AF0D2" w14:textId="77777777" w:rsidR="00197754" w:rsidRPr="00D36963" w:rsidRDefault="00197754" w:rsidP="00D36963">
      <w:pPr>
        <w:pStyle w:val="NoSpacing"/>
      </w:pPr>
    </w:p>
    <w:p w14:paraId="043580C9" w14:textId="77777777" w:rsidR="00197754" w:rsidRPr="00C10E4A" w:rsidRDefault="00197754" w:rsidP="00197754">
      <w:pPr>
        <w:autoSpaceDE w:val="0"/>
        <w:autoSpaceDN w:val="0"/>
        <w:adjustRightInd w:val="0"/>
        <w:rPr>
          <w:rFonts w:ascii="Calibri" w:hAnsi="Calibri" w:cstheme="majorHAnsi"/>
          <w:lang w:val="en-GB"/>
        </w:rPr>
      </w:pPr>
      <w:r w:rsidRPr="00C10E4A">
        <w:rPr>
          <w:rFonts w:ascii="Calibri" w:hAnsi="Calibri" w:cstheme="majorHAnsi"/>
          <w:noProof/>
          <w:lang w:val="en-GB" w:eastAsia="zh-CN"/>
        </w:rPr>
        <w:drawing>
          <wp:anchor distT="0" distB="0" distL="114300" distR="114300" simplePos="0" relativeHeight="251633664" behindDoc="0" locked="0" layoutInCell="1" allowOverlap="1" wp14:anchorId="105CDB3C" wp14:editId="6CFF4480">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36570" cy="1104265"/>
                    </a:xfrm>
                    <a:prstGeom prst="rect">
                      <a:avLst/>
                    </a:prstGeom>
                    <a:noFill/>
                    <a:ln>
                      <a:noFill/>
                    </a:ln>
                  </pic:spPr>
                </pic:pic>
              </a:graphicData>
            </a:graphic>
          </wp:anchor>
        </w:drawing>
      </w:r>
    </w:p>
    <w:p w14:paraId="139A3FFE" w14:textId="77777777" w:rsidR="00197754" w:rsidRPr="00C10E4A" w:rsidRDefault="00197754" w:rsidP="00197754">
      <w:pPr>
        <w:autoSpaceDE w:val="0"/>
        <w:autoSpaceDN w:val="0"/>
        <w:adjustRightInd w:val="0"/>
        <w:rPr>
          <w:rFonts w:ascii="Calibri" w:hAnsi="Calibri" w:cstheme="majorHAnsi"/>
          <w:lang w:val="en-GB"/>
        </w:rPr>
      </w:pPr>
    </w:p>
    <w:p w14:paraId="1F95A3C1" w14:textId="77777777" w:rsidR="00197754" w:rsidRPr="00C10E4A" w:rsidRDefault="00197754" w:rsidP="00197754">
      <w:pPr>
        <w:autoSpaceDE w:val="0"/>
        <w:autoSpaceDN w:val="0"/>
        <w:adjustRightInd w:val="0"/>
        <w:rPr>
          <w:rFonts w:ascii="Calibri" w:hAnsi="Calibri" w:cstheme="majorHAnsi"/>
          <w:lang w:val="en-GB"/>
        </w:rPr>
      </w:pPr>
    </w:p>
    <w:p w14:paraId="4AB7EA98" w14:textId="77777777" w:rsidR="00197754" w:rsidRPr="00C10E4A" w:rsidRDefault="00197754" w:rsidP="00197754">
      <w:pPr>
        <w:autoSpaceDE w:val="0"/>
        <w:autoSpaceDN w:val="0"/>
        <w:adjustRightInd w:val="0"/>
        <w:rPr>
          <w:rFonts w:ascii="Calibri" w:hAnsi="Calibri" w:cstheme="majorHAnsi"/>
          <w:lang w:val="en-GB"/>
        </w:rPr>
      </w:pPr>
    </w:p>
    <w:p w14:paraId="0CAFAE00" w14:textId="77777777" w:rsidR="00197754" w:rsidRPr="00C10E4A" w:rsidRDefault="00197754" w:rsidP="00197754">
      <w:pPr>
        <w:autoSpaceDE w:val="0"/>
        <w:autoSpaceDN w:val="0"/>
        <w:adjustRightInd w:val="0"/>
        <w:jc w:val="center"/>
        <w:rPr>
          <w:rFonts w:ascii="Calibri" w:hAnsi="Calibri" w:cstheme="majorHAnsi"/>
          <w:lang w:val="en-GB"/>
        </w:rPr>
      </w:pPr>
    </w:p>
    <w:p w14:paraId="4AB2F53D" w14:textId="77777777" w:rsidR="00197754" w:rsidRPr="00C10E4A" w:rsidRDefault="00197754" w:rsidP="00197754">
      <w:pPr>
        <w:autoSpaceDE w:val="0"/>
        <w:autoSpaceDN w:val="0"/>
        <w:adjustRightInd w:val="0"/>
        <w:jc w:val="center"/>
        <w:rPr>
          <w:rFonts w:ascii="Calibri" w:hAnsi="Calibri" w:cstheme="majorHAnsi"/>
          <w:lang w:val="en-GB"/>
        </w:rPr>
      </w:pPr>
    </w:p>
    <w:p w14:paraId="4E770AB0" w14:textId="77777777" w:rsidR="00197754" w:rsidRPr="00C10E4A" w:rsidRDefault="00197754" w:rsidP="00197754">
      <w:pPr>
        <w:autoSpaceDE w:val="0"/>
        <w:autoSpaceDN w:val="0"/>
        <w:adjustRightInd w:val="0"/>
        <w:jc w:val="center"/>
        <w:rPr>
          <w:rFonts w:ascii="Calibri" w:hAnsi="Calibri" w:cstheme="majorHAnsi"/>
          <w:lang w:val="en-GB"/>
        </w:rPr>
      </w:pPr>
    </w:p>
    <w:p w14:paraId="47E1E07F" w14:textId="77777777" w:rsidR="00197754" w:rsidRPr="00C10E4A" w:rsidRDefault="00197754" w:rsidP="00197754">
      <w:pPr>
        <w:autoSpaceDE w:val="0"/>
        <w:autoSpaceDN w:val="0"/>
        <w:adjustRightInd w:val="0"/>
        <w:jc w:val="center"/>
        <w:rPr>
          <w:rFonts w:ascii="Calibri" w:hAnsi="Calibri" w:cstheme="majorHAnsi"/>
          <w:lang w:val="en-GB"/>
        </w:rPr>
      </w:pPr>
    </w:p>
    <w:p w14:paraId="3F6E4AD1" w14:textId="77777777" w:rsidR="00197754" w:rsidRPr="00C10E4A" w:rsidRDefault="00197754" w:rsidP="00197754">
      <w:pPr>
        <w:autoSpaceDE w:val="0"/>
        <w:autoSpaceDN w:val="0"/>
        <w:adjustRightInd w:val="0"/>
        <w:jc w:val="center"/>
        <w:rPr>
          <w:rFonts w:ascii="Calibri" w:hAnsi="Calibri" w:cstheme="majorHAnsi"/>
          <w:lang w:val="en-GB"/>
        </w:rPr>
      </w:pPr>
    </w:p>
    <w:p w14:paraId="0539163C" w14:textId="77777777" w:rsidR="00197754" w:rsidRPr="00C10E4A" w:rsidRDefault="00197754" w:rsidP="00197754">
      <w:pPr>
        <w:autoSpaceDE w:val="0"/>
        <w:autoSpaceDN w:val="0"/>
        <w:adjustRightInd w:val="0"/>
        <w:jc w:val="center"/>
        <w:rPr>
          <w:rFonts w:ascii="Calibri" w:hAnsi="Calibri" w:cstheme="majorHAnsi"/>
          <w:lang w:val="en-GB"/>
        </w:rPr>
      </w:pPr>
    </w:p>
    <w:p w14:paraId="7A16BB42" w14:textId="77777777" w:rsidR="00197754" w:rsidRPr="00C10E4A" w:rsidRDefault="00197754" w:rsidP="00197754">
      <w:pPr>
        <w:autoSpaceDE w:val="0"/>
        <w:autoSpaceDN w:val="0"/>
        <w:adjustRightInd w:val="0"/>
        <w:jc w:val="center"/>
        <w:rPr>
          <w:rFonts w:ascii="Calibri" w:hAnsi="Calibri" w:cstheme="majorHAnsi"/>
          <w:lang w:val="en-GB"/>
        </w:rPr>
      </w:pPr>
    </w:p>
    <w:p w14:paraId="5FB49DC3" w14:textId="77777777" w:rsidR="00197754" w:rsidRPr="00C10E4A" w:rsidRDefault="00197754" w:rsidP="00197754">
      <w:pPr>
        <w:pStyle w:val="NoSpacing"/>
        <w:spacing w:line="360" w:lineRule="auto"/>
        <w:jc w:val="center"/>
        <w:rPr>
          <w:rFonts w:ascii="Calibri" w:hAnsi="Calibri" w:cstheme="majorHAnsi"/>
          <w:bCs/>
          <w:sz w:val="28"/>
          <w:szCs w:val="28"/>
          <w:lang w:val="en-GB"/>
        </w:rPr>
      </w:pPr>
      <w:r w:rsidRPr="00C10E4A">
        <w:rPr>
          <w:rFonts w:ascii="Calibri" w:hAnsi="Calibri" w:cstheme="majorHAnsi"/>
          <w:bCs/>
          <w:sz w:val="28"/>
          <w:szCs w:val="28"/>
          <w:lang w:val="en-GB"/>
        </w:rPr>
        <w:t>From Andes to Amazon: Translocal Livelihoods in the Artisanal and Small-scale Gold Mining Sector</w:t>
      </w:r>
    </w:p>
    <w:p w14:paraId="551ACD69" w14:textId="77284A3A" w:rsidR="00197754" w:rsidRPr="00C10E4A" w:rsidRDefault="00197754" w:rsidP="00197754">
      <w:pPr>
        <w:autoSpaceDE w:val="0"/>
        <w:autoSpaceDN w:val="0"/>
        <w:adjustRightInd w:val="0"/>
        <w:rPr>
          <w:rFonts w:ascii="Calibri" w:hAnsi="Calibri" w:cstheme="majorHAnsi"/>
          <w:b/>
          <w:bCs/>
          <w:sz w:val="28"/>
          <w:szCs w:val="28"/>
          <w:lang w:val="en-GB"/>
        </w:rPr>
      </w:pPr>
      <w:r w:rsidRPr="00C10E4A">
        <w:rPr>
          <w:rFonts w:ascii="Calibri" w:hAnsi="Calibri" w:cstheme="majorHAnsi"/>
          <w:b/>
          <w:bCs/>
          <w:color w:val="222222"/>
          <w:sz w:val="28"/>
          <w:szCs w:val="28"/>
          <w:lang w:val="en-GB"/>
        </w:rPr>
        <w:br/>
      </w:r>
      <w:r w:rsidRPr="00C10E4A">
        <w:rPr>
          <w:rFonts w:ascii="Calibri" w:hAnsi="Calibri" w:cstheme="majorHAnsi"/>
          <w:b/>
          <w:bCs/>
          <w:color w:val="222222"/>
          <w:sz w:val="28"/>
          <w:szCs w:val="28"/>
          <w:lang w:val="en-GB"/>
        </w:rPr>
        <w:br/>
      </w:r>
    </w:p>
    <w:p w14:paraId="0047077F" w14:textId="77777777" w:rsidR="00197754" w:rsidRPr="00C10E4A" w:rsidRDefault="00197754" w:rsidP="00197754">
      <w:pPr>
        <w:autoSpaceDE w:val="0"/>
        <w:autoSpaceDN w:val="0"/>
        <w:adjustRightInd w:val="0"/>
        <w:rPr>
          <w:rFonts w:ascii="Calibri" w:hAnsi="Calibri" w:cstheme="majorHAnsi"/>
          <w:lang w:val="en-GB"/>
        </w:rPr>
      </w:pPr>
    </w:p>
    <w:p w14:paraId="3FF73827" w14:textId="77777777" w:rsidR="00197754" w:rsidRPr="00C10E4A" w:rsidRDefault="00197754" w:rsidP="00197754">
      <w:pPr>
        <w:autoSpaceDE w:val="0"/>
        <w:autoSpaceDN w:val="0"/>
        <w:adjustRightInd w:val="0"/>
        <w:jc w:val="center"/>
        <w:rPr>
          <w:rFonts w:ascii="Calibri" w:hAnsi="Calibri" w:cstheme="majorHAnsi"/>
          <w:lang w:val="en-GB"/>
        </w:rPr>
      </w:pPr>
    </w:p>
    <w:p w14:paraId="0A31FFAC" w14:textId="77777777" w:rsidR="00197754" w:rsidRPr="00C10E4A" w:rsidRDefault="00197754" w:rsidP="00197754">
      <w:pPr>
        <w:autoSpaceDE w:val="0"/>
        <w:autoSpaceDN w:val="0"/>
        <w:adjustRightInd w:val="0"/>
        <w:jc w:val="center"/>
        <w:rPr>
          <w:rFonts w:ascii="Calibri" w:hAnsi="Calibri" w:cstheme="majorHAnsi"/>
          <w:lang w:val="en-GB"/>
        </w:rPr>
      </w:pPr>
    </w:p>
    <w:p w14:paraId="3B2A20A2" w14:textId="44542D9E" w:rsidR="00197754" w:rsidRPr="00C10E4A" w:rsidRDefault="00197754" w:rsidP="00197754">
      <w:pPr>
        <w:autoSpaceDE w:val="0"/>
        <w:autoSpaceDN w:val="0"/>
        <w:adjustRightInd w:val="0"/>
        <w:jc w:val="center"/>
        <w:rPr>
          <w:rFonts w:ascii="Calibri" w:hAnsi="Calibri" w:cstheme="majorHAnsi"/>
          <w:bCs/>
          <w:lang w:val="en-GB"/>
        </w:rPr>
      </w:pPr>
    </w:p>
    <w:p w14:paraId="5A32B4B3" w14:textId="77777777" w:rsidR="00197754" w:rsidRPr="00C10E4A" w:rsidRDefault="00197754" w:rsidP="00197754">
      <w:pPr>
        <w:autoSpaceDE w:val="0"/>
        <w:autoSpaceDN w:val="0"/>
        <w:adjustRightInd w:val="0"/>
        <w:jc w:val="center"/>
        <w:rPr>
          <w:rFonts w:ascii="Calibri" w:hAnsi="Calibri" w:cstheme="majorHAnsi"/>
          <w:lang w:val="en-GB"/>
        </w:rPr>
      </w:pPr>
    </w:p>
    <w:p w14:paraId="664B2CAA" w14:textId="656DE76D" w:rsidR="00197754" w:rsidRPr="00C10E4A" w:rsidRDefault="00197754" w:rsidP="00565C53">
      <w:pPr>
        <w:pStyle w:val="NoSpacing"/>
        <w:jc w:val="center"/>
        <w:rPr>
          <w:lang w:val="en-GB"/>
        </w:rPr>
      </w:pPr>
      <w:r w:rsidRPr="00C10E4A">
        <w:rPr>
          <w:lang w:val="en-GB"/>
        </w:rPr>
        <w:t>Sally Faulkner</w:t>
      </w:r>
    </w:p>
    <w:p w14:paraId="6CFD5657" w14:textId="77777777" w:rsidR="00197754" w:rsidRPr="00C10E4A" w:rsidRDefault="00197754" w:rsidP="00197754">
      <w:pPr>
        <w:autoSpaceDE w:val="0"/>
        <w:autoSpaceDN w:val="0"/>
        <w:adjustRightInd w:val="0"/>
        <w:rPr>
          <w:rFonts w:ascii="Calibri" w:hAnsi="Calibri" w:cstheme="majorHAnsi"/>
          <w:sz w:val="28"/>
          <w:szCs w:val="28"/>
          <w:lang w:val="en-GB"/>
        </w:rPr>
      </w:pPr>
    </w:p>
    <w:p w14:paraId="4DE6269D" w14:textId="77777777" w:rsidR="00197754" w:rsidRPr="00C10E4A" w:rsidRDefault="00197754" w:rsidP="00197754">
      <w:pPr>
        <w:autoSpaceDE w:val="0"/>
        <w:autoSpaceDN w:val="0"/>
        <w:adjustRightInd w:val="0"/>
        <w:rPr>
          <w:rFonts w:ascii="Calibri" w:hAnsi="Calibri" w:cstheme="majorHAnsi"/>
          <w:lang w:val="en-GB"/>
        </w:rPr>
      </w:pPr>
    </w:p>
    <w:p w14:paraId="11643B2A" w14:textId="77777777" w:rsidR="00197754" w:rsidRPr="00C10E4A" w:rsidRDefault="00197754" w:rsidP="00197754">
      <w:pPr>
        <w:autoSpaceDE w:val="0"/>
        <w:autoSpaceDN w:val="0"/>
        <w:adjustRightInd w:val="0"/>
        <w:rPr>
          <w:rFonts w:ascii="Calibri" w:hAnsi="Calibri" w:cstheme="majorHAnsi"/>
          <w:lang w:val="en-GB"/>
        </w:rPr>
      </w:pPr>
    </w:p>
    <w:p w14:paraId="4D3E83D6" w14:textId="77777777" w:rsidR="00197754" w:rsidRPr="00C10E4A" w:rsidRDefault="00197754" w:rsidP="00565C53">
      <w:pPr>
        <w:pStyle w:val="NoSpacing"/>
        <w:jc w:val="center"/>
        <w:rPr>
          <w:lang w:val="en-GB"/>
        </w:rPr>
      </w:pPr>
    </w:p>
    <w:p w14:paraId="0E7A315C" w14:textId="10C4969A" w:rsidR="00197754" w:rsidRPr="00C10E4A" w:rsidRDefault="00197754" w:rsidP="00565C53">
      <w:pPr>
        <w:pStyle w:val="NoSpacing"/>
        <w:jc w:val="center"/>
        <w:rPr>
          <w:lang w:val="en-GB"/>
        </w:rPr>
      </w:pPr>
      <w:r w:rsidRPr="00C10E4A">
        <w:rPr>
          <w:lang w:val="en-GB"/>
        </w:rPr>
        <w:t>A thesis submitted in partial fulfilment of the requirements</w:t>
      </w:r>
    </w:p>
    <w:p w14:paraId="725490D1" w14:textId="00C44DDF" w:rsidR="00197754" w:rsidRPr="00C10E4A" w:rsidRDefault="00197754" w:rsidP="00565C53">
      <w:pPr>
        <w:pStyle w:val="NoSpacing"/>
        <w:jc w:val="center"/>
        <w:rPr>
          <w:lang w:val="en-GB"/>
        </w:rPr>
      </w:pPr>
      <w:r w:rsidRPr="00C10E4A">
        <w:rPr>
          <w:lang w:val="en-GB"/>
        </w:rPr>
        <w:t>for the degree of</w:t>
      </w:r>
    </w:p>
    <w:p w14:paraId="3144873B" w14:textId="60D25B86" w:rsidR="00197754" w:rsidRPr="00C10E4A" w:rsidRDefault="00197754" w:rsidP="00565C53">
      <w:pPr>
        <w:pStyle w:val="NoSpacing"/>
        <w:jc w:val="center"/>
        <w:rPr>
          <w:lang w:val="en-GB"/>
        </w:rPr>
      </w:pPr>
      <w:r w:rsidRPr="00C10E4A">
        <w:rPr>
          <w:lang w:val="en-GB"/>
        </w:rPr>
        <w:t>Doctor of Philosophy</w:t>
      </w:r>
    </w:p>
    <w:p w14:paraId="2D04AC17" w14:textId="77777777" w:rsidR="00197754" w:rsidRPr="00C10E4A" w:rsidRDefault="00197754" w:rsidP="00197754">
      <w:pPr>
        <w:jc w:val="center"/>
        <w:rPr>
          <w:rFonts w:ascii="Calibri" w:hAnsi="Calibri" w:cstheme="majorHAnsi"/>
          <w:lang w:val="en-GB"/>
        </w:rPr>
      </w:pPr>
    </w:p>
    <w:p w14:paraId="274AB70A" w14:textId="77777777" w:rsidR="00197754" w:rsidRPr="00C10E4A" w:rsidRDefault="00197754" w:rsidP="00197754">
      <w:pPr>
        <w:jc w:val="center"/>
        <w:rPr>
          <w:rFonts w:ascii="Calibri" w:hAnsi="Calibri" w:cstheme="majorHAnsi"/>
          <w:lang w:val="en-GB"/>
        </w:rPr>
      </w:pPr>
    </w:p>
    <w:p w14:paraId="785CB573" w14:textId="77777777" w:rsidR="00197754" w:rsidRPr="00C10E4A" w:rsidRDefault="00197754" w:rsidP="00197754">
      <w:pPr>
        <w:jc w:val="center"/>
        <w:rPr>
          <w:rFonts w:ascii="Calibri" w:hAnsi="Calibri" w:cstheme="majorHAnsi"/>
          <w:lang w:val="en-GB"/>
        </w:rPr>
      </w:pPr>
    </w:p>
    <w:p w14:paraId="17A9ED2C" w14:textId="77777777" w:rsidR="00197754" w:rsidRPr="00C10E4A" w:rsidRDefault="00197754" w:rsidP="00565C53">
      <w:pPr>
        <w:pStyle w:val="NoSpacing"/>
        <w:jc w:val="center"/>
        <w:rPr>
          <w:lang w:val="en-GB"/>
        </w:rPr>
      </w:pPr>
      <w:r w:rsidRPr="00C10E4A">
        <w:rPr>
          <w:lang w:val="en-GB"/>
        </w:rPr>
        <w:t>The University of Sheffield</w:t>
      </w:r>
    </w:p>
    <w:p w14:paraId="6CFC7624" w14:textId="371973C6" w:rsidR="00197754" w:rsidRPr="00C10E4A" w:rsidRDefault="00197754" w:rsidP="00565C53">
      <w:pPr>
        <w:pStyle w:val="NoSpacing"/>
        <w:jc w:val="center"/>
        <w:rPr>
          <w:lang w:val="en-GB"/>
        </w:rPr>
      </w:pPr>
      <w:r w:rsidRPr="00C10E4A">
        <w:rPr>
          <w:lang w:val="en-GB"/>
        </w:rPr>
        <w:t>Faculty of Social Science</w:t>
      </w:r>
    </w:p>
    <w:p w14:paraId="2C4D3605" w14:textId="3892F739" w:rsidR="00197754" w:rsidRPr="00C10E4A" w:rsidRDefault="00197754" w:rsidP="00565C53">
      <w:pPr>
        <w:pStyle w:val="NoSpacing"/>
        <w:jc w:val="center"/>
        <w:rPr>
          <w:lang w:val="en-GB"/>
        </w:rPr>
      </w:pPr>
      <w:r w:rsidRPr="00C10E4A">
        <w:rPr>
          <w:lang w:val="en-GB"/>
        </w:rPr>
        <w:t>Department of Urban Studies and Planning</w:t>
      </w:r>
    </w:p>
    <w:p w14:paraId="291E29DF" w14:textId="77777777" w:rsidR="00197754" w:rsidRPr="00C10E4A" w:rsidRDefault="00197754" w:rsidP="00197754">
      <w:pPr>
        <w:jc w:val="center"/>
        <w:rPr>
          <w:rFonts w:ascii="Calibri" w:hAnsi="Calibri" w:cstheme="majorHAnsi"/>
          <w:lang w:val="en-GB"/>
        </w:rPr>
      </w:pPr>
    </w:p>
    <w:p w14:paraId="05391181" w14:textId="77777777" w:rsidR="00197754" w:rsidRPr="00C10E4A" w:rsidRDefault="00197754" w:rsidP="00197754">
      <w:pPr>
        <w:jc w:val="center"/>
        <w:rPr>
          <w:rFonts w:ascii="Calibri" w:hAnsi="Calibri" w:cstheme="majorHAnsi"/>
          <w:lang w:val="en-GB"/>
        </w:rPr>
      </w:pPr>
      <w:r w:rsidRPr="00C10E4A">
        <w:rPr>
          <w:rFonts w:ascii="Calibri" w:hAnsi="Calibri" w:cstheme="majorHAnsi"/>
          <w:lang w:val="en-GB"/>
        </w:rPr>
        <w:t xml:space="preserve"> </w:t>
      </w:r>
    </w:p>
    <w:p w14:paraId="79612BE5" w14:textId="77777777" w:rsidR="00197754" w:rsidRPr="00C10E4A" w:rsidRDefault="00197754" w:rsidP="00197754">
      <w:pPr>
        <w:jc w:val="center"/>
        <w:rPr>
          <w:rFonts w:ascii="Calibri" w:hAnsi="Calibri" w:cstheme="majorHAnsi"/>
          <w:lang w:val="en-GB"/>
        </w:rPr>
      </w:pPr>
    </w:p>
    <w:p w14:paraId="1FDDEC93" w14:textId="77777777" w:rsidR="00197754" w:rsidRPr="00C10E4A" w:rsidRDefault="00197754" w:rsidP="00197754">
      <w:pPr>
        <w:jc w:val="center"/>
        <w:rPr>
          <w:rFonts w:ascii="Calibri" w:hAnsi="Calibri" w:cstheme="majorHAnsi"/>
          <w:lang w:val="en-GB"/>
        </w:rPr>
      </w:pPr>
    </w:p>
    <w:p w14:paraId="1FC98AF6" w14:textId="77777777" w:rsidR="00197754" w:rsidRPr="00C10E4A" w:rsidRDefault="00197754" w:rsidP="00197754">
      <w:pPr>
        <w:jc w:val="center"/>
        <w:rPr>
          <w:rFonts w:ascii="Calibri" w:hAnsi="Calibri" w:cstheme="majorHAnsi"/>
          <w:lang w:val="en-GB"/>
        </w:rPr>
      </w:pPr>
    </w:p>
    <w:p w14:paraId="64AB4C94" w14:textId="19EA9173" w:rsidR="00475547" w:rsidRPr="00C10E4A" w:rsidRDefault="00197754" w:rsidP="00C10E4A">
      <w:pPr>
        <w:jc w:val="center"/>
        <w:rPr>
          <w:rFonts w:ascii="Calibri" w:hAnsi="Calibri" w:cstheme="majorHAnsi"/>
          <w:lang w:val="en-GB"/>
        </w:rPr>
        <w:sectPr w:rsidR="00475547" w:rsidRPr="00C10E4A" w:rsidSect="00FA0397">
          <w:footerReference w:type="even" r:id="rId12"/>
          <w:footerReference w:type="default" r:id="rId13"/>
          <w:pgSz w:w="11906" w:h="16838"/>
          <w:pgMar w:top="1440" w:right="1440" w:bottom="1440" w:left="1440" w:header="708" w:footer="708" w:gutter="0"/>
          <w:cols w:space="708"/>
          <w:titlePg/>
          <w:docGrid w:linePitch="360"/>
        </w:sectPr>
      </w:pPr>
      <w:r w:rsidRPr="00C10E4A">
        <w:rPr>
          <w:rFonts w:ascii="Calibri" w:hAnsi="Calibri" w:cstheme="majorHAnsi"/>
          <w:lang w:val="en-GB"/>
        </w:rPr>
        <w:t>A</w:t>
      </w:r>
      <w:r w:rsidR="00C52708">
        <w:rPr>
          <w:rFonts w:ascii="Calibri" w:hAnsi="Calibri" w:cstheme="majorHAnsi"/>
          <w:lang w:val="en-GB"/>
        </w:rPr>
        <w:t>pril</w:t>
      </w:r>
      <w:r w:rsidRPr="00C10E4A">
        <w:rPr>
          <w:rFonts w:ascii="Calibri" w:hAnsi="Calibri" w:cstheme="majorHAnsi"/>
          <w:lang w:val="en-GB"/>
        </w:rPr>
        <w:t xml:space="preserve"> 20</w:t>
      </w:r>
      <w:r w:rsidR="00C52708">
        <w:rPr>
          <w:rFonts w:ascii="Calibri" w:hAnsi="Calibri" w:cstheme="majorHAnsi"/>
          <w:lang w:val="en-GB"/>
        </w:rPr>
        <w:t>20</w:t>
      </w:r>
    </w:p>
    <w:p w14:paraId="68FBF44C" w14:textId="1AA5BA03" w:rsidR="00475547" w:rsidRPr="00C10E4A" w:rsidRDefault="00475547" w:rsidP="0060034B">
      <w:pPr>
        <w:pStyle w:val="Heading1"/>
        <w:jc w:val="both"/>
        <w:rPr>
          <w:rFonts w:ascii="Calibri" w:hAnsi="Calibri" w:cstheme="majorHAnsi"/>
          <w:b w:val="0"/>
          <w:lang w:val="en-GB"/>
        </w:rPr>
      </w:pPr>
      <w:bookmarkStart w:id="0" w:name="_Toc33293065"/>
      <w:r w:rsidRPr="00C10E4A">
        <w:rPr>
          <w:rFonts w:ascii="Calibri" w:hAnsi="Calibri" w:cstheme="majorHAnsi"/>
          <w:b w:val="0"/>
          <w:lang w:val="en-GB"/>
        </w:rPr>
        <w:lastRenderedPageBreak/>
        <w:t>Abstract</w:t>
      </w:r>
      <w:bookmarkEnd w:id="0"/>
    </w:p>
    <w:p w14:paraId="167840D3" w14:textId="77777777" w:rsidR="00E820FB" w:rsidRPr="00843BA2" w:rsidRDefault="00E820FB" w:rsidP="0060034B">
      <w:pPr>
        <w:jc w:val="both"/>
        <w:rPr>
          <w:rFonts w:ascii="Calibri" w:hAnsi="Calibri" w:cstheme="majorHAnsi"/>
          <w:sz w:val="22"/>
          <w:szCs w:val="22"/>
          <w:lang w:val="en-GB"/>
        </w:rPr>
      </w:pPr>
    </w:p>
    <w:p w14:paraId="67B8B311" w14:textId="7077B426" w:rsidR="007E07E5" w:rsidRPr="00E9672F" w:rsidRDefault="006D741E" w:rsidP="00E526D2">
      <w:pPr>
        <w:spacing w:line="360" w:lineRule="auto"/>
        <w:jc w:val="both"/>
        <w:rPr>
          <w:rFonts w:ascii="Calibri" w:hAnsi="Calibri" w:cstheme="majorHAnsi"/>
          <w:sz w:val="22"/>
          <w:szCs w:val="22"/>
          <w:lang w:val="en-GB"/>
        </w:rPr>
      </w:pPr>
      <w:r w:rsidRPr="00E9672F">
        <w:rPr>
          <w:rFonts w:ascii="Calibri" w:hAnsi="Calibri" w:cstheme="majorHAnsi"/>
          <w:sz w:val="22"/>
          <w:szCs w:val="22"/>
          <w:lang w:val="en-GB"/>
        </w:rPr>
        <w:t>A</w:t>
      </w:r>
      <w:r w:rsidR="00E820FB" w:rsidRPr="00E9672F">
        <w:rPr>
          <w:rFonts w:ascii="Calibri" w:hAnsi="Calibri" w:cstheme="majorHAnsi"/>
          <w:sz w:val="22"/>
          <w:szCs w:val="22"/>
          <w:lang w:val="en-GB"/>
        </w:rPr>
        <w:t xml:space="preserve">rtisanal and small-scale gold mining (ASM) in Peru is associated with high environmental and social costs and </w:t>
      </w:r>
      <w:r w:rsidR="009A2C11">
        <w:rPr>
          <w:rFonts w:ascii="Calibri" w:hAnsi="Calibri" w:cstheme="majorHAnsi"/>
          <w:sz w:val="22"/>
          <w:szCs w:val="22"/>
          <w:lang w:val="en-GB"/>
        </w:rPr>
        <w:t>those who work in the sector are</w:t>
      </w:r>
      <w:r w:rsidR="00E820FB" w:rsidRPr="00E9672F">
        <w:rPr>
          <w:rFonts w:ascii="Calibri" w:hAnsi="Calibri" w:cstheme="majorHAnsi"/>
          <w:sz w:val="22"/>
          <w:szCs w:val="22"/>
          <w:lang w:val="en-GB"/>
        </w:rPr>
        <w:t xml:space="preserve"> often labelled as criminals. </w:t>
      </w:r>
      <w:r w:rsidR="009A2C11">
        <w:rPr>
          <w:rFonts w:ascii="Calibri" w:hAnsi="Calibri" w:cstheme="majorHAnsi"/>
          <w:sz w:val="22"/>
          <w:szCs w:val="22"/>
          <w:lang w:val="en-GB"/>
        </w:rPr>
        <w:t>A more nuanced</w:t>
      </w:r>
      <w:r w:rsidR="000A5B5A" w:rsidRPr="00E9672F">
        <w:rPr>
          <w:rFonts w:ascii="Calibri" w:hAnsi="Calibri" w:cstheme="majorHAnsi"/>
          <w:sz w:val="22"/>
          <w:szCs w:val="22"/>
          <w:lang w:val="en-GB"/>
        </w:rPr>
        <w:t xml:space="preserve"> understanding </w:t>
      </w:r>
      <w:r w:rsidR="00491B5E" w:rsidRPr="00E9672F">
        <w:rPr>
          <w:rFonts w:ascii="Calibri" w:hAnsi="Calibri" w:cstheme="majorHAnsi"/>
          <w:sz w:val="22"/>
          <w:szCs w:val="22"/>
          <w:lang w:val="en-GB"/>
        </w:rPr>
        <w:t xml:space="preserve">of </w:t>
      </w:r>
      <w:r w:rsidR="000A5B5A" w:rsidRPr="00E9672F">
        <w:rPr>
          <w:rFonts w:ascii="Calibri" w:hAnsi="Calibri" w:cstheme="majorHAnsi"/>
          <w:sz w:val="22"/>
          <w:szCs w:val="22"/>
          <w:lang w:val="en-GB"/>
        </w:rPr>
        <w:t>the</w:t>
      </w:r>
      <w:r w:rsidR="00E820FB" w:rsidRPr="00E9672F">
        <w:rPr>
          <w:rFonts w:ascii="Calibri" w:hAnsi="Calibri" w:cstheme="majorHAnsi"/>
          <w:sz w:val="22"/>
          <w:szCs w:val="22"/>
          <w:lang w:val="en-GB"/>
        </w:rPr>
        <w:t xml:space="preserve"> communities th</w:t>
      </w:r>
      <w:r w:rsidR="00491B5E" w:rsidRPr="00E9672F">
        <w:rPr>
          <w:rFonts w:ascii="Calibri" w:hAnsi="Calibri" w:cstheme="majorHAnsi"/>
          <w:sz w:val="22"/>
          <w:szCs w:val="22"/>
          <w:lang w:val="en-GB"/>
        </w:rPr>
        <w:t>at engage in ASM</w:t>
      </w:r>
      <w:r w:rsidR="000A5B5A" w:rsidRPr="00E9672F">
        <w:rPr>
          <w:rFonts w:ascii="Calibri" w:hAnsi="Calibri" w:cstheme="majorHAnsi"/>
          <w:sz w:val="22"/>
          <w:szCs w:val="22"/>
          <w:lang w:val="en-GB"/>
        </w:rPr>
        <w:t xml:space="preserve"> is </w:t>
      </w:r>
      <w:r w:rsidR="00491B5E" w:rsidRPr="00E9672F">
        <w:rPr>
          <w:rFonts w:ascii="Calibri" w:hAnsi="Calibri" w:cstheme="majorHAnsi"/>
          <w:sz w:val="22"/>
          <w:szCs w:val="22"/>
          <w:lang w:val="en-GB"/>
        </w:rPr>
        <w:t>vital for the development of transformative policy that can reduce the sector’s ecological footprint</w:t>
      </w:r>
      <w:r w:rsidR="000A5B5A" w:rsidRPr="00E9672F">
        <w:rPr>
          <w:rFonts w:ascii="Calibri" w:hAnsi="Calibri" w:cstheme="majorHAnsi"/>
          <w:sz w:val="22"/>
          <w:szCs w:val="22"/>
          <w:lang w:val="en-GB"/>
        </w:rPr>
        <w:t xml:space="preserve">. Recognising the key role that migration plays in ASM, this thesis explores </w:t>
      </w:r>
      <w:r w:rsidR="00020345" w:rsidRPr="00E9672F">
        <w:rPr>
          <w:rFonts w:ascii="Calibri" w:hAnsi="Calibri" w:cstheme="majorHAnsi"/>
          <w:sz w:val="22"/>
          <w:szCs w:val="22"/>
          <w:lang w:val="en-GB"/>
        </w:rPr>
        <w:t>these communities</w:t>
      </w:r>
      <w:r w:rsidR="000A5B5A" w:rsidRPr="00E9672F">
        <w:rPr>
          <w:rFonts w:ascii="Calibri" w:hAnsi="Calibri" w:cstheme="majorHAnsi"/>
          <w:sz w:val="22"/>
          <w:szCs w:val="22"/>
          <w:lang w:val="en-GB"/>
        </w:rPr>
        <w:t xml:space="preserve"> from a translocal livelihoods perspective</w:t>
      </w:r>
      <w:r w:rsidR="001C0EFB">
        <w:rPr>
          <w:rFonts w:ascii="Calibri" w:hAnsi="Calibri" w:cstheme="majorHAnsi"/>
          <w:sz w:val="22"/>
          <w:szCs w:val="22"/>
          <w:lang w:val="en-GB"/>
        </w:rPr>
        <w:t xml:space="preserve"> that incorporates the experiences of both men and women</w:t>
      </w:r>
      <w:r w:rsidR="009A2C11">
        <w:rPr>
          <w:rFonts w:ascii="Calibri" w:hAnsi="Calibri" w:cstheme="majorHAnsi"/>
          <w:sz w:val="22"/>
          <w:szCs w:val="22"/>
          <w:lang w:val="en-GB"/>
        </w:rPr>
        <w:t>. It draws on Bourdieu’s T</w:t>
      </w:r>
      <w:r w:rsidR="000A5B5A" w:rsidRPr="00E9672F">
        <w:rPr>
          <w:rFonts w:ascii="Calibri" w:hAnsi="Calibri" w:cstheme="majorHAnsi"/>
          <w:sz w:val="22"/>
          <w:szCs w:val="22"/>
          <w:lang w:val="en-GB"/>
        </w:rPr>
        <w:t xml:space="preserve">heory of </w:t>
      </w:r>
      <w:r w:rsidR="009A2C11">
        <w:rPr>
          <w:rFonts w:ascii="Calibri" w:hAnsi="Calibri" w:cstheme="majorHAnsi"/>
          <w:sz w:val="22"/>
          <w:szCs w:val="22"/>
          <w:lang w:val="en-GB"/>
        </w:rPr>
        <w:t>Practice</w:t>
      </w:r>
      <w:r w:rsidR="000A5B5A" w:rsidRPr="00E9672F">
        <w:rPr>
          <w:rFonts w:ascii="Calibri" w:hAnsi="Calibri" w:cstheme="majorHAnsi"/>
          <w:sz w:val="22"/>
          <w:szCs w:val="22"/>
          <w:lang w:val="en-GB"/>
        </w:rPr>
        <w:t xml:space="preserve"> to conceptuali</w:t>
      </w:r>
      <w:r w:rsidR="009A2C11">
        <w:rPr>
          <w:rFonts w:ascii="Calibri" w:hAnsi="Calibri" w:cstheme="majorHAnsi"/>
          <w:sz w:val="22"/>
          <w:szCs w:val="22"/>
          <w:lang w:val="en-GB"/>
        </w:rPr>
        <w:t>se the translocal ASM community as a social field,</w:t>
      </w:r>
      <w:r w:rsidR="000A5B5A" w:rsidRPr="00E9672F">
        <w:rPr>
          <w:rFonts w:ascii="Calibri" w:hAnsi="Calibri" w:cstheme="majorHAnsi"/>
          <w:sz w:val="22"/>
          <w:szCs w:val="22"/>
          <w:lang w:val="en-GB"/>
        </w:rPr>
        <w:t xml:space="preserve"> highlighting how discrete locations are connected through migration and social practices. </w:t>
      </w:r>
      <w:r w:rsidR="009A2C11">
        <w:rPr>
          <w:rFonts w:ascii="Calibri" w:hAnsi="Calibri" w:cstheme="majorHAnsi"/>
          <w:sz w:val="22"/>
          <w:szCs w:val="22"/>
          <w:lang w:val="en-GB"/>
        </w:rPr>
        <w:t>Within this social field, it is shown that</w:t>
      </w:r>
      <w:r w:rsidR="00E526D2" w:rsidRPr="00E9672F">
        <w:rPr>
          <w:rFonts w:ascii="Calibri" w:hAnsi="Calibri" w:cstheme="majorHAnsi"/>
          <w:sz w:val="22"/>
          <w:szCs w:val="22"/>
          <w:lang w:val="en-GB"/>
        </w:rPr>
        <w:t xml:space="preserve"> </w:t>
      </w:r>
      <w:r w:rsidR="009A2C11">
        <w:rPr>
          <w:rFonts w:ascii="Calibri" w:hAnsi="Calibri" w:cstheme="majorHAnsi"/>
          <w:sz w:val="22"/>
          <w:szCs w:val="22"/>
          <w:lang w:val="en-GB"/>
        </w:rPr>
        <w:t>ASM</w:t>
      </w:r>
      <w:r w:rsidR="001C0EFB">
        <w:rPr>
          <w:rFonts w:ascii="Calibri" w:hAnsi="Calibri" w:cstheme="majorHAnsi"/>
          <w:sz w:val="22"/>
          <w:szCs w:val="22"/>
          <w:lang w:val="en-GB"/>
        </w:rPr>
        <w:t xml:space="preserve"> livelihood</w:t>
      </w:r>
      <w:r w:rsidR="009A2C11">
        <w:rPr>
          <w:rFonts w:ascii="Calibri" w:hAnsi="Calibri" w:cstheme="majorHAnsi"/>
          <w:sz w:val="22"/>
          <w:szCs w:val="22"/>
          <w:lang w:val="en-GB"/>
        </w:rPr>
        <w:t>s</w:t>
      </w:r>
      <w:r w:rsidR="001C0EFB">
        <w:rPr>
          <w:rFonts w:ascii="Calibri" w:hAnsi="Calibri" w:cstheme="majorHAnsi"/>
          <w:sz w:val="22"/>
          <w:szCs w:val="22"/>
          <w:lang w:val="en-GB"/>
        </w:rPr>
        <w:t xml:space="preserve"> </w:t>
      </w:r>
      <w:r w:rsidR="00E526D2" w:rsidRPr="00E9672F">
        <w:rPr>
          <w:rFonts w:ascii="Calibri" w:hAnsi="Calibri" w:cstheme="majorHAnsi"/>
          <w:sz w:val="22"/>
          <w:szCs w:val="22"/>
          <w:lang w:val="en-GB"/>
        </w:rPr>
        <w:t>trajectories</w:t>
      </w:r>
      <w:r w:rsidR="009A2C11">
        <w:rPr>
          <w:rFonts w:ascii="Calibri" w:hAnsi="Calibri" w:cstheme="majorHAnsi"/>
          <w:sz w:val="22"/>
          <w:szCs w:val="22"/>
          <w:lang w:val="en-GB"/>
        </w:rPr>
        <w:t xml:space="preserve"> tend to diverge, reflecting</w:t>
      </w:r>
      <w:r w:rsidR="001C0EFB">
        <w:rPr>
          <w:rFonts w:ascii="Calibri" w:hAnsi="Calibri" w:cstheme="majorHAnsi"/>
          <w:sz w:val="22"/>
          <w:szCs w:val="22"/>
          <w:lang w:val="en-GB"/>
        </w:rPr>
        <w:t xml:space="preserve"> the</w:t>
      </w:r>
      <w:r w:rsidR="00E526D2" w:rsidRPr="00E9672F">
        <w:rPr>
          <w:rFonts w:ascii="Calibri" w:hAnsi="Calibri" w:cstheme="majorHAnsi"/>
          <w:sz w:val="22"/>
          <w:szCs w:val="22"/>
          <w:lang w:val="en-GB"/>
        </w:rPr>
        <w:t xml:space="preserve"> </w:t>
      </w:r>
      <w:r w:rsidR="008C68C5" w:rsidRPr="00E9672F">
        <w:rPr>
          <w:rFonts w:ascii="Calibri" w:hAnsi="Calibri" w:cstheme="majorHAnsi"/>
          <w:sz w:val="22"/>
          <w:szCs w:val="22"/>
          <w:lang w:val="en-GB"/>
        </w:rPr>
        <w:t>heterogeneity</w:t>
      </w:r>
      <w:r w:rsidR="00E526D2" w:rsidRPr="00E9672F">
        <w:rPr>
          <w:rFonts w:ascii="Calibri" w:hAnsi="Calibri" w:cstheme="majorHAnsi"/>
          <w:sz w:val="22"/>
          <w:szCs w:val="22"/>
          <w:lang w:val="en-GB"/>
        </w:rPr>
        <w:t xml:space="preserve"> of the translocal mining community.</w:t>
      </w:r>
      <w:r w:rsidR="00AB2996" w:rsidRPr="00E9672F">
        <w:rPr>
          <w:rFonts w:ascii="Calibri" w:hAnsi="Calibri" w:cstheme="majorHAnsi"/>
          <w:sz w:val="22"/>
          <w:szCs w:val="22"/>
          <w:lang w:val="en-GB"/>
        </w:rPr>
        <w:t xml:space="preserve"> </w:t>
      </w:r>
    </w:p>
    <w:p w14:paraId="152B1F24" w14:textId="77777777" w:rsidR="007E07E5" w:rsidRPr="00E9672F" w:rsidRDefault="007E07E5" w:rsidP="00E526D2">
      <w:pPr>
        <w:spacing w:line="360" w:lineRule="auto"/>
        <w:jc w:val="both"/>
        <w:rPr>
          <w:rFonts w:ascii="Calibri" w:hAnsi="Calibri" w:cstheme="majorHAnsi"/>
          <w:sz w:val="22"/>
          <w:szCs w:val="22"/>
          <w:lang w:val="en-GB"/>
        </w:rPr>
      </w:pPr>
    </w:p>
    <w:p w14:paraId="739296B7" w14:textId="00FE4DF3" w:rsidR="009A2C11" w:rsidRDefault="00AD19FC" w:rsidP="001C0EFB">
      <w:pPr>
        <w:spacing w:line="360" w:lineRule="auto"/>
        <w:jc w:val="both"/>
        <w:rPr>
          <w:rFonts w:ascii="Calibri" w:hAnsi="Calibri" w:cstheme="majorHAnsi"/>
          <w:sz w:val="22"/>
          <w:szCs w:val="22"/>
          <w:lang w:val="en-GB"/>
        </w:rPr>
      </w:pPr>
      <w:r>
        <w:rPr>
          <w:rFonts w:ascii="Calibri" w:hAnsi="Calibri" w:cstheme="majorHAnsi"/>
          <w:sz w:val="22"/>
          <w:szCs w:val="22"/>
          <w:lang w:val="en-GB"/>
        </w:rPr>
        <w:t xml:space="preserve">Through this research a </w:t>
      </w:r>
      <w:r w:rsidR="00E526D2" w:rsidRPr="00E9672F">
        <w:rPr>
          <w:rFonts w:ascii="Calibri" w:hAnsi="Calibri" w:cstheme="majorHAnsi"/>
          <w:sz w:val="22"/>
          <w:szCs w:val="22"/>
          <w:lang w:val="en-GB"/>
        </w:rPr>
        <w:t xml:space="preserve">clear distinction </w:t>
      </w:r>
      <w:r w:rsidR="00491B5E" w:rsidRPr="00E9672F">
        <w:rPr>
          <w:rFonts w:ascii="Calibri" w:hAnsi="Calibri" w:cstheme="majorHAnsi"/>
          <w:sz w:val="22"/>
          <w:szCs w:val="22"/>
          <w:lang w:val="en-GB"/>
        </w:rPr>
        <w:t xml:space="preserve">emerges </w:t>
      </w:r>
      <w:r w:rsidR="00E526D2" w:rsidRPr="00E9672F">
        <w:rPr>
          <w:rFonts w:ascii="Calibri" w:hAnsi="Calibri" w:cstheme="majorHAnsi"/>
          <w:sz w:val="22"/>
          <w:szCs w:val="22"/>
          <w:lang w:val="en-GB"/>
        </w:rPr>
        <w:t>between those who engage in th</w:t>
      </w:r>
      <w:r w:rsidR="00491B5E" w:rsidRPr="00E9672F">
        <w:rPr>
          <w:rFonts w:ascii="Calibri" w:hAnsi="Calibri" w:cstheme="majorHAnsi"/>
          <w:sz w:val="22"/>
          <w:szCs w:val="22"/>
          <w:lang w:val="en-GB"/>
        </w:rPr>
        <w:t>e</w:t>
      </w:r>
      <w:r w:rsidR="00E526D2" w:rsidRPr="00E9672F">
        <w:rPr>
          <w:rFonts w:ascii="Calibri" w:hAnsi="Calibri" w:cstheme="majorHAnsi"/>
          <w:sz w:val="22"/>
          <w:szCs w:val="22"/>
          <w:lang w:val="en-GB"/>
        </w:rPr>
        <w:t xml:space="preserve"> sector permanently and those who do so on only a temporary </w:t>
      </w:r>
      <w:r w:rsidR="00491B5E" w:rsidRPr="00E9672F">
        <w:rPr>
          <w:rFonts w:ascii="Calibri" w:hAnsi="Calibri" w:cstheme="majorHAnsi"/>
          <w:sz w:val="22"/>
          <w:szCs w:val="22"/>
          <w:lang w:val="en-GB"/>
        </w:rPr>
        <w:t xml:space="preserve">or seasonal basis. </w:t>
      </w:r>
      <w:r>
        <w:rPr>
          <w:rFonts w:ascii="Calibri" w:hAnsi="Calibri" w:cstheme="majorHAnsi"/>
          <w:sz w:val="22"/>
          <w:szCs w:val="22"/>
          <w:lang w:val="en-GB"/>
        </w:rPr>
        <w:t xml:space="preserve">This highlights the importance of the temporal dimensions of </w:t>
      </w:r>
      <w:r w:rsidR="00491B5E" w:rsidRPr="00E9672F">
        <w:rPr>
          <w:rFonts w:ascii="Calibri" w:hAnsi="Calibri" w:cstheme="majorHAnsi"/>
          <w:sz w:val="22"/>
          <w:szCs w:val="22"/>
          <w:lang w:val="en-GB"/>
        </w:rPr>
        <w:t>translocality</w:t>
      </w:r>
      <w:r w:rsidR="007E07E5" w:rsidRPr="00E9672F">
        <w:rPr>
          <w:rFonts w:ascii="Calibri" w:hAnsi="Calibri" w:cstheme="majorHAnsi"/>
          <w:sz w:val="22"/>
          <w:szCs w:val="22"/>
          <w:lang w:val="en-GB"/>
        </w:rPr>
        <w:t xml:space="preserve">, </w:t>
      </w:r>
      <w:r w:rsidR="009A2C11">
        <w:rPr>
          <w:rFonts w:ascii="Calibri" w:hAnsi="Calibri" w:cstheme="majorHAnsi"/>
          <w:sz w:val="22"/>
          <w:szCs w:val="22"/>
          <w:lang w:val="en-GB"/>
        </w:rPr>
        <w:t xml:space="preserve">as </w:t>
      </w:r>
      <w:r w:rsidR="00E9672F">
        <w:rPr>
          <w:rFonts w:ascii="Calibri" w:hAnsi="Calibri" w:cstheme="majorHAnsi"/>
          <w:sz w:val="22"/>
          <w:szCs w:val="22"/>
          <w:lang w:val="en-GB"/>
        </w:rPr>
        <w:t>divergent</w:t>
      </w:r>
      <w:r w:rsidR="0015705F" w:rsidRPr="00E9672F">
        <w:rPr>
          <w:rFonts w:ascii="Calibri" w:hAnsi="Calibri" w:cstheme="majorHAnsi"/>
          <w:sz w:val="22"/>
          <w:szCs w:val="22"/>
          <w:lang w:val="en-GB"/>
        </w:rPr>
        <w:t xml:space="preserve"> </w:t>
      </w:r>
      <w:r w:rsidR="008C68C5" w:rsidRPr="00E9672F">
        <w:rPr>
          <w:rFonts w:ascii="Calibri" w:hAnsi="Calibri" w:cstheme="majorHAnsi"/>
          <w:sz w:val="22"/>
          <w:szCs w:val="22"/>
          <w:lang w:val="en-GB"/>
        </w:rPr>
        <w:t>translocal</w:t>
      </w:r>
      <w:r w:rsidR="0015705F" w:rsidRPr="00E9672F">
        <w:rPr>
          <w:rFonts w:ascii="Calibri" w:hAnsi="Calibri" w:cstheme="majorHAnsi"/>
          <w:sz w:val="22"/>
          <w:szCs w:val="22"/>
          <w:lang w:val="en-GB"/>
        </w:rPr>
        <w:t xml:space="preserve"> livelihoods </w:t>
      </w:r>
      <w:r w:rsidR="00E9672F">
        <w:rPr>
          <w:rFonts w:ascii="Calibri" w:hAnsi="Calibri" w:cstheme="majorHAnsi"/>
          <w:sz w:val="22"/>
          <w:szCs w:val="22"/>
          <w:lang w:val="en-GB"/>
        </w:rPr>
        <w:t xml:space="preserve">and competing long-term interests </w:t>
      </w:r>
      <w:r w:rsidR="00772A30">
        <w:rPr>
          <w:rFonts w:ascii="Calibri" w:hAnsi="Calibri" w:cstheme="majorHAnsi"/>
          <w:sz w:val="22"/>
          <w:szCs w:val="22"/>
          <w:lang w:val="en-GB"/>
        </w:rPr>
        <w:t xml:space="preserve">contestations, or ‘temporal frictions’, </w:t>
      </w:r>
      <w:r w:rsidR="00AB2996" w:rsidRPr="00E9672F">
        <w:rPr>
          <w:rFonts w:ascii="Calibri" w:hAnsi="Calibri" w:cstheme="majorHAnsi"/>
          <w:sz w:val="22"/>
          <w:szCs w:val="22"/>
          <w:lang w:val="en-GB"/>
        </w:rPr>
        <w:t>wit</w:t>
      </w:r>
      <w:r w:rsidR="007E07E5" w:rsidRPr="00E9672F">
        <w:rPr>
          <w:rFonts w:ascii="Calibri" w:hAnsi="Calibri" w:cstheme="majorHAnsi"/>
          <w:sz w:val="22"/>
          <w:szCs w:val="22"/>
          <w:lang w:val="en-GB"/>
        </w:rPr>
        <w:t xml:space="preserve">hin the community. </w:t>
      </w:r>
      <w:r w:rsidR="001C0EFB">
        <w:rPr>
          <w:rFonts w:ascii="Calibri" w:hAnsi="Calibri" w:cstheme="majorHAnsi"/>
          <w:sz w:val="22"/>
          <w:szCs w:val="22"/>
          <w:lang w:val="en-GB"/>
        </w:rPr>
        <w:t>Meanwhile, other co</w:t>
      </w:r>
      <w:r w:rsidR="00636641">
        <w:rPr>
          <w:rFonts w:ascii="Calibri" w:hAnsi="Calibri" w:cstheme="majorHAnsi"/>
          <w:sz w:val="22"/>
          <w:szCs w:val="22"/>
          <w:lang w:val="en-GB"/>
        </w:rPr>
        <w:t>ntestations emerge between min</w:t>
      </w:r>
      <w:bookmarkStart w:id="1" w:name="_GoBack"/>
      <w:bookmarkEnd w:id="1"/>
      <w:r w:rsidR="001C0EFB">
        <w:rPr>
          <w:rFonts w:ascii="Calibri" w:hAnsi="Calibri" w:cstheme="majorHAnsi"/>
          <w:sz w:val="22"/>
          <w:szCs w:val="22"/>
          <w:lang w:val="en-GB"/>
        </w:rPr>
        <w:t xml:space="preserve">ing communities and the Peruvian Government. In particular, the community members are shown to develop a </w:t>
      </w:r>
      <w:r w:rsidR="006D741E" w:rsidRPr="00E9672F">
        <w:rPr>
          <w:rFonts w:ascii="Calibri" w:hAnsi="Calibri" w:cstheme="majorHAnsi"/>
          <w:sz w:val="22"/>
          <w:szCs w:val="22"/>
          <w:lang w:val="en-GB"/>
        </w:rPr>
        <w:t>shared sense of</w:t>
      </w:r>
      <w:r w:rsidR="001C0EFB">
        <w:rPr>
          <w:rFonts w:ascii="Calibri" w:hAnsi="Calibri" w:cstheme="majorHAnsi"/>
          <w:sz w:val="22"/>
          <w:szCs w:val="22"/>
          <w:lang w:val="en-GB"/>
        </w:rPr>
        <w:t xml:space="preserve"> injustice</w:t>
      </w:r>
      <w:r w:rsidR="006D741E" w:rsidRPr="00E9672F">
        <w:rPr>
          <w:rFonts w:ascii="Calibri" w:hAnsi="Calibri" w:cstheme="majorHAnsi"/>
          <w:sz w:val="22"/>
          <w:szCs w:val="22"/>
          <w:lang w:val="en-GB"/>
        </w:rPr>
        <w:t xml:space="preserve"> towards a</w:t>
      </w:r>
      <w:r w:rsidR="0015705F" w:rsidRPr="00E9672F">
        <w:rPr>
          <w:rFonts w:ascii="Calibri" w:hAnsi="Calibri" w:cstheme="majorHAnsi"/>
          <w:sz w:val="22"/>
          <w:szCs w:val="22"/>
          <w:lang w:val="en-GB"/>
        </w:rPr>
        <w:t xml:space="preserve"> </w:t>
      </w:r>
      <w:r w:rsidR="006D741E" w:rsidRPr="00E9672F">
        <w:rPr>
          <w:rFonts w:ascii="Calibri" w:hAnsi="Calibri" w:cstheme="majorHAnsi"/>
          <w:sz w:val="22"/>
          <w:szCs w:val="22"/>
          <w:lang w:val="en-GB"/>
        </w:rPr>
        <w:t xml:space="preserve">policy that labels them as criminals and threatens their home. This </w:t>
      </w:r>
      <w:r w:rsidR="00AB2996" w:rsidRPr="00E9672F">
        <w:rPr>
          <w:rFonts w:ascii="Calibri" w:hAnsi="Calibri" w:cstheme="majorHAnsi"/>
          <w:sz w:val="22"/>
          <w:szCs w:val="22"/>
          <w:lang w:val="en-GB"/>
        </w:rPr>
        <w:t xml:space="preserve">is </w:t>
      </w:r>
      <w:r w:rsidR="006D741E" w:rsidRPr="00E9672F">
        <w:rPr>
          <w:rFonts w:ascii="Calibri" w:hAnsi="Calibri" w:cstheme="majorHAnsi"/>
          <w:sz w:val="22"/>
          <w:szCs w:val="22"/>
          <w:lang w:val="en-GB"/>
        </w:rPr>
        <w:t>shown to create a collective identity amo</w:t>
      </w:r>
      <w:r w:rsidR="007E07E5" w:rsidRPr="00E9672F">
        <w:rPr>
          <w:rFonts w:ascii="Calibri" w:hAnsi="Calibri" w:cstheme="majorHAnsi"/>
          <w:sz w:val="22"/>
          <w:szCs w:val="22"/>
          <w:lang w:val="en-GB"/>
        </w:rPr>
        <w:t xml:space="preserve">ngst permanent residents </w:t>
      </w:r>
      <w:r w:rsidR="001C0EFB">
        <w:rPr>
          <w:rFonts w:ascii="Calibri" w:hAnsi="Calibri" w:cstheme="majorHAnsi"/>
          <w:sz w:val="22"/>
          <w:szCs w:val="22"/>
          <w:lang w:val="en-GB"/>
        </w:rPr>
        <w:t xml:space="preserve">that </w:t>
      </w:r>
      <w:r w:rsidR="007E07E5" w:rsidRPr="00E9672F">
        <w:rPr>
          <w:rFonts w:ascii="Calibri" w:hAnsi="Calibri" w:cstheme="majorHAnsi"/>
          <w:sz w:val="22"/>
          <w:szCs w:val="22"/>
          <w:lang w:val="en-GB"/>
        </w:rPr>
        <w:t>is</w:t>
      </w:r>
      <w:r w:rsidR="006D741E" w:rsidRPr="00E9672F">
        <w:rPr>
          <w:rFonts w:ascii="Calibri" w:hAnsi="Calibri" w:cstheme="majorHAnsi"/>
          <w:sz w:val="22"/>
          <w:szCs w:val="22"/>
          <w:lang w:val="en-GB"/>
        </w:rPr>
        <w:t xml:space="preserve"> reflected in the narratives adopted by local people in their legitimisation of their ‘deviant’ livelihood.</w:t>
      </w:r>
      <w:r w:rsidR="001C0EFB">
        <w:rPr>
          <w:rFonts w:ascii="Calibri" w:hAnsi="Calibri" w:cstheme="majorHAnsi"/>
          <w:sz w:val="22"/>
          <w:szCs w:val="22"/>
          <w:lang w:val="en-GB"/>
        </w:rPr>
        <w:t xml:space="preserve"> The re</w:t>
      </w:r>
      <w:r w:rsidR="009A2C11">
        <w:rPr>
          <w:rFonts w:ascii="Calibri" w:hAnsi="Calibri" w:cstheme="majorHAnsi"/>
          <w:sz w:val="22"/>
          <w:szCs w:val="22"/>
          <w:lang w:val="en-GB"/>
        </w:rPr>
        <w:t xml:space="preserve">search concludes by building on observations of divergent mining livelihoods to present three broad categories of translocality that contribute to our understanding of translocal livelihoods in other regions of the Global South. </w:t>
      </w:r>
    </w:p>
    <w:p w14:paraId="121220A1" w14:textId="59ACE955" w:rsidR="001C0EFB" w:rsidRPr="001C0EFB" w:rsidRDefault="009A2C11" w:rsidP="001C0EFB">
      <w:pPr>
        <w:spacing w:line="360" w:lineRule="auto"/>
        <w:jc w:val="both"/>
        <w:rPr>
          <w:rFonts w:ascii="Calibri" w:hAnsi="Calibri" w:cstheme="majorHAnsi"/>
          <w:sz w:val="22"/>
          <w:szCs w:val="22"/>
          <w:lang w:val="en-GB"/>
        </w:rPr>
        <w:sectPr w:rsidR="001C0EFB" w:rsidRPr="001C0EFB">
          <w:pgSz w:w="11906" w:h="16838"/>
          <w:pgMar w:top="1440" w:right="1440" w:bottom="1440" w:left="1440" w:header="708" w:footer="708" w:gutter="0"/>
          <w:cols w:space="708"/>
          <w:docGrid w:linePitch="360"/>
        </w:sectPr>
      </w:pPr>
      <w:r>
        <w:rPr>
          <w:rFonts w:ascii="Calibri" w:hAnsi="Calibri" w:cstheme="majorHAnsi"/>
          <w:sz w:val="22"/>
          <w:szCs w:val="22"/>
          <w:lang w:val="en-GB"/>
        </w:rPr>
        <w:t xml:space="preserve"> </w:t>
      </w:r>
    </w:p>
    <w:p w14:paraId="0D1DC8A6" w14:textId="7E3B1A94" w:rsidR="00475547" w:rsidRPr="00C10E4A" w:rsidRDefault="00475547" w:rsidP="0060034B">
      <w:pPr>
        <w:pStyle w:val="Heading1"/>
        <w:jc w:val="both"/>
        <w:rPr>
          <w:rFonts w:ascii="Calibri" w:hAnsi="Calibri" w:cstheme="majorHAnsi"/>
          <w:b w:val="0"/>
          <w:lang w:val="en-GB"/>
        </w:rPr>
      </w:pPr>
      <w:bookmarkStart w:id="2" w:name="_Toc33293066"/>
      <w:r w:rsidRPr="00C10E4A">
        <w:rPr>
          <w:rFonts w:ascii="Calibri" w:hAnsi="Calibri" w:cstheme="majorHAnsi"/>
          <w:b w:val="0"/>
          <w:lang w:val="en-GB"/>
        </w:rPr>
        <w:lastRenderedPageBreak/>
        <w:t>Acknowledgements</w:t>
      </w:r>
      <w:bookmarkEnd w:id="2"/>
      <w:r w:rsidRPr="00C10E4A">
        <w:rPr>
          <w:rFonts w:ascii="Calibri" w:hAnsi="Calibri" w:cstheme="majorHAnsi"/>
          <w:b w:val="0"/>
          <w:lang w:val="en-GB"/>
        </w:rPr>
        <w:t xml:space="preserve"> </w:t>
      </w:r>
    </w:p>
    <w:p w14:paraId="0D33E046" w14:textId="77777777" w:rsidR="00475547" w:rsidRPr="00C10E4A" w:rsidRDefault="00475547" w:rsidP="0060034B">
      <w:pPr>
        <w:pStyle w:val="NoSpacing"/>
        <w:spacing w:line="360" w:lineRule="auto"/>
        <w:jc w:val="both"/>
        <w:rPr>
          <w:rFonts w:ascii="Calibri" w:hAnsi="Calibri" w:cstheme="majorHAnsi"/>
          <w:b/>
          <w:bCs/>
          <w:sz w:val="28"/>
          <w:szCs w:val="28"/>
          <w:lang w:val="en-GB"/>
        </w:rPr>
      </w:pPr>
    </w:p>
    <w:p w14:paraId="5CD53C85" w14:textId="36FDDE52" w:rsidR="0014190C" w:rsidRPr="00C10E4A" w:rsidRDefault="00475547" w:rsidP="00972CA0">
      <w:pPr>
        <w:spacing w:line="360" w:lineRule="auto"/>
        <w:jc w:val="both"/>
        <w:rPr>
          <w:rFonts w:ascii="Calibri" w:hAnsi="Calibri" w:cstheme="majorHAnsi"/>
          <w:sz w:val="22"/>
          <w:szCs w:val="22"/>
          <w:lang w:val="en-GB"/>
        </w:rPr>
      </w:pPr>
      <w:r w:rsidRPr="00C10E4A">
        <w:rPr>
          <w:rFonts w:ascii="Calibri" w:hAnsi="Calibri" w:cstheme="majorHAnsi"/>
          <w:sz w:val="22"/>
          <w:szCs w:val="22"/>
          <w:lang w:val="en-GB"/>
        </w:rPr>
        <w:t>I would like to express my gratitude to my supervisor</w:t>
      </w:r>
      <w:r w:rsidR="0014190C" w:rsidRPr="00C10E4A">
        <w:rPr>
          <w:rFonts w:ascii="Calibri" w:hAnsi="Calibri" w:cstheme="majorHAnsi"/>
          <w:sz w:val="22"/>
          <w:szCs w:val="22"/>
          <w:lang w:val="en-GB"/>
        </w:rPr>
        <w:t>y</w:t>
      </w:r>
      <w:r w:rsidRPr="00C10E4A">
        <w:rPr>
          <w:rFonts w:ascii="Calibri" w:hAnsi="Calibri" w:cstheme="majorHAnsi"/>
          <w:sz w:val="22"/>
          <w:szCs w:val="22"/>
          <w:lang w:val="en-GB"/>
        </w:rPr>
        <w:t xml:space="preserve"> team, Dr Tom Goodfellow and Dr Charis Enns. Both took the time to provide </w:t>
      </w:r>
      <w:r w:rsidR="008C68C5" w:rsidRPr="00C10E4A">
        <w:rPr>
          <w:rFonts w:ascii="Calibri" w:hAnsi="Calibri" w:cstheme="majorHAnsi"/>
          <w:sz w:val="22"/>
          <w:szCs w:val="22"/>
          <w:lang w:val="en-GB"/>
        </w:rPr>
        <w:t>in-depth</w:t>
      </w:r>
      <w:r w:rsidRPr="00C10E4A">
        <w:rPr>
          <w:rFonts w:ascii="Calibri" w:hAnsi="Calibri" w:cstheme="majorHAnsi"/>
          <w:sz w:val="22"/>
          <w:szCs w:val="22"/>
          <w:lang w:val="en-GB"/>
        </w:rPr>
        <w:t xml:space="preserve"> feedba</w:t>
      </w:r>
      <w:r w:rsidR="0014190C" w:rsidRPr="00C10E4A">
        <w:rPr>
          <w:rFonts w:ascii="Calibri" w:hAnsi="Calibri" w:cstheme="majorHAnsi"/>
          <w:sz w:val="22"/>
          <w:szCs w:val="22"/>
          <w:lang w:val="en-GB"/>
        </w:rPr>
        <w:t xml:space="preserve">ck and guidance and provided encouragement when it was most needed. I cannot explain how important their reassurance and calming influence </w:t>
      </w:r>
      <w:r w:rsidR="000936E2" w:rsidRPr="00C10E4A">
        <w:rPr>
          <w:rFonts w:ascii="Calibri" w:hAnsi="Calibri" w:cstheme="majorHAnsi"/>
          <w:sz w:val="22"/>
          <w:szCs w:val="22"/>
          <w:lang w:val="en-GB"/>
        </w:rPr>
        <w:t>has been over the past four years</w:t>
      </w:r>
      <w:r w:rsidR="0014190C" w:rsidRPr="00C10E4A">
        <w:rPr>
          <w:rFonts w:ascii="Calibri" w:hAnsi="Calibri" w:cstheme="majorHAnsi"/>
          <w:sz w:val="22"/>
          <w:szCs w:val="22"/>
          <w:lang w:val="en-GB"/>
        </w:rPr>
        <w:t>.</w:t>
      </w:r>
    </w:p>
    <w:p w14:paraId="671F5DB2" w14:textId="7B7FA9CE" w:rsidR="00475547" w:rsidRPr="00C10E4A" w:rsidRDefault="0014190C" w:rsidP="00972CA0">
      <w:pPr>
        <w:spacing w:line="360" w:lineRule="auto"/>
        <w:jc w:val="both"/>
        <w:rPr>
          <w:rFonts w:ascii="Calibri" w:hAnsi="Calibri" w:cstheme="majorHAnsi"/>
          <w:sz w:val="22"/>
          <w:szCs w:val="22"/>
          <w:lang w:val="en-GB"/>
        </w:rPr>
      </w:pPr>
      <w:r w:rsidRPr="00C10E4A">
        <w:rPr>
          <w:rFonts w:ascii="Calibri" w:hAnsi="Calibri" w:cstheme="majorHAnsi"/>
          <w:sz w:val="22"/>
          <w:szCs w:val="22"/>
          <w:lang w:val="en-GB"/>
        </w:rPr>
        <w:t xml:space="preserve"> </w:t>
      </w:r>
    </w:p>
    <w:p w14:paraId="13C598EF" w14:textId="7C1E8146" w:rsidR="0014190C" w:rsidRPr="00C10E4A" w:rsidRDefault="008C68C5" w:rsidP="00972CA0">
      <w:pPr>
        <w:spacing w:line="360" w:lineRule="auto"/>
        <w:jc w:val="both"/>
        <w:rPr>
          <w:rFonts w:ascii="Calibri" w:eastAsia="Times New Roman" w:hAnsi="Calibri" w:cstheme="majorHAnsi"/>
          <w:sz w:val="22"/>
          <w:szCs w:val="22"/>
          <w:shd w:val="clear" w:color="auto" w:fill="FFFFFF"/>
          <w:lang w:val="en-GB"/>
        </w:rPr>
      </w:pPr>
      <w:r w:rsidRPr="00C10E4A">
        <w:rPr>
          <w:rFonts w:ascii="Calibri" w:hAnsi="Calibri" w:cstheme="majorHAnsi"/>
          <w:sz w:val="22"/>
          <w:szCs w:val="22"/>
          <w:lang w:val="en-GB"/>
        </w:rPr>
        <w:t xml:space="preserve">My fieldwork would not have been possible without the help of </w:t>
      </w:r>
      <w:r>
        <w:rPr>
          <w:rFonts w:ascii="Calibri" w:hAnsi="Calibri" w:cstheme="majorHAnsi"/>
          <w:sz w:val="22"/>
          <w:szCs w:val="22"/>
          <w:lang w:val="en-GB"/>
        </w:rPr>
        <w:t>my three excellent interpreters:</w:t>
      </w:r>
      <w:r w:rsidRPr="00C10E4A">
        <w:rPr>
          <w:rFonts w:ascii="Calibri" w:hAnsi="Calibri" w:cstheme="majorHAnsi"/>
          <w:sz w:val="22"/>
          <w:szCs w:val="22"/>
          <w:lang w:val="en-GB"/>
        </w:rPr>
        <w:t xml:space="preserve"> Ms Maribel Choque Castille, Mr </w:t>
      </w:r>
      <w:r w:rsidRPr="00C10E4A">
        <w:rPr>
          <w:rFonts w:ascii="Calibri" w:eastAsia="Times New Roman" w:hAnsi="Calibri" w:cstheme="majorHAnsi"/>
          <w:bCs/>
          <w:sz w:val="22"/>
          <w:szCs w:val="22"/>
          <w:lang w:val="en-GB"/>
        </w:rPr>
        <w:t xml:space="preserve">César Brañez and Ms Vanessa Soto. </w:t>
      </w:r>
      <w:r w:rsidR="00387A7B" w:rsidRPr="00C10E4A">
        <w:rPr>
          <w:rFonts w:ascii="Calibri" w:eastAsia="Times New Roman" w:hAnsi="Calibri" w:cstheme="majorHAnsi"/>
          <w:bCs/>
          <w:sz w:val="22"/>
          <w:szCs w:val="22"/>
          <w:lang w:val="en-GB"/>
        </w:rPr>
        <w:t>Both t</w:t>
      </w:r>
      <w:r w:rsidR="000936E2" w:rsidRPr="00C10E4A">
        <w:rPr>
          <w:rFonts w:ascii="Calibri" w:eastAsia="Times New Roman" w:hAnsi="Calibri" w:cstheme="majorHAnsi"/>
          <w:bCs/>
          <w:sz w:val="22"/>
          <w:szCs w:val="22"/>
          <w:lang w:val="en-GB"/>
        </w:rPr>
        <w:t>heir</w:t>
      </w:r>
      <w:r w:rsidR="0014190C" w:rsidRPr="00C10E4A">
        <w:rPr>
          <w:rFonts w:ascii="Calibri" w:eastAsia="Times New Roman" w:hAnsi="Calibri" w:cstheme="majorHAnsi"/>
          <w:bCs/>
          <w:sz w:val="22"/>
          <w:szCs w:val="22"/>
          <w:lang w:val="en-GB"/>
        </w:rPr>
        <w:t xml:space="preserve"> translation skills </w:t>
      </w:r>
      <w:r w:rsidR="00387A7B" w:rsidRPr="00C10E4A">
        <w:rPr>
          <w:rFonts w:ascii="Calibri" w:eastAsia="Times New Roman" w:hAnsi="Calibri" w:cstheme="majorHAnsi"/>
          <w:bCs/>
          <w:sz w:val="22"/>
          <w:szCs w:val="22"/>
          <w:lang w:val="en-GB"/>
        </w:rPr>
        <w:t>and their</w:t>
      </w:r>
      <w:r w:rsidR="0014190C" w:rsidRPr="00C10E4A">
        <w:rPr>
          <w:rFonts w:ascii="Calibri" w:eastAsia="Times New Roman" w:hAnsi="Calibri" w:cstheme="majorHAnsi"/>
          <w:bCs/>
          <w:sz w:val="22"/>
          <w:szCs w:val="22"/>
          <w:lang w:val="en-GB"/>
        </w:rPr>
        <w:t xml:space="preserve"> company throughout fieldwork</w:t>
      </w:r>
      <w:r w:rsidR="000936E2" w:rsidRPr="00C10E4A">
        <w:rPr>
          <w:rFonts w:ascii="Calibri" w:eastAsia="Times New Roman" w:hAnsi="Calibri" w:cstheme="majorHAnsi"/>
          <w:bCs/>
          <w:sz w:val="22"/>
          <w:szCs w:val="22"/>
          <w:lang w:val="en-GB"/>
        </w:rPr>
        <w:t xml:space="preserve"> </w:t>
      </w:r>
      <w:r w:rsidR="00387A7B" w:rsidRPr="00C10E4A">
        <w:rPr>
          <w:rFonts w:ascii="Calibri" w:eastAsia="Times New Roman" w:hAnsi="Calibri" w:cstheme="majorHAnsi"/>
          <w:bCs/>
          <w:sz w:val="22"/>
          <w:szCs w:val="22"/>
          <w:lang w:val="en-GB"/>
        </w:rPr>
        <w:t>were indispensible in equal measures</w:t>
      </w:r>
      <w:r w:rsidR="0014190C" w:rsidRPr="00C10E4A">
        <w:rPr>
          <w:rFonts w:ascii="Calibri" w:eastAsia="Times New Roman" w:hAnsi="Calibri" w:cstheme="majorHAnsi"/>
          <w:bCs/>
          <w:sz w:val="22"/>
          <w:szCs w:val="22"/>
          <w:lang w:val="en-GB"/>
        </w:rPr>
        <w:t xml:space="preserve">. In addition, I would like to thank everyone at the </w:t>
      </w:r>
      <w:r w:rsidR="0014190C" w:rsidRPr="00C10E4A">
        <w:rPr>
          <w:rFonts w:ascii="Calibri" w:eastAsia="Times New Roman" w:hAnsi="Calibri" w:cstheme="majorHAnsi"/>
          <w:sz w:val="22"/>
          <w:szCs w:val="22"/>
          <w:shd w:val="clear" w:color="auto" w:fill="FFFFFF"/>
          <w:lang w:val="en-GB"/>
        </w:rPr>
        <w:t>Centro de Innovación Científica Amazónico in Puerto Maldonado for making me feel at home even if the subject matter of my research was a little less ‘scientific’ than</w:t>
      </w:r>
      <w:r w:rsidR="000936E2" w:rsidRPr="00C10E4A">
        <w:rPr>
          <w:rFonts w:ascii="Calibri" w:eastAsia="Times New Roman" w:hAnsi="Calibri" w:cstheme="majorHAnsi"/>
          <w:sz w:val="22"/>
          <w:szCs w:val="22"/>
          <w:shd w:val="clear" w:color="auto" w:fill="FFFFFF"/>
          <w:lang w:val="en-GB"/>
        </w:rPr>
        <w:t xml:space="preserve"> their normal work. I</w:t>
      </w:r>
      <w:r w:rsidR="00387A7B" w:rsidRPr="00C10E4A">
        <w:rPr>
          <w:rFonts w:ascii="Calibri" w:eastAsia="Times New Roman" w:hAnsi="Calibri" w:cstheme="majorHAnsi"/>
          <w:sz w:val="22"/>
          <w:szCs w:val="22"/>
          <w:shd w:val="clear" w:color="auto" w:fill="FFFFFF"/>
          <w:lang w:val="en-GB"/>
        </w:rPr>
        <w:t xml:space="preserve"> must</w:t>
      </w:r>
      <w:r w:rsidR="000936E2" w:rsidRPr="00C10E4A">
        <w:rPr>
          <w:rFonts w:ascii="Calibri" w:eastAsia="Times New Roman" w:hAnsi="Calibri" w:cstheme="majorHAnsi"/>
          <w:sz w:val="22"/>
          <w:szCs w:val="22"/>
          <w:shd w:val="clear" w:color="auto" w:fill="FFFFFF"/>
          <w:lang w:val="en-GB"/>
        </w:rPr>
        <w:t xml:space="preserve"> extend my gratitude to Mrs Amy Riley-Po</w:t>
      </w:r>
      <w:r w:rsidR="00387A7B" w:rsidRPr="00C10E4A">
        <w:rPr>
          <w:rFonts w:ascii="Calibri" w:eastAsia="Times New Roman" w:hAnsi="Calibri" w:cstheme="majorHAnsi"/>
          <w:sz w:val="22"/>
          <w:szCs w:val="22"/>
          <w:shd w:val="clear" w:color="auto" w:fill="FFFFFF"/>
          <w:lang w:val="en-GB"/>
        </w:rPr>
        <w:t>well</w:t>
      </w:r>
      <w:r w:rsidR="000936E2" w:rsidRPr="00C10E4A">
        <w:rPr>
          <w:rFonts w:ascii="Calibri" w:eastAsia="Times New Roman" w:hAnsi="Calibri" w:cstheme="majorHAnsi"/>
          <w:sz w:val="22"/>
          <w:szCs w:val="22"/>
          <w:shd w:val="clear" w:color="auto" w:fill="FFFFFF"/>
          <w:lang w:val="en-GB"/>
        </w:rPr>
        <w:t xml:space="preserve"> for providing me with initial connections in Lima and a place to stay for a few nights</w:t>
      </w:r>
      <w:r w:rsidR="00387A7B" w:rsidRPr="00C10E4A">
        <w:rPr>
          <w:rFonts w:ascii="Calibri" w:eastAsia="Times New Roman" w:hAnsi="Calibri" w:cstheme="majorHAnsi"/>
          <w:sz w:val="22"/>
          <w:szCs w:val="22"/>
          <w:shd w:val="clear" w:color="auto" w:fill="FFFFFF"/>
          <w:lang w:val="en-GB"/>
        </w:rPr>
        <w:t xml:space="preserve"> on arrival. </w:t>
      </w:r>
    </w:p>
    <w:p w14:paraId="5AFC1125" w14:textId="77777777" w:rsidR="00972CA0" w:rsidRPr="00C10E4A" w:rsidRDefault="00972CA0" w:rsidP="00972CA0">
      <w:pPr>
        <w:spacing w:line="360" w:lineRule="auto"/>
        <w:jc w:val="both"/>
        <w:rPr>
          <w:rFonts w:ascii="Calibri" w:eastAsia="Times New Roman" w:hAnsi="Calibri" w:cstheme="majorHAnsi"/>
          <w:sz w:val="22"/>
          <w:szCs w:val="22"/>
          <w:lang w:val="en-GB"/>
        </w:rPr>
      </w:pPr>
    </w:p>
    <w:p w14:paraId="07766FEE" w14:textId="42F0F075" w:rsidR="00475547" w:rsidRPr="00C10E4A" w:rsidRDefault="000936E2" w:rsidP="00972CA0">
      <w:pPr>
        <w:spacing w:line="360" w:lineRule="auto"/>
        <w:jc w:val="both"/>
        <w:rPr>
          <w:rFonts w:ascii="Calibri" w:hAnsi="Calibri" w:cstheme="majorHAnsi"/>
          <w:sz w:val="22"/>
          <w:szCs w:val="22"/>
          <w:lang w:val="en-GB"/>
        </w:rPr>
      </w:pPr>
      <w:r w:rsidRPr="00C10E4A">
        <w:rPr>
          <w:rFonts w:ascii="Calibri" w:hAnsi="Calibri" w:cstheme="majorHAnsi"/>
          <w:sz w:val="22"/>
          <w:szCs w:val="22"/>
          <w:lang w:val="en-GB"/>
        </w:rPr>
        <w:t>Thank</w:t>
      </w:r>
      <w:r w:rsidR="00EC4FAE" w:rsidRPr="00C10E4A">
        <w:rPr>
          <w:rFonts w:ascii="Calibri" w:hAnsi="Calibri" w:cstheme="majorHAnsi"/>
          <w:sz w:val="22"/>
          <w:szCs w:val="22"/>
          <w:lang w:val="en-GB"/>
        </w:rPr>
        <w:t>s to my family</w:t>
      </w:r>
      <w:r w:rsidRPr="00C10E4A">
        <w:rPr>
          <w:rFonts w:ascii="Calibri" w:hAnsi="Calibri" w:cstheme="majorHAnsi"/>
          <w:sz w:val="22"/>
          <w:szCs w:val="22"/>
          <w:lang w:val="en-GB"/>
        </w:rPr>
        <w:t xml:space="preserve"> for at least pretending to understand why I wanted to spend so much time researching artisanal and small-scale gold mining </w:t>
      </w:r>
      <w:r w:rsidR="00387A7B" w:rsidRPr="00C10E4A">
        <w:rPr>
          <w:rFonts w:ascii="Calibri" w:hAnsi="Calibri" w:cstheme="majorHAnsi"/>
          <w:sz w:val="22"/>
          <w:szCs w:val="22"/>
          <w:lang w:val="en-GB"/>
        </w:rPr>
        <w:t xml:space="preserve">in </w:t>
      </w:r>
      <w:r w:rsidRPr="00C10E4A">
        <w:rPr>
          <w:rFonts w:ascii="Calibri" w:hAnsi="Calibri" w:cstheme="majorHAnsi"/>
          <w:sz w:val="22"/>
          <w:szCs w:val="22"/>
          <w:lang w:val="en-GB"/>
        </w:rPr>
        <w:t xml:space="preserve">Peru. </w:t>
      </w:r>
      <w:r w:rsidR="00387A7B" w:rsidRPr="00C10E4A">
        <w:rPr>
          <w:rFonts w:ascii="Calibri" w:hAnsi="Calibri" w:cstheme="majorHAnsi"/>
          <w:sz w:val="22"/>
          <w:szCs w:val="22"/>
          <w:lang w:val="en-GB"/>
        </w:rPr>
        <w:t>In particular, I</w:t>
      </w:r>
      <w:r w:rsidRPr="00C10E4A">
        <w:rPr>
          <w:rFonts w:ascii="Calibri" w:hAnsi="Calibri" w:cstheme="majorHAnsi"/>
          <w:sz w:val="22"/>
          <w:szCs w:val="22"/>
          <w:lang w:val="en-GB"/>
        </w:rPr>
        <w:t xml:space="preserve"> need to thank my Uncle and Aunt for proofreading. I suspect they didn’t know how long the final thesis would be when they offered to do so at Christmas. </w:t>
      </w:r>
    </w:p>
    <w:p w14:paraId="7A0253CB" w14:textId="77777777" w:rsidR="00972CA0" w:rsidRPr="00C10E4A" w:rsidRDefault="00972CA0" w:rsidP="00972CA0">
      <w:pPr>
        <w:spacing w:line="360" w:lineRule="auto"/>
        <w:jc w:val="both"/>
        <w:rPr>
          <w:rFonts w:ascii="Calibri" w:hAnsi="Calibri" w:cstheme="majorHAnsi"/>
          <w:sz w:val="22"/>
          <w:szCs w:val="22"/>
          <w:lang w:val="en-GB"/>
        </w:rPr>
      </w:pPr>
    </w:p>
    <w:p w14:paraId="456FA525" w14:textId="437DCC29" w:rsidR="00475547" w:rsidRPr="00C10E4A" w:rsidRDefault="000936E2" w:rsidP="00972CA0">
      <w:pPr>
        <w:spacing w:line="360" w:lineRule="auto"/>
        <w:jc w:val="both"/>
        <w:rPr>
          <w:rFonts w:ascii="Calibri" w:hAnsi="Calibri" w:cstheme="majorHAnsi"/>
          <w:sz w:val="22"/>
          <w:szCs w:val="22"/>
          <w:lang w:val="en-GB"/>
        </w:rPr>
      </w:pPr>
      <w:r w:rsidRPr="00C10E4A">
        <w:rPr>
          <w:rFonts w:ascii="Calibri" w:hAnsi="Calibri" w:cstheme="majorHAnsi"/>
          <w:sz w:val="22"/>
          <w:szCs w:val="22"/>
          <w:lang w:val="en-GB"/>
        </w:rPr>
        <w:t xml:space="preserve">University life would not have been the same without the other PhD students in USP and my fellow Grantham scholars, particularly Emma Stevens. Thank you for the coffees and crisis chats. And thanks to JR, for making Sheffield what it was. </w:t>
      </w:r>
    </w:p>
    <w:p w14:paraId="46558C81" w14:textId="77777777" w:rsidR="00972CA0" w:rsidRPr="00C10E4A" w:rsidRDefault="00972CA0" w:rsidP="00972CA0">
      <w:pPr>
        <w:spacing w:line="360" w:lineRule="auto"/>
        <w:jc w:val="both"/>
        <w:rPr>
          <w:rFonts w:ascii="Calibri" w:hAnsi="Calibri" w:cstheme="majorHAnsi"/>
          <w:sz w:val="22"/>
          <w:szCs w:val="22"/>
          <w:lang w:val="en-GB"/>
        </w:rPr>
      </w:pPr>
    </w:p>
    <w:p w14:paraId="0DA1F27F" w14:textId="6F906D39" w:rsidR="000936E2" w:rsidRDefault="00387A7B" w:rsidP="00972CA0">
      <w:pPr>
        <w:spacing w:line="360" w:lineRule="auto"/>
        <w:jc w:val="both"/>
        <w:rPr>
          <w:rFonts w:ascii="Calibri" w:hAnsi="Calibri" w:cstheme="majorHAnsi"/>
          <w:sz w:val="22"/>
          <w:szCs w:val="22"/>
          <w:lang w:val="en-GB"/>
        </w:rPr>
      </w:pPr>
      <w:r w:rsidRPr="00C10E4A">
        <w:rPr>
          <w:rFonts w:ascii="Calibri" w:hAnsi="Calibri" w:cstheme="majorHAnsi"/>
          <w:sz w:val="22"/>
          <w:szCs w:val="22"/>
          <w:lang w:val="en-GB"/>
        </w:rPr>
        <w:t xml:space="preserve">Most importantly, I need to express my sincere gratitude for all the people in Laberinto and Ocongate who took the time to share their experiences with me and for answering my questions, however stupid they may have seemed. This thesis would not have been possible without them. </w:t>
      </w:r>
    </w:p>
    <w:p w14:paraId="12BB0F3B" w14:textId="2D441716" w:rsidR="00843BA2" w:rsidRDefault="00843BA2" w:rsidP="00972CA0">
      <w:pPr>
        <w:spacing w:line="360" w:lineRule="auto"/>
        <w:jc w:val="both"/>
        <w:rPr>
          <w:rFonts w:ascii="Calibri" w:hAnsi="Calibri" w:cstheme="majorHAnsi"/>
          <w:sz w:val="22"/>
          <w:szCs w:val="22"/>
          <w:lang w:val="en-GB"/>
        </w:rPr>
      </w:pPr>
    </w:p>
    <w:p w14:paraId="283679DD" w14:textId="4CEDE914" w:rsidR="00843BA2" w:rsidRDefault="00843BA2" w:rsidP="00972CA0">
      <w:pPr>
        <w:spacing w:line="360" w:lineRule="auto"/>
        <w:jc w:val="both"/>
        <w:rPr>
          <w:rFonts w:ascii="Calibri" w:hAnsi="Calibri" w:cstheme="majorHAnsi"/>
          <w:sz w:val="22"/>
          <w:szCs w:val="22"/>
          <w:lang w:val="en-GB"/>
        </w:rPr>
      </w:pPr>
    </w:p>
    <w:p w14:paraId="5E137D47" w14:textId="2CBA04E8" w:rsidR="00843BA2" w:rsidRDefault="00843BA2" w:rsidP="00972CA0">
      <w:pPr>
        <w:spacing w:line="360" w:lineRule="auto"/>
        <w:jc w:val="both"/>
        <w:rPr>
          <w:rFonts w:ascii="Calibri" w:hAnsi="Calibri" w:cstheme="majorHAnsi"/>
          <w:sz w:val="22"/>
          <w:szCs w:val="22"/>
          <w:lang w:val="en-GB"/>
        </w:rPr>
      </w:pPr>
    </w:p>
    <w:p w14:paraId="775AF246" w14:textId="770D57E5" w:rsidR="00843BA2" w:rsidRDefault="00843BA2" w:rsidP="00972CA0">
      <w:pPr>
        <w:spacing w:line="360" w:lineRule="auto"/>
        <w:jc w:val="both"/>
        <w:rPr>
          <w:rFonts w:ascii="Calibri" w:hAnsi="Calibri" w:cstheme="majorHAnsi"/>
          <w:sz w:val="22"/>
          <w:szCs w:val="22"/>
          <w:lang w:val="en-GB"/>
        </w:rPr>
      </w:pPr>
    </w:p>
    <w:p w14:paraId="55F1DEC1" w14:textId="3AFB87FA" w:rsidR="00843BA2" w:rsidRDefault="00843BA2" w:rsidP="00972CA0">
      <w:pPr>
        <w:spacing w:line="360" w:lineRule="auto"/>
        <w:jc w:val="both"/>
        <w:rPr>
          <w:rFonts w:ascii="Calibri" w:hAnsi="Calibri" w:cstheme="majorHAnsi"/>
          <w:sz w:val="22"/>
          <w:szCs w:val="22"/>
          <w:lang w:val="en-GB"/>
        </w:rPr>
      </w:pPr>
    </w:p>
    <w:p w14:paraId="5E21C090" w14:textId="77777777" w:rsidR="00032082" w:rsidRDefault="00032082" w:rsidP="00972CA0">
      <w:pPr>
        <w:spacing w:line="360" w:lineRule="auto"/>
        <w:jc w:val="both"/>
        <w:rPr>
          <w:rFonts w:ascii="Calibri" w:hAnsi="Calibri" w:cstheme="majorHAnsi"/>
          <w:sz w:val="22"/>
          <w:szCs w:val="22"/>
          <w:lang w:val="en-GB"/>
        </w:rPr>
      </w:pPr>
    </w:p>
    <w:p w14:paraId="5E9C50F1" w14:textId="184BEC08" w:rsidR="00843BA2" w:rsidRDefault="00843BA2" w:rsidP="00843BA2">
      <w:pPr>
        <w:pStyle w:val="Heading1"/>
        <w:rPr>
          <w:lang w:val="en-GB"/>
        </w:rPr>
      </w:pPr>
      <w:bookmarkStart w:id="3" w:name="_Toc33293067"/>
      <w:r w:rsidRPr="00C10E4A">
        <w:rPr>
          <w:lang w:val="en-GB"/>
        </w:rPr>
        <w:lastRenderedPageBreak/>
        <w:t>Ac</w:t>
      </w:r>
      <w:r>
        <w:rPr>
          <w:lang w:val="en-GB"/>
        </w:rPr>
        <w:t>ronyms</w:t>
      </w:r>
      <w:bookmarkEnd w:id="3"/>
    </w:p>
    <w:p w14:paraId="547991C1" w14:textId="77777777" w:rsidR="00016F94" w:rsidRPr="00016F94" w:rsidRDefault="00016F94" w:rsidP="00016F94"/>
    <w:p w14:paraId="18E09FB2" w14:textId="6C5DFFAF" w:rsidR="000936E2" w:rsidRPr="00060D17" w:rsidRDefault="00843BA2" w:rsidP="0060034B">
      <w:pPr>
        <w:spacing w:before="100" w:beforeAutospacing="1" w:after="100" w:afterAutospacing="1"/>
        <w:jc w:val="both"/>
        <w:rPr>
          <w:rFonts w:cstheme="majorHAnsi"/>
          <w:sz w:val="22"/>
          <w:szCs w:val="22"/>
          <w:lang w:val="en-GB"/>
        </w:rPr>
      </w:pPr>
      <w:r w:rsidRPr="00060D17">
        <w:rPr>
          <w:rFonts w:cstheme="majorHAnsi"/>
          <w:sz w:val="22"/>
          <w:szCs w:val="22"/>
          <w:lang w:val="en-GB"/>
        </w:rPr>
        <w:t>ASM</w:t>
      </w:r>
      <w:r w:rsidRPr="00060D17">
        <w:rPr>
          <w:rFonts w:cstheme="majorHAnsi"/>
          <w:sz w:val="22"/>
          <w:szCs w:val="22"/>
          <w:lang w:val="en-GB"/>
        </w:rPr>
        <w:tab/>
      </w:r>
      <w:r w:rsidRPr="00060D17">
        <w:rPr>
          <w:rFonts w:cstheme="majorHAnsi"/>
          <w:sz w:val="22"/>
          <w:szCs w:val="22"/>
          <w:lang w:val="en-GB"/>
        </w:rPr>
        <w:tab/>
      </w:r>
      <w:r w:rsidR="00016F94" w:rsidRPr="00060D17">
        <w:rPr>
          <w:rFonts w:cstheme="majorHAnsi"/>
          <w:sz w:val="22"/>
          <w:szCs w:val="22"/>
          <w:lang w:val="en-GB"/>
        </w:rPr>
        <w:tab/>
      </w:r>
      <w:r w:rsidRPr="00060D17">
        <w:rPr>
          <w:rFonts w:cstheme="majorHAnsi"/>
          <w:sz w:val="22"/>
          <w:szCs w:val="22"/>
          <w:lang w:val="en-GB"/>
        </w:rPr>
        <w:t>A</w:t>
      </w:r>
      <w:r w:rsidR="00030E91">
        <w:rPr>
          <w:rFonts w:cstheme="majorHAnsi"/>
          <w:sz w:val="22"/>
          <w:szCs w:val="22"/>
          <w:lang w:val="en-GB"/>
        </w:rPr>
        <w:t xml:space="preserve">rtisanal and small-scale </w:t>
      </w:r>
      <w:r w:rsidRPr="00060D17">
        <w:rPr>
          <w:rFonts w:cstheme="majorHAnsi"/>
          <w:sz w:val="22"/>
          <w:szCs w:val="22"/>
          <w:lang w:val="en-GB"/>
        </w:rPr>
        <w:t>mining</w:t>
      </w:r>
    </w:p>
    <w:p w14:paraId="225190E1" w14:textId="2DB846AD" w:rsidR="00974D7A" w:rsidRPr="00060D17" w:rsidRDefault="00974D7A" w:rsidP="0060034B">
      <w:pPr>
        <w:spacing w:before="100" w:beforeAutospacing="1" w:after="100" w:afterAutospacing="1"/>
        <w:jc w:val="both"/>
        <w:rPr>
          <w:rFonts w:cstheme="majorHAnsi"/>
          <w:sz w:val="22"/>
          <w:szCs w:val="22"/>
          <w:lang w:val="en-GB"/>
        </w:rPr>
      </w:pPr>
      <w:r w:rsidRPr="00060D17">
        <w:rPr>
          <w:rFonts w:cstheme="majorHAnsi"/>
          <w:sz w:val="22"/>
          <w:szCs w:val="22"/>
          <w:lang w:val="en-GB"/>
        </w:rPr>
        <w:t>CINCIA</w:t>
      </w:r>
      <w:r w:rsidR="0017524B" w:rsidRPr="00060D17">
        <w:rPr>
          <w:rFonts w:cstheme="majorHAnsi"/>
          <w:sz w:val="22"/>
          <w:szCs w:val="22"/>
          <w:lang w:val="en-GB"/>
        </w:rPr>
        <w:tab/>
      </w:r>
      <w:r w:rsidR="0017524B" w:rsidRPr="00060D17">
        <w:rPr>
          <w:rFonts w:cstheme="majorHAnsi"/>
          <w:sz w:val="22"/>
          <w:szCs w:val="22"/>
          <w:lang w:val="en-GB"/>
        </w:rPr>
        <w:tab/>
      </w:r>
      <w:r w:rsidR="0017524B" w:rsidRPr="00060D17">
        <w:rPr>
          <w:rFonts w:cstheme="majorHAnsi"/>
          <w:sz w:val="22"/>
          <w:szCs w:val="22"/>
          <w:lang w:val="en-GB"/>
        </w:rPr>
        <w:tab/>
        <w:t>The Centre for Amazonian Scientific Innovation</w:t>
      </w:r>
    </w:p>
    <w:p w14:paraId="3FDF5D73" w14:textId="0B090B07" w:rsidR="00697A46" w:rsidRDefault="00697A46" w:rsidP="0060034B">
      <w:pPr>
        <w:spacing w:before="100" w:beforeAutospacing="1" w:after="100" w:afterAutospacing="1"/>
        <w:jc w:val="both"/>
        <w:rPr>
          <w:rFonts w:cstheme="majorHAnsi"/>
          <w:sz w:val="22"/>
          <w:szCs w:val="22"/>
          <w:lang w:val="en-GB"/>
        </w:rPr>
      </w:pPr>
      <w:r w:rsidRPr="00060D17">
        <w:rPr>
          <w:rFonts w:cstheme="majorHAnsi"/>
          <w:sz w:val="22"/>
          <w:szCs w:val="22"/>
          <w:lang w:val="en-GB"/>
        </w:rPr>
        <w:t>CONACAMI</w:t>
      </w:r>
      <w:r w:rsidR="00974D7A" w:rsidRPr="00060D17">
        <w:rPr>
          <w:rFonts w:cstheme="majorHAnsi"/>
          <w:sz w:val="22"/>
          <w:szCs w:val="22"/>
          <w:lang w:val="en-GB"/>
        </w:rPr>
        <w:tab/>
      </w:r>
      <w:r w:rsidR="00974D7A" w:rsidRPr="00060D17">
        <w:rPr>
          <w:rFonts w:cstheme="majorHAnsi"/>
          <w:sz w:val="22"/>
          <w:szCs w:val="22"/>
          <w:lang w:val="en-GB"/>
        </w:rPr>
        <w:tab/>
        <w:t xml:space="preserve">The National </w:t>
      </w:r>
      <w:r w:rsidR="002D6A2F" w:rsidRPr="00060D17">
        <w:rPr>
          <w:rFonts w:cstheme="majorHAnsi"/>
          <w:sz w:val="22"/>
          <w:szCs w:val="22"/>
          <w:lang w:val="en-GB"/>
        </w:rPr>
        <w:t>Confederation</w:t>
      </w:r>
      <w:r w:rsidR="00974D7A" w:rsidRPr="00060D17">
        <w:rPr>
          <w:rFonts w:cstheme="majorHAnsi"/>
          <w:sz w:val="22"/>
          <w:szCs w:val="22"/>
          <w:lang w:val="en-GB"/>
        </w:rPr>
        <w:t xml:space="preserve"> of Peruvian Communities Affected by Mining</w:t>
      </w:r>
    </w:p>
    <w:p w14:paraId="2D83B016" w14:textId="30071289" w:rsidR="00D11AD8" w:rsidRPr="00060D17" w:rsidRDefault="00D11AD8" w:rsidP="0060034B">
      <w:pPr>
        <w:spacing w:before="100" w:beforeAutospacing="1" w:after="100" w:afterAutospacing="1"/>
        <w:jc w:val="both"/>
        <w:rPr>
          <w:rFonts w:cstheme="majorHAnsi"/>
          <w:sz w:val="22"/>
          <w:szCs w:val="22"/>
          <w:lang w:val="en-GB"/>
        </w:rPr>
      </w:pPr>
      <w:r>
        <w:rPr>
          <w:rFonts w:cstheme="majorHAnsi"/>
          <w:sz w:val="22"/>
          <w:szCs w:val="22"/>
          <w:lang w:val="en-GB"/>
        </w:rPr>
        <w:t>DRC</w:t>
      </w:r>
      <w:r>
        <w:rPr>
          <w:rFonts w:cstheme="majorHAnsi"/>
          <w:sz w:val="22"/>
          <w:szCs w:val="22"/>
          <w:lang w:val="en-GB"/>
        </w:rPr>
        <w:tab/>
      </w:r>
      <w:r>
        <w:rPr>
          <w:rFonts w:cstheme="majorHAnsi"/>
          <w:sz w:val="22"/>
          <w:szCs w:val="22"/>
          <w:lang w:val="en-GB"/>
        </w:rPr>
        <w:tab/>
      </w:r>
      <w:r>
        <w:rPr>
          <w:rFonts w:cstheme="majorHAnsi"/>
          <w:sz w:val="22"/>
          <w:szCs w:val="22"/>
          <w:lang w:val="en-GB"/>
        </w:rPr>
        <w:tab/>
        <w:t>Democratic Republic of Congo</w:t>
      </w:r>
    </w:p>
    <w:p w14:paraId="5783FD1C" w14:textId="6CFE6330" w:rsidR="00661F7E" w:rsidRPr="00060D17" w:rsidRDefault="00974D7A" w:rsidP="0060034B">
      <w:pPr>
        <w:spacing w:before="100" w:beforeAutospacing="1" w:after="100" w:afterAutospacing="1"/>
        <w:jc w:val="both"/>
        <w:rPr>
          <w:rFonts w:cstheme="majorHAnsi"/>
          <w:sz w:val="22"/>
          <w:szCs w:val="22"/>
          <w:lang w:val="en-GB"/>
        </w:rPr>
      </w:pPr>
      <w:r w:rsidRPr="00060D17">
        <w:rPr>
          <w:rFonts w:cstheme="majorHAnsi"/>
          <w:sz w:val="22"/>
          <w:szCs w:val="22"/>
          <w:lang w:val="en-GB"/>
        </w:rPr>
        <w:t>FDI</w:t>
      </w:r>
      <w:r w:rsidRPr="00060D17">
        <w:rPr>
          <w:rFonts w:cstheme="majorHAnsi"/>
          <w:sz w:val="22"/>
          <w:szCs w:val="22"/>
          <w:lang w:val="en-GB"/>
        </w:rPr>
        <w:tab/>
      </w:r>
      <w:r w:rsidRPr="00060D17">
        <w:rPr>
          <w:rFonts w:cstheme="majorHAnsi"/>
          <w:sz w:val="22"/>
          <w:szCs w:val="22"/>
          <w:lang w:val="en-GB"/>
        </w:rPr>
        <w:tab/>
      </w:r>
      <w:r w:rsidRPr="00060D17">
        <w:rPr>
          <w:rFonts w:cstheme="majorHAnsi"/>
          <w:sz w:val="22"/>
          <w:szCs w:val="22"/>
          <w:lang w:val="en-GB"/>
        </w:rPr>
        <w:tab/>
      </w:r>
      <w:r w:rsidR="00661F7E" w:rsidRPr="00060D17">
        <w:rPr>
          <w:rFonts w:cstheme="majorHAnsi"/>
          <w:sz w:val="22"/>
          <w:szCs w:val="22"/>
          <w:lang w:val="en-GB"/>
        </w:rPr>
        <w:t>Foreign Direct Investment</w:t>
      </w:r>
    </w:p>
    <w:p w14:paraId="1AF06CF8" w14:textId="0551F9AA" w:rsidR="00974D7A" w:rsidRPr="00060D17" w:rsidRDefault="00974D7A" w:rsidP="0060034B">
      <w:pPr>
        <w:spacing w:before="100" w:beforeAutospacing="1" w:after="100" w:afterAutospacing="1"/>
        <w:jc w:val="both"/>
        <w:rPr>
          <w:rFonts w:cstheme="majorHAnsi"/>
          <w:sz w:val="22"/>
          <w:szCs w:val="22"/>
          <w:lang w:val="en-GB"/>
        </w:rPr>
      </w:pPr>
      <w:r w:rsidRPr="00060D17">
        <w:rPr>
          <w:rFonts w:cstheme="majorHAnsi"/>
          <w:sz w:val="22"/>
          <w:szCs w:val="22"/>
          <w:lang w:val="en-GB"/>
        </w:rPr>
        <w:t>GIATOC</w:t>
      </w:r>
      <w:r w:rsidR="0017524B" w:rsidRPr="00060D17">
        <w:rPr>
          <w:rFonts w:cstheme="majorHAnsi"/>
          <w:sz w:val="22"/>
          <w:szCs w:val="22"/>
          <w:lang w:val="en-GB"/>
        </w:rPr>
        <w:tab/>
      </w:r>
      <w:r w:rsidR="0017524B" w:rsidRPr="00060D17">
        <w:rPr>
          <w:rFonts w:cstheme="majorHAnsi"/>
          <w:sz w:val="22"/>
          <w:szCs w:val="22"/>
          <w:lang w:val="en-GB"/>
        </w:rPr>
        <w:tab/>
      </w:r>
      <w:r w:rsidR="0017524B" w:rsidRPr="00060D17">
        <w:rPr>
          <w:rFonts w:cstheme="majorHAnsi"/>
          <w:sz w:val="22"/>
          <w:szCs w:val="22"/>
          <w:lang w:val="en-GB"/>
        </w:rPr>
        <w:tab/>
        <w:t xml:space="preserve">Global </w:t>
      </w:r>
      <w:r w:rsidR="002D6A2F" w:rsidRPr="00060D17">
        <w:rPr>
          <w:rFonts w:cstheme="majorHAnsi"/>
          <w:sz w:val="22"/>
          <w:szCs w:val="22"/>
          <w:lang w:val="en-GB"/>
        </w:rPr>
        <w:t>Initiative</w:t>
      </w:r>
      <w:r w:rsidR="0017524B" w:rsidRPr="00060D17">
        <w:rPr>
          <w:rFonts w:cstheme="majorHAnsi"/>
          <w:sz w:val="22"/>
          <w:szCs w:val="22"/>
          <w:lang w:val="en-GB"/>
        </w:rPr>
        <w:t xml:space="preserve"> Against Transnational Organised Crime</w:t>
      </w:r>
    </w:p>
    <w:p w14:paraId="5E6B40E0" w14:textId="4A78434D" w:rsidR="00697A46" w:rsidRPr="00060D17" w:rsidRDefault="00697A46" w:rsidP="00974D7A">
      <w:pPr>
        <w:ind w:left="2160" w:hanging="2160"/>
        <w:rPr>
          <w:rFonts w:eastAsia="Times New Roman" w:cs="Times New Roman"/>
          <w:sz w:val="22"/>
          <w:szCs w:val="22"/>
          <w:lang w:val="en-GB"/>
        </w:rPr>
      </w:pPr>
      <w:r w:rsidRPr="00060D17">
        <w:rPr>
          <w:rFonts w:cstheme="majorHAnsi"/>
          <w:sz w:val="22"/>
          <w:szCs w:val="22"/>
          <w:lang w:val="en-GB"/>
        </w:rPr>
        <w:t>IGF</w:t>
      </w:r>
      <w:r w:rsidR="00974D7A" w:rsidRPr="00060D17">
        <w:rPr>
          <w:rFonts w:cstheme="majorHAnsi"/>
          <w:sz w:val="22"/>
          <w:szCs w:val="22"/>
          <w:lang w:val="en-GB"/>
        </w:rPr>
        <w:tab/>
      </w:r>
      <w:r w:rsidR="00974D7A" w:rsidRPr="00060D17">
        <w:rPr>
          <w:rFonts w:eastAsia="Times New Roman" w:cs="Arial"/>
          <w:sz w:val="22"/>
          <w:szCs w:val="22"/>
          <w:shd w:val="clear" w:color="auto" w:fill="FFFFFF"/>
          <w:lang w:val="en-GB"/>
        </w:rPr>
        <w:t>The Intergovernmental Forum on </w:t>
      </w:r>
      <w:r w:rsidR="00974D7A" w:rsidRPr="00060D17">
        <w:rPr>
          <w:rFonts w:eastAsia="Times New Roman" w:cs="Arial"/>
          <w:bCs/>
          <w:sz w:val="22"/>
          <w:szCs w:val="22"/>
          <w:shd w:val="clear" w:color="auto" w:fill="FFFFFF"/>
          <w:lang w:val="en-GB"/>
        </w:rPr>
        <w:t>Mining</w:t>
      </w:r>
      <w:r w:rsidR="00974D7A" w:rsidRPr="00060D17">
        <w:rPr>
          <w:rFonts w:eastAsia="Times New Roman" w:cs="Arial"/>
          <w:sz w:val="22"/>
          <w:szCs w:val="22"/>
          <w:shd w:val="clear" w:color="auto" w:fill="FFFFFF"/>
          <w:lang w:val="en-GB"/>
        </w:rPr>
        <w:t>, Minerals, Metals and Sustainable Development </w:t>
      </w:r>
    </w:p>
    <w:p w14:paraId="3C1239E9" w14:textId="62CE71CD" w:rsidR="00697A46" w:rsidRPr="00060D17" w:rsidRDefault="00697A46" w:rsidP="0060034B">
      <w:pPr>
        <w:spacing w:before="100" w:beforeAutospacing="1" w:after="100" w:afterAutospacing="1"/>
        <w:jc w:val="both"/>
        <w:rPr>
          <w:rFonts w:cstheme="majorHAnsi"/>
          <w:sz w:val="22"/>
          <w:szCs w:val="22"/>
          <w:lang w:val="en-GB"/>
        </w:rPr>
      </w:pPr>
      <w:r w:rsidRPr="00060D17">
        <w:rPr>
          <w:rFonts w:cstheme="majorHAnsi"/>
          <w:sz w:val="22"/>
          <w:szCs w:val="22"/>
          <w:lang w:val="en-GB"/>
        </w:rPr>
        <w:t>ILO</w:t>
      </w:r>
      <w:r w:rsidR="00974D7A" w:rsidRPr="00060D17">
        <w:rPr>
          <w:rFonts w:cstheme="majorHAnsi"/>
          <w:sz w:val="22"/>
          <w:szCs w:val="22"/>
          <w:lang w:val="en-GB"/>
        </w:rPr>
        <w:tab/>
      </w:r>
      <w:r w:rsidR="00974D7A" w:rsidRPr="00060D17">
        <w:rPr>
          <w:rFonts w:cstheme="majorHAnsi"/>
          <w:sz w:val="22"/>
          <w:szCs w:val="22"/>
          <w:lang w:val="en-GB"/>
        </w:rPr>
        <w:tab/>
      </w:r>
      <w:r w:rsidR="00974D7A" w:rsidRPr="00060D17">
        <w:rPr>
          <w:rFonts w:cstheme="majorHAnsi"/>
          <w:sz w:val="22"/>
          <w:szCs w:val="22"/>
          <w:lang w:val="en-GB"/>
        </w:rPr>
        <w:tab/>
        <w:t xml:space="preserve">International </w:t>
      </w:r>
      <w:r w:rsidR="002D6A2F" w:rsidRPr="00060D17">
        <w:rPr>
          <w:rFonts w:cstheme="majorHAnsi"/>
          <w:sz w:val="22"/>
          <w:szCs w:val="22"/>
          <w:lang w:val="en-GB"/>
        </w:rPr>
        <w:t>Labour</w:t>
      </w:r>
      <w:r w:rsidR="00974D7A" w:rsidRPr="00060D17">
        <w:rPr>
          <w:rFonts w:cstheme="majorHAnsi"/>
          <w:sz w:val="22"/>
          <w:szCs w:val="22"/>
          <w:lang w:val="en-GB"/>
        </w:rPr>
        <w:t xml:space="preserve"> Organisation</w:t>
      </w:r>
    </w:p>
    <w:p w14:paraId="4AAC9944" w14:textId="0624CAD0" w:rsidR="006903EE" w:rsidRPr="00060D17" w:rsidRDefault="006903EE" w:rsidP="0060034B">
      <w:pPr>
        <w:spacing w:before="100" w:beforeAutospacing="1" w:after="100" w:afterAutospacing="1"/>
        <w:jc w:val="both"/>
        <w:rPr>
          <w:rFonts w:cstheme="majorHAnsi"/>
          <w:sz w:val="22"/>
          <w:szCs w:val="22"/>
          <w:lang w:val="en-GB"/>
        </w:rPr>
      </w:pPr>
      <w:r w:rsidRPr="00060D17">
        <w:rPr>
          <w:rFonts w:cstheme="majorHAnsi"/>
          <w:sz w:val="22"/>
          <w:szCs w:val="22"/>
          <w:lang w:val="en-GB"/>
        </w:rPr>
        <w:t>IMF</w:t>
      </w:r>
      <w:r w:rsidRPr="00060D17">
        <w:rPr>
          <w:rFonts w:cstheme="majorHAnsi"/>
          <w:sz w:val="22"/>
          <w:szCs w:val="22"/>
          <w:lang w:val="en-GB"/>
        </w:rPr>
        <w:tab/>
      </w:r>
      <w:r w:rsidRPr="00060D17">
        <w:rPr>
          <w:rFonts w:cstheme="majorHAnsi"/>
          <w:sz w:val="22"/>
          <w:szCs w:val="22"/>
          <w:lang w:val="en-GB"/>
        </w:rPr>
        <w:tab/>
      </w:r>
      <w:r w:rsidR="00016F94" w:rsidRPr="00060D17">
        <w:rPr>
          <w:rFonts w:cstheme="majorHAnsi"/>
          <w:sz w:val="22"/>
          <w:szCs w:val="22"/>
          <w:lang w:val="en-GB"/>
        </w:rPr>
        <w:tab/>
      </w:r>
      <w:r w:rsidRPr="00060D17">
        <w:rPr>
          <w:rFonts w:cstheme="majorHAnsi"/>
          <w:sz w:val="22"/>
          <w:szCs w:val="22"/>
          <w:lang w:val="en-GB"/>
        </w:rPr>
        <w:t>International Monetary Fund</w:t>
      </w:r>
    </w:p>
    <w:p w14:paraId="2B929F50" w14:textId="60BF7CCC" w:rsidR="00697A46" w:rsidRPr="00060D17" w:rsidRDefault="00697A46" w:rsidP="00974D7A">
      <w:pPr>
        <w:rPr>
          <w:rFonts w:eastAsia="Times New Roman" w:cs="Times New Roman"/>
          <w:sz w:val="22"/>
          <w:szCs w:val="22"/>
          <w:lang w:val="en-GB"/>
        </w:rPr>
      </w:pPr>
      <w:r w:rsidRPr="00060D17">
        <w:rPr>
          <w:rFonts w:cstheme="majorHAnsi"/>
          <w:sz w:val="22"/>
          <w:szCs w:val="22"/>
          <w:lang w:val="en-GB"/>
        </w:rPr>
        <w:t>INEI</w:t>
      </w:r>
      <w:r w:rsidR="00974D7A" w:rsidRPr="00060D17">
        <w:rPr>
          <w:rFonts w:cstheme="majorHAnsi"/>
          <w:sz w:val="22"/>
          <w:szCs w:val="22"/>
          <w:lang w:val="en-GB"/>
        </w:rPr>
        <w:tab/>
      </w:r>
      <w:r w:rsidR="00974D7A" w:rsidRPr="00060D17">
        <w:rPr>
          <w:rFonts w:cstheme="majorHAnsi"/>
          <w:sz w:val="22"/>
          <w:szCs w:val="22"/>
          <w:lang w:val="en-GB"/>
        </w:rPr>
        <w:tab/>
      </w:r>
      <w:r w:rsidR="00974D7A" w:rsidRPr="00060D17">
        <w:rPr>
          <w:rFonts w:cstheme="majorHAnsi"/>
          <w:sz w:val="22"/>
          <w:szCs w:val="22"/>
          <w:lang w:val="en-GB"/>
        </w:rPr>
        <w:tab/>
      </w:r>
      <w:r w:rsidR="00974D7A" w:rsidRPr="00060D17">
        <w:rPr>
          <w:rFonts w:eastAsia="Times New Roman" w:cs="Arial"/>
          <w:sz w:val="22"/>
          <w:szCs w:val="22"/>
          <w:shd w:val="clear" w:color="auto" w:fill="FFFFFF"/>
          <w:lang w:val="en-GB"/>
        </w:rPr>
        <w:t>The National Institute of Statistics and Information</w:t>
      </w:r>
    </w:p>
    <w:p w14:paraId="73684CCA" w14:textId="4C853C8B" w:rsidR="00697A46" w:rsidRPr="00060D17" w:rsidRDefault="00697A46" w:rsidP="00697A46">
      <w:pPr>
        <w:spacing w:before="100" w:beforeAutospacing="1" w:after="100" w:afterAutospacing="1"/>
        <w:jc w:val="both"/>
        <w:rPr>
          <w:rFonts w:cstheme="majorHAnsi"/>
          <w:sz w:val="22"/>
          <w:szCs w:val="22"/>
          <w:lang w:val="en-GB"/>
        </w:rPr>
      </w:pPr>
      <w:r w:rsidRPr="00060D17">
        <w:rPr>
          <w:rFonts w:cstheme="majorHAnsi"/>
          <w:sz w:val="22"/>
          <w:szCs w:val="22"/>
          <w:lang w:val="en-GB"/>
        </w:rPr>
        <w:t>IS</w:t>
      </w:r>
      <w:r w:rsidRPr="00060D17">
        <w:rPr>
          <w:rFonts w:cstheme="majorHAnsi"/>
          <w:sz w:val="22"/>
          <w:szCs w:val="22"/>
          <w:lang w:val="en-GB"/>
        </w:rPr>
        <w:tab/>
      </w:r>
      <w:r w:rsidRPr="00060D17">
        <w:rPr>
          <w:rFonts w:cstheme="majorHAnsi"/>
          <w:sz w:val="22"/>
          <w:szCs w:val="22"/>
          <w:lang w:val="en-GB"/>
        </w:rPr>
        <w:tab/>
      </w:r>
      <w:r w:rsidR="00016F94" w:rsidRPr="00060D17">
        <w:rPr>
          <w:rFonts w:cstheme="majorHAnsi"/>
          <w:sz w:val="22"/>
          <w:szCs w:val="22"/>
          <w:lang w:val="en-GB"/>
        </w:rPr>
        <w:tab/>
      </w:r>
      <w:r w:rsidRPr="00060D17">
        <w:rPr>
          <w:rFonts w:cstheme="majorHAnsi"/>
          <w:sz w:val="22"/>
          <w:szCs w:val="22"/>
          <w:lang w:val="en-GB"/>
        </w:rPr>
        <w:t>Import Substitution</w:t>
      </w:r>
    </w:p>
    <w:p w14:paraId="52E1930A" w14:textId="2D2376FA" w:rsidR="00697A46" w:rsidRPr="00060D17" w:rsidRDefault="00697A46" w:rsidP="00697A46">
      <w:pPr>
        <w:spacing w:before="100" w:beforeAutospacing="1" w:after="100" w:afterAutospacing="1"/>
        <w:jc w:val="both"/>
        <w:rPr>
          <w:rFonts w:cstheme="majorHAnsi"/>
          <w:sz w:val="22"/>
          <w:szCs w:val="22"/>
          <w:lang w:val="en-GB"/>
        </w:rPr>
      </w:pPr>
      <w:r w:rsidRPr="00060D17">
        <w:rPr>
          <w:rFonts w:cstheme="majorHAnsi"/>
          <w:sz w:val="22"/>
          <w:szCs w:val="22"/>
          <w:lang w:val="en-GB"/>
        </w:rPr>
        <w:t>MINAM</w:t>
      </w:r>
      <w:r w:rsidR="00974D7A" w:rsidRPr="00060D17">
        <w:rPr>
          <w:rFonts w:cstheme="majorHAnsi"/>
          <w:sz w:val="22"/>
          <w:szCs w:val="22"/>
          <w:lang w:val="en-GB"/>
        </w:rPr>
        <w:tab/>
      </w:r>
      <w:r w:rsidR="00974D7A" w:rsidRPr="00060D17">
        <w:rPr>
          <w:rFonts w:cstheme="majorHAnsi"/>
          <w:sz w:val="22"/>
          <w:szCs w:val="22"/>
          <w:lang w:val="en-GB"/>
        </w:rPr>
        <w:tab/>
      </w:r>
      <w:r w:rsidR="00974D7A" w:rsidRPr="00060D17">
        <w:rPr>
          <w:rFonts w:cstheme="majorHAnsi"/>
          <w:sz w:val="22"/>
          <w:szCs w:val="22"/>
          <w:lang w:val="en-GB"/>
        </w:rPr>
        <w:tab/>
        <w:t>Ministry of Environment</w:t>
      </w:r>
    </w:p>
    <w:p w14:paraId="0EA88595" w14:textId="449818A1" w:rsidR="00697A46" w:rsidRPr="00060D17" w:rsidRDefault="00697A46" w:rsidP="00697A46">
      <w:pPr>
        <w:spacing w:before="100" w:beforeAutospacing="1" w:after="100" w:afterAutospacing="1"/>
        <w:jc w:val="both"/>
        <w:rPr>
          <w:rFonts w:cstheme="majorHAnsi"/>
          <w:sz w:val="22"/>
          <w:szCs w:val="22"/>
          <w:lang w:val="en-GB"/>
        </w:rPr>
      </w:pPr>
      <w:r w:rsidRPr="00060D17">
        <w:rPr>
          <w:rFonts w:cstheme="majorHAnsi"/>
          <w:sz w:val="22"/>
          <w:szCs w:val="22"/>
          <w:lang w:val="en-GB"/>
        </w:rPr>
        <w:t>MINEM</w:t>
      </w:r>
      <w:r w:rsidR="00974D7A" w:rsidRPr="00060D17">
        <w:rPr>
          <w:rFonts w:cstheme="majorHAnsi"/>
          <w:sz w:val="22"/>
          <w:szCs w:val="22"/>
          <w:lang w:val="en-GB"/>
        </w:rPr>
        <w:tab/>
      </w:r>
      <w:r w:rsidR="00974D7A" w:rsidRPr="00060D17">
        <w:rPr>
          <w:rFonts w:cstheme="majorHAnsi"/>
          <w:sz w:val="22"/>
          <w:szCs w:val="22"/>
          <w:lang w:val="en-GB"/>
        </w:rPr>
        <w:tab/>
      </w:r>
      <w:r w:rsidR="00974D7A" w:rsidRPr="00060D17">
        <w:rPr>
          <w:rFonts w:cstheme="majorHAnsi"/>
          <w:sz w:val="22"/>
          <w:szCs w:val="22"/>
          <w:lang w:val="en-GB"/>
        </w:rPr>
        <w:tab/>
        <w:t>Ministry of Energy and Mining</w:t>
      </w:r>
    </w:p>
    <w:p w14:paraId="59B5F90F" w14:textId="2941114A" w:rsidR="00697A46" w:rsidRPr="00060D17" w:rsidRDefault="00697A46" w:rsidP="00697A46">
      <w:pPr>
        <w:spacing w:before="100" w:beforeAutospacing="1" w:after="100" w:afterAutospacing="1"/>
        <w:jc w:val="both"/>
        <w:rPr>
          <w:rFonts w:cstheme="majorHAnsi"/>
          <w:sz w:val="22"/>
          <w:szCs w:val="22"/>
          <w:lang w:val="en-GB"/>
        </w:rPr>
      </w:pPr>
      <w:r w:rsidRPr="00060D17">
        <w:rPr>
          <w:rFonts w:cstheme="majorHAnsi"/>
          <w:sz w:val="22"/>
          <w:szCs w:val="22"/>
          <w:lang w:val="en-GB"/>
        </w:rPr>
        <w:t>NGO</w:t>
      </w:r>
      <w:r w:rsidR="00974D7A" w:rsidRPr="00060D17">
        <w:rPr>
          <w:rFonts w:cstheme="majorHAnsi"/>
          <w:sz w:val="22"/>
          <w:szCs w:val="22"/>
          <w:lang w:val="en-GB"/>
        </w:rPr>
        <w:tab/>
      </w:r>
      <w:r w:rsidR="00974D7A" w:rsidRPr="00060D17">
        <w:rPr>
          <w:rFonts w:cstheme="majorHAnsi"/>
          <w:sz w:val="22"/>
          <w:szCs w:val="22"/>
          <w:lang w:val="en-GB"/>
        </w:rPr>
        <w:tab/>
      </w:r>
      <w:r w:rsidR="00974D7A" w:rsidRPr="00060D17">
        <w:rPr>
          <w:rFonts w:cstheme="majorHAnsi"/>
          <w:sz w:val="22"/>
          <w:szCs w:val="22"/>
          <w:lang w:val="en-GB"/>
        </w:rPr>
        <w:tab/>
        <w:t>Non-Governmental Organisation</w:t>
      </w:r>
    </w:p>
    <w:p w14:paraId="60A52F3E" w14:textId="40410F30" w:rsidR="00697A46" w:rsidRPr="00060D17" w:rsidRDefault="00697A46" w:rsidP="00697A46">
      <w:pPr>
        <w:spacing w:before="100" w:beforeAutospacing="1" w:after="100" w:afterAutospacing="1"/>
        <w:jc w:val="both"/>
        <w:rPr>
          <w:rFonts w:cstheme="majorHAnsi"/>
          <w:sz w:val="22"/>
          <w:szCs w:val="22"/>
          <w:lang w:val="en-GB"/>
        </w:rPr>
      </w:pPr>
      <w:r w:rsidRPr="00060D17">
        <w:rPr>
          <w:rFonts w:cstheme="majorHAnsi"/>
          <w:sz w:val="22"/>
          <w:szCs w:val="22"/>
          <w:lang w:val="en-GB"/>
        </w:rPr>
        <w:t>SAPs</w:t>
      </w:r>
      <w:r w:rsidRPr="00060D17">
        <w:rPr>
          <w:rFonts w:cstheme="majorHAnsi"/>
          <w:sz w:val="22"/>
          <w:szCs w:val="22"/>
          <w:lang w:val="en-GB"/>
        </w:rPr>
        <w:tab/>
      </w:r>
      <w:r w:rsidRPr="00060D17">
        <w:rPr>
          <w:rFonts w:cstheme="majorHAnsi"/>
          <w:sz w:val="22"/>
          <w:szCs w:val="22"/>
          <w:lang w:val="en-GB"/>
        </w:rPr>
        <w:tab/>
      </w:r>
      <w:r w:rsidR="00974D7A" w:rsidRPr="00060D17">
        <w:rPr>
          <w:rFonts w:cstheme="majorHAnsi"/>
          <w:sz w:val="22"/>
          <w:szCs w:val="22"/>
          <w:lang w:val="en-GB"/>
        </w:rPr>
        <w:tab/>
      </w:r>
      <w:r w:rsidRPr="00060D17">
        <w:rPr>
          <w:rFonts w:cstheme="majorHAnsi"/>
          <w:sz w:val="22"/>
          <w:szCs w:val="22"/>
          <w:lang w:val="en-GB"/>
        </w:rPr>
        <w:t>Structural Adjustment Programs</w:t>
      </w:r>
    </w:p>
    <w:p w14:paraId="35783C11" w14:textId="77777777" w:rsidR="00697A46" w:rsidRDefault="00697A46" w:rsidP="00697A46">
      <w:pPr>
        <w:spacing w:before="100" w:beforeAutospacing="1" w:after="100" w:afterAutospacing="1"/>
        <w:jc w:val="both"/>
        <w:rPr>
          <w:rFonts w:ascii="Calibri" w:hAnsi="Calibri" w:cstheme="majorHAnsi"/>
          <w:sz w:val="22"/>
          <w:szCs w:val="22"/>
          <w:lang w:val="en-GB"/>
        </w:rPr>
      </w:pPr>
    </w:p>
    <w:p w14:paraId="344FC5E9" w14:textId="77777777" w:rsidR="00697A46" w:rsidRPr="00C10E4A" w:rsidRDefault="00697A46" w:rsidP="0060034B">
      <w:pPr>
        <w:spacing w:before="100" w:beforeAutospacing="1" w:after="100" w:afterAutospacing="1"/>
        <w:jc w:val="both"/>
        <w:rPr>
          <w:rFonts w:ascii="Calibri" w:hAnsi="Calibri" w:cstheme="majorHAnsi"/>
          <w:sz w:val="22"/>
          <w:szCs w:val="22"/>
          <w:lang w:val="en-GB"/>
        </w:rPr>
      </w:pPr>
    </w:p>
    <w:p w14:paraId="1A2FA31E" w14:textId="77777777" w:rsidR="00475547" w:rsidRPr="00C10E4A" w:rsidRDefault="00475547" w:rsidP="0060034B">
      <w:pPr>
        <w:pStyle w:val="NoSpacing"/>
        <w:spacing w:line="360" w:lineRule="auto"/>
        <w:jc w:val="both"/>
        <w:rPr>
          <w:rFonts w:ascii="Calibri" w:hAnsi="Calibri" w:cstheme="majorHAnsi"/>
          <w:b/>
          <w:bCs/>
          <w:sz w:val="28"/>
          <w:szCs w:val="28"/>
          <w:lang w:val="en-GB"/>
        </w:rPr>
      </w:pPr>
    </w:p>
    <w:p w14:paraId="30ADE640" w14:textId="77777777" w:rsidR="00475547" w:rsidRPr="00C10E4A" w:rsidRDefault="00475547" w:rsidP="0060034B">
      <w:pPr>
        <w:pStyle w:val="NoSpacing"/>
        <w:spacing w:line="360" w:lineRule="auto"/>
        <w:jc w:val="both"/>
        <w:rPr>
          <w:rFonts w:ascii="Calibri" w:hAnsi="Calibri" w:cstheme="majorHAnsi"/>
          <w:b/>
          <w:bCs/>
          <w:sz w:val="28"/>
          <w:szCs w:val="28"/>
          <w:lang w:val="en-GB"/>
        </w:rPr>
        <w:sectPr w:rsidR="00475547" w:rsidRPr="00C10E4A">
          <w:pgSz w:w="11906" w:h="16838"/>
          <w:pgMar w:top="1440" w:right="1440" w:bottom="1440" w:left="1440" w:header="708" w:footer="708" w:gutter="0"/>
          <w:cols w:space="708"/>
          <w:docGrid w:linePitch="360"/>
        </w:sectPr>
      </w:pPr>
    </w:p>
    <w:sdt>
      <w:sdtPr>
        <w:rPr>
          <w:rFonts w:ascii="Calibri" w:eastAsiaTheme="minorEastAsia" w:hAnsi="Calibri" w:cstheme="majorHAnsi"/>
          <w:color w:val="auto"/>
          <w:sz w:val="24"/>
          <w:szCs w:val="24"/>
          <w:lang w:val="en-GB"/>
        </w:rPr>
        <w:id w:val="-1647582031"/>
        <w:docPartObj>
          <w:docPartGallery w:val="Table of Contents"/>
          <w:docPartUnique/>
        </w:docPartObj>
      </w:sdtPr>
      <w:sdtEndPr>
        <w:rPr>
          <w:b/>
          <w:bCs/>
        </w:rPr>
      </w:sdtEndPr>
      <w:sdtContent>
        <w:p w14:paraId="0AD37655" w14:textId="7A7B5E43" w:rsidR="009B563A" w:rsidRPr="00565C53" w:rsidRDefault="00565C53" w:rsidP="00565C53">
          <w:pPr>
            <w:pStyle w:val="TOCHeading"/>
            <w:spacing w:line="360" w:lineRule="auto"/>
            <w:jc w:val="both"/>
            <w:rPr>
              <w:rFonts w:ascii="Calibri" w:hAnsi="Calibri"/>
              <w:bCs/>
              <w:color w:val="auto"/>
              <w:lang w:val="en-GB"/>
            </w:rPr>
          </w:pPr>
          <w:r>
            <w:rPr>
              <w:rStyle w:val="Heading1Char"/>
              <w:rFonts w:ascii="Calibri" w:hAnsi="Calibri"/>
              <w:b w:val="0"/>
              <w:color w:val="auto"/>
              <w:lang w:val="en-GB"/>
            </w:rPr>
            <w:t>Contents</w:t>
          </w:r>
        </w:p>
        <w:p w14:paraId="79C02637" w14:textId="13748399" w:rsidR="00502226" w:rsidRDefault="00AF4144">
          <w:pPr>
            <w:pStyle w:val="TOC1"/>
            <w:tabs>
              <w:tab w:val="right" w:leader="dot" w:pos="9016"/>
            </w:tabs>
            <w:rPr>
              <w:noProof/>
              <w:sz w:val="22"/>
              <w:szCs w:val="22"/>
              <w:lang w:val="en-GB" w:eastAsia="en-GB"/>
            </w:rPr>
          </w:pPr>
          <w:r w:rsidRPr="00C10E4A">
            <w:rPr>
              <w:rFonts w:ascii="Calibri" w:hAnsi="Calibri" w:cstheme="majorHAnsi"/>
              <w:lang w:val="en-GB"/>
            </w:rPr>
            <w:fldChar w:fldCharType="begin"/>
          </w:r>
          <w:r w:rsidRPr="00C10E4A">
            <w:rPr>
              <w:rFonts w:ascii="Calibri" w:hAnsi="Calibri" w:cstheme="majorHAnsi"/>
              <w:lang w:val="en-GB"/>
            </w:rPr>
            <w:instrText xml:space="preserve"> TOC \o "1-2" \h \z \u </w:instrText>
          </w:r>
          <w:r w:rsidRPr="00C10E4A">
            <w:rPr>
              <w:rFonts w:ascii="Calibri" w:hAnsi="Calibri" w:cstheme="majorHAnsi"/>
              <w:lang w:val="en-GB"/>
            </w:rPr>
            <w:fldChar w:fldCharType="separate"/>
          </w:r>
          <w:hyperlink w:anchor="_Toc33293065" w:history="1">
            <w:r w:rsidR="00502226" w:rsidRPr="000D48FF">
              <w:rPr>
                <w:rStyle w:val="Hyperlink"/>
                <w:rFonts w:ascii="Calibri" w:hAnsi="Calibri" w:cstheme="majorHAnsi"/>
                <w:noProof/>
                <w:lang w:val="en-GB"/>
              </w:rPr>
              <w:t>Abstract</w:t>
            </w:r>
            <w:r w:rsidR="00502226">
              <w:rPr>
                <w:noProof/>
                <w:webHidden/>
              </w:rPr>
              <w:tab/>
            </w:r>
            <w:r w:rsidR="00502226">
              <w:rPr>
                <w:noProof/>
                <w:webHidden/>
              </w:rPr>
              <w:fldChar w:fldCharType="begin"/>
            </w:r>
            <w:r w:rsidR="00502226">
              <w:rPr>
                <w:noProof/>
                <w:webHidden/>
              </w:rPr>
              <w:instrText xml:space="preserve"> PAGEREF _Toc33293065 \h </w:instrText>
            </w:r>
            <w:r w:rsidR="00502226">
              <w:rPr>
                <w:noProof/>
                <w:webHidden/>
              </w:rPr>
            </w:r>
            <w:r w:rsidR="00502226">
              <w:rPr>
                <w:noProof/>
                <w:webHidden/>
              </w:rPr>
              <w:fldChar w:fldCharType="separate"/>
            </w:r>
            <w:r w:rsidR="001D64A8">
              <w:rPr>
                <w:noProof/>
                <w:webHidden/>
              </w:rPr>
              <w:t>2</w:t>
            </w:r>
            <w:r w:rsidR="00502226">
              <w:rPr>
                <w:noProof/>
                <w:webHidden/>
              </w:rPr>
              <w:fldChar w:fldCharType="end"/>
            </w:r>
          </w:hyperlink>
        </w:p>
        <w:p w14:paraId="5B870FEE" w14:textId="4BF95D28" w:rsidR="00502226" w:rsidRDefault="00D95089">
          <w:pPr>
            <w:pStyle w:val="TOC1"/>
            <w:tabs>
              <w:tab w:val="right" w:leader="dot" w:pos="9016"/>
            </w:tabs>
            <w:rPr>
              <w:noProof/>
              <w:sz w:val="22"/>
              <w:szCs w:val="22"/>
              <w:lang w:val="en-GB" w:eastAsia="en-GB"/>
            </w:rPr>
          </w:pPr>
          <w:hyperlink w:anchor="_Toc33293066" w:history="1">
            <w:r w:rsidR="00502226" w:rsidRPr="000D48FF">
              <w:rPr>
                <w:rStyle w:val="Hyperlink"/>
                <w:rFonts w:ascii="Calibri" w:hAnsi="Calibri" w:cstheme="majorHAnsi"/>
                <w:noProof/>
                <w:lang w:val="en-GB"/>
              </w:rPr>
              <w:t>Acknowledgements</w:t>
            </w:r>
            <w:r w:rsidR="00502226">
              <w:rPr>
                <w:noProof/>
                <w:webHidden/>
              </w:rPr>
              <w:tab/>
            </w:r>
            <w:r w:rsidR="00502226">
              <w:rPr>
                <w:noProof/>
                <w:webHidden/>
              </w:rPr>
              <w:fldChar w:fldCharType="begin"/>
            </w:r>
            <w:r w:rsidR="00502226">
              <w:rPr>
                <w:noProof/>
                <w:webHidden/>
              </w:rPr>
              <w:instrText xml:space="preserve"> PAGEREF _Toc33293066 \h </w:instrText>
            </w:r>
            <w:r w:rsidR="00502226">
              <w:rPr>
                <w:noProof/>
                <w:webHidden/>
              </w:rPr>
            </w:r>
            <w:r w:rsidR="00502226">
              <w:rPr>
                <w:noProof/>
                <w:webHidden/>
              </w:rPr>
              <w:fldChar w:fldCharType="separate"/>
            </w:r>
            <w:r w:rsidR="001D64A8">
              <w:rPr>
                <w:noProof/>
                <w:webHidden/>
              </w:rPr>
              <w:t>3</w:t>
            </w:r>
            <w:r w:rsidR="00502226">
              <w:rPr>
                <w:noProof/>
                <w:webHidden/>
              </w:rPr>
              <w:fldChar w:fldCharType="end"/>
            </w:r>
          </w:hyperlink>
        </w:p>
        <w:p w14:paraId="677AF25A" w14:textId="7F7A739D" w:rsidR="00502226" w:rsidRDefault="00D95089">
          <w:pPr>
            <w:pStyle w:val="TOC1"/>
            <w:tabs>
              <w:tab w:val="right" w:leader="dot" w:pos="9016"/>
            </w:tabs>
            <w:rPr>
              <w:noProof/>
              <w:sz w:val="22"/>
              <w:szCs w:val="22"/>
              <w:lang w:val="en-GB" w:eastAsia="en-GB"/>
            </w:rPr>
          </w:pPr>
          <w:hyperlink w:anchor="_Toc33293067" w:history="1">
            <w:r w:rsidR="00502226" w:rsidRPr="000D48FF">
              <w:rPr>
                <w:rStyle w:val="Hyperlink"/>
                <w:noProof/>
                <w:lang w:val="en-GB"/>
              </w:rPr>
              <w:t>Acronyms</w:t>
            </w:r>
            <w:r w:rsidR="00502226">
              <w:rPr>
                <w:noProof/>
                <w:webHidden/>
              </w:rPr>
              <w:tab/>
            </w:r>
            <w:r w:rsidR="00502226">
              <w:rPr>
                <w:noProof/>
                <w:webHidden/>
              </w:rPr>
              <w:fldChar w:fldCharType="begin"/>
            </w:r>
            <w:r w:rsidR="00502226">
              <w:rPr>
                <w:noProof/>
                <w:webHidden/>
              </w:rPr>
              <w:instrText xml:space="preserve"> PAGEREF _Toc33293067 \h </w:instrText>
            </w:r>
            <w:r w:rsidR="00502226">
              <w:rPr>
                <w:noProof/>
                <w:webHidden/>
              </w:rPr>
            </w:r>
            <w:r w:rsidR="00502226">
              <w:rPr>
                <w:noProof/>
                <w:webHidden/>
              </w:rPr>
              <w:fldChar w:fldCharType="separate"/>
            </w:r>
            <w:r w:rsidR="001D64A8">
              <w:rPr>
                <w:noProof/>
                <w:webHidden/>
              </w:rPr>
              <w:t>4</w:t>
            </w:r>
            <w:r w:rsidR="00502226">
              <w:rPr>
                <w:noProof/>
                <w:webHidden/>
              </w:rPr>
              <w:fldChar w:fldCharType="end"/>
            </w:r>
          </w:hyperlink>
        </w:p>
        <w:p w14:paraId="72B05F2D" w14:textId="1513D49D" w:rsidR="00502226" w:rsidRDefault="00D95089">
          <w:pPr>
            <w:pStyle w:val="TOC1"/>
            <w:tabs>
              <w:tab w:val="right" w:leader="dot" w:pos="9016"/>
            </w:tabs>
            <w:rPr>
              <w:noProof/>
              <w:sz w:val="22"/>
              <w:szCs w:val="22"/>
              <w:lang w:val="en-GB" w:eastAsia="en-GB"/>
            </w:rPr>
          </w:pPr>
          <w:hyperlink w:anchor="_Toc33293068" w:history="1">
            <w:r w:rsidR="00502226" w:rsidRPr="000D48FF">
              <w:rPr>
                <w:rStyle w:val="Hyperlink"/>
                <w:rFonts w:ascii="Calibri" w:hAnsi="Calibri" w:cstheme="majorHAnsi"/>
                <w:noProof/>
                <w:lang w:val="en-GB"/>
              </w:rPr>
              <w:t>1. Introduction</w:t>
            </w:r>
            <w:r w:rsidR="00502226">
              <w:rPr>
                <w:noProof/>
                <w:webHidden/>
              </w:rPr>
              <w:tab/>
            </w:r>
            <w:r w:rsidR="00502226">
              <w:rPr>
                <w:noProof/>
                <w:webHidden/>
              </w:rPr>
              <w:fldChar w:fldCharType="begin"/>
            </w:r>
            <w:r w:rsidR="00502226">
              <w:rPr>
                <w:noProof/>
                <w:webHidden/>
              </w:rPr>
              <w:instrText xml:space="preserve"> PAGEREF _Toc33293068 \h </w:instrText>
            </w:r>
            <w:r w:rsidR="00502226">
              <w:rPr>
                <w:noProof/>
                <w:webHidden/>
              </w:rPr>
            </w:r>
            <w:r w:rsidR="00502226">
              <w:rPr>
                <w:noProof/>
                <w:webHidden/>
              </w:rPr>
              <w:fldChar w:fldCharType="separate"/>
            </w:r>
            <w:r w:rsidR="001D64A8">
              <w:rPr>
                <w:noProof/>
                <w:webHidden/>
              </w:rPr>
              <w:t>8</w:t>
            </w:r>
            <w:r w:rsidR="00502226">
              <w:rPr>
                <w:noProof/>
                <w:webHidden/>
              </w:rPr>
              <w:fldChar w:fldCharType="end"/>
            </w:r>
          </w:hyperlink>
        </w:p>
        <w:p w14:paraId="7340448B" w14:textId="2D7ED46A" w:rsidR="00502226" w:rsidRDefault="00D95089">
          <w:pPr>
            <w:pStyle w:val="TOC2"/>
            <w:tabs>
              <w:tab w:val="right" w:leader="dot" w:pos="9016"/>
            </w:tabs>
            <w:rPr>
              <w:noProof/>
              <w:sz w:val="22"/>
              <w:szCs w:val="22"/>
              <w:lang w:val="en-GB" w:eastAsia="en-GB"/>
            </w:rPr>
          </w:pPr>
          <w:hyperlink w:anchor="_Toc33293069" w:history="1">
            <w:r w:rsidR="00502226" w:rsidRPr="000D48FF">
              <w:rPr>
                <w:rStyle w:val="Hyperlink"/>
                <w:rFonts w:ascii="Calibri" w:hAnsi="Calibri" w:cstheme="majorHAnsi"/>
                <w:noProof/>
                <w:lang w:val="en-GB"/>
              </w:rPr>
              <w:t>1.1. Background</w:t>
            </w:r>
            <w:r w:rsidR="00502226">
              <w:rPr>
                <w:noProof/>
                <w:webHidden/>
              </w:rPr>
              <w:tab/>
            </w:r>
            <w:r w:rsidR="00502226">
              <w:rPr>
                <w:noProof/>
                <w:webHidden/>
              </w:rPr>
              <w:fldChar w:fldCharType="begin"/>
            </w:r>
            <w:r w:rsidR="00502226">
              <w:rPr>
                <w:noProof/>
                <w:webHidden/>
              </w:rPr>
              <w:instrText xml:space="preserve"> PAGEREF _Toc33293069 \h </w:instrText>
            </w:r>
            <w:r w:rsidR="00502226">
              <w:rPr>
                <w:noProof/>
                <w:webHidden/>
              </w:rPr>
            </w:r>
            <w:r w:rsidR="00502226">
              <w:rPr>
                <w:noProof/>
                <w:webHidden/>
              </w:rPr>
              <w:fldChar w:fldCharType="separate"/>
            </w:r>
            <w:r w:rsidR="001D64A8">
              <w:rPr>
                <w:noProof/>
                <w:webHidden/>
              </w:rPr>
              <w:t>8</w:t>
            </w:r>
            <w:r w:rsidR="00502226">
              <w:rPr>
                <w:noProof/>
                <w:webHidden/>
              </w:rPr>
              <w:fldChar w:fldCharType="end"/>
            </w:r>
          </w:hyperlink>
        </w:p>
        <w:p w14:paraId="03928ACD" w14:textId="669FE4F5" w:rsidR="00502226" w:rsidRDefault="00D95089">
          <w:pPr>
            <w:pStyle w:val="TOC2"/>
            <w:tabs>
              <w:tab w:val="right" w:leader="dot" w:pos="9016"/>
            </w:tabs>
            <w:rPr>
              <w:noProof/>
              <w:sz w:val="22"/>
              <w:szCs w:val="22"/>
              <w:lang w:val="en-GB" w:eastAsia="en-GB"/>
            </w:rPr>
          </w:pPr>
          <w:hyperlink w:anchor="_Toc33293070" w:history="1">
            <w:r w:rsidR="00502226" w:rsidRPr="000D48FF">
              <w:rPr>
                <w:rStyle w:val="Hyperlink"/>
                <w:rFonts w:ascii="Calibri" w:hAnsi="Calibri" w:cstheme="majorHAnsi"/>
                <w:noProof/>
                <w:lang w:val="en-GB" w:eastAsia="zh-CN"/>
              </w:rPr>
              <w:t>1.2 Justification</w:t>
            </w:r>
            <w:r w:rsidR="00502226">
              <w:rPr>
                <w:noProof/>
                <w:webHidden/>
              </w:rPr>
              <w:tab/>
            </w:r>
            <w:r w:rsidR="00502226">
              <w:rPr>
                <w:noProof/>
                <w:webHidden/>
              </w:rPr>
              <w:fldChar w:fldCharType="begin"/>
            </w:r>
            <w:r w:rsidR="00502226">
              <w:rPr>
                <w:noProof/>
                <w:webHidden/>
              </w:rPr>
              <w:instrText xml:space="preserve"> PAGEREF _Toc33293070 \h </w:instrText>
            </w:r>
            <w:r w:rsidR="00502226">
              <w:rPr>
                <w:noProof/>
                <w:webHidden/>
              </w:rPr>
            </w:r>
            <w:r w:rsidR="00502226">
              <w:rPr>
                <w:noProof/>
                <w:webHidden/>
              </w:rPr>
              <w:fldChar w:fldCharType="separate"/>
            </w:r>
            <w:r w:rsidR="001D64A8">
              <w:rPr>
                <w:noProof/>
                <w:webHidden/>
              </w:rPr>
              <w:t>9</w:t>
            </w:r>
            <w:r w:rsidR="00502226">
              <w:rPr>
                <w:noProof/>
                <w:webHidden/>
              </w:rPr>
              <w:fldChar w:fldCharType="end"/>
            </w:r>
          </w:hyperlink>
        </w:p>
        <w:p w14:paraId="27E38928" w14:textId="580AB963" w:rsidR="00502226" w:rsidRDefault="00D95089">
          <w:pPr>
            <w:pStyle w:val="TOC2"/>
            <w:tabs>
              <w:tab w:val="right" w:leader="dot" w:pos="9016"/>
            </w:tabs>
            <w:rPr>
              <w:noProof/>
              <w:sz w:val="22"/>
              <w:szCs w:val="22"/>
              <w:lang w:val="en-GB" w:eastAsia="en-GB"/>
            </w:rPr>
          </w:pPr>
          <w:hyperlink w:anchor="_Toc33293071" w:history="1">
            <w:r w:rsidR="00502226" w:rsidRPr="000D48FF">
              <w:rPr>
                <w:rStyle w:val="Hyperlink"/>
                <w:rFonts w:ascii="Calibri" w:hAnsi="Calibri" w:cstheme="majorHAnsi"/>
                <w:noProof/>
                <w:lang w:val="en-GB"/>
              </w:rPr>
              <w:t>1.3. Objective and research questions</w:t>
            </w:r>
            <w:r w:rsidR="00502226">
              <w:rPr>
                <w:noProof/>
                <w:webHidden/>
              </w:rPr>
              <w:tab/>
            </w:r>
            <w:r w:rsidR="00502226">
              <w:rPr>
                <w:noProof/>
                <w:webHidden/>
              </w:rPr>
              <w:fldChar w:fldCharType="begin"/>
            </w:r>
            <w:r w:rsidR="00502226">
              <w:rPr>
                <w:noProof/>
                <w:webHidden/>
              </w:rPr>
              <w:instrText xml:space="preserve"> PAGEREF _Toc33293071 \h </w:instrText>
            </w:r>
            <w:r w:rsidR="00502226">
              <w:rPr>
                <w:noProof/>
                <w:webHidden/>
              </w:rPr>
            </w:r>
            <w:r w:rsidR="00502226">
              <w:rPr>
                <w:noProof/>
                <w:webHidden/>
              </w:rPr>
              <w:fldChar w:fldCharType="separate"/>
            </w:r>
            <w:r w:rsidR="001D64A8">
              <w:rPr>
                <w:noProof/>
                <w:webHidden/>
              </w:rPr>
              <w:t>10</w:t>
            </w:r>
            <w:r w:rsidR="00502226">
              <w:rPr>
                <w:noProof/>
                <w:webHidden/>
              </w:rPr>
              <w:fldChar w:fldCharType="end"/>
            </w:r>
          </w:hyperlink>
        </w:p>
        <w:p w14:paraId="5F117D39" w14:textId="0C12164C" w:rsidR="00502226" w:rsidRDefault="00D95089">
          <w:pPr>
            <w:pStyle w:val="TOC2"/>
            <w:tabs>
              <w:tab w:val="right" w:leader="dot" w:pos="9016"/>
            </w:tabs>
            <w:rPr>
              <w:noProof/>
              <w:sz w:val="22"/>
              <w:szCs w:val="22"/>
              <w:lang w:val="en-GB" w:eastAsia="en-GB"/>
            </w:rPr>
          </w:pPr>
          <w:hyperlink w:anchor="_Toc33293072" w:history="1">
            <w:r w:rsidR="00502226" w:rsidRPr="000D48FF">
              <w:rPr>
                <w:rStyle w:val="Hyperlink"/>
                <w:rFonts w:ascii="Calibri" w:hAnsi="Calibri" w:cstheme="majorHAnsi"/>
                <w:noProof/>
                <w:lang w:val="en-GB"/>
              </w:rPr>
              <w:t>1.4. Approach</w:t>
            </w:r>
            <w:r w:rsidR="00502226">
              <w:rPr>
                <w:noProof/>
                <w:webHidden/>
              </w:rPr>
              <w:tab/>
            </w:r>
            <w:r w:rsidR="00502226">
              <w:rPr>
                <w:noProof/>
                <w:webHidden/>
              </w:rPr>
              <w:fldChar w:fldCharType="begin"/>
            </w:r>
            <w:r w:rsidR="00502226">
              <w:rPr>
                <w:noProof/>
                <w:webHidden/>
              </w:rPr>
              <w:instrText xml:space="preserve"> PAGEREF _Toc33293072 \h </w:instrText>
            </w:r>
            <w:r w:rsidR="00502226">
              <w:rPr>
                <w:noProof/>
                <w:webHidden/>
              </w:rPr>
            </w:r>
            <w:r w:rsidR="00502226">
              <w:rPr>
                <w:noProof/>
                <w:webHidden/>
              </w:rPr>
              <w:fldChar w:fldCharType="separate"/>
            </w:r>
            <w:r w:rsidR="001D64A8">
              <w:rPr>
                <w:noProof/>
                <w:webHidden/>
              </w:rPr>
              <w:t>11</w:t>
            </w:r>
            <w:r w:rsidR="00502226">
              <w:rPr>
                <w:noProof/>
                <w:webHidden/>
              </w:rPr>
              <w:fldChar w:fldCharType="end"/>
            </w:r>
          </w:hyperlink>
        </w:p>
        <w:p w14:paraId="3CFDEEAA" w14:textId="3E0B3AC5" w:rsidR="00502226" w:rsidRDefault="00D95089">
          <w:pPr>
            <w:pStyle w:val="TOC2"/>
            <w:tabs>
              <w:tab w:val="right" w:leader="dot" w:pos="9016"/>
            </w:tabs>
            <w:rPr>
              <w:noProof/>
              <w:sz w:val="22"/>
              <w:szCs w:val="22"/>
              <w:lang w:val="en-GB" w:eastAsia="en-GB"/>
            </w:rPr>
          </w:pPr>
          <w:hyperlink w:anchor="_Toc33293073" w:history="1">
            <w:r w:rsidR="00502226" w:rsidRPr="000D48FF">
              <w:rPr>
                <w:rStyle w:val="Hyperlink"/>
                <w:rFonts w:ascii="Calibri" w:hAnsi="Calibri" w:cstheme="majorHAnsi"/>
                <w:noProof/>
                <w:lang w:val="en-GB"/>
              </w:rPr>
              <w:t>1.5. Structure of this thesis</w:t>
            </w:r>
            <w:r w:rsidR="00502226">
              <w:rPr>
                <w:noProof/>
                <w:webHidden/>
              </w:rPr>
              <w:tab/>
            </w:r>
            <w:r w:rsidR="00502226">
              <w:rPr>
                <w:noProof/>
                <w:webHidden/>
              </w:rPr>
              <w:fldChar w:fldCharType="begin"/>
            </w:r>
            <w:r w:rsidR="00502226">
              <w:rPr>
                <w:noProof/>
                <w:webHidden/>
              </w:rPr>
              <w:instrText xml:space="preserve"> PAGEREF _Toc33293073 \h </w:instrText>
            </w:r>
            <w:r w:rsidR="00502226">
              <w:rPr>
                <w:noProof/>
                <w:webHidden/>
              </w:rPr>
            </w:r>
            <w:r w:rsidR="00502226">
              <w:rPr>
                <w:noProof/>
                <w:webHidden/>
              </w:rPr>
              <w:fldChar w:fldCharType="separate"/>
            </w:r>
            <w:r w:rsidR="001D64A8">
              <w:rPr>
                <w:noProof/>
                <w:webHidden/>
              </w:rPr>
              <w:t>12</w:t>
            </w:r>
            <w:r w:rsidR="00502226">
              <w:rPr>
                <w:noProof/>
                <w:webHidden/>
              </w:rPr>
              <w:fldChar w:fldCharType="end"/>
            </w:r>
          </w:hyperlink>
        </w:p>
        <w:p w14:paraId="74B9CC5E" w14:textId="40C9FDE9" w:rsidR="00502226" w:rsidRDefault="00D95089">
          <w:pPr>
            <w:pStyle w:val="TOC1"/>
            <w:tabs>
              <w:tab w:val="right" w:leader="dot" w:pos="9016"/>
            </w:tabs>
            <w:rPr>
              <w:noProof/>
              <w:sz w:val="22"/>
              <w:szCs w:val="22"/>
              <w:lang w:val="en-GB" w:eastAsia="en-GB"/>
            </w:rPr>
          </w:pPr>
          <w:hyperlink w:anchor="_Toc33293074" w:history="1">
            <w:r w:rsidR="00502226" w:rsidRPr="000D48FF">
              <w:rPr>
                <w:rStyle w:val="Hyperlink"/>
                <w:rFonts w:ascii="Calibri" w:hAnsi="Calibri" w:cstheme="majorHAnsi"/>
                <w:noProof/>
                <w:lang w:val="en-GB"/>
              </w:rPr>
              <w:t>2. Artisanal and Small-Scale Mining</w:t>
            </w:r>
            <w:r w:rsidR="00502226">
              <w:rPr>
                <w:noProof/>
                <w:webHidden/>
              </w:rPr>
              <w:tab/>
            </w:r>
            <w:r w:rsidR="00502226">
              <w:rPr>
                <w:noProof/>
                <w:webHidden/>
              </w:rPr>
              <w:fldChar w:fldCharType="begin"/>
            </w:r>
            <w:r w:rsidR="00502226">
              <w:rPr>
                <w:noProof/>
                <w:webHidden/>
              </w:rPr>
              <w:instrText xml:space="preserve"> PAGEREF _Toc33293074 \h </w:instrText>
            </w:r>
            <w:r w:rsidR="00502226">
              <w:rPr>
                <w:noProof/>
                <w:webHidden/>
              </w:rPr>
            </w:r>
            <w:r w:rsidR="00502226">
              <w:rPr>
                <w:noProof/>
                <w:webHidden/>
              </w:rPr>
              <w:fldChar w:fldCharType="separate"/>
            </w:r>
            <w:r w:rsidR="001D64A8">
              <w:rPr>
                <w:noProof/>
                <w:webHidden/>
              </w:rPr>
              <w:t>16</w:t>
            </w:r>
            <w:r w:rsidR="00502226">
              <w:rPr>
                <w:noProof/>
                <w:webHidden/>
              </w:rPr>
              <w:fldChar w:fldCharType="end"/>
            </w:r>
          </w:hyperlink>
        </w:p>
        <w:p w14:paraId="16E21F79" w14:textId="521E8FA3" w:rsidR="00502226" w:rsidRDefault="00D95089">
          <w:pPr>
            <w:pStyle w:val="TOC2"/>
            <w:tabs>
              <w:tab w:val="right" w:leader="dot" w:pos="9016"/>
            </w:tabs>
            <w:rPr>
              <w:noProof/>
              <w:sz w:val="22"/>
              <w:szCs w:val="22"/>
              <w:lang w:val="en-GB" w:eastAsia="en-GB"/>
            </w:rPr>
          </w:pPr>
          <w:hyperlink w:anchor="_Toc33293075" w:history="1">
            <w:r w:rsidR="00502226" w:rsidRPr="000D48FF">
              <w:rPr>
                <w:rStyle w:val="Hyperlink"/>
                <w:rFonts w:ascii="Calibri" w:hAnsi="Calibri" w:cstheme="majorHAnsi"/>
                <w:noProof/>
                <w:lang w:val="en-GB"/>
              </w:rPr>
              <w:t>2.1. Introduction</w:t>
            </w:r>
            <w:r w:rsidR="00502226">
              <w:rPr>
                <w:noProof/>
                <w:webHidden/>
              </w:rPr>
              <w:tab/>
            </w:r>
            <w:r w:rsidR="00502226">
              <w:rPr>
                <w:noProof/>
                <w:webHidden/>
              </w:rPr>
              <w:fldChar w:fldCharType="begin"/>
            </w:r>
            <w:r w:rsidR="00502226">
              <w:rPr>
                <w:noProof/>
                <w:webHidden/>
              </w:rPr>
              <w:instrText xml:space="preserve"> PAGEREF _Toc33293075 \h </w:instrText>
            </w:r>
            <w:r w:rsidR="00502226">
              <w:rPr>
                <w:noProof/>
                <w:webHidden/>
              </w:rPr>
            </w:r>
            <w:r w:rsidR="00502226">
              <w:rPr>
                <w:noProof/>
                <w:webHidden/>
              </w:rPr>
              <w:fldChar w:fldCharType="separate"/>
            </w:r>
            <w:r w:rsidR="001D64A8">
              <w:rPr>
                <w:noProof/>
                <w:webHidden/>
              </w:rPr>
              <w:t>16</w:t>
            </w:r>
            <w:r w:rsidR="00502226">
              <w:rPr>
                <w:noProof/>
                <w:webHidden/>
              </w:rPr>
              <w:fldChar w:fldCharType="end"/>
            </w:r>
          </w:hyperlink>
        </w:p>
        <w:p w14:paraId="7BDE1907" w14:textId="69C29001" w:rsidR="00502226" w:rsidRDefault="00D95089">
          <w:pPr>
            <w:pStyle w:val="TOC2"/>
            <w:tabs>
              <w:tab w:val="right" w:leader="dot" w:pos="9016"/>
            </w:tabs>
            <w:rPr>
              <w:noProof/>
              <w:sz w:val="22"/>
              <w:szCs w:val="22"/>
              <w:lang w:val="en-GB" w:eastAsia="en-GB"/>
            </w:rPr>
          </w:pPr>
          <w:hyperlink w:anchor="_Toc33293076" w:history="1">
            <w:r w:rsidR="00502226" w:rsidRPr="000D48FF">
              <w:rPr>
                <w:rStyle w:val="Hyperlink"/>
                <w:noProof/>
              </w:rPr>
              <w:t>2.2. Global mining trends</w:t>
            </w:r>
            <w:r w:rsidR="00502226">
              <w:rPr>
                <w:noProof/>
                <w:webHidden/>
              </w:rPr>
              <w:tab/>
            </w:r>
            <w:r w:rsidR="00502226">
              <w:rPr>
                <w:noProof/>
                <w:webHidden/>
              </w:rPr>
              <w:fldChar w:fldCharType="begin"/>
            </w:r>
            <w:r w:rsidR="00502226">
              <w:rPr>
                <w:noProof/>
                <w:webHidden/>
              </w:rPr>
              <w:instrText xml:space="preserve"> PAGEREF _Toc33293076 \h </w:instrText>
            </w:r>
            <w:r w:rsidR="00502226">
              <w:rPr>
                <w:noProof/>
                <w:webHidden/>
              </w:rPr>
            </w:r>
            <w:r w:rsidR="00502226">
              <w:rPr>
                <w:noProof/>
                <w:webHidden/>
              </w:rPr>
              <w:fldChar w:fldCharType="separate"/>
            </w:r>
            <w:r w:rsidR="001D64A8">
              <w:rPr>
                <w:noProof/>
                <w:webHidden/>
              </w:rPr>
              <w:t>16</w:t>
            </w:r>
            <w:r w:rsidR="00502226">
              <w:rPr>
                <w:noProof/>
                <w:webHidden/>
              </w:rPr>
              <w:fldChar w:fldCharType="end"/>
            </w:r>
          </w:hyperlink>
        </w:p>
        <w:p w14:paraId="12732AF7" w14:textId="29CB58E9" w:rsidR="00502226" w:rsidRDefault="00D95089">
          <w:pPr>
            <w:pStyle w:val="TOC2"/>
            <w:tabs>
              <w:tab w:val="right" w:leader="dot" w:pos="9016"/>
            </w:tabs>
            <w:rPr>
              <w:noProof/>
              <w:sz w:val="22"/>
              <w:szCs w:val="22"/>
              <w:lang w:val="en-GB" w:eastAsia="en-GB"/>
            </w:rPr>
          </w:pPr>
          <w:hyperlink w:anchor="_Toc33293077" w:history="1">
            <w:r w:rsidR="00502226" w:rsidRPr="000D48FF">
              <w:rPr>
                <w:rStyle w:val="Hyperlink"/>
                <w:noProof/>
              </w:rPr>
              <w:t>2.3. Key debates in artisanal and small-scale gold mining</w:t>
            </w:r>
            <w:r w:rsidR="00502226">
              <w:rPr>
                <w:noProof/>
                <w:webHidden/>
              </w:rPr>
              <w:tab/>
            </w:r>
            <w:r w:rsidR="00502226">
              <w:rPr>
                <w:noProof/>
                <w:webHidden/>
              </w:rPr>
              <w:fldChar w:fldCharType="begin"/>
            </w:r>
            <w:r w:rsidR="00502226">
              <w:rPr>
                <w:noProof/>
                <w:webHidden/>
              </w:rPr>
              <w:instrText xml:space="preserve"> PAGEREF _Toc33293077 \h </w:instrText>
            </w:r>
            <w:r w:rsidR="00502226">
              <w:rPr>
                <w:noProof/>
                <w:webHidden/>
              </w:rPr>
            </w:r>
            <w:r w:rsidR="00502226">
              <w:rPr>
                <w:noProof/>
                <w:webHidden/>
              </w:rPr>
              <w:fldChar w:fldCharType="separate"/>
            </w:r>
            <w:r w:rsidR="001D64A8">
              <w:rPr>
                <w:noProof/>
                <w:webHidden/>
              </w:rPr>
              <w:t>18</w:t>
            </w:r>
            <w:r w:rsidR="00502226">
              <w:rPr>
                <w:noProof/>
                <w:webHidden/>
              </w:rPr>
              <w:fldChar w:fldCharType="end"/>
            </w:r>
          </w:hyperlink>
        </w:p>
        <w:p w14:paraId="6743FE4D" w14:textId="7854C611" w:rsidR="00502226" w:rsidRDefault="00D95089">
          <w:pPr>
            <w:pStyle w:val="TOC2"/>
            <w:tabs>
              <w:tab w:val="right" w:leader="dot" w:pos="9016"/>
            </w:tabs>
            <w:rPr>
              <w:noProof/>
              <w:sz w:val="22"/>
              <w:szCs w:val="22"/>
              <w:lang w:val="en-GB" w:eastAsia="en-GB"/>
            </w:rPr>
          </w:pPr>
          <w:hyperlink w:anchor="_Toc33293078" w:history="1">
            <w:r w:rsidR="00502226" w:rsidRPr="000D48FF">
              <w:rPr>
                <w:rStyle w:val="Hyperlink"/>
                <w:noProof/>
                <w:lang w:val="en-GB"/>
              </w:rPr>
              <w:t>2.4. Migration and mining settlements</w:t>
            </w:r>
            <w:r w:rsidR="00502226">
              <w:rPr>
                <w:noProof/>
                <w:webHidden/>
              </w:rPr>
              <w:tab/>
            </w:r>
            <w:r w:rsidR="00502226">
              <w:rPr>
                <w:noProof/>
                <w:webHidden/>
              </w:rPr>
              <w:fldChar w:fldCharType="begin"/>
            </w:r>
            <w:r w:rsidR="00502226">
              <w:rPr>
                <w:noProof/>
                <w:webHidden/>
              </w:rPr>
              <w:instrText xml:space="preserve"> PAGEREF _Toc33293078 \h </w:instrText>
            </w:r>
            <w:r w:rsidR="00502226">
              <w:rPr>
                <w:noProof/>
                <w:webHidden/>
              </w:rPr>
            </w:r>
            <w:r w:rsidR="00502226">
              <w:rPr>
                <w:noProof/>
                <w:webHidden/>
              </w:rPr>
              <w:fldChar w:fldCharType="separate"/>
            </w:r>
            <w:r w:rsidR="001D64A8">
              <w:rPr>
                <w:noProof/>
                <w:webHidden/>
              </w:rPr>
              <w:t>22</w:t>
            </w:r>
            <w:r w:rsidR="00502226">
              <w:rPr>
                <w:noProof/>
                <w:webHidden/>
              </w:rPr>
              <w:fldChar w:fldCharType="end"/>
            </w:r>
          </w:hyperlink>
        </w:p>
        <w:p w14:paraId="367FAF22" w14:textId="60E49994" w:rsidR="00502226" w:rsidRDefault="00D95089">
          <w:pPr>
            <w:pStyle w:val="TOC2"/>
            <w:tabs>
              <w:tab w:val="right" w:leader="dot" w:pos="9016"/>
            </w:tabs>
            <w:rPr>
              <w:noProof/>
              <w:sz w:val="22"/>
              <w:szCs w:val="22"/>
              <w:lang w:val="en-GB" w:eastAsia="en-GB"/>
            </w:rPr>
          </w:pPr>
          <w:hyperlink w:anchor="_Toc33293079" w:history="1">
            <w:r w:rsidR="00502226" w:rsidRPr="000D48FF">
              <w:rPr>
                <w:rStyle w:val="Hyperlink"/>
                <w:noProof/>
                <w:lang w:val="en-GB"/>
              </w:rPr>
              <w:t>2.5. Mining and identity</w:t>
            </w:r>
            <w:r w:rsidR="00502226">
              <w:rPr>
                <w:noProof/>
                <w:webHidden/>
              </w:rPr>
              <w:tab/>
            </w:r>
            <w:r w:rsidR="00502226">
              <w:rPr>
                <w:noProof/>
                <w:webHidden/>
              </w:rPr>
              <w:fldChar w:fldCharType="begin"/>
            </w:r>
            <w:r w:rsidR="00502226">
              <w:rPr>
                <w:noProof/>
                <w:webHidden/>
              </w:rPr>
              <w:instrText xml:space="preserve"> PAGEREF _Toc33293079 \h </w:instrText>
            </w:r>
            <w:r w:rsidR="00502226">
              <w:rPr>
                <w:noProof/>
                <w:webHidden/>
              </w:rPr>
            </w:r>
            <w:r w:rsidR="00502226">
              <w:rPr>
                <w:noProof/>
                <w:webHidden/>
              </w:rPr>
              <w:fldChar w:fldCharType="separate"/>
            </w:r>
            <w:r w:rsidR="001D64A8">
              <w:rPr>
                <w:noProof/>
                <w:webHidden/>
              </w:rPr>
              <w:t>29</w:t>
            </w:r>
            <w:r w:rsidR="00502226">
              <w:rPr>
                <w:noProof/>
                <w:webHidden/>
              </w:rPr>
              <w:fldChar w:fldCharType="end"/>
            </w:r>
          </w:hyperlink>
        </w:p>
        <w:p w14:paraId="5B6E790D" w14:textId="0B6A2A7F" w:rsidR="00502226" w:rsidRDefault="00D95089">
          <w:pPr>
            <w:pStyle w:val="TOC2"/>
            <w:tabs>
              <w:tab w:val="right" w:leader="dot" w:pos="9016"/>
            </w:tabs>
            <w:rPr>
              <w:noProof/>
              <w:sz w:val="22"/>
              <w:szCs w:val="22"/>
              <w:lang w:val="en-GB" w:eastAsia="en-GB"/>
            </w:rPr>
          </w:pPr>
          <w:hyperlink w:anchor="_Toc33293080" w:history="1">
            <w:r w:rsidR="00502226" w:rsidRPr="000D48FF">
              <w:rPr>
                <w:rStyle w:val="Hyperlink"/>
                <w:noProof/>
                <w:lang w:val="en-GB"/>
              </w:rPr>
              <w:t>2.6. Criminalisation, resistance and identity</w:t>
            </w:r>
            <w:r w:rsidR="00502226">
              <w:rPr>
                <w:noProof/>
                <w:webHidden/>
              </w:rPr>
              <w:tab/>
            </w:r>
            <w:r w:rsidR="00502226">
              <w:rPr>
                <w:noProof/>
                <w:webHidden/>
              </w:rPr>
              <w:fldChar w:fldCharType="begin"/>
            </w:r>
            <w:r w:rsidR="00502226">
              <w:rPr>
                <w:noProof/>
                <w:webHidden/>
              </w:rPr>
              <w:instrText xml:space="preserve"> PAGEREF _Toc33293080 \h </w:instrText>
            </w:r>
            <w:r w:rsidR="00502226">
              <w:rPr>
                <w:noProof/>
                <w:webHidden/>
              </w:rPr>
            </w:r>
            <w:r w:rsidR="00502226">
              <w:rPr>
                <w:noProof/>
                <w:webHidden/>
              </w:rPr>
              <w:fldChar w:fldCharType="separate"/>
            </w:r>
            <w:r w:rsidR="001D64A8">
              <w:rPr>
                <w:noProof/>
                <w:webHidden/>
              </w:rPr>
              <w:t>32</w:t>
            </w:r>
            <w:r w:rsidR="00502226">
              <w:rPr>
                <w:noProof/>
                <w:webHidden/>
              </w:rPr>
              <w:fldChar w:fldCharType="end"/>
            </w:r>
          </w:hyperlink>
        </w:p>
        <w:p w14:paraId="3826CF6D" w14:textId="124A586A" w:rsidR="00502226" w:rsidRDefault="00D95089">
          <w:pPr>
            <w:pStyle w:val="TOC2"/>
            <w:tabs>
              <w:tab w:val="right" w:leader="dot" w:pos="9016"/>
            </w:tabs>
            <w:rPr>
              <w:noProof/>
              <w:sz w:val="22"/>
              <w:szCs w:val="22"/>
              <w:lang w:val="en-GB" w:eastAsia="en-GB"/>
            </w:rPr>
          </w:pPr>
          <w:hyperlink w:anchor="_Toc33293081" w:history="1">
            <w:r w:rsidR="00502226" w:rsidRPr="000D48FF">
              <w:rPr>
                <w:rStyle w:val="Hyperlink"/>
                <w:rFonts w:ascii="Calibri" w:eastAsiaTheme="majorEastAsia" w:hAnsi="Calibri" w:cstheme="majorHAnsi"/>
                <w:noProof/>
                <w:lang w:val="en-GB"/>
              </w:rPr>
              <w:t>2.8. Summary</w:t>
            </w:r>
            <w:r w:rsidR="00502226">
              <w:rPr>
                <w:noProof/>
                <w:webHidden/>
              </w:rPr>
              <w:tab/>
            </w:r>
            <w:r w:rsidR="00502226">
              <w:rPr>
                <w:noProof/>
                <w:webHidden/>
              </w:rPr>
              <w:fldChar w:fldCharType="begin"/>
            </w:r>
            <w:r w:rsidR="00502226">
              <w:rPr>
                <w:noProof/>
                <w:webHidden/>
              </w:rPr>
              <w:instrText xml:space="preserve"> PAGEREF _Toc33293081 \h </w:instrText>
            </w:r>
            <w:r w:rsidR="00502226">
              <w:rPr>
                <w:noProof/>
                <w:webHidden/>
              </w:rPr>
            </w:r>
            <w:r w:rsidR="00502226">
              <w:rPr>
                <w:noProof/>
                <w:webHidden/>
              </w:rPr>
              <w:fldChar w:fldCharType="separate"/>
            </w:r>
            <w:r w:rsidR="001D64A8">
              <w:rPr>
                <w:noProof/>
                <w:webHidden/>
              </w:rPr>
              <w:t>38</w:t>
            </w:r>
            <w:r w:rsidR="00502226">
              <w:rPr>
                <w:noProof/>
                <w:webHidden/>
              </w:rPr>
              <w:fldChar w:fldCharType="end"/>
            </w:r>
          </w:hyperlink>
        </w:p>
        <w:p w14:paraId="43F04B0F" w14:textId="6FB68D79" w:rsidR="00502226" w:rsidRDefault="00D95089">
          <w:pPr>
            <w:pStyle w:val="TOC1"/>
            <w:tabs>
              <w:tab w:val="right" w:leader="dot" w:pos="9016"/>
            </w:tabs>
            <w:rPr>
              <w:noProof/>
              <w:sz w:val="22"/>
              <w:szCs w:val="22"/>
              <w:lang w:val="en-GB" w:eastAsia="en-GB"/>
            </w:rPr>
          </w:pPr>
          <w:hyperlink w:anchor="_Toc33293082" w:history="1">
            <w:r w:rsidR="00502226" w:rsidRPr="000D48FF">
              <w:rPr>
                <w:rStyle w:val="Hyperlink"/>
                <w:rFonts w:ascii="Calibri" w:hAnsi="Calibri" w:cstheme="majorHAnsi"/>
                <w:noProof/>
                <w:lang w:val="en-GB"/>
              </w:rPr>
              <w:t>3. The Peruvian Context</w:t>
            </w:r>
            <w:r w:rsidR="00502226">
              <w:rPr>
                <w:noProof/>
                <w:webHidden/>
              </w:rPr>
              <w:tab/>
            </w:r>
            <w:r w:rsidR="00502226">
              <w:rPr>
                <w:noProof/>
                <w:webHidden/>
              </w:rPr>
              <w:fldChar w:fldCharType="begin"/>
            </w:r>
            <w:r w:rsidR="00502226">
              <w:rPr>
                <w:noProof/>
                <w:webHidden/>
              </w:rPr>
              <w:instrText xml:space="preserve"> PAGEREF _Toc33293082 \h </w:instrText>
            </w:r>
            <w:r w:rsidR="00502226">
              <w:rPr>
                <w:noProof/>
                <w:webHidden/>
              </w:rPr>
            </w:r>
            <w:r w:rsidR="00502226">
              <w:rPr>
                <w:noProof/>
                <w:webHidden/>
              </w:rPr>
              <w:fldChar w:fldCharType="separate"/>
            </w:r>
            <w:r w:rsidR="001D64A8">
              <w:rPr>
                <w:noProof/>
                <w:webHidden/>
              </w:rPr>
              <w:t>40</w:t>
            </w:r>
            <w:r w:rsidR="00502226">
              <w:rPr>
                <w:noProof/>
                <w:webHidden/>
              </w:rPr>
              <w:fldChar w:fldCharType="end"/>
            </w:r>
          </w:hyperlink>
        </w:p>
        <w:p w14:paraId="747C5CB5" w14:textId="7029246C" w:rsidR="00502226" w:rsidRDefault="00D95089">
          <w:pPr>
            <w:pStyle w:val="TOC2"/>
            <w:tabs>
              <w:tab w:val="right" w:leader="dot" w:pos="9016"/>
            </w:tabs>
            <w:rPr>
              <w:noProof/>
              <w:sz w:val="22"/>
              <w:szCs w:val="22"/>
              <w:lang w:val="en-GB" w:eastAsia="en-GB"/>
            </w:rPr>
          </w:pPr>
          <w:hyperlink w:anchor="_Toc33293083" w:history="1">
            <w:r w:rsidR="00502226" w:rsidRPr="000D48FF">
              <w:rPr>
                <w:rStyle w:val="Hyperlink"/>
                <w:noProof/>
              </w:rPr>
              <w:t>3.1. Introduction</w:t>
            </w:r>
            <w:r w:rsidR="00502226">
              <w:rPr>
                <w:noProof/>
                <w:webHidden/>
              </w:rPr>
              <w:tab/>
            </w:r>
            <w:r w:rsidR="00502226">
              <w:rPr>
                <w:noProof/>
                <w:webHidden/>
              </w:rPr>
              <w:fldChar w:fldCharType="begin"/>
            </w:r>
            <w:r w:rsidR="00502226">
              <w:rPr>
                <w:noProof/>
                <w:webHidden/>
              </w:rPr>
              <w:instrText xml:space="preserve"> PAGEREF _Toc33293083 \h </w:instrText>
            </w:r>
            <w:r w:rsidR="00502226">
              <w:rPr>
                <w:noProof/>
                <w:webHidden/>
              </w:rPr>
            </w:r>
            <w:r w:rsidR="00502226">
              <w:rPr>
                <w:noProof/>
                <w:webHidden/>
              </w:rPr>
              <w:fldChar w:fldCharType="separate"/>
            </w:r>
            <w:r w:rsidR="001D64A8">
              <w:rPr>
                <w:noProof/>
                <w:webHidden/>
              </w:rPr>
              <w:t>40</w:t>
            </w:r>
            <w:r w:rsidR="00502226">
              <w:rPr>
                <w:noProof/>
                <w:webHidden/>
              </w:rPr>
              <w:fldChar w:fldCharType="end"/>
            </w:r>
          </w:hyperlink>
        </w:p>
        <w:p w14:paraId="61FD78EC" w14:textId="18C653DA" w:rsidR="00502226" w:rsidRDefault="00D95089">
          <w:pPr>
            <w:pStyle w:val="TOC2"/>
            <w:tabs>
              <w:tab w:val="right" w:leader="dot" w:pos="9016"/>
            </w:tabs>
            <w:rPr>
              <w:noProof/>
              <w:sz w:val="22"/>
              <w:szCs w:val="22"/>
              <w:lang w:val="en-GB" w:eastAsia="en-GB"/>
            </w:rPr>
          </w:pPr>
          <w:hyperlink w:anchor="_Toc33293084" w:history="1">
            <w:r w:rsidR="00502226" w:rsidRPr="000D48FF">
              <w:rPr>
                <w:rStyle w:val="Hyperlink"/>
                <w:noProof/>
              </w:rPr>
              <w:t>3.2. Economic Background</w:t>
            </w:r>
            <w:r w:rsidR="00502226">
              <w:rPr>
                <w:noProof/>
                <w:webHidden/>
              </w:rPr>
              <w:tab/>
            </w:r>
            <w:r w:rsidR="00502226">
              <w:rPr>
                <w:noProof/>
                <w:webHidden/>
              </w:rPr>
              <w:fldChar w:fldCharType="begin"/>
            </w:r>
            <w:r w:rsidR="00502226">
              <w:rPr>
                <w:noProof/>
                <w:webHidden/>
              </w:rPr>
              <w:instrText xml:space="preserve"> PAGEREF _Toc33293084 \h </w:instrText>
            </w:r>
            <w:r w:rsidR="00502226">
              <w:rPr>
                <w:noProof/>
                <w:webHidden/>
              </w:rPr>
            </w:r>
            <w:r w:rsidR="00502226">
              <w:rPr>
                <w:noProof/>
                <w:webHidden/>
              </w:rPr>
              <w:fldChar w:fldCharType="separate"/>
            </w:r>
            <w:r w:rsidR="001D64A8">
              <w:rPr>
                <w:noProof/>
                <w:webHidden/>
              </w:rPr>
              <w:t>40</w:t>
            </w:r>
            <w:r w:rsidR="00502226">
              <w:rPr>
                <w:noProof/>
                <w:webHidden/>
              </w:rPr>
              <w:fldChar w:fldCharType="end"/>
            </w:r>
          </w:hyperlink>
        </w:p>
        <w:p w14:paraId="5414E899" w14:textId="51A55B93" w:rsidR="00502226" w:rsidRDefault="00D95089">
          <w:pPr>
            <w:pStyle w:val="TOC2"/>
            <w:tabs>
              <w:tab w:val="right" w:leader="dot" w:pos="9016"/>
            </w:tabs>
            <w:rPr>
              <w:noProof/>
              <w:sz w:val="22"/>
              <w:szCs w:val="22"/>
              <w:lang w:val="en-GB" w:eastAsia="en-GB"/>
            </w:rPr>
          </w:pPr>
          <w:hyperlink w:anchor="_Toc33293085" w:history="1">
            <w:r w:rsidR="00502226" w:rsidRPr="000D48FF">
              <w:rPr>
                <w:rStyle w:val="Hyperlink"/>
                <w:noProof/>
              </w:rPr>
              <w:t>3.3. The Human Population</w:t>
            </w:r>
            <w:r w:rsidR="00502226">
              <w:rPr>
                <w:noProof/>
                <w:webHidden/>
              </w:rPr>
              <w:tab/>
            </w:r>
            <w:r w:rsidR="00502226">
              <w:rPr>
                <w:noProof/>
                <w:webHidden/>
              </w:rPr>
              <w:fldChar w:fldCharType="begin"/>
            </w:r>
            <w:r w:rsidR="00502226">
              <w:rPr>
                <w:noProof/>
                <w:webHidden/>
              </w:rPr>
              <w:instrText xml:space="preserve"> PAGEREF _Toc33293085 \h </w:instrText>
            </w:r>
            <w:r w:rsidR="00502226">
              <w:rPr>
                <w:noProof/>
                <w:webHidden/>
              </w:rPr>
            </w:r>
            <w:r w:rsidR="00502226">
              <w:rPr>
                <w:noProof/>
                <w:webHidden/>
              </w:rPr>
              <w:fldChar w:fldCharType="separate"/>
            </w:r>
            <w:r w:rsidR="001D64A8">
              <w:rPr>
                <w:noProof/>
                <w:webHidden/>
              </w:rPr>
              <w:t>43</w:t>
            </w:r>
            <w:r w:rsidR="00502226">
              <w:rPr>
                <w:noProof/>
                <w:webHidden/>
              </w:rPr>
              <w:fldChar w:fldCharType="end"/>
            </w:r>
          </w:hyperlink>
        </w:p>
        <w:p w14:paraId="412C20E1" w14:textId="625DEE65" w:rsidR="00502226" w:rsidRDefault="00D95089">
          <w:pPr>
            <w:pStyle w:val="TOC2"/>
            <w:tabs>
              <w:tab w:val="right" w:leader="dot" w:pos="9016"/>
            </w:tabs>
            <w:rPr>
              <w:noProof/>
              <w:sz w:val="22"/>
              <w:szCs w:val="22"/>
              <w:lang w:val="en-GB" w:eastAsia="en-GB"/>
            </w:rPr>
          </w:pPr>
          <w:hyperlink w:anchor="_Toc33293086" w:history="1">
            <w:r w:rsidR="00502226" w:rsidRPr="000D48FF">
              <w:rPr>
                <w:rStyle w:val="Hyperlink"/>
                <w:noProof/>
              </w:rPr>
              <w:t>3.4. Terrorism and shining path</w:t>
            </w:r>
            <w:r w:rsidR="00502226">
              <w:rPr>
                <w:noProof/>
                <w:webHidden/>
              </w:rPr>
              <w:tab/>
            </w:r>
            <w:r w:rsidR="00502226">
              <w:rPr>
                <w:noProof/>
                <w:webHidden/>
              </w:rPr>
              <w:fldChar w:fldCharType="begin"/>
            </w:r>
            <w:r w:rsidR="00502226">
              <w:rPr>
                <w:noProof/>
                <w:webHidden/>
              </w:rPr>
              <w:instrText xml:space="preserve"> PAGEREF _Toc33293086 \h </w:instrText>
            </w:r>
            <w:r w:rsidR="00502226">
              <w:rPr>
                <w:noProof/>
                <w:webHidden/>
              </w:rPr>
            </w:r>
            <w:r w:rsidR="00502226">
              <w:rPr>
                <w:noProof/>
                <w:webHidden/>
              </w:rPr>
              <w:fldChar w:fldCharType="separate"/>
            </w:r>
            <w:r w:rsidR="001D64A8">
              <w:rPr>
                <w:noProof/>
                <w:webHidden/>
              </w:rPr>
              <w:t>46</w:t>
            </w:r>
            <w:r w:rsidR="00502226">
              <w:rPr>
                <w:noProof/>
                <w:webHidden/>
              </w:rPr>
              <w:fldChar w:fldCharType="end"/>
            </w:r>
          </w:hyperlink>
        </w:p>
        <w:p w14:paraId="54F635C6" w14:textId="16E0F326" w:rsidR="00502226" w:rsidRDefault="00D95089">
          <w:pPr>
            <w:pStyle w:val="TOC2"/>
            <w:tabs>
              <w:tab w:val="right" w:leader="dot" w:pos="9016"/>
            </w:tabs>
            <w:rPr>
              <w:noProof/>
              <w:sz w:val="22"/>
              <w:szCs w:val="22"/>
              <w:lang w:val="en-GB" w:eastAsia="en-GB"/>
            </w:rPr>
          </w:pPr>
          <w:hyperlink w:anchor="_Toc33293087" w:history="1">
            <w:r w:rsidR="00502226" w:rsidRPr="000D48FF">
              <w:rPr>
                <w:rStyle w:val="Hyperlink"/>
                <w:noProof/>
              </w:rPr>
              <w:t>3.5. The Political Economy of Peru’s Extractives</w:t>
            </w:r>
            <w:r w:rsidR="00502226">
              <w:rPr>
                <w:noProof/>
                <w:webHidden/>
              </w:rPr>
              <w:tab/>
            </w:r>
            <w:r w:rsidR="00502226">
              <w:rPr>
                <w:noProof/>
                <w:webHidden/>
              </w:rPr>
              <w:fldChar w:fldCharType="begin"/>
            </w:r>
            <w:r w:rsidR="00502226">
              <w:rPr>
                <w:noProof/>
                <w:webHidden/>
              </w:rPr>
              <w:instrText xml:space="preserve"> PAGEREF _Toc33293087 \h </w:instrText>
            </w:r>
            <w:r w:rsidR="00502226">
              <w:rPr>
                <w:noProof/>
                <w:webHidden/>
              </w:rPr>
            </w:r>
            <w:r w:rsidR="00502226">
              <w:rPr>
                <w:noProof/>
                <w:webHidden/>
              </w:rPr>
              <w:fldChar w:fldCharType="separate"/>
            </w:r>
            <w:r w:rsidR="001D64A8">
              <w:rPr>
                <w:noProof/>
                <w:webHidden/>
              </w:rPr>
              <w:t>51</w:t>
            </w:r>
            <w:r w:rsidR="00502226">
              <w:rPr>
                <w:noProof/>
                <w:webHidden/>
              </w:rPr>
              <w:fldChar w:fldCharType="end"/>
            </w:r>
          </w:hyperlink>
        </w:p>
        <w:p w14:paraId="0479C533" w14:textId="0E3B3B7F" w:rsidR="00502226" w:rsidRDefault="00D95089">
          <w:pPr>
            <w:pStyle w:val="TOC2"/>
            <w:tabs>
              <w:tab w:val="right" w:leader="dot" w:pos="9016"/>
            </w:tabs>
            <w:rPr>
              <w:noProof/>
              <w:sz w:val="22"/>
              <w:szCs w:val="22"/>
              <w:lang w:val="en-GB" w:eastAsia="en-GB"/>
            </w:rPr>
          </w:pPr>
          <w:hyperlink w:anchor="_Toc33293088" w:history="1">
            <w:r w:rsidR="00502226" w:rsidRPr="000D48FF">
              <w:rPr>
                <w:rStyle w:val="Hyperlink"/>
                <w:noProof/>
              </w:rPr>
              <w:t>3.6. Resistance</w:t>
            </w:r>
            <w:r w:rsidR="00502226">
              <w:rPr>
                <w:noProof/>
                <w:webHidden/>
              </w:rPr>
              <w:tab/>
            </w:r>
            <w:r w:rsidR="00502226">
              <w:rPr>
                <w:noProof/>
                <w:webHidden/>
              </w:rPr>
              <w:fldChar w:fldCharType="begin"/>
            </w:r>
            <w:r w:rsidR="00502226">
              <w:rPr>
                <w:noProof/>
                <w:webHidden/>
              </w:rPr>
              <w:instrText xml:space="preserve"> PAGEREF _Toc33293088 \h </w:instrText>
            </w:r>
            <w:r w:rsidR="00502226">
              <w:rPr>
                <w:noProof/>
                <w:webHidden/>
              </w:rPr>
            </w:r>
            <w:r w:rsidR="00502226">
              <w:rPr>
                <w:noProof/>
                <w:webHidden/>
              </w:rPr>
              <w:fldChar w:fldCharType="separate"/>
            </w:r>
            <w:r w:rsidR="001D64A8">
              <w:rPr>
                <w:noProof/>
                <w:webHidden/>
              </w:rPr>
              <w:t>57</w:t>
            </w:r>
            <w:r w:rsidR="00502226">
              <w:rPr>
                <w:noProof/>
                <w:webHidden/>
              </w:rPr>
              <w:fldChar w:fldCharType="end"/>
            </w:r>
          </w:hyperlink>
        </w:p>
        <w:p w14:paraId="4E8EE7F4" w14:textId="361FBDD8" w:rsidR="00502226" w:rsidRDefault="00D95089">
          <w:pPr>
            <w:pStyle w:val="TOC2"/>
            <w:tabs>
              <w:tab w:val="right" w:leader="dot" w:pos="9016"/>
            </w:tabs>
            <w:rPr>
              <w:noProof/>
              <w:sz w:val="22"/>
              <w:szCs w:val="22"/>
              <w:lang w:val="en-GB" w:eastAsia="en-GB"/>
            </w:rPr>
          </w:pPr>
          <w:hyperlink w:anchor="_Toc33293089" w:history="1">
            <w:r w:rsidR="00502226" w:rsidRPr="000D48FF">
              <w:rPr>
                <w:rStyle w:val="Hyperlink"/>
                <w:noProof/>
              </w:rPr>
              <w:t>7. Summary</w:t>
            </w:r>
            <w:r w:rsidR="00502226">
              <w:rPr>
                <w:noProof/>
                <w:webHidden/>
              </w:rPr>
              <w:tab/>
            </w:r>
            <w:r w:rsidR="00502226">
              <w:rPr>
                <w:noProof/>
                <w:webHidden/>
              </w:rPr>
              <w:fldChar w:fldCharType="begin"/>
            </w:r>
            <w:r w:rsidR="00502226">
              <w:rPr>
                <w:noProof/>
                <w:webHidden/>
              </w:rPr>
              <w:instrText xml:space="preserve"> PAGEREF _Toc33293089 \h </w:instrText>
            </w:r>
            <w:r w:rsidR="00502226">
              <w:rPr>
                <w:noProof/>
                <w:webHidden/>
              </w:rPr>
            </w:r>
            <w:r w:rsidR="00502226">
              <w:rPr>
                <w:noProof/>
                <w:webHidden/>
              </w:rPr>
              <w:fldChar w:fldCharType="separate"/>
            </w:r>
            <w:r w:rsidR="001D64A8">
              <w:rPr>
                <w:noProof/>
                <w:webHidden/>
              </w:rPr>
              <w:t>60</w:t>
            </w:r>
            <w:r w:rsidR="00502226">
              <w:rPr>
                <w:noProof/>
                <w:webHidden/>
              </w:rPr>
              <w:fldChar w:fldCharType="end"/>
            </w:r>
          </w:hyperlink>
        </w:p>
        <w:p w14:paraId="5B655ED8" w14:textId="7941102F" w:rsidR="00502226" w:rsidRDefault="00D95089">
          <w:pPr>
            <w:pStyle w:val="TOC1"/>
            <w:tabs>
              <w:tab w:val="right" w:leader="dot" w:pos="9016"/>
            </w:tabs>
            <w:rPr>
              <w:noProof/>
              <w:sz w:val="22"/>
              <w:szCs w:val="22"/>
              <w:lang w:val="en-GB" w:eastAsia="en-GB"/>
            </w:rPr>
          </w:pPr>
          <w:hyperlink w:anchor="_Toc33293090" w:history="1">
            <w:r w:rsidR="00502226" w:rsidRPr="000D48FF">
              <w:rPr>
                <w:rStyle w:val="Hyperlink"/>
                <w:rFonts w:ascii="Calibri" w:hAnsi="Calibri" w:cstheme="majorHAnsi"/>
                <w:noProof/>
                <w:lang w:val="en-GB"/>
              </w:rPr>
              <w:t>4. A Bourdieusian Perspective of Translocal ASM Livelihoods</w:t>
            </w:r>
            <w:r w:rsidR="00502226">
              <w:rPr>
                <w:noProof/>
                <w:webHidden/>
              </w:rPr>
              <w:tab/>
            </w:r>
            <w:r w:rsidR="00502226">
              <w:rPr>
                <w:noProof/>
                <w:webHidden/>
              </w:rPr>
              <w:fldChar w:fldCharType="begin"/>
            </w:r>
            <w:r w:rsidR="00502226">
              <w:rPr>
                <w:noProof/>
                <w:webHidden/>
              </w:rPr>
              <w:instrText xml:space="preserve"> PAGEREF _Toc33293090 \h </w:instrText>
            </w:r>
            <w:r w:rsidR="00502226">
              <w:rPr>
                <w:noProof/>
                <w:webHidden/>
              </w:rPr>
            </w:r>
            <w:r w:rsidR="00502226">
              <w:rPr>
                <w:noProof/>
                <w:webHidden/>
              </w:rPr>
              <w:fldChar w:fldCharType="separate"/>
            </w:r>
            <w:r w:rsidR="001D64A8">
              <w:rPr>
                <w:noProof/>
                <w:webHidden/>
              </w:rPr>
              <w:t>61</w:t>
            </w:r>
            <w:r w:rsidR="00502226">
              <w:rPr>
                <w:noProof/>
                <w:webHidden/>
              </w:rPr>
              <w:fldChar w:fldCharType="end"/>
            </w:r>
          </w:hyperlink>
        </w:p>
        <w:p w14:paraId="5AF47130" w14:textId="76B49E61" w:rsidR="00502226" w:rsidRDefault="00D95089">
          <w:pPr>
            <w:pStyle w:val="TOC2"/>
            <w:tabs>
              <w:tab w:val="right" w:leader="dot" w:pos="9016"/>
            </w:tabs>
            <w:rPr>
              <w:noProof/>
              <w:sz w:val="22"/>
              <w:szCs w:val="22"/>
              <w:lang w:val="en-GB" w:eastAsia="en-GB"/>
            </w:rPr>
          </w:pPr>
          <w:hyperlink w:anchor="_Toc33293091" w:history="1">
            <w:r w:rsidR="00502226" w:rsidRPr="000D48FF">
              <w:rPr>
                <w:rStyle w:val="Hyperlink"/>
                <w:rFonts w:ascii="Calibri" w:hAnsi="Calibri" w:cstheme="majorHAnsi"/>
                <w:noProof/>
                <w:lang w:val="en-GB" w:eastAsia="zh-CN"/>
              </w:rPr>
              <w:t>4.1. Introduction</w:t>
            </w:r>
            <w:r w:rsidR="00502226">
              <w:rPr>
                <w:noProof/>
                <w:webHidden/>
              </w:rPr>
              <w:tab/>
            </w:r>
            <w:r w:rsidR="00502226">
              <w:rPr>
                <w:noProof/>
                <w:webHidden/>
              </w:rPr>
              <w:fldChar w:fldCharType="begin"/>
            </w:r>
            <w:r w:rsidR="00502226">
              <w:rPr>
                <w:noProof/>
                <w:webHidden/>
              </w:rPr>
              <w:instrText xml:space="preserve"> PAGEREF _Toc33293091 \h </w:instrText>
            </w:r>
            <w:r w:rsidR="00502226">
              <w:rPr>
                <w:noProof/>
                <w:webHidden/>
              </w:rPr>
            </w:r>
            <w:r w:rsidR="00502226">
              <w:rPr>
                <w:noProof/>
                <w:webHidden/>
              </w:rPr>
              <w:fldChar w:fldCharType="separate"/>
            </w:r>
            <w:r w:rsidR="001D64A8">
              <w:rPr>
                <w:noProof/>
                <w:webHidden/>
              </w:rPr>
              <w:t>61</w:t>
            </w:r>
            <w:r w:rsidR="00502226">
              <w:rPr>
                <w:noProof/>
                <w:webHidden/>
              </w:rPr>
              <w:fldChar w:fldCharType="end"/>
            </w:r>
          </w:hyperlink>
        </w:p>
        <w:p w14:paraId="6EA72DC7" w14:textId="0E82686A" w:rsidR="00502226" w:rsidRDefault="00D95089">
          <w:pPr>
            <w:pStyle w:val="TOC2"/>
            <w:tabs>
              <w:tab w:val="right" w:leader="dot" w:pos="9016"/>
            </w:tabs>
            <w:rPr>
              <w:noProof/>
              <w:sz w:val="22"/>
              <w:szCs w:val="22"/>
              <w:lang w:val="en-GB" w:eastAsia="en-GB"/>
            </w:rPr>
          </w:pPr>
          <w:hyperlink w:anchor="_Toc33293092" w:history="1">
            <w:r w:rsidR="00502226" w:rsidRPr="000D48FF">
              <w:rPr>
                <w:rStyle w:val="Hyperlink"/>
                <w:rFonts w:ascii="Calibri" w:hAnsi="Calibri" w:cstheme="majorHAnsi"/>
                <w:noProof/>
                <w:lang w:val="en-GB" w:eastAsia="zh-CN"/>
              </w:rPr>
              <w:t>4.2. Livelihoods, migration and the problem with single-sited research</w:t>
            </w:r>
            <w:r w:rsidR="00502226">
              <w:rPr>
                <w:noProof/>
                <w:webHidden/>
              </w:rPr>
              <w:tab/>
            </w:r>
            <w:r w:rsidR="00502226">
              <w:rPr>
                <w:noProof/>
                <w:webHidden/>
              </w:rPr>
              <w:fldChar w:fldCharType="begin"/>
            </w:r>
            <w:r w:rsidR="00502226">
              <w:rPr>
                <w:noProof/>
                <w:webHidden/>
              </w:rPr>
              <w:instrText xml:space="preserve"> PAGEREF _Toc33293092 \h </w:instrText>
            </w:r>
            <w:r w:rsidR="00502226">
              <w:rPr>
                <w:noProof/>
                <w:webHidden/>
              </w:rPr>
            </w:r>
            <w:r w:rsidR="00502226">
              <w:rPr>
                <w:noProof/>
                <w:webHidden/>
              </w:rPr>
              <w:fldChar w:fldCharType="separate"/>
            </w:r>
            <w:r w:rsidR="001D64A8">
              <w:rPr>
                <w:noProof/>
                <w:webHidden/>
              </w:rPr>
              <w:t>62</w:t>
            </w:r>
            <w:r w:rsidR="00502226">
              <w:rPr>
                <w:noProof/>
                <w:webHidden/>
              </w:rPr>
              <w:fldChar w:fldCharType="end"/>
            </w:r>
          </w:hyperlink>
        </w:p>
        <w:p w14:paraId="1E94285A" w14:textId="14B24DC5" w:rsidR="00502226" w:rsidRDefault="00D95089">
          <w:pPr>
            <w:pStyle w:val="TOC2"/>
            <w:tabs>
              <w:tab w:val="right" w:leader="dot" w:pos="9016"/>
            </w:tabs>
            <w:rPr>
              <w:noProof/>
              <w:sz w:val="22"/>
              <w:szCs w:val="22"/>
              <w:lang w:val="en-GB" w:eastAsia="en-GB"/>
            </w:rPr>
          </w:pPr>
          <w:hyperlink w:anchor="_Toc33293093" w:history="1">
            <w:r w:rsidR="00502226" w:rsidRPr="000D48FF">
              <w:rPr>
                <w:rStyle w:val="Hyperlink"/>
                <w:rFonts w:ascii="Calibri" w:hAnsi="Calibri" w:cstheme="majorHAnsi"/>
                <w:noProof/>
                <w:lang w:val="en-GB" w:eastAsia="zh-CN"/>
              </w:rPr>
              <w:t>4.3. Translocality</w:t>
            </w:r>
            <w:r w:rsidR="00502226">
              <w:rPr>
                <w:noProof/>
                <w:webHidden/>
              </w:rPr>
              <w:tab/>
            </w:r>
            <w:r w:rsidR="00502226">
              <w:rPr>
                <w:noProof/>
                <w:webHidden/>
              </w:rPr>
              <w:fldChar w:fldCharType="begin"/>
            </w:r>
            <w:r w:rsidR="00502226">
              <w:rPr>
                <w:noProof/>
                <w:webHidden/>
              </w:rPr>
              <w:instrText xml:space="preserve"> PAGEREF _Toc33293093 \h </w:instrText>
            </w:r>
            <w:r w:rsidR="00502226">
              <w:rPr>
                <w:noProof/>
                <w:webHidden/>
              </w:rPr>
            </w:r>
            <w:r w:rsidR="00502226">
              <w:rPr>
                <w:noProof/>
                <w:webHidden/>
              </w:rPr>
              <w:fldChar w:fldCharType="separate"/>
            </w:r>
            <w:r w:rsidR="001D64A8">
              <w:rPr>
                <w:noProof/>
                <w:webHidden/>
              </w:rPr>
              <w:t>67</w:t>
            </w:r>
            <w:r w:rsidR="00502226">
              <w:rPr>
                <w:noProof/>
                <w:webHidden/>
              </w:rPr>
              <w:fldChar w:fldCharType="end"/>
            </w:r>
          </w:hyperlink>
        </w:p>
        <w:p w14:paraId="34DCBE51" w14:textId="08C292F1" w:rsidR="00502226" w:rsidRDefault="00D95089">
          <w:pPr>
            <w:pStyle w:val="TOC2"/>
            <w:tabs>
              <w:tab w:val="right" w:leader="dot" w:pos="9016"/>
            </w:tabs>
            <w:rPr>
              <w:noProof/>
              <w:sz w:val="22"/>
              <w:szCs w:val="22"/>
              <w:lang w:val="en-GB" w:eastAsia="en-GB"/>
            </w:rPr>
          </w:pPr>
          <w:hyperlink w:anchor="_Toc33293094" w:history="1">
            <w:r w:rsidR="00502226" w:rsidRPr="000D48FF">
              <w:rPr>
                <w:rStyle w:val="Hyperlink"/>
                <w:rFonts w:ascii="Calibri" w:hAnsi="Calibri" w:cstheme="majorHAnsi"/>
                <w:noProof/>
                <w:lang w:val="en-GB" w:eastAsia="zh-CN"/>
              </w:rPr>
              <w:t>4.4. The significance of place</w:t>
            </w:r>
            <w:r w:rsidR="00502226">
              <w:rPr>
                <w:noProof/>
                <w:webHidden/>
              </w:rPr>
              <w:tab/>
            </w:r>
            <w:r w:rsidR="00502226">
              <w:rPr>
                <w:noProof/>
                <w:webHidden/>
              </w:rPr>
              <w:fldChar w:fldCharType="begin"/>
            </w:r>
            <w:r w:rsidR="00502226">
              <w:rPr>
                <w:noProof/>
                <w:webHidden/>
              </w:rPr>
              <w:instrText xml:space="preserve"> PAGEREF _Toc33293094 \h </w:instrText>
            </w:r>
            <w:r w:rsidR="00502226">
              <w:rPr>
                <w:noProof/>
                <w:webHidden/>
              </w:rPr>
            </w:r>
            <w:r w:rsidR="00502226">
              <w:rPr>
                <w:noProof/>
                <w:webHidden/>
              </w:rPr>
              <w:fldChar w:fldCharType="separate"/>
            </w:r>
            <w:r w:rsidR="001D64A8">
              <w:rPr>
                <w:noProof/>
                <w:webHidden/>
              </w:rPr>
              <w:t>76</w:t>
            </w:r>
            <w:r w:rsidR="00502226">
              <w:rPr>
                <w:noProof/>
                <w:webHidden/>
              </w:rPr>
              <w:fldChar w:fldCharType="end"/>
            </w:r>
          </w:hyperlink>
        </w:p>
        <w:p w14:paraId="137DF70E" w14:textId="22F3CB08" w:rsidR="00502226" w:rsidRDefault="00D95089">
          <w:pPr>
            <w:pStyle w:val="TOC2"/>
            <w:tabs>
              <w:tab w:val="right" w:leader="dot" w:pos="9016"/>
            </w:tabs>
            <w:rPr>
              <w:noProof/>
              <w:sz w:val="22"/>
              <w:szCs w:val="22"/>
              <w:lang w:val="en-GB" w:eastAsia="en-GB"/>
            </w:rPr>
          </w:pPr>
          <w:hyperlink w:anchor="_Toc33293095" w:history="1">
            <w:r w:rsidR="00502226" w:rsidRPr="000D48FF">
              <w:rPr>
                <w:rStyle w:val="Hyperlink"/>
                <w:rFonts w:ascii="Calibri" w:hAnsi="Calibri" w:cstheme="majorHAnsi"/>
                <w:noProof/>
                <w:lang w:val="en-GB" w:eastAsia="zh-CN"/>
              </w:rPr>
              <w:t>4.5. Criminality, collective identity and translocal livelihoods</w:t>
            </w:r>
            <w:r w:rsidR="00502226">
              <w:rPr>
                <w:noProof/>
                <w:webHidden/>
              </w:rPr>
              <w:tab/>
            </w:r>
            <w:r w:rsidR="00502226">
              <w:rPr>
                <w:noProof/>
                <w:webHidden/>
              </w:rPr>
              <w:fldChar w:fldCharType="begin"/>
            </w:r>
            <w:r w:rsidR="00502226">
              <w:rPr>
                <w:noProof/>
                <w:webHidden/>
              </w:rPr>
              <w:instrText xml:space="preserve"> PAGEREF _Toc33293095 \h </w:instrText>
            </w:r>
            <w:r w:rsidR="00502226">
              <w:rPr>
                <w:noProof/>
                <w:webHidden/>
              </w:rPr>
            </w:r>
            <w:r w:rsidR="00502226">
              <w:rPr>
                <w:noProof/>
                <w:webHidden/>
              </w:rPr>
              <w:fldChar w:fldCharType="separate"/>
            </w:r>
            <w:r w:rsidR="001D64A8">
              <w:rPr>
                <w:noProof/>
                <w:webHidden/>
              </w:rPr>
              <w:t>81</w:t>
            </w:r>
            <w:r w:rsidR="00502226">
              <w:rPr>
                <w:noProof/>
                <w:webHidden/>
              </w:rPr>
              <w:fldChar w:fldCharType="end"/>
            </w:r>
          </w:hyperlink>
        </w:p>
        <w:p w14:paraId="627B8E74" w14:textId="16D3EC78" w:rsidR="00502226" w:rsidRDefault="00D95089">
          <w:pPr>
            <w:pStyle w:val="TOC2"/>
            <w:tabs>
              <w:tab w:val="right" w:leader="dot" w:pos="9016"/>
            </w:tabs>
            <w:rPr>
              <w:noProof/>
              <w:sz w:val="22"/>
              <w:szCs w:val="22"/>
              <w:lang w:val="en-GB" w:eastAsia="en-GB"/>
            </w:rPr>
          </w:pPr>
          <w:hyperlink w:anchor="_Toc33293096" w:history="1">
            <w:r w:rsidR="00502226" w:rsidRPr="000D48FF">
              <w:rPr>
                <w:rStyle w:val="Hyperlink"/>
                <w:rFonts w:ascii="Calibri" w:hAnsi="Calibri" w:cstheme="majorHAnsi"/>
                <w:noProof/>
                <w:lang w:val="en-GB"/>
              </w:rPr>
              <w:t>4.6. Summary</w:t>
            </w:r>
            <w:r w:rsidR="00502226">
              <w:rPr>
                <w:noProof/>
                <w:webHidden/>
              </w:rPr>
              <w:tab/>
            </w:r>
            <w:r w:rsidR="00502226">
              <w:rPr>
                <w:noProof/>
                <w:webHidden/>
              </w:rPr>
              <w:fldChar w:fldCharType="begin"/>
            </w:r>
            <w:r w:rsidR="00502226">
              <w:rPr>
                <w:noProof/>
                <w:webHidden/>
              </w:rPr>
              <w:instrText xml:space="preserve"> PAGEREF _Toc33293096 \h </w:instrText>
            </w:r>
            <w:r w:rsidR="00502226">
              <w:rPr>
                <w:noProof/>
                <w:webHidden/>
              </w:rPr>
            </w:r>
            <w:r w:rsidR="00502226">
              <w:rPr>
                <w:noProof/>
                <w:webHidden/>
              </w:rPr>
              <w:fldChar w:fldCharType="separate"/>
            </w:r>
            <w:r w:rsidR="001D64A8">
              <w:rPr>
                <w:noProof/>
                <w:webHidden/>
              </w:rPr>
              <w:t>88</w:t>
            </w:r>
            <w:r w:rsidR="00502226">
              <w:rPr>
                <w:noProof/>
                <w:webHidden/>
              </w:rPr>
              <w:fldChar w:fldCharType="end"/>
            </w:r>
          </w:hyperlink>
        </w:p>
        <w:p w14:paraId="3914E516" w14:textId="58D7D6C9" w:rsidR="00502226" w:rsidRDefault="00D95089">
          <w:pPr>
            <w:pStyle w:val="TOC1"/>
            <w:tabs>
              <w:tab w:val="right" w:leader="dot" w:pos="9016"/>
            </w:tabs>
            <w:rPr>
              <w:noProof/>
              <w:sz w:val="22"/>
              <w:szCs w:val="22"/>
              <w:lang w:val="en-GB" w:eastAsia="en-GB"/>
            </w:rPr>
          </w:pPr>
          <w:hyperlink w:anchor="_Toc33293097" w:history="1">
            <w:r w:rsidR="00502226" w:rsidRPr="000D48FF">
              <w:rPr>
                <w:rStyle w:val="Hyperlink"/>
                <w:rFonts w:ascii="Calibri" w:hAnsi="Calibri" w:cstheme="majorHAnsi"/>
                <w:noProof/>
                <w:lang w:val="en-GB"/>
              </w:rPr>
              <w:t>5. Methodology and Fieldwork Sites</w:t>
            </w:r>
            <w:r w:rsidR="00502226">
              <w:rPr>
                <w:noProof/>
                <w:webHidden/>
              </w:rPr>
              <w:tab/>
            </w:r>
            <w:r w:rsidR="00502226">
              <w:rPr>
                <w:noProof/>
                <w:webHidden/>
              </w:rPr>
              <w:fldChar w:fldCharType="begin"/>
            </w:r>
            <w:r w:rsidR="00502226">
              <w:rPr>
                <w:noProof/>
                <w:webHidden/>
              </w:rPr>
              <w:instrText xml:space="preserve"> PAGEREF _Toc33293097 \h </w:instrText>
            </w:r>
            <w:r w:rsidR="00502226">
              <w:rPr>
                <w:noProof/>
                <w:webHidden/>
              </w:rPr>
            </w:r>
            <w:r w:rsidR="00502226">
              <w:rPr>
                <w:noProof/>
                <w:webHidden/>
              </w:rPr>
              <w:fldChar w:fldCharType="separate"/>
            </w:r>
            <w:r w:rsidR="001D64A8">
              <w:rPr>
                <w:noProof/>
                <w:webHidden/>
              </w:rPr>
              <w:t>90</w:t>
            </w:r>
            <w:r w:rsidR="00502226">
              <w:rPr>
                <w:noProof/>
                <w:webHidden/>
              </w:rPr>
              <w:fldChar w:fldCharType="end"/>
            </w:r>
          </w:hyperlink>
        </w:p>
        <w:p w14:paraId="71A55AE0" w14:textId="44305A5D" w:rsidR="00502226" w:rsidRDefault="00D95089">
          <w:pPr>
            <w:pStyle w:val="TOC2"/>
            <w:tabs>
              <w:tab w:val="right" w:leader="dot" w:pos="9016"/>
            </w:tabs>
            <w:rPr>
              <w:noProof/>
              <w:sz w:val="22"/>
              <w:szCs w:val="22"/>
              <w:lang w:val="en-GB" w:eastAsia="en-GB"/>
            </w:rPr>
          </w:pPr>
          <w:hyperlink w:anchor="_Toc33293098" w:history="1">
            <w:r w:rsidR="00502226" w:rsidRPr="000D48FF">
              <w:rPr>
                <w:rStyle w:val="Hyperlink"/>
                <w:rFonts w:ascii="Calibri" w:hAnsi="Calibri" w:cstheme="majorHAnsi"/>
                <w:noProof/>
                <w:lang w:val="en-GB"/>
              </w:rPr>
              <w:t>5.1. Introduction</w:t>
            </w:r>
            <w:r w:rsidR="00502226">
              <w:rPr>
                <w:noProof/>
                <w:webHidden/>
              </w:rPr>
              <w:tab/>
            </w:r>
            <w:r w:rsidR="00502226">
              <w:rPr>
                <w:noProof/>
                <w:webHidden/>
              </w:rPr>
              <w:fldChar w:fldCharType="begin"/>
            </w:r>
            <w:r w:rsidR="00502226">
              <w:rPr>
                <w:noProof/>
                <w:webHidden/>
              </w:rPr>
              <w:instrText xml:space="preserve"> PAGEREF _Toc33293098 \h </w:instrText>
            </w:r>
            <w:r w:rsidR="00502226">
              <w:rPr>
                <w:noProof/>
                <w:webHidden/>
              </w:rPr>
            </w:r>
            <w:r w:rsidR="00502226">
              <w:rPr>
                <w:noProof/>
                <w:webHidden/>
              </w:rPr>
              <w:fldChar w:fldCharType="separate"/>
            </w:r>
            <w:r w:rsidR="001D64A8">
              <w:rPr>
                <w:noProof/>
                <w:webHidden/>
              </w:rPr>
              <w:t>90</w:t>
            </w:r>
            <w:r w:rsidR="00502226">
              <w:rPr>
                <w:noProof/>
                <w:webHidden/>
              </w:rPr>
              <w:fldChar w:fldCharType="end"/>
            </w:r>
          </w:hyperlink>
        </w:p>
        <w:p w14:paraId="6F9C3411" w14:textId="29187C2A" w:rsidR="00502226" w:rsidRDefault="00D95089">
          <w:pPr>
            <w:pStyle w:val="TOC2"/>
            <w:tabs>
              <w:tab w:val="right" w:leader="dot" w:pos="9016"/>
            </w:tabs>
            <w:rPr>
              <w:noProof/>
              <w:sz w:val="22"/>
              <w:szCs w:val="22"/>
              <w:lang w:val="en-GB" w:eastAsia="en-GB"/>
            </w:rPr>
          </w:pPr>
          <w:hyperlink w:anchor="_Toc33293099" w:history="1">
            <w:r w:rsidR="00502226" w:rsidRPr="000D48FF">
              <w:rPr>
                <w:rStyle w:val="Hyperlink"/>
                <w:rFonts w:ascii="Calibri" w:hAnsi="Calibri" w:cstheme="majorHAnsi"/>
                <w:noProof/>
                <w:lang w:val="en-GB"/>
              </w:rPr>
              <w:t>5.2. Research aim and questions</w:t>
            </w:r>
            <w:r w:rsidR="00502226">
              <w:rPr>
                <w:noProof/>
                <w:webHidden/>
              </w:rPr>
              <w:tab/>
            </w:r>
            <w:r w:rsidR="00502226">
              <w:rPr>
                <w:noProof/>
                <w:webHidden/>
              </w:rPr>
              <w:fldChar w:fldCharType="begin"/>
            </w:r>
            <w:r w:rsidR="00502226">
              <w:rPr>
                <w:noProof/>
                <w:webHidden/>
              </w:rPr>
              <w:instrText xml:space="preserve"> PAGEREF _Toc33293099 \h </w:instrText>
            </w:r>
            <w:r w:rsidR="00502226">
              <w:rPr>
                <w:noProof/>
                <w:webHidden/>
              </w:rPr>
            </w:r>
            <w:r w:rsidR="00502226">
              <w:rPr>
                <w:noProof/>
                <w:webHidden/>
              </w:rPr>
              <w:fldChar w:fldCharType="separate"/>
            </w:r>
            <w:r w:rsidR="001D64A8">
              <w:rPr>
                <w:noProof/>
                <w:webHidden/>
              </w:rPr>
              <w:t>90</w:t>
            </w:r>
            <w:r w:rsidR="00502226">
              <w:rPr>
                <w:noProof/>
                <w:webHidden/>
              </w:rPr>
              <w:fldChar w:fldCharType="end"/>
            </w:r>
          </w:hyperlink>
        </w:p>
        <w:p w14:paraId="56865135" w14:textId="1876C81D" w:rsidR="00502226" w:rsidRDefault="00D95089">
          <w:pPr>
            <w:pStyle w:val="TOC2"/>
            <w:tabs>
              <w:tab w:val="right" w:leader="dot" w:pos="9016"/>
            </w:tabs>
            <w:rPr>
              <w:noProof/>
              <w:sz w:val="22"/>
              <w:szCs w:val="22"/>
              <w:lang w:val="en-GB" w:eastAsia="en-GB"/>
            </w:rPr>
          </w:pPr>
          <w:hyperlink w:anchor="_Toc33293100" w:history="1">
            <w:r w:rsidR="00502226" w:rsidRPr="000D48FF">
              <w:rPr>
                <w:rStyle w:val="Hyperlink"/>
                <w:rFonts w:ascii="Calibri" w:hAnsi="Calibri" w:cstheme="majorHAnsi"/>
                <w:noProof/>
                <w:lang w:val="en-GB"/>
              </w:rPr>
              <w:t>5.3. Approach and justification</w:t>
            </w:r>
            <w:r w:rsidR="00502226">
              <w:rPr>
                <w:noProof/>
                <w:webHidden/>
              </w:rPr>
              <w:tab/>
            </w:r>
            <w:r w:rsidR="00502226">
              <w:rPr>
                <w:noProof/>
                <w:webHidden/>
              </w:rPr>
              <w:fldChar w:fldCharType="begin"/>
            </w:r>
            <w:r w:rsidR="00502226">
              <w:rPr>
                <w:noProof/>
                <w:webHidden/>
              </w:rPr>
              <w:instrText xml:space="preserve"> PAGEREF _Toc33293100 \h </w:instrText>
            </w:r>
            <w:r w:rsidR="00502226">
              <w:rPr>
                <w:noProof/>
                <w:webHidden/>
              </w:rPr>
            </w:r>
            <w:r w:rsidR="00502226">
              <w:rPr>
                <w:noProof/>
                <w:webHidden/>
              </w:rPr>
              <w:fldChar w:fldCharType="separate"/>
            </w:r>
            <w:r w:rsidR="001D64A8">
              <w:rPr>
                <w:noProof/>
                <w:webHidden/>
              </w:rPr>
              <w:t>91</w:t>
            </w:r>
            <w:r w:rsidR="00502226">
              <w:rPr>
                <w:noProof/>
                <w:webHidden/>
              </w:rPr>
              <w:fldChar w:fldCharType="end"/>
            </w:r>
          </w:hyperlink>
        </w:p>
        <w:p w14:paraId="79E640C8" w14:textId="34F10DF3" w:rsidR="00502226" w:rsidRDefault="00D95089">
          <w:pPr>
            <w:pStyle w:val="TOC2"/>
            <w:tabs>
              <w:tab w:val="right" w:leader="dot" w:pos="9016"/>
            </w:tabs>
            <w:rPr>
              <w:noProof/>
              <w:sz w:val="22"/>
              <w:szCs w:val="22"/>
              <w:lang w:val="en-GB" w:eastAsia="en-GB"/>
            </w:rPr>
          </w:pPr>
          <w:hyperlink w:anchor="_Toc33293101" w:history="1">
            <w:r w:rsidR="00502226" w:rsidRPr="000D48FF">
              <w:rPr>
                <w:rStyle w:val="Hyperlink"/>
                <w:rFonts w:ascii="Calibri" w:hAnsi="Calibri" w:cstheme="majorHAnsi"/>
                <w:noProof/>
                <w:lang w:val="en-GB"/>
              </w:rPr>
              <w:t>5.4. The use of a case study</w:t>
            </w:r>
            <w:r w:rsidR="00502226">
              <w:rPr>
                <w:noProof/>
                <w:webHidden/>
              </w:rPr>
              <w:tab/>
            </w:r>
            <w:r w:rsidR="00502226">
              <w:rPr>
                <w:noProof/>
                <w:webHidden/>
              </w:rPr>
              <w:fldChar w:fldCharType="begin"/>
            </w:r>
            <w:r w:rsidR="00502226">
              <w:rPr>
                <w:noProof/>
                <w:webHidden/>
              </w:rPr>
              <w:instrText xml:space="preserve"> PAGEREF _Toc33293101 \h </w:instrText>
            </w:r>
            <w:r w:rsidR="00502226">
              <w:rPr>
                <w:noProof/>
                <w:webHidden/>
              </w:rPr>
            </w:r>
            <w:r w:rsidR="00502226">
              <w:rPr>
                <w:noProof/>
                <w:webHidden/>
              </w:rPr>
              <w:fldChar w:fldCharType="separate"/>
            </w:r>
            <w:r w:rsidR="001D64A8">
              <w:rPr>
                <w:noProof/>
                <w:webHidden/>
              </w:rPr>
              <w:t>92</w:t>
            </w:r>
            <w:r w:rsidR="00502226">
              <w:rPr>
                <w:noProof/>
                <w:webHidden/>
              </w:rPr>
              <w:fldChar w:fldCharType="end"/>
            </w:r>
          </w:hyperlink>
        </w:p>
        <w:p w14:paraId="11503364" w14:textId="010BCCDE" w:rsidR="00502226" w:rsidRDefault="00D95089">
          <w:pPr>
            <w:pStyle w:val="TOC2"/>
            <w:tabs>
              <w:tab w:val="right" w:leader="dot" w:pos="9016"/>
            </w:tabs>
            <w:rPr>
              <w:noProof/>
              <w:sz w:val="22"/>
              <w:szCs w:val="22"/>
              <w:lang w:val="en-GB" w:eastAsia="en-GB"/>
            </w:rPr>
          </w:pPr>
          <w:hyperlink w:anchor="_Toc33293102" w:history="1">
            <w:r w:rsidR="00502226" w:rsidRPr="000D48FF">
              <w:rPr>
                <w:rStyle w:val="Hyperlink"/>
                <w:rFonts w:ascii="Calibri" w:hAnsi="Calibri" w:cstheme="majorHAnsi"/>
                <w:noProof/>
                <w:lang w:val="en-GB"/>
              </w:rPr>
              <w:t>5.5. Case study selection</w:t>
            </w:r>
            <w:r w:rsidR="00502226">
              <w:rPr>
                <w:noProof/>
                <w:webHidden/>
              </w:rPr>
              <w:tab/>
            </w:r>
            <w:r w:rsidR="00502226">
              <w:rPr>
                <w:noProof/>
                <w:webHidden/>
              </w:rPr>
              <w:fldChar w:fldCharType="begin"/>
            </w:r>
            <w:r w:rsidR="00502226">
              <w:rPr>
                <w:noProof/>
                <w:webHidden/>
              </w:rPr>
              <w:instrText xml:space="preserve"> PAGEREF _Toc33293102 \h </w:instrText>
            </w:r>
            <w:r w:rsidR="00502226">
              <w:rPr>
                <w:noProof/>
                <w:webHidden/>
              </w:rPr>
            </w:r>
            <w:r w:rsidR="00502226">
              <w:rPr>
                <w:noProof/>
                <w:webHidden/>
              </w:rPr>
              <w:fldChar w:fldCharType="separate"/>
            </w:r>
            <w:r w:rsidR="001D64A8">
              <w:rPr>
                <w:noProof/>
                <w:webHidden/>
              </w:rPr>
              <w:t>95</w:t>
            </w:r>
            <w:r w:rsidR="00502226">
              <w:rPr>
                <w:noProof/>
                <w:webHidden/>
              </w:rPr>
              <w:fldChar w:fldCharType="end"/>
            </w:r>
          </w:hyperlink>
        </w:p>
        <w:p w14:paraId="4CD04B2F" w14:textId="5D89905A" w:rsidR="00502226" w:rsidRDefault="00D95089">
          <w:pPr>
            <w:pStyle w:val="TOC2"/>
            <w:tabs>
              <w:tab w:val="right" w:leader="dot" w:pos="9016"/>
            </w:tabs>
            <w:rPr>
              <w:noProof/>
              <w:sz w:val="22"/>
              <w:szCs w:val="22"/>
              <w:lang w:val="en-GB" w:eastAsia="en-GB"/>
            </w:rPr>
          </w:pPr>
          <w:hyperlink w:anchor="_Toc33293103" w:history="1">
            <w:r w:rsidR="00502226" w:rsidRPr="000D48FF">
              <w:rPr>
                <w:rStyle w:val="Hyperlink"/>
                <w:rFonts w:ascii="Calibri" w:hAnsi="Calibri" w:cstheme="majorHAnsi"/>
                <w:noProof/>
                <w:lang w:val="en-GB"/>
              </w:rPr>
              <w:t>5.6. Data collection methods</w:t>
            </w:r>
            <w:r w:rsidR="00502226">
              <w:rPr>
                <w:noProof/>
                <w:webHidden/>
              </w:rPr>
              <w:tab/>
            </w:r>
            <w:r w:rsidR="00502226">
              <w:rPr>
                <w:noProof/>
                <w:webHidden/>
              </w:rPr>
              <w:fldChar w:fldCharType="begin"/>
            </w:r>
            <w:r w:rsidR="00502226">
              <w:rPr>
                <w:noProof/>
                <w:webHidden/>
              </w:rPr>
              <w:instrText xml:space="preserve"> PAGEREF _Toc33293103 \h </w:instrText>
            </w:r>
            <w:r w:rsidR="00502226">
              <w:rPr>
                <w:noProof/>
                <w:webHidden/>
              </w:rPr>
            </w:r>
            <w:r w:rsidR="00502226">
              <w:rPr>
                <w:noProof/>
                <w:webHidden/>
              </w:rPr>
              <w:fldChar w:fldCharType="separate"/>
            </w:r>
            <w:r w:rsidR="001D64A8">
              <w:rPr>
                <w:noProof/>
                <w:webHidden/>
              </w:rPr>
              <w:t>102</w:t>
            </w:r>
            <w:r w:rsidR="00502226">
              <w:rPr>
                <w:noProof/>
                <w:webHidden/>
              </w:rPr>
              <w:fldChar w:fldCharType="end"/>
            </w:r>
          </w:hyperlink>
        </w:p>
        <w:p w14:paraId="6DE12B54" w14:textId="2A7EFD1E" w:rsidR="00502226" w:rsidRDefault="00D95089">
          <w:pPr>
            <w:pStyle w:val="TOC2"/>
            <w:tabs>
              <w:tab w:val="right" w:leader="dot" w:pos="9016"/>
            </w:tabs>
            <w:rPr>
              <w:noProof/>
              <w:sz w:val="22"/>
              <w:szCs w:val="22"/>
              <w:lang w:val="en-GB" w:eastAsia="en-GB"/>
            </w:rPr>
          </w:pPr>
          <w:hyperlink w:anchor="_Toc33293104" w:history="1">
            <w:r w:rsidR="00502226" w:rsidRPr="000D48FF">
              <w:rPr>
                <w:rStyle w:val="Hyperlink"/>
                <w:rFonts w:ascii="Calibri" w:hAnsi="Calibri" w:cstheme="majorHAnsi"/>
                <w:noProof/>
                <w:lang w:val="en-GB"/>
              </w:rPr>
              <w:t>5.7. Data coding and analysis</w:t>
            </w:r>
            <w:r w:rsidR="00502226">
              <w:rPr>
                <w:noProof/>
                <w:webHidden/>
              </w:rPr>
              <w:tab/>
            </w:r>
            <w:r w:rsidR="00502226">
              <w:rPr>
                <w:noProof/>
                <w:webHidden/>
              </w:rPr>
              <w:fldChar w:fldCharType="begin"/>
            </w:r>
            <w:r w:rsidR="00502226">
              <w:rPr>
                <w:noProof/>
                <w:webHidden/>
              </w:rPr>
              <w:instrText xml:space="preserve"> PAGEREF _Toc33293104 \h </w:instrText>
            </w:r>
            <w:r w:rsidR="00502226">
              <w:rPr>
                <w:noProof/>
                <w:webHidden/>
              </w:rPr>
            </w:r>
            <w:r w:rsidR="00502226">
              <w:rPr>
                <w:noProof/>
                <w:webHidden/>
              </w:rPr>
              <w:fldChar w:fldCharType="separate"/>
            </w:r>
            <w:r w:rsidR="001D64A8">
              <w:rPr>
                <w:noProof/>
                <w:webHidden/>
              </w:rPr>
              <w:t>108</w:t>
            </w:r>
            <w:r w:rsidR="00502226">
              <w:rPr>
                <w:noProof/>
                <w:webHidden/>
              </w:rPr>
              <w:fldChar w:fldCharType="end"/>
            </w:r>
          </w:hyperlink>
        </w:p>
        <w:p w14:paraId="72482CE0" w14:textId="0E8E3CD9" w:rsidR="00502226" w:rsidRDefault="00D95089">
          <w:pPr>
            <w:pStyle w:val="TOC2"/>
            <w:tabs>
              <w:tab w:val="right" w:leader="dot" w:pos="9016"/>
            </w:tabs>
            <w:rPr>
              <w:noProof/>
              <w:sz w:val="22"/>
              <w:szCs w:val="22"/>
              <w:lang w:val="en-GB" w:eastAsia="en-GB"/>
            </w:rPr>
          </w:pPr>
          <w:hyperlink w:anchor="_Toc33293105" w:history="1">
            <w:r w:rsidR="00502226" w:rsidRPr="000D48FF">
              <w:rPr>
                <w:rStyle w:val="Hyperlink"/>
                <w:rFonts w:ascii="Calibri" w:hAnsi="Calibri" w:cstheme="majorHAnsi"/>
                <w:noProof/>
                <w:lang w:val="en-GB"/>
              </w:rPr>
              <w:t>5.8. Field work issues</w:t>
            </w:r>
            <w:r w:rsidR="00502226">
              <w:rPr>
                <w:noProof/>
                <w:webHidden/>
              </w:rPr>
              <w:tab/>
            </w:r>
            <w:r w:rsidR="00502226">
              <w:rPr>
                <w:noProof/>
                <w:webHidden/>
              </w:rPr>
              <w:fldChar w:fldCharType="begin"/>
            </w:r>
            <w:r w:rsidR="00502226">
              <w:rPr>
                <w:noProof/>
                <w:webHidden/>
              </w:rPr>
              <w:instrText xml:space="preserve"> PAGEREF _Toc33293105 \h </w:instrText>
            </w:r>
            <w:r w:rsidR="00502226">
              <w:rPr>
                <w:noProof/>
                <w:webHidden/>
              </w:rPr>
            </w:r>
            <w:r w:rsidR="00502226">
              <w:rPr>
                <w:noProof/>
                <w:webHidden/>
              </w:rPr>
              <w:fldChar w:fldCharType="separate"/>
            </w:r>
            <w:r w:rsidR="001D64A8">
              <w:rPr>
                <w:noProof/>
                <w:webHidden/>
              </w:rPr>
              <w:t>109</w:t>
            </w:r>
            <w:r w:rsidR="00502226">
              <w:rPr>
                <w:noProof/>
                <w:webHidden/>
              </w:rPr>
              <w:fldChar w:fldCharType="end"/>
            </w:r>
          </w:hyperlink>
        </w:p>
        <w:p w14:paraId="55EE74DA" w14:textId="1672A7CD" w:rsidR="00502226" w:rsidRDefault="00D95089">
          <w:pPr>
            <w:pStyle w:val="TOC2"/>
            <w:tabs>
              <w:tab w:val="right" w:leader="dot" w:pos="9016"/>
            </w:tabs>
            <w:rPr>
              <w:noProof/>
              <w:sz w:val="22"/>
              <w:szCs w:val="22"/>
              <w:lang w:val="en-GB" w:eastAsia="en-GB"/>
            </w:rPr>
          </w:pPr>
          <w:hyperlink w:anchor="_Toc33293106" w:history="1">
            <w:r w:rsidR="00502226" w:rsidRPr="000D48FF">
              <w:rPr>
                <w:rStyle w:val="Hyperlink"/>
                <w:rFonts w:ascii="Calibri" w:hAnsi="Calibri" w:cstheme="majorHAnsi"/>
                <w:noProof/>
                <w:lang w:val="en-GB"/>
              </w:rPr>
              <w:t>5.9. Ethical considerations</w:t>
            </w:r>
            <w:r w:rsidR="00502226">
              <w:rPr>
                <w:noProof/>
                <w:webHidden/>
              </w:rPr>
              <w:tab/>
            </w:r>
            <w:r w:rsidR="00502226">
              <w:rPr>
                <w:noProof/>
                <w:webHidden/>
              </w:rPr>
              <w:fldChar w:fldCharType="begin"/>
            </w:r>
            <w:r w:rsidR="00502226">
              <w:rPr>
                <w:noProof/>
                <w:webHidden/>
              </w:rPr>
              <w:instrText xml:space="preserve"> PAGEREF _Toc33293106 \h </w:instrText>
            </w:r>
            <w:r w:rsidR="00502226">
              <w:rPr>
                <w:noProof/>
                <w:webHidden/>
              </w:rPr>
            </w:r>
            <w:r w:rsidR="00502226">
              <w:rPr>
                <w:noProof/>
                <w:webHidden/>
              </w:rPr>
              <w:fldChar w:fldCharType="separate"/>
            </w:r>
            <w:r w:rsidR="001D64A8">
              <w:rPr>
                <w:noProof/>
                <w:webHidden/>
              </w:rPr>
              <w:t>115</w:t>
            </w:r>
            <w:r w:rsidR="00502226">
              <w:rPr>
                <w:noProof/>
                <w:webHidden/>
              </w:rPr>
              <w:fldChar w:fldCharType="end"/>
            </w:r>
          </w:hyperlink>
        </w:p>
        <w:p w14:paraId="3805A331" w14:textId="4E8B3EC0" w:rsidR="00502226" w:rsidRDefault="00D95089">
          <w:pPr>
            <w:pStyle w:val="TOC2"/>
            <w:tabs>
              <w:tab w:val="right" w:leader="dot" w:pos="9016"/>
            </w:tabs>
            <w:rPr>
              <w:noProof/>
              <w:sz w:val="22"/>
              <w:szCs w:val="22"/>
              <w:lang w:val="en-GB" w:eastAsia="en-GB"/>
            </w:rPr>
          </w:pPr>
          <w:hyperlink w:anchor="_Toc33293107" w:history="1">
            <w:r w:rsidR="00502226" w:rsidRPr="000D48FF">
              <w:rPr>
                <w:rStyle w:val="Hyperlink"/>
                <w:rFonts w:ascii="Calibri" w:hAnsi="Calibri" w:cstheme="majorHAnsi"/>
                <w:noProof/>
                <w:lang w:val="en-GB"/>
              </w:rPr>
              <w:t>5.10. Summary</w:t>
            </w:r>
            <w:r w:rsidR="00502226">
              <w:rPr>
                <w:noProof/>
                <w:webHidden/>
              </w:rPr>
              <w:tab/>
            </w:r>
            <w:r w:rsidR="00502226">
              <w:rPr>
                <w:noProof/>
                <w:webHidden/>
              </w:rPr>
              <w:fldChar w:fldCharType="begin"/>
            </w:r>
            <w:r w:rsidR="00502226">
              <w:rPr>
                <w:noProof/>
                <w:webHidden/>
              </w:rPr>
              <w:instrText xml:space="preserve"> PAGEREF _Toc33293107 \h </w:instrText>
            </w:r>
            <w:r w:rsidR="00502226">
              <w:rPr>
                <w:noProof/>
                <w:webHidden/>
              </w:rPr>
            </w:r>
            <w:r w:rsidR="00502226">
              <w:rPr>
                <w:noProof/>
                <w:webHidden/>
              </w:rPr>
              <w:fldChar w:fldCharType="separate"/>
            </w:r>
            <w:r w:rsidR="001D64A8">
              <w:rPr>
                <w:noProof/>
                <w:webHidden/>
              </w:rPr>
              <w:t>117</w:t>
            </w:r>
            <w:r w:rsidR="00502226">
              <w:rPr>
                <w:noProof/>
                <w:webHidden/>
              </w:rPr>
              <w:fldChar w:fldCharType="end"/>
            </w:r>
          </w:hyperlink>
        </w:p>
        <w:p w14:paraId="4B525A07" w14:textId="2A49E8DB" w:rsidR="00502226" w:rsidRDefault="00D95089">
          <w:pPr>
            <w:pStyle w:val="TOC1"/>
            <w:tabs>
              <w:tab w:val="right" w:leader="dot" w:pos="9016"/>
            </w:tabs>
            <w:rPr>
              <w:noProof/>
              <w:sz w:val="22"/>
              <w:szCs w:val="22"/>
              <w:lang w:val="en-GB" w:eastAsia="en-GB"/>
            </w:rPr>
          </w:pPr>
          <w:hyperlink w:anchor="_Toc33293108" w:history="1">
            <w:r w:rsidR="00502226" w:rsidRPr="000D48FF">
              <w:rPr>
                <w:rStyle w:val="Hyperlink"/>
                <w:rFonts w:ascii="Calibri" w:hAnsi="Calibri" w:cstheme="majorHAnsi"/>
                <w:noProof/>
                <w:lang w:val="en-GB"/>
              </w:rPr>
              <w:t>6. Migrant Livelihoods in ASM: Motivations and Trajectories</w:t>
            </w:r>
            <w:r w:rsidR="00502226">
              <w:rPr>
                <w:noProof/>
                <w:webHidden/>
              </w:rPr>
              <w:tab/>
            </w:r>
            <w:r w:rsidR="00502226">
              <w:rPr>
                <w:noProof/>
                <w:webHidden/>
              </w:rPr>
              <w:fldChar w:fldCharType="begin"/>
            </w:r>
            <w:r w:rsidR="00502226">
              <w:rPr>
                <w:noProof/>
                <w:webHidden/>
              </w:rPr>
              <w:instrText xml:space="preserve"> PAGEREF _Toc33293108 \h </w:instrText>
            </w:r>
            <w:r w:rsidR="00502226">
              <w:rPr>
                <w:noProof/>
                <w:webHidden/>
              </w:rPr>
            </w:r>
            <w:r w:rsidR="00502226">
              <w:rPr>
                <w:noProof/>
                <w:webHidden/>
              </w:rPr>
              <w:fldChar w:fldCharType="separate"/>
            </w:r>
            <w:r w:rsidR="001D64A8">
              <w:rPr>
                <w:noProof/>
                <w:webHidden/>
              </w:rPr>
              <w:t>118</w:t>
            </w:r>
            <w:r w:rsidR="00502226">
              <w:rPr>
                <w:noProof/>
                <w:webHidden/>
              </w:rPr>
              <w:fldChar w:fldCharType="end"/>
            </w:r>
          </w:hyperlink>
        </w:p>
        <w:p w14:paraId="3154A678" w14:textId="246846C6" w:rsidR="00502226" w:rsidRDefault="00D95089">
          <w:pPr>
            <w:pStyle w:val="TOC2"/>
            <w:tabs>
              <w:tab w:val="right" w:leader="dot" w:pos="9016"/>
            </w:tabs>
            <w:rPr>
              <w:noProof/>
              <w:sz w:val="22"/>
              <w:szCs w:val="22"/>
              <w:lang w:val="en-GB" w:eastAsia="en-GB"/>
            </w:rPr>
          </w:pPr>
          <w:hyperlink w:anchor="_Toc33293109" w:history="1">
            <w:r w:rsidR="00502226" w:rsidRPr="000D48FF">
              <w:rPr>
                <w:rStyle w:val="Hyperlink"/>
                <w:rFonts w:ascii="Calibri" w:hAnsi="Calibri" w:cstheme="majorHAnsi"/>
                <w:noProof/>
                <w:lang w:val="en-GB"/>
              </w:rPr>
              <w:t>6.1. Introduction</w:t>
            </w:r>
            <w:r w:rsidR="00502226">
              <w:rPr>
                <w:noProof/>
                <w:webHidden/>
              </w:rPr>
              <w:tab/>
            </w:r>
            <w:r w:rsidR="00502226">
              <w:rPr>
                <w:noProof/>
                <w:webHidden/>
              </w:rPr>
              <w:fldChar w:fldCharType="begin"/>
            </w:r>
            <w:r w:rsidR="00502226">
              <w:rPr>
                <w:noProof/>
                <w:webHidden/>
              </w:rPr>
              <w:instrText xml:space="preserve"> PAGEREF _Toc33293109 \h </w:instrText>
            </w:r>
            <w:r w:rsidR="00502226">
              <w:rPr>
                <w:noProof/>
                <w:webHidden/>
              </w:rPr>
            </w:r>
            <w:r w:rsidR="00502226">
              <w:rPr>
                <w:noProof/>
                <w:webHidden/>
              </w:rPr>
              <w:fldChar w:fldCharType="separate"/>
            </w:r>
            <w:r w:rsidR="001D64A8">
              <w:rPr>
                <w:noProof/>
                <w:webHidden/>
              </w:rPr>
              <w:t>118</w:t>
            </w:r>
            <w:r w:rsidR="00502226">
              <w:rPr>
                <w:noProof/>
                <w:webHidden/>
              </w:rPr>
              <w:fldChar w:fldCharType="end"/>
            </w:r>
          </w:hyperlink>
        </w:p>
        <w:p w14:paraId="178320F7" w14:textId="463A7C9C" w:rsidR="00502226" w:rsidRDefault="00D95089">
          <w:pPr>
            <w:pStyle w:val="TOC2"/>
            <w:tabs>
              <w:tab w:val="right" w:leader="dot" w:pos="9016"/>
            </w:tabs>
            <w:rPr>
              <w:noProof/>
              <w:sz w:val="22"/>
              <w:szCs w:val="22"/>
              <w:lang w:val="en-GB" w:eastAsia="en-GB"/>
            </w:rPr>
          </w:pPr>
          <w:hyperlink w:anchor="_Toc33293110" w:history="1">
            <w:r w:rsidR="00502226" w:rsidRPr="000D48FF">
              <w:rPr>
                <w:rStyle w:val="Hyperlink"/>
                <w:rFonts w:ascii="Calibri" w:hAnsi="Calibri" w:cstheme="majorHAnsi"/>
                <w:noProof/>
                <w:lang w:val="en-GB"/>
              </w:rPr>
              <w:t>6.2. Choosing to migrate</w:t>
            </w:r>
            <w:r w:rsidR="00502226">
              <w:rPr>
                <w:noProof/>
                <w:webHidden/>
              </w:rPr>
              <w:tab/>
            </w:r>
            <w:r w:rsidR="00502226">
              <w:rPr>
                <w:noProof/>
                <w:webHidden/>
              </w:rPr>
              <w:fldChar w:fldCharType="begin"/>
            </w:r>
            <w:r w:rsidR="00502226">
              <w:rPr>
                <w:noProof/>
                <w:webHidden/>
              </w:rPr>
              <w:instrText xml:space="preserve"> PAGEREF _Toc33293110 \h </w:instrText>
            </w:r>
            <w:r w:rsidR="00502226">
              <w:rPr>
                <w:noProof/>
                <w:webHidden/>
              </w:rPr>
            </w:r>
            <w:r w:rsidR="00502226">
              <w:rPr>
                <w:noProof/>
                <w:webHidden/>
              </w:rPr>
              <w:fldChar w:fldCharType="separate"/>
            </w:r>
            <w:r w:rsidR="001D64A8">
              <w:rPr>
                <w:noProof/>
                <w:webHidden/>
              </w:rPr>
              <w:t>119</w:t>
            </w:r>
            <w:r w:rsidR="00502226">
              <w:rPr>
                <w:noProof/>
                <w:webHidden/>
              </w:rPr>
              <w:fldChar w:fldCharType="end"/>
            </w:r>
          </w:hyperlink>
        </w:p>
        <w:p w14:paraId="1C944F44" w14:textId="46401A43" w:rsidR="00502226" w:rsidRDefault="00D95089">
          <w:pPr>
            <w:pStyle w:val="TOC2"/>
            <w:tabs>
              <w:tab w:val="right" w:leader="dot" w:pos="9016"/>
            </w:tabs>
            <w:rPr>
              <w:noProof/>
              <w:sz w:val="22"/>
              <w:szCs w:val="22"/>
              <w:lang w:val="en-GB" w:eastAsia="en-GB"/>
            </w:rPr>
          </w:pPr>
          <w:hyperlink w:anchor="_Toc33293111" w:history="1">
            <w:r w:rsidR="00502226" w:rsidRPr="000D48FF">
              <w:rPr>
                <w:rStyle w:val="Hyperlink"/>
                <w:rFonts w:ascii="Calibri" w:hAnsi="Calibri" w:cstheme="majorHAnsi"/>
                <w:noProof/>
                <w:lang w:val="en-GB"/>
              </w:rPr>
              <w:t>6.3. Establishing a mining livelihood</w:t>
            </w:r>
            <w:r w:rsidR="00502226">
              <w:rPr>
                <w:noProof/>
                <w:webHidden/>
              </w:rPr>
              <w:tab/>
            </w:r>
            <w:r w:rsidR="00502226">
              <w:rPr>
                <w:noProof/>
                <w:webHidden/>
              </w:rPr>
              <w:fldChar w:fldCharType="begin"/>
            </w:r>
            <w:r w:rsidR="00502226">
              <w:rPr>
                <w:noProof/>
                <w:webHidden/>
              </w:rPr>
              <w:instrText xml:space="preserve"> PAGEREF _Toc33293111 \h </w:instrText>
            </w:r>
            <w:r w:rsidR="00502226">
              <w:rPr>
                <w:noProof/>
                <w:webHidden/>
              </w:rPr>
            </w:r>
            <w:r w:rsidR="00502226">
              <w:rPr>
                <w:noProof/>
                <w:webHidden/>
              </w:rPr>
              <w:fldChar w:fldCharType="separate"/>
            </w:r>
            <w:r w:rsidR="001D64A8">
              <w:rPr>
                <w:noProof/>
                <w:webHidden/>
              </w:rPr>
              <w:t>129</w:t>
            </w:r>
            <w:r w:rsidR="00502226">
              <w:rPr>
                <w:noProof/>
                <w:webHidden/>
              </w:rPr>
              <w:fldChar w:fldCharType="end"/>
            </w:r>
          </w:hyperlink>
        </w:p>
        <w:p w14:paraId="00B1ABA3" w14:textId="39834C2A" w:rsidR="00502226" w:rsidRDefault="00D95089">
          <w:pPr>
            <w:pStyle w:val="TOC2"/>
            <w:tabs>
              <w:tab w:val="right" w:leader="dot" w:pos="9016"/>
            </w:tabs>
            <w:rPr>
              <w:noProof/>
              <w:sz w:val="22"/>
              <w:szCs w:val="22"/>
              <w:lang w:val="en-GB" w:eastAsia="en-GB"/>
            </w:rPr>
          </w:pPr>
          <w:hyperlink w:anchor="_Toc33293112" w:history="1">
            <w:r w:rsidR="00502226" w:rsidRPr="000D48FF">
              <w:rPr>
                <w:rStyle w:val="Hyperlink"/>
                <w:rFonts w:ascii="Calibri" w:hAnsi="Calibri" w:cstheme="majorHAnsi"/>
                <w:noProof/>
                <w:lang w:val="en-GB"/>
              </w:rPr>
              <w:t>6.4. Types of mining migrants</w:t>
            </w:r>
            <w:r w:rsidR="00502226">
              <w:rPr>
                <w:noProof/>
                <w:webHidden/>
              </w:rPr>
              <w:tab/>
            </w:r>
            <w:r w:rsidR="00502226">
              <w:rPr>
                <w:noProof/>
                <w:webHidden/>
              </w:rPr>
              <w:fldChar w:fldCharType="begin"/>
            </w:r>
            <w:r w:rsidR="00502226">
              <w:rPr>
                <w:noProof/>
                <w:webHidden/>
              </w:rPr>
              <w:instrText xml:space="preserve"> PAGEREF _Toc33293112 \h </w:instrText>
            </w:r>
            <w:r w:rsidR="00502226">
              <w:rPr>
                <w:noProof/>
                <w:webHidden/>
              </w:rPr>
            </w:r>
            <w:r w:rsidR="00502226">
              <w:rPr>
                <w:noProof/>
                <w:webHidden/>
              </w:rPr>
              <w:fldChar w:fldCharType="separate"/>
            </w:r>
            <w:r w:rsidR="001D64A8">
              <w:rPr>
                <w:noProof/>
                <w:webHidden/>
              </w:rPr>
              <w:t>132</w:t>
            </w:r>
            <w:r w:rsidR="00502226">
              <w:rPr>
                <w:noProof/>
                <w:webHidden/>
              </w:rPr>
              <w:fldChar w:fldCharType="end"/>
            </w:r>
          </w:hyperlink>
        </w:p>
        <w:p w14:paraId="3B124E14" w14:textId="6AFEBAC3" w:rsidR="00502226" w:rsidRDefault="00D95089">
          <w:pPr>
            <w:pStyle w:val="TOC2"/>
            <w:tabs>
              <w:tab w:val="right" w:leader="dot" w:pos="9016"/>
            </w:tabs>
            <w:rPr>
              <w:noProof/>
              <w:sz w:val="22"/>
              <w:szCs w:val="22"/>
              <w:lang w:val="en-GB" w:eastAsia="en-GB"/>
            </w:rPr>
          </w:pPr>
          <w:hyperlink w:anchor="_Toc33293113" w:history="1">
            <w:r w:rsidR="00502226" w:rsidRPr="000D48FF">
              <w:rPr>
                <w:rStyle w:val="Hyperlink"/>
                <w:rFonts w:ascii="Calibri" w:hAnsi="Calibri" w:cstheme="majorHAnsi"/>
                <w:noProof/>
                <w:lang w:val="en-GB"/>
              </w:rPr>
              <w:t>6.5. Summary</w:t>
            </w:r>
            <w:r w:rsidR="00502226">
              <w:rPr>
                <w:noProof/>
                <w:webHidden/>
              </w:rPr>
              <w:tab/>
            </w:r>
            <w:r w:rsidR="00502226">
              <w:rPr>
                <w:noProof/>
                <w:webHidden/>
              </w:rPr>
              <w:fldChar w:fldCharType="begin"/>
            </w:r>
            <w:r w:rsidR="00502226">
              <w:rPr>
                <w:noProof/>
                <w:webHidden/>
              </w:rPr>
              <w:instrText xml:space="preserve"> PAGEREF _Toc33293113 \h </w:instrText>
            </w:r>
            <w:r w:rsidR="00502226">
              <w:rPr>
                <w:noProof/>
                <w:webHidden/>
              </w:rPr>
            </w:r>
            <w:r w:rsidR="00502226">
              <w:rPr>
                <w:noProof/>
                <w:webHidden/>
              </w:rPr>
              <w:fldChar w:fldCharType="separate"/>
            </w:r>
            <w:r w:rsidR="001D64A8">
              <w:rPr>
                <w:noProof/>
                <w:webHidden/>
              </w:rPr>
              <w:t>147</w:t>
            </w:r>
            <w:r w:rsidR="00502226">
              <w:rPr>
                <w:noProof/>
                <w:webHidden/>
              </w:rPr>
              <w:fldChar w:fldCharType="end"/>
            </w:r>
          </w:hyperlink>
        </w:p>
        <w:p w14:paraId="484A2225" w14:textId="71BEFB31" w:rsidR="00502226" w:rsidRDefault="00D95089">
          <w:pPr>
            <w:pStyle w:val="TOC1"/>
            <w:tabs>
              <w:tab w:val="right" w:leader="dot" w:pos="9016"/>
            </w:tabs>
            <w:rPr>
              <w:noProof/>
              <w:sz w:val="22"/>
              <w:szCs w:val="22"/>
              <w:lang w:val="en-GB" w:eastAsia="en-GB"/>
            </w:rPr>
          </w:pPr>
          <w:hyperlink w:anchor="_Toc33293114" w:history="1">
            <w:r w:rsidR="00502226" w:rsidRPr="000D48FF">
              <w:rPr>
                <w:rStyle w:val="Hyperlink"/>
                <w:rFonts w:ascii="Calibri" w:hAnsi="Calibri" w:cstheme="majorHAnsi"/>
                <w:noProof/>
                <w:lang w:val="en-GB"/>
              </w:rPr>
              <w:t>7. Women in the Translocal ASM community</w:t>
            </w:r>
            <w:r w:rsidR="00502226">
              <w:rPr>
                <w:noProof/>
                <w:webHidden/>
              </w:rPr>
              <w:tab/>
            </w:r>
            <w:r w:rsidR="00502226">
              <w:rPr>
                <w:noProof/>
                <w:webHidden/>
              </w:rPr>
              <w:fldChar w:fldCharType="begin"/>
            </w:r>
            <w:r w:rsidR="00502226">
              <w:rPr>
                <w:noProof/>
                <w:webHidden/>
              </w:rPr>
              <w:instrText xml:space="preserve"> PAGEREF _Toc33293114 \h </w:instrText>
            </w:r>
            <w:r w:rsidR="00502226">
              <w:rPr>
                <w:noProof/>
                <w:webHidden/>
              </w:rPr>
            </w:r>
            <w:r w:rsidR="00502226">
              <w:rPr>
                <w:noProof/>
                <w:webHidden/>
              </w:rPr>
              <w:fldChar w:fldCharType="separate"/>
            </w:r>
            <w:r w:rsidR="001D64A8">
              <w:rPr>
                <w:noProof/>
                <w:webHidden/>
              </w:rPr>
              <w:t>149</w:t>
            </w:r>
            <w:r w:rsidR="00502226">
              <w:rPr>
                <w:noProof/>
                <w:webHidden/>
              </w:rPr>
              <w:fldChar w:fldCharType="end"/>
            </w:r>
          </w:hyperlink>
        </w:p>
        <w:p w14:paraId="5F0CB251" w14:textId="2AD66A6A" w:rsidR="00502226" w:rsidRDefault="00D95089">
          <w:pPr>
            <w:pStyle w:val="TOC2"/>
            <w:tabs>
              <w:tab w:val="right" w:leader="dot" w:pos="9016"/>
            </w:tabs>
            <w:rPr>
              <w:noProof/>
              <w:sz w:val="22"/>
              <w:szCs w:val="22"/>
              <w:lang w:val="en-GB" w:eastAsia="en-GB"/>
            </w:rPr>
          </w:pPr>
          <w:hyperlink w:anchor="_Toc33293115" w:history="1">
            <w:r w:rsidR="00502226" w:rsidRPr="000D48FF">
              <w:rPr>
                <w:rStyle w:val="Hyperlink"/>
                <w:rFonts w:ascii="Calibri" w:hAnsi="Calibri" w:cstheme="majorHAnsi"/>
                <w:noProof/>
                <w:lang w:val="en-GB"/>
              </w:rPr>
              <w:t>7.1. Introduction</w:t>
            </w:r>
            <w:r w:rsidR="00502226">
              <w:rPr>
                <w:noProof/>
                <w:webHidden/>
              </w:rPr>
              <w:tab/>
            </w:r>
            <w:r w:rsidR="00502226">
              <w:rPr>
                <w:noProof/>
                <w:webHidden/>
              </w:rPr>
              <w:fldChar w:fldCharType="begin"/>
            </w:r>
            <w:r w:rsidR="00502226">
              <w:rPr>
                <w:noProof/>
                <w:webHidden/>
              </w:rPr>
              <w:instrText xml:space="preserve"> PAGEREF _Toc33293115 \h </w:instrText>
            </w:r>
            <w:r w:rsidR="00502226">
              <w:rPr>
                <w:noProof/>
                <w:webHidden/>
              </w:rPr>
            </w:r>
            <w:r w:rsidR="00502226">
              <w:rPr>
                <w:noProof/>
                <w:webHidden/>
              </w:rPr>
              <w:fldChar w:fldCharType="separate"/>
            </w:r>
            <w:r w:rsidR="001D64A8">
              <w:rPr>
                <w:noProof/>
                <w:webHidden/>
              </w:rPr>
              <w:t>149</w:t>
            </w:r>
            <w:r w:rsidR="00502226">
              <w:rPr>
                <w:noProof/>
                <w:webHidden/>
              </w:rPr>
              <w:fldChar w:fldCharType="end"/>
            </w:r>
          </w:hyperlink>
        </w:p>
        <w:p w14:paraId="0521B535" w14:textId="768C713F" w:rsidR="00502226" w:rsidRDefault="00D95089">
          <w:pPr>
            <w:pStyle w:val="TOC2"/>
            <w:tabs>
              <w:tab w:val="right" w:leader="dot" w:pos="9016"/>
            </w:tabs>
            <w:rPr>
              <w:noProof/>
              <w:sz w:val="22"/>
              <w:szCs w:val="22"/>
              <w:lang w:val="en-GB" w:eastAsia="en-GB"/>
            </w:rPr>
          </w:pPr>
          <w:hyperlink w:anchor="_Toc33293116" w:history="1">
            <w:r w:rsidR="00502226" w:rsidRPr="000D48FF">
              <w:rPr>
                <w:rStyle w:val="Hyperlink"/>
                <w:rFonts w:ascii="Calibri" w:hAnsi="Calibri" w:cstheme="majorHAnsi"/>
                <w:noProof/>
                <w:lang w:val="en-GB"/>
              </w:rPr>
              <w:t>7.2. Gender and the translocality of ASM livelihoods</w:t>
            </w:r>
            <w:r w:rsidR="00502226">
              <w:rPr>
                <w:noProof/>
                <w:webHidden/>
              </w:rPr>
              <w:tab/>
            </w:r>
            <w:r w:rsidR="00502226">
              <w:rPr>
                <w:noProof/>
                <w:webHidden/>
              </w:rPr>
              <w:fldChar w:fldCharType="begin"/>
            </w:r>
            <w:r w:rsidR="00502226">
              <w:rPr>
                <w:noProof/>
                <w:webHidden/>
              </w:rPr>
              <w:instrText xml:space="preserve"> PAGEREF _Toc33293116 \h </w:instrText>
            </w:r>
            <w:r w:rsidR="00502226">
              <w:rPr>
                <w:noProof/>
                <w:webHidden/>
              </w:rPr>
            </w:r>
            <w:r w:rsidR="00502226">
              <w:rPr>
                <w:noProof/>
                <w:webHidden/>
              </w:rPr>
              <w:fldChar w:fldCharType="separate"/>
            </w:r>
            <w:r w:rsidR="001D64A8">
              <w:rPr>
                <w:noProof/>
                <w:webHidden/>
              </w:rPr>
              <w:t>151</w:t>
            </w:r>
            <w:r w:rsidR="00502226">
              <w:rPr>
                <w:noProof/>
                <w:webHidden/>
              </w:rPr>
              <w:fldChar w:fldCharType="end"/>
            </w:r>
          </w:hyperlink>
        </w:p>
        <w:p w14:paraId="79315551" w14:textId="047FD639" w:rsidR="00502226" w:rsidRDefault="00D95089">
          <w:pPr>
            <w:pStyle w:val="TOC2"/>
            <w:tabs>
              <w:tab w:val="right" w:leader="dot" w:pos="9016"/>
            </w:tabs>
            <w:rPr>
              <w:noProof/>
              <w:sz w:val="22"/>
              <w:szCs w:val="22"/>
              <w:lang w:val="en-GB" w:eastAsia="en-GB"/>
            </w:rPr>
          </w:pPr>
          <w:hyperlink w:anchor="_Toc33293117" w:history="1">
            <w:r w:rsidR="00502226" w:rsidRPr="000D48FF">
              <w:rPr>
                <w:rStyle w:val="Hyperlink"/>
                <w:rFonts w:ascii="Calibri" w:hAnsi="Calibri" w:cstheme="majorHAnsi"/>
                <w:noProof/>
                <w:lang w:val="en-GB"/>
              </w:rPr>
              <w:t>7.3. Women’s role in translocal ASM livelihoods</w:t>
            </w:r>
            <w:r w:rsidR="00502226">
              <w:rPr>
                <w:noProof/>
                <w:webHidden/>
              </w:rPr>
              <w:tab/>
            </w:r>
            <w:r w:rsidR="00502226">
              <w:rPr>
                <w:noProof/>
                <w:webHidden/>
              </w:rPr>
              <w:fldChar w:fldCharType="begin"/>
            </w:r>
            <w:r w:rsidR="00502226">
              <w:rPr>
                <w:noProof/>
                <w:webHidden/>
              </w:rPr>
              <w:instrText xml:space="preserve"> PAGEREF _Toc33293117 \h </w:instrText>
            </w:r>
            <w:r w:rsidR="00502226">
              <w:rPr>
                <w:noProof/>
                <w:webHidden/>
              </w:rPr>
            </w:r>
            <w:r w:rsidR="00502226">
              <w:rPr>
                <w:noProof/>
                <w:webHidden/>
              </w:rPr>
              <w:fldChar w:fldCharType="separate"/>
            </w:r>
            <w:r w:rsidR="001D64A8">
              <w:rPr>
                <w:noProof/>
                <w:webHidden/>
              </w:rPr>
              <w:t>158</w:t>
            </w:r>
            <w:r w:rsidR="00502226">
              <w:rPr>
                <w:noProof/>
                <w:webHidden/>
              </w:rPr>
              <w:fldChar w:fldCharType="end"/>
            </w:r>
          </w:hyperlink>
        </w:p>
        <w:p w14:paraId="74A304ED" w14:textId="437A6BD3" w:rsidR="00502226" w:rsidRDefault="00D95089">
          <w:pPr>
            <w:pStyle w:val="TOC2"/>
            <w:tabs>
              <w:tab w:val="right" w:leader="dot" w:pos="9016"/>
            </w:tabs>
            <w:rPr>
              <w:noProof/>
              <w:sz w:val="22"/>
              <w:szCs w:val="22"/>
              <w:lang w:val="en-GB" w:eastAsia="en-GB"/>
            </w:rPr>
          </w:pPr>
          <w:hyperlink w:anchor="_Toc33293118" w:history="1">
            <w:r w:rsidR="00502226" w:rsidRPr="000D48FF">
              <w:rPr>
                <w:rStyle w:val="Hyperlink"/>
                <w:rFonts w:ascii="Calibri" w:hAnsi="Calibri" w:cstheme="majorHAnsi"/>
                <w:noProof/>
                <w:lang w:val="en-GB"/>
              </w:rPr>
              <w:t>7.4. Gendered impacts of translocal ASM livelihoods</w:t>
            </w:r>
            <w:r w:rsidR="00502226">
              <w:rPr>
                <w:noProof/>
                <w:webHidden/>
              </w:rPr>
              <w:tab/>
            </w:r>
            <w:r w:rsidR="00502226">
              <w:rPr>
                <w:noProof/>
                <w:webHidden/>
              </w:rPr>
              <w:fldChar w:fldCharType="begin"/>
            </w:r>
            <w:r w:rsidR="00502226">
              <w:rPr>
                <w:noProof/>
                <w:webHidden/>
              </w:rPr>
              <w:instrText xml:space="preserve"> PAGEREF _Toc33293118 \h </w:instrText>
            </w:r>
            <w:r w:rsidR="00502226">
              <w:rPr>
                <w:noProof/>
                <w:webHidden/>
              </w:rPr>
            </w:r>
            <w:r w:rsidR="00502226">
              <w:rPr>
                <w:noProof/>
                <w:webHidden/>
              </w:rPr>
              <w:fldChar w:fldCharType="separate"/>
            </w:r>
            <w:r w:rsidR="001D64A8">
              <w:rPr>
                <w:noProof/>
                <w:webHidden/>
              </w:rPr>
              <w:t>166</w:t>
            </w:r>
            <w:r w:rsidR="00502226">
              <w:rPr>
                <w:noProof/>
                <w:webHidden/>
              </w:rPr>
              <w:fldChar w:fldCharType="end"/>
            </w:r>
          </w:hyperlink>
        </w:p>
        <w:p w14:paraId="2D00E5B8" w14:textId="69B66A93" w:rsidR="00502226" w:rsidRDefault="00D95089">
          <w:pPr>
            <w:pStyle w:val="TOC2"/>
            <w:tabs>
              <w:tab w:val="right" w:leader="dot" w:pos="9016"/>
            </w:tabs>
            <w:rPr>
              <w:noProof/>
              <w:sz w:val="22"/>
              <w:szCs w:val="22"/>
              <w:lang w:val="en-GB" w:eastAsia="en-GB"/>
            </w:rPr>
          </w:pPr>
          <w:hyperlink w:anchor="_Toc33293119" w:history="1">
            <w:r w:rsidR="00502226" w:rsidRPr="000D48FF">
              <w:rPr>
                <w:rStyle w:val="Hyperlink"/>
                <w:rFonts w:ascii="Calibri" w:hAnsi="Calibri" w:cstheme="majorHAnsi"/>
                <w:noProof/>
                <w:lang w:val="en-GB"/>
              </w:rPr>
              <w:t>7.5. Gender dynamics in the translocal community</w:t>
            </w:r>
            <w:r w:rsidR="00502226">
              <w:rPr>
                <w:noProof/>
                <w:webHidden/>
              </w:rPr>
              <w:tab/>
            </w:r>
            <w:r w:rsidR="00502226">
              <w:rPr>
                <w:noProof/>
                <w:webHidden/>
              </w:rPr>
              <w:fldChar w:fldCharType="begin"/>
            </w:r>
            <w:r w:rsidR="00502226">
              <w:rPr>
                <w:noProof/>
                <w:webHidden/>
              </w:rPr>
              <w:instrText xml:space="preserve"> PAGEREF _Toc33293119 \h </w:instrText>
            </w:r>
            <w:r w:rsidR="00502226">
              <w:rPr>
                <w:noProof/>
                <w:webHidden/>
              </w:rPr>
            </w:r>
            <w:r w:rsidR="00502226">
              <w:rPr>
                <w:noProof/>
                <w:webHidden/>
              </w:rPr>
              <w:fldChar w:fldCharType="separate"/>
            </w:r>
            <w:r w:rsidR="001D64A8">
              <w:rPr>
                <w:noProof/>
                <w:webHidden/>
              </w:rPr>
              <w:t>173</w:t>
            </w:r>
            <w:r w:rsidR="00502226">
              <w:rPr>
                <w:noProof/>
                <w:webHidden/>
              </w:rPr>
              <w:fldChar w:fldCharType="end"/>
            </w:r>
          </w:hyperlink>
        </w:p>
        <w:p w14:paraId="167993CC" w14:textId="06610A3C" w:rsidR="00502226" w:rsidRDefault="00D95089">
          <w:pPr>
            <w:pStyle w:val="TOC2"/>
            <w:tabs>
              <w:tab w:val="right" w:leader="dot" w:pos="9016"/>
            </w:tabs>
            <w:rPr>
              <w:noProof/>
              <w:sz w:val="22"/>
              <w:szCs w:val="22"/>
              <w:lang w:val="en-GB" w:eastAsia="en-GB"/>
            </w:rPr>
          </w:pPr>
          <w:hyperlink w:anchor="_Toc33293120" w:history="1">
            <w:r w:rsidR="00502226" w:rsidRPr="000D48FF">
              <w:rPr>
                <w:rStyle w:val="Hyperlink"/>
                <w:rFonts w:ascii="Calibri" w:hAnsi="Calibri" w:cstheme="majorHAnsi"/>
                <w:noProof/>
                <w:lang w:val="en-GB"/>
              </w:rPr>
              <w:t>7.6. Summary</w:t>
            </w:r>
            <w:r w:rsidR="00502226">
              <w:rPr>
                <w:noProof/>
                <w:webHidden/>
              </w:rPr>
              <w:tab/>
            </w:r>
            <w:r w:rsidR="00502226">
              <w:rPr>
                <w:noProof/>
                <w:webHidden/>
              </w:rPr>
              <w:fldChar w:fldCharType="begin"/>
            </w:r>
            <w:r w:rsidR="00502226">
              <w:rPr>
                <w:noProof/>
                <w:webHidden/>
              </w:rPr>
              <w:instrText xml:space="preserve"> PAGEREF _Toc33293120 \h </w:instrText>
            </w:r>
            <w:r w:rsidR="00502226">
              <w:rPr>
                <w:noProof/>
                <w:webHidden/>
              </w:rPr>
            </w:r>
            <w:r w:rsidR="00502226">
              <w:rPr>
                <w:noProof/>
                <w:webHidden/>
              </w:rPr>
              <w:fldChar w:fldCharType="separate"/>
            </w:r>
            <w:r w:rsidR="001D64A8">
              <w:rPr>
                <w:noProof/>
                <w:webHidden/>
              </w:rPr>
              <w:t>180</w:t>
            </w:r>
            <w:r w:rsidR="00502226">
              <w:rPr>
                <w:noProof/>
                <w:webHidden/>
              </w:rPr>
              <w:fldChar w:fldCharType="end"/>
            </w:r>
          </w:hyperlink>
        </w:p>
        <w:p w14:paraId="5127A551" w14:textId="1FB8C2DD" w:rsidR="00502226" w:rsidRDefault="00D95089">
          <w:pPr>
            <w:pStyle w:val="TOC1"/>
            <w:tabs>
              <w:tab w:val="right" w:leader="dot" w:pos="9016"/>
            </w:tabs>
            <w:rPr>
              <w:noProof/>
              <w:sz w:val="22"/>
              <w:szCs w:val="22"/>
              <w:lang w:val="en-GB" w:eastAsia="en-GB"/>
            </w:rPr>
          </w:pPr>
          <w:hyperlink w:anchor="_Toc33293121" w:history="1">
            <w:r w:rsidR="00502226" w:rsidRPr="000D48FF">
              <w:rPr>
                <w:rStyle w:val="Hyperlink"/>
                <w:rFonts w:ascii="Calibri" w:hAnsi="Calibri" w:cstheme="majorHAnsi"/>
                <w:noProof/>
                <w:lang w:val="en-GB"/>
              </w:rPr>
              <w:t>8. Divergent livelihoods: tension and contestation within mining communities</w:t>
            </w:r>
            <w:r w:rsidR="00502226">
              <w:rPr>
                <w:noProof/>
                <w:webHidden/>
              </w:rPr>
              <w:tab/>
            </w:r>
            <w:r w:rsidR="00502226">
              <w:rPr>
                <w:noProof/>
                <w:webHidden/>
              </w:rPr>
              <w:fldChar w:fldCharType="begin"/>
            </w:r>
            <w:r w:rsidR="00502226">
              <w:rPr>
                <w:noProof/>
                <w:webHidden/>
              </w:rPr>
              <w:instrText xml:space="preserve"> PAGEREF _Toc33293121 \h </w:instrText>
            </w:r>
            <w:r w:rsidR="00502226">
              <w:rPr>
                <w:noProof/>
                <w:webHidden/>
              </w:rPr>
            </w:r>
            <w:r w:rsidR="00502226">
              <w:rPr>
                <w:noProof/>
                <w:webHidden/>
              </w:rPr>
              <w:fldChar w:fldCharType="separate"/>
            </w:r>
            <w:r w:rsidR="001D64A8">
              <w:rPr>
                <w:noProof/>
                <w:webHidden/>
              </w:rPr>
              <w:t>182</w:t>
            </w:r>
            <w:r w:rsidR="00502226">
              <w:rPr>
                <w:noProof/>
                <w:webHidden/>
              </w:rPr>
              <w:fldChar w:fldCharType="end"/>
            </w:r>
          </w:hyperlink>
        </w:p>
        <w:p w14:paraId="78FDF4B5" w14:textId="76A317C9" w:rsidR="00502226" w:rsidRDefault="00D95089">
          <w:pPr>
            <w:pStyle w:val="TOC2"/>
            <w:tabs>
              <w:tab w:val="right" w:leader="dot" w:pos="9016"/>
            </w:tabs>
            <w:rPr>
              <w:noProof/>
              <w:sz w:val="22"/>
              <w:szCs w:val="22"/>
              <w:lang w:val="en-GB" w:eastAsia="en-GB"/>
            </w:rPr>
          </w:pPr>
          <w:hyperlink w:anchor="_Toc33293122" w:history="1">
            <w:r w:rsidR="00502226" w:rsidRPr="000D48FF">
              <w:rPr>
                <w:rStyle w:val="Hyperlink"/>
                <w:rFonts w:ascii="Calibri" w:hAnsi="Calibri" w:cstheme="majorHAnsi"/>
                <w:noProof/>
                <w:lang w:val="en-GB"/>
              </w:rPr>
              <w:t>8.1. Introduction</w:t>
            </w:r>
            <w:r w:rsidR="00502226">
              <w:rPr>
                <w:noProof/>
                <w:webHidden/>
              </w:rPr>
              <w:tab/>
            </w:r>
            <w:r w:rsidR="00502226">
              <w:rPr>
                <w:noProof/>
                <w:webHidden/>
              </w:rPr>
              <w:fldChar w:fldCharType="begin"/>
            </w:r>
            <w:r w:rsidR="00502226">
              <w:rPr>
                <w:noProof/>
                <w:webHidden/>
              </w:rPr>
              <w:instrText xml:space="preserve"> PAGEREF _Toc33293122 \h </w:instrText>
            </w:r>
            <w:r w:rsidR="00502226">
              <w:rPr>
                <w:noProof/>
                <w:webHidden/>
              </w:rPr>
            </w:r>
            <w:r w:rsidR="00502226">
              <w:rPr>
                <w:noProof/>
                <w:webHidden/>
              </w:rPr>
              <w:fldChar w:fldCharType="separate"/>
            </w:r>
            <w:r w:rsidR="001D64A8">
              <w:rPr>
                <w:noProof/>
                <w:webHidden/>
              </w:rPr>
              <w:t>182</w:t>
            </w:r>
            <w:r w:rsidR="00502226">
              <w:rPr>
                <w:noProof/>
                <w:webHidden/>
              </w:rPr>
              <w:fldChar w:fldCharType="end"/>
            </w:r>
          </w:hyperlink>
        </w:p>
        <w:p w14:paraId="41A1AD41" w14:textId="135105AC" w:rsidR="00502226" w:rsidRDefault="00D95089">
          <w:pPr>
            <w:pStyle w:val="TOC2"/>
            <w:tabs>
              <w:tab w:val="right" w:leader="dot" w:pos="9016"/>
            </w:tabs>
            <w:rPr>
              <w:noProof/>
              <w:sz w:val="22"/>
              <w:szCs w:val="22"/>
              <w:lang w:val="en-GB" w:eastAsia="en-GB"/>
            </w:rPr>
          </w:pPr>
          <w:hyperlink w:anchor="_Toc33293123" w:history="1">
            <w:r w:rsidR="00502226" w:rsidRPr="000D48FF">
              <w:rPr>
                <w:rStyle w:val="Hyperlink"/>
                <w:rFonts w:ascii="Calibri" w:hAnsi="Calibri" w:cstheme="majorHAnsi"/>
                <w:bCs/>
                <w:noProof/>
                <w:lang w:val="en-GB"/>
              </w:rPr>
              <w:t>8.2.</w:t>
            </w:r>
            <w:r w:rsidR="00502226" w:rsidRPr="000D48FF">
              <w:rPr>
                <w:rStyle w:val="Hyperlink"/>
                <w:rFonts w:ascii="Calibri" w:hAnsi="Calibri" w:cstheme="majorHAnsi"/>
                <w:noProof/>
                <w:lang w:val="en-GB"/>
              </w:rPr>
              <w:t xml:space="preserve"> Sources of tension within the translocal ASM community</w:t>
            </w:r>
            <w:r w:rsidR="00502226">
              <w:rPr>
                <w:noProof/>
                <w:webHidden/>
              </w:rPr>
              <w:tab/>
            </w:r>
            <w:r w:rsidR="00502226">
              <w:rPr>
                <w:noProof/>
                <w:webHidden/>
              </w:rPr>
              <w:fldChar w:fldCharType="begin"/>
            </w:r>
            <w:r w:rsidR="00502226">
              <w:rPr>
                <w:noProof/>
                <w:webHidden/>
              </w:rPr>
              <w:instrText xml:space="preserve"> PAGEREF _Toc33293123 \h </w:instrText>
            </w:r>
            <w:r w:rsidR="00502226">
              <w:rPr>
                <w:noProof/>
                <w:webHidden/>
              </w:rPr>
            </w:r>
            <w:r w:rsidR="00502226">
              <w:rPr>
                <w:noProof/>
                <w:webHidden/>
              </w:rPr>
              <w:fldChar w:fldCharType="separate"/>
            </w:r>
            <w:r w:rsidR="001D64A8">
              <w:rPr>
                <w:noProof/>
                <w:webHidden/>
              </w:rPr>
              <w:t>183</w:t>
            </w:r>
            <w:r w:rsidR="00502226">
              <w:rPr>
                <w:noProof/>
                <w:webHidden/>
              </w:rPr>
              <w:fldChar w:fldCharType="end"/>
            </w:r>
          </w:hyperlink>
        </w:p>
        <w:p w14:paraId="728066DC" w14:textId="25E5FD29" w:rsidR="00502226" w:rsidRDefault="00D95089">
          <w:pPr>
            <w:pStyle w:val="TOC2"/>
            <w:tabs>
              <w:tab w:val="right" w:leader="dot" w:pos="9016"/>
            </w:tabs>
            <w:rPr>
              <w:noProof/>
              <w:sz w:val="22"/>
              <w:szCs w:val="22"/>
              <w:lang w:val="en-GB" w:eastAsia="en-GB"/>
            </w:rPr>
          </w:pPr>
          <w:hyperlink w:anchor="_Toc33293124" w:history="1">
            <w:r w:rsidR="00502226" w:rsidRPr="000D48FF">
              <w:rPr>
                <w:rStyle w:val="Hyperlink"/>
                <w:rFonts w:ascii="Calibri" w:hAnsi="Calibri" w:cstheme="majorHAnsi"/>
                <w:noProof/>
                <w:lang w:val="en-GB"/>
              </w:rPr>
              <w:t>8.3. Crime, violence and the insecurity of translocal ASM livelihoods</w:t>
            </w:r>
            <w:r w:rsidR="00502226">
              <w:rPr>
                <w:noProof/>
                <w:webHidden/>
              </w:rPr>
              <w:tab/>
            </w:r>
            <w:r w:rsidR="00502226">
              <w:rPr>
                <w:noProof/>
                <w:webHidden/>
              </w:rPr>
              <w:fldChar w:fldCharType="begin"/>
            </w:r>
            <w:r w:rsidR="00502226">
              <w:rPr>
                <w:noProof/>
                <w:webHidden/>
              </w:rPr>
              <w:instrText xml:space="preserve"> PAGEREF _Toc33293124 \h </w:instrText>
            </w:r>
            <w:r w:rsidR="00502226">
              <w:rPr>
                <w:noProof/>
                <w:webHidden/>
              </w:rPr>
            </w:r>
            <w:r w:rsidR="00502226">
              <w:rPr>
                <w:noProof/>
                <w:webHidden/>
              </w:rPr>
              <w:fldChar w:fldCharType="separate"/>
            </w:r>
            <w:r w:rsidR="001D64A8">
              <w:rPr>
                <w:noProof/>
                <w:webHidden/>
              </w:rPr>
              <w:t>200</w:t>
            </w:r>
            <w:r w:rsidR="00502226">
              <w:rPr>
                <w:noProof/>
                <w:webHidden/>
              </w:rPr>
              <w:fldChar w:fldCharType="end"/>
            </w:r>
          </w:hyperlink>
        </w:p>
        <w:p w14:paraId="42F6F45E" w14:textId="028565A7" w:rsidR="00502226" w:rsidRDefault="00D95089">
          <w:pPr>
            <w:pStyle w:val="TOC2"/>
            <w:tabs>
              <w:tab w:val="right" w:leader="dot" w:pos="9016"/>
            </w:tabs>
            <w:rPr>
              <w:noProof/>
              <w:sz w:val="22"/>
              <w:szCs w:val="22"/>
              <w:lang w:val="en-GB" w:eastAsia="en-GB"/>
            </w:rPr>
          </w:pPr>
          <w:hyperlink w:anchor="_Toc33293125" w:history="1">
            <w:r w:rsidR="00502226" w:rsidRPr="000D48FF">
              <w:rPr>
                <w:rStyle w:val="Hyperlink"/>
                <w:rFonts w:ascii="Calibri" w:hAnsi="Calibri" w:cstheme="majorHAnsi"/>
                <w:noProof/>
                <w:lang w:val="en-GB"/>
              </w:rPr>
              <w:t>8.4. Translocal communities and resistance against government interdictions</w:t>
            </w:r>
            <w:r w:rsidR="00502226">
              <w:rPr>
                <w:noProof/>
                <w:webHidden/>
              </w:rPr>
              <w:tab/>
            </w:r>
            <w:r w:rsidR="00502226">
              <w:rPr>
                <w:noProof/>
                <w:webHidden/>
              </w:rPr>
              <w:fldChar w:fldCharType="begin"/>
            </w:r>
            <w:r w:rsidR="00502226">
              <w:rPr>
                <w:noProof/>
                <w:webHidden/>
              </w:rPr>
              <w:instrText xml:space="preserve"> PAGEREF _Toc33293125 \h </w:instrText>
            </w:r>
            <w:r w:rsidR="00502226">
              <w:rPr>
                <w:noProof/>
                <w:webHidden/>
              </w:rPr>
            </w:r>
            <w:r w:rsidR="00502226">
              <w:rPr>
                <w:noProof/>
                <w:webHidden/>
              </w:rPr>
              <w:fldChar w:fldCharType="separate"/>
            </w:r>
            <w:r w:rsidR="001D64A8">
              <w:rPr>
                <w:noProof/>
                <w:webHidden/>
              </w:rPr>
              <w:t>204</w:t>
            </w:r>
            <w:r w:rsidR="00502226">
              <w:rPr>
                <w:noProof/>
                <w:webHidden/>
              </w:rPr>
              <w:fldChar w:fldCharType="end"/>
            </w:r>
          </w:hyperlink>
        </w:p>
        <w:p w14:paraId="17098A1A" w14:textId="73DF4124" w:rsidR="00502226" w:rsidRDefault="00D95089">
          <w:pPr>
            <w:pStyle w:val="TOC2"/>
            <w:tabs>
              <w:tab w:val="right" w:leader="dot" w:pos="9016"/>
            </w:tabs>
            <w:rPr>
              <w:noProof/>
              <w:sz w:val="22"/>
              <w:szCs w:val="22"/>
              <w:lang w:val="en-GB" w:eastAsia="en-GB"/>
            </w:rPr>
          </w:pPr>
          <w:hyperlink w:anchor="_Toc33293126" w:history="1">
            <w:r w:rsidR="00502226" w:rsidRPr="000D48FF">
              <w:rPr>
                <w:rStyle w:val="Hyperlink"/>
                <w:rFonts w:ascii="Calibri" w:hAnsi="Calibri" w:cstheme="majorHAnsi"/>
                <w:bCs/>
                <w:noProof/>
                <w:lang w:val="en-GB"/>
              </w:rPr>
              <w:t>8.5. Summary</w:t>
            </w:r>
            <w:r w:rsidR="00502226">
              <w:rPr>
                <w:noProof/>
                <w:webHidden/>
              </w:rPr>
              <w:tab/>
            </w:r>
            <w:r w:rsidR="00502226">
              <w:rPr>
                <w:noProof/>
                <w:webHidden/>
              </w:rPr>
              <w:fldChar w:fldCharType="begin"/>
            </w:r>
            <w:r w:rsidR="00502226">
              <w:rPr>
                <w:noProof/>
                <w:webHidden/>
              </w:rPr>
              <w:instrText xml:space="preserve"> PAGEREF _Toc33293126 \h </w:instrText>
            </w:r>
            <w:r w:rsidR="00502226">
              <w:rPr>
                <w:noProof/>
                <w:webHidden/>
              </w:rPr>
            </w:r>
            <w:r w:rsidR="00502226">
              <w:rPr>
                <w:noProof/>
                <w:webHidden/>
              </w:rPr>
              <w:fldChar w:fldCharType="separate"/>
            </w:r>
            <w:r w:rsidR="001D64A8">
              <w:rPr>
                <w:noProof/>
                <w:webHidden/>
              </w:rPr>
              <w:t>207</w:t>
            </w:r>
            <w:r w:rsidR="00502226">
              <w:rPr>
                <w:noProof/>
                <w:webHidden/>
              </w:rPr>
              <w:fldChar w:fldCharType="end"/>
            </w:r>
          </w:hyperlink>
        </w:p>
        <w:p w14:paraId="6403B3A7" w14:textId="22528F98" w:rsidR="00502226" w:rsidRDefault="00D95089">
          <w:pPr>
            <w:pStyle w:val="TOC1"/>
            <w:tabs>
              <w:tab w:val="right" w:leader="dot" w:pos="9016"/>
            </w:tabs>
            <w:rPr>
              <w:noProof/>
              <w:sz w:val="22"/>
              <w:szCs w:val="22"/>
              <w:lang w:val="en-GB" w:eastAsia="en-GB"/>
            </w:rPr>
          </w:pPr>
          <w:hyperlink w:anchor="_Toc33293127" w:history="1">
            <w:r w:rsidR="00502226" w:rsidRPr="000D48FF">
              <w:rPr>
                <w:rStyle w:val="Hyperlink"/>
                <w:rFonts w:ascii="Calibri" w:hAnsi="Calibri" w:cstheme="majorHAnsi"/>
                <w:noProof/>
                <w:lang w:val="en-GB"/>
              </w:rPr>
              <w:t>9. Discourses of illegality: the importance of place for collective identity</w:t>
            </w:r>
            <w:r w:rsidR="00502226">
              <w:rPr>
                <w:noProof/>
                <w:webHidden/>
              </w:rPr>
              <w:tab/>
            </w:r>
            <w:r w:rsidR="00502226">
              <w:rPr>
                <w:noProof/>
                <w:webHidden/>
              </w:rPr>
              <w:fldChar w:fldCharType="begin"/>
            </w:r>
            <w:r w:rsidR="00502226">
              <w:rPr>
                <w:noProof/>
                <w:webHidden/>
              </w:rPr>
              <w:instrText xml:space="preserve"> PAGEREF _Toc33293127 \h </w:instrText>
            </w:r>
            <w:r w:rsidR="00502226">
              <w:rPr>
                <w:noProof/>
                <w:webHidden/>
              </w:rPr>
            </w:r>
            <w:r w:rsidR="00502226">
              <w:rPr>
                <w:noProof/>
                <w:webHidden/>
              </w:rPr>
              <w:fldChar w:fldCharType="separate"/>
            </w:r>
            <w:r w:rsidR="001D64A8">
              <w:rPr>
                <w:noProof/>
                <w:webHidden/>
              </w:rPr>
              <w:t>210</w:t>
            </w:r>
            <w:r w:rsidR="00502226">
              <w:rPr>
                <w:noProof/>
                <w:webHidden/>
              </w:rPr>
              <w:fldChar w:fldCharType="end"/>
            </w:r>
          </w:hyperlink>
        </w:p>
        <w:p w14:paraId="7D0FEDF3" w14:textId="5E8BF6A3" w:rsidR="00502226" w:rsidRDefault="00D95089">
          <w:pPr>
            <w:pStyle w:val="TOC2"/>
            <w:tabs>
              <w:tab w:val="right" w:leader="dot" w:pos="9016"/>
            </w:tabs>
            <w:rPr>
              <w:noProof/>
              <w:sz w:val="22"/>
              <w:szCs w:val="22"/>
              <w:lang w:val="en-GB" w:eastAsia="en-GB"/>
            </w:rPr>
          </w:pPr>
          <w:hyperlink w:anchor="_Toc33293128" w:history="1">
            <w:r w:rsidR="00502226" w:rsidRPr="000D48FF">
              <w:rPr>
                <w:rStyle w:val="Hyperlink"/>
                <w:rFonts w:ascii="Calibri" w:hAnsi="Calibri" w:cstheme="majorHAnsi"/>
                <w:noProof/>
                <w:lang w:val="en-GB"/>
              </w:rPr>
              <w:t>9.1. Introduction</w:t>
            </w:r>
            <w:r w:rsidR="00502226">
              <w:rPr>
                <w:noProof/>
                <w:webHidden/>
              </w:rPr>
              <w:tab/>
            </w:r>
            <w:r w:rsidR="00502226">
              <w:rPr>
                <w:noProof/>
                <w:webHidden/>
              </w:rPr>
              <w:fldChar w:fldCharType="begin"/>
            </w:r>
            <w:r w:rsidR="00502226">
              <w:rPr>
                <w:noProof/>
                <w:webHidden/>
              </w:rPr>
              <w:instrText xml:space="preserve"> PAGEREF _Toc33293128 \h </w:instrText>
            </w:r>
            <w:r w:rsidR="00502226">
              <w:rPr>
                <w:noProof/>
                <w:webHidden/>
              </w:rPr>
            </w:r>
            <w:r w:rsidR="00502226">
              <w:rPr>
                <w:noProof/>
                <w:webHidden/>
              </w:rPr>
              <w:fldChar w:fldCharType="separate"/>
            </w:r>
            <w:r w:rsidR="001D64A8">
              <w:rPr>
                <w:noProof/>
                <w:webHidden/>
              </w:rPr>
              <w:t>210</w:t>
            </w:r>
            <w:r w:rsidR="00502226">
              <w:rPr>
                <w:noProof/>
                <w:webHidden/>
              </w:rPr>
              <w:fldChar w:fldCharType="end"/>
            </w:r>
          </w:hyperlink>
        </w:p>
        <w:p w14:paraId="67286CC6" w14:textId="201A6CD2" w:rsidR="00502226" w:rsidRDefault="00D95089">
          <w:pPr>
            <w:pStyle w:val="TOC2"/>
            <w:tabs>
              <w:tab w:val="right" w:leader="dot" w:pos="9016"/>
            </w:tabs>
            <w:rPr>
              <w:noProof/>
              <w:sz w:val="22"/>
              <w:szCs w:val="22"/>
              <w:lang w:val="en-GB" w:eastAsia="en-GB"/>
            </w:rPr>
          </w:pPr>
          <w:hyperlink w:anchor="_Toc33293129" w:history="1">
            <w:r w:rsidR="00502226" w:rsidRPr="000D48FF">
              <w:rPr>
                <w:rStyle w:val="Hyperlink"/>
                <w:rFonts w:ascii="Calibri" w:hAnsi="Calibri" w:cstheme="majorHAnsi"/>
                <w:noProof/>
                <w:lang w:val="en-GB"/>
              </w:rPr>
              <w:t>9.2. ASM policy inconsistencies</w:t>
            </w:r>
            <w:r w:rsidR="00502226">
              <w:rPr>
                <w:noProof/>
                <w:webHidden/>
              </w:rPr>
              <w:tab/>
            </w:r>
            <w:r w:rsidR="00502226">
              <w:rPr>
                <w:noProof/>
                <w:webHidden/>
              </w:rPr>
              <w:fldChar w:fldCharType="begin"/>
            </w:r>
            <w:r w:rsidR="00502226">
              <w:rPr>
                <w:noProof/>
                <w:webHidden/>
              </w:rPr>
              <w:instrText xml:space="preserve"> PAGEREF _Toc33293129 \h </w:instrText>
            </w:r>
            <w:r w:rsidR="00502226">
              <w:rPr>
                <w:noProof/>
                <w:webHidden/>
              </w:rPr>
            </w:r>
            <w:r w:rsidR="00502226">
              <w:rPr>
                <w:noProof/>
                <w:webHidden/>
              </w:rPr>
              <w:fldChar w:fldCharType="separate"/>
            </w:r>
            <w:r w:rsidR="001D64A8">
              <w:rPr>
                <w:noProof/>
                <w:webHidden/>
              </w:rPr>
              <w:t>211</w:t>
            </w:r>
            <w:r w:rsidR="00502226">
              <w:rPr>
                <w:noProof/>
                <w:webHidden/>
              </w:rPr>
              <w:fldChar w:fldCharType="end"/>
            </w:r>
          </w:hyperlink>
        </w:p>
        <w:p w14:paraId="14E1DE8B" w14:textId="51AA962B" w:rsidR="00502226" w:rsidRDefault="00D95089">
          <w:pPr>
            <w:pStyle w:val="TOC2"/>
            <w:tabs>
              <w:tab w:val="right" w:leader="dot" w:pos="9016"/>
            </w:tabs>
            <w:rPr>
              <w:noProof/>
              <w:sz w:val="22"/>
              <w:szCs w:val="22"/>
              <w:lang w:val="en-GB" w:eastAsia="en-GB"/>
            </w:rPr>
          </w:pPr>
          <w:hyperlink w:anchor="_Toc33293130" w:history="1">
            <w:r w:rsidR="00502226" w:rsidRPr="000D48FF">
              <w:rPr>
                <w:rStyle w:val="Hyperlink"/>
                <w:rFonts w:ascii="Calibri" w:hAnsi="Calibri" w:cstheme="majorHAnsi"/>
                <w:noProof/>
                <w:lang w:val="en-GB"/>
              </w:rPr>
              <w:t>9.3. Government’s lack of differentiation within the ASM social field</w:t>
            </w:r>
            <w:r w:rsidR="00502226">
              <w:rPr>
                <w:noProof/>
                <w:webHidden/>
              </w:rPr>
              <w:tab/>
            </w:r>
            <w:r w:rsidR="00502226">
              <w:rPr>
                <w:noProof/>
                <w:webHidden/>
              </w:rPr>
              <w:fldChar w:fldCharType="begin"/>
            </w:r>
            <w:r w:rsidR="00502226">
              <w:rPr>
                <w:noProof/>
                <w:webHidden/>
              </w:rPr>
              <w:instrText xml:space="preserve"> PAGEREF _Toc33293130 \h </w:instrText>
            </w:r>
            <w:r w:rsidR="00502226">
              <w:rPr>
                <w:noProof/>
                <w:webHidden/>
              </w:rPr>
            </w:r>
            <w:r w:rsidR="00502226">
              <w:rPr>
                <w:noProof/>
                <w:webHidden/>
              </w:rPr>
              <w:fldChar w:fldCharType="separate"/>
            </w:r>
            <w:r w:rsidR="001D64A8">
              <w:rPr>
                <w:noProof/>
                <w:webHidden/>
              </w:rPr>
              <w:t>213</w:t>
            </w:r>
            <w:r w:rsidR="00502226">
              <w:rPr>
                <w:noProof/>
                <w:webHidden/>
              </w:rPr>
              <w:fldChar w:fldCharType="end"/>
            </w:r>
          </w:hyperlink>
        </w:p>
        <w:p w14:paraId="38234294" w14:textId="4F1DE052" w:rsidR="00502226" w:rsidRDefault="00D95089">
          <w:pPr>
            <w:pStyle w:val="TOC2"/>
            <w:tabs>
              <w:tab w:val="right" w:leader="dot" w:pos="9016"/>
            </w:tabs>
            <w:rPr>
              <w:noProof/>
              <w:sz w:val="22"/>
              <w:szCs w:val="22"/>
              <w:lang w:val="en-GB" w:eastAsia="en-GB"/>
            </w:rPr>
          </w:pPr>
          <w:hyperlink w:anchor="_Toc33293131" w:history="1">
            <w:r w:rsidR="00502226" w:rsidRPr="000D48FF">
              <w:rPr>
                <w:rStyle w:val="Hyperlink"/>
                <w:rFonts w:ascii="Calibri" w:hAnsi="Calibri" w:cstheme="majorHAnsi"/>
                <w:noProof/>
                <w:lang w:val="en-GB"/>
              </w:rPr>
              <w:t>9.4. Place and collective identity</w:t>
            </w:r>
            <w:r w:rsidR="00502226">
              <w:rPr>
                <w:noProof/>
                <w:webHidden/>
              </w:rPr>
              <w:tab/>
            </w:r>
            <w:r w:rsidR="00502226">
              <w:rPr>
                <w:noProof/>
                <w:webHidden/>
              </w:rPr>
              <w:fldChar w:fldCharType="begin"/>
            </w:r>
            <w:r w:rsidR="00502226">
              <w:rPr>
                <w:noProof/>
                <w:webHidden/>
              </w:rPr>
              <w:instrText xml:space="preserve"> PAGEREF _Toc33293131 \h </w:instrText>
            </w:r>
            <w:r w:rsidR="00502226">
              <w:rPr>
                <w:noProof/>
                <w:webHidden/>
              </w:rPr>
            </w:r>
            <w:r w:rsidR="00502226">
              <w:rPr>
                <w:noProof/>
                <w:webHidden/>
              </w:rPr>
              <w:fldChar w:fldCharType="separate"/>
            </w:r>
            <w:r w:rsidR="001D64A8">
              <w:rPr>
                <w:noProof/>
                <w:webHidden/>
              </w:rPr>
              <w:t>217</w:t>
            </w:r>
            <w:r w:rsidR="00502226">
              <w:rPr>
                <w:noProof/>
                <w:webHidden/>
              </w:rPr>
              <w:fldChar w:fldCharType="end"/>
            </w:r>
          </w:hyperlink>
        </w:p>
        <w:p w14:paraId="3BBDF791" w14:textId="3A0D6C79" w:rsidR="00502226" w:rsidRDefault="00D95089">
          <w:pPr>
            <w:pStyle w:val="TOC2"/>
            <w:tabs>
              <w:tab w:val="right" w:leader="dot" w:pos="9016"/>
            </w:tabs>
            <w:rPr>
              <w:noProof/>
              <w:sz w:val="22"/>
              <w:szCs w:val="22"/>
              <w:lang w:val="en-GB" w:eastAsia="en-GB"/>
            </w:rPr>
          </w:pPr>
          <w:hyperlink w:anchor="_Toc33293132" w:history="1">
            <w:r w:rsidR="00502226" w:rsidRPr="000D48FF">
              <w:rPr>
                <w:rStyle w:val="Hyperlink"/>
                <w:rFonts w:ascii="Calibri" w:hAnsi="Calibri" w:cstheme="majorHAnsi"/>
                <w:noProof/>
                <w:lang w:val="en-GB"/>
              </w:rPr>
              <w:t>9.5. Neutralisation through the creation of an out-group</w:t>
            </w:r>
            <w:r w:rsidR="00502226">
              <w:rPr>
                <w:noProof/>
                <w:webHidden/>
              </w:rPr>
              <w:tab/>
            </w:r>
            <w:r w:rsidR="00502226">
              <w:rPr>
                <w:noProof/>
                <w:webHidden/>
              </w:rPr>
              <w:fldChar w:fldCharType="begin"/>
            </w:r>
            <w:r w:rsidR="00502226">
              <w:rPr>
                <w:noProof/>
                <w:webHidden/>
              </w:rPr>
              <w:instrText xml:space="preserve"> PAGEREF _Toc33293132 \h </w:instrText>
            </w:r>
            <w:r w:rsidR="00502226">
              <w:rPr>
                <w:noProof/>
                <w:webHidden/>
              </w:rPr>
            </w:r>
            <w:r w:rsidR="00502226">
              <w:rPr>
                <w:noProof/>
                <w:webHidden/>
              </w:rPr>
              <w:fldChar w:fldCharType="separate"/>
            </w:r>
            <w:r w:rsidR="001D64A8">
              <w:rPr>
                <w:noProof/>
                <w:webHidden/>
              </w:rPr>
              <w:t>226</w:t>
            </w:r>
            <w:r w:rsidR="00502226">
              <w:rPr>
                <w:noProof/>
                <w:webHidden/>
              </w:rPr>
              <w:fldChar w:fldCharType="end"/>
            </w:r>
          </w:hyperlink>
        </w:p>
        <w:p w14:paraId="01CF3A50" w14:textId="5CB0EC80" w:rsidR="00502226" w:rsidRDefault="00D95089">
          <w:pPr>
            <w:pStyle w:val="TOC2"/>
            <w:tabs>
              <w:tab w:val="right" w:leader="dot" w:pos="9016"/>
            </w:tabs>
            <w:rPr>
              <w:noProof/>
              <w:sz w:val="22"/>
              <w:szCs w:val="22"/>
              <w:lang w:val="en-GB" w:eastAsia="en-GB"/>
            </w:rPr>
          </w:pPr>
          <w:hyperlink w:anchor="_Toc33293133" w:history="1">
            <w:r w:rsidR="00502226" w:rsidRPr="000D48FF">
              <w:rPr>
                <w:rStyle w:val="Hyperlink"/>
                <w:rFonts w:ascii="Calibri" w:hAnsi="Calibri" w:cstheme="majorHAnsi"/>
                <w:noProof/>
                <w:lang w:val="en-GB"/>
              </w:rPr>
              <w:t>9.6. Neutralisation through delegitimising the field of power</w:t>
            </w:r>
            <w:r w:rsidR="00502226">
              <w:rPr>
                <w:noProof/>
                <w:webHidden/>
              </w:rPr>
              <w:tab/>
            </w:r>
            <w:r w:rsidR="00502226">
              <w:rPr>
                <w:noProof/>
                <w:webHidden/>
              </w:rPr>
              <w:fldChar w:fldCharType="begin"/>
            </w:r>
            <w:r w:rsidR="00502226">
              <w:rPr>
                <w:noProof/>
                <w:webHidden/>
              </w:rPr>
              <w:instrText xml:space="preserve"> PAGEREF _Toc33293133 \h </w:instrText>
            </w:r>
            <w:r w:rsidR="00502226">
              <w:rPr>
                <w:noProof/>
                <w:webHidden/>
              </w:rPr>
            </w:r>
            <w:r w:rsidR="00502226">
              <w:rPr>
                <w:noProof/>
                <w:webHidden/>
              </w:rPr>
              <w:fldChar w:fldCharType="separate"/>
            </w:r>
            <w:r w:rsidR="001D64A8">
              <w:rPr>
                <w:noProof/>
                <w:webHidden/>
              </w:rPr>
              <w:t>231</w:t>
            </w:r>
            <w:r w:rsidR="00502226">
              <w:rPr>
                <w:noProof/>
                <w:webHidden/>
              </w:rPr>
              <w:fldChar w:fldCharType="end"/>
            </w:r>
          </w:hyperlink>
        </w:p>
        <w:p w14:paraId="05FCD13A" w14:textId="11F13246" w:rsidR="00502226" w:rsidRDefault="00D95089">
          <w:pPr>
            <w:pStyle w:val="TOC2"/>
            <w:tabs>
              <w:tab w:val="right" w:leader="dot" w:pos="9016"/>
            </w:tabs>
            <w:rPr>
              <w:noProof/>
              <w:sz w:val="22"/>
              <w:szCs w:val="22"/>
              <w:lang w:val="en-GB" w:eastAsia="en-GB"/>
            </w:rPr>
          </w:pPr>
          <w:hyperlink w:anchor="_Toc33293134" w:history="1">
            <w:r w:rsidR="00502226" w:rsidRPr="000D48FF">
              <w:rPr>
                <w:rStyle w:val="Hyperlink"/>
                <w:rFonts w:ascii="Calibri" w:hAnsi="Calibri" w:cstheme="majorHAnsi"/>
                <w:noProof/>
                <w:lang w:val="en-GB"/>
              </w:rPr>
              <w:t>9.7. NGOs, media and public Opinion</w:t>
            </w:r>
            <w:r w:rsidR="00502226">
              <w:rPr>
                <w:noProof/>
                <w:webHidden/>
              </w:rPr>
              <w:tab/>
            </w:r>
            <w:r w:rsidR="00502226">
              <w:rPr>
                <w:noProof/>
                <w:webHidden/>
              </w:rPr>
              <w:fldChar w:fldCharType="begin"/>
            </w:r>
            <w:r w:rsidR="00502226">
              <w:rPr>
                <w:noProof/>
                <w:webHidden/>
              </w:rPr>
              <w:instrText xml:space="preserve"> PAGEREF _Toc33293134 \h </w:instrText>
            </w:r>
            <w:r w:rsidR="00502226">
              <w:rPr>
                <w:noProof/>
                <w:webHidden/>
              </w:rPr>
            </w:r>
            <w:r w:rsidR="00502226">
              <w:rPr>
                <w:noProof/>
                <w:webHidden/>
              </w:rPr>
              <w:fldChar w:fldCharType="separate"/>
            </w:r>
            <w:r w:rsidR="001D64A8">
              <w:rPr>
                <w:noProof/>
                <w:webHidden/>
              </w:rPr>
              <w:t>238</w:t>
            </w:r>
            <w:r w:rsidR="00502226">
              <w:rPr>
                <w:noProof/>
                <w:webHidden/>
              </w:rPr>
              <w:fldChar w:fldCharType="end"/>
            </w:r>
          </w:hyperlink>
        </w:p>
        <w:p w14:paraId="4EF36075" w14:textId="17B34BF1" w:rsidR="00502226" w:rsidRDefault="00D95089">
          <w:pPr>
            <w:pStyle w:val="TOC2"/>
            <w:tabs>
              <w:tab w:val="right" w:leader="dot" w:pos="9016"/>
            </w:tabs>
            <w:rPr>
              <w:noProof/>
              <w:sz w:val="22"/>
              <w:szCs w:val="22"/>
              <w:lang w:val="en-GB" w:eastAsia="en-GB"/>
            </w:rPr>
          </w:pPr>
          <w:hyperlink w:anchor="_Toc33293135" w:history="1">
            <w:r w:rsidR="00502226" w:rsidRPr="000D48FF">
              <w:rPr>
                <w:rStyle w:val="Hyperlink"/>
                <w:rFonts w:ascii="Calibri" w:hAnsi="Calibri" w:cstheme="majorHAnsi"/>
                <w:noProof/>
                <w:lang w:val="en-GB"/>
              </w:rPr>
              <w:t>9.8. Summary</w:t>
            </w:r>
            <w:r w:rsidR="00502226">
              <w:rPr>
                <w:noProof/>
                <w:webHidden/>
              </w:rPr>
              <w:tab/>
            </w:r>
            <w:r w:rsidR="00502226">
              <w:rPr>
                <w:noProof/>
                <w:webHidden/>
              </w:rPr>
              <w:fldChar w:fldCharType="begin"/>
            </w:r>
            <w:r w:rsidR="00502226">
              <w:rPr>
                <w:noProof/>
                <w:webHidden/>
              </w:rPr>
              <w:instrText xml:space="preserve"> PAGEREF _Toc33293135 \h </w:instrText>
            </w:r>
            <w:r w:rsidR="00502226">
              <w:rPr>
                <w:noProof/>
                <w:webHidden/>
              </w:rPr>
            </w:r>
            <w:r w:rsidR="00502226">
              <w:rPr>
                <w:noProof/>
                <w:webHidden/>
              </w:rPr>
              <w:fldChar w:fldCharType="separate"/>
            </w:r>
            <w:r w:rsidR="001D64A8">
              <w:rPr>
                <w:noProof/>
                <w:webHidden/>
              </w:rPr>
              <w:t>240</w:t>
            </w:r>
            <w:r w:rsidR="00502226">
              <w:rPr>
                <w:noProof/>
                <w:webHidden/>
              </w:rPr>
              <w:fldChar w:fldCharType="end"/>
            </w:r>
          </w:hyperlink>
        </w:p>
        <w:p w14:paraId="69C856C9" w14:textId="55992D6F" w:rsidR="00502226" w:rsidRDefault="00D95089">
          <w:pPr>
            <w:pStyle w:val="TOC1"/>
            <w:tabs>
              <w:tab w:val="right" w:leader="dot" w:pos="9016"/>
            </w:tabs>
            <w:rPr>
              <w:noProof/>
              <w:sz w:val="22"/>
              <w:szCs w:val="22"/>
              <w:lang w:val="en-GB" w:eastAsia="en-GB"/>
            </w:rPr>
          </w:pPr>
          <w:hyperlink w:anchor="_Toc33293136" w:history="1">
            <w:r w:rsidR="00502226" w:rsidRPr="000D48FF">
              <w:rPr>
                <w:rStyle w:val="Hyperlink"/>
                <w:rFonts w:ascii="Calibri" w:hAnsi="Calibri" w:cstheme="majorHAnsi"/>
                <w:noProof/>
                <w:lang w:val="en-GB"/>
              </w:rPr>
              <w:t>10. Conclusion</w:t>
            </w:r>
            <w:r w:rsidR="00502226">
              <w:rPr>
                <w:noProof/>
                <w:webHidden/>
              </w:rPr>
              <w:tab/>
            </w:r>
            <w:r w:rsidR="00502226">
              <w:rPr>
                <w:noProof/>
                <w:webHidden/>
              </w:rPr>
              <w:fldChar w:fldCharType="begin"/>
            </w:r>
            <w:r w:rsidR="00502226">
              <w:rPr>
                <w:noProof/>
                <w:webHidden/>
              </w:rPr>
              <w:instrText xml:space="preserve"> PAGEREF _Toc33293136 \h </w:instrText>
            </w:r>
            <w:r w:rsidR="00502226">
              <w:rPr>
                <w:noProof/>
                <w:webHidden/>
              </w:rPr>
            </w:r>
            <w:r w:rsidR="00502226">
              <w:rPr>
                <w:noProof/>
                <w:webHidden/>
              </w:rPr>
              <w:fldChar w:fldCharType="separate"/>
            </w:r>
            <w:r w:rsidR="001D64A8">
              <w:rPr>
                <w:noProof/>
                <w:webHidden/>
              </w:rPr>
              <w:t>242</w:t>
            </w:r>
            <w:r w:rsidR="00502226">
              <w:rPr>
                <w:noProof/>
                <w:webHidden/>
              </w:rPr>
              <w:fldChar w:fldCharType="end"/>
            </w:r>
          </w:hyperlink>
        </w:p>
        <w:p w14:paraId="45B65C53" w14:textId="0A998188" w:rsidR="00502226" w:rsidRDefault="00D95089">
          <w:pPr>
            <w:pStyle w:val="TOC2"/>
            <w:tabs>
              <w:tab w:val="right" w:leader="dot" w:pos="9016"/>
            </w:tabs>
            <w:rPr>
              <w:noProof/>
              <w:sz w:val="22"/>
              <w:szCs w:val="22"/>
              <w:lang w:val="en-GB" w:eastAsia="en-GB"/>
            </w:rPr>
          </w:pPr>
          <w:hyperlink w:anchor="_Toc33293137" w:history="1">
            <w:r w:rsidR="00502226" w:rsidRPr="000D48FF">
              <w:rPr>
                <w:rStyle w:val="Hyperlink"/>
                <w:rFonts w:ascii="Calibri" w:hAnsi="Calibri"/>
                <w:noProof/>
                <w:lang w:val="en-GB"/>
              </w:rPr>
              <w:t>10.1. Recent Developments</w:t>
            </w:r>
            <w:r w:rsidR="00502226">
              <w:rPr>
                <w:noProof/>
                <w:webHidden/>
              </w:rPr>
              <w:tab/>
            </w:r>
            <w:r w:rsidR="00502226">
              <w:rPr>
                <w:noProof/>
                <w:webHidden/>
              </w:rPr>
              <w:fldChar w:fldCharType="begin"/>
            </w:r>
            <w:r w:rsidR="00502226">
              <w:rPr>
                <w:noProof/>
                <w:webHidden/>
              </w:rPr>
              <w:instrText xml:space="preserve"> PAGEREF _Toc33293137 \h </w:instrText>
            </w:r>
            <w:r w:rsidR="00502226">
              <w:rPr>
                <w:noProof/>
                <w:webHidden/>
              </w:rPr>
            </w:r>
            <w:r w:rsidR="00502226">
              <w:rPr>
                <w:noProof/>
                <w:webHidden/>
              </w:rPr>
              <w:fldChar w:fldCharType="separate"/>
            </w:r>
            <w:r w:rsidR="001D64A8">
              <w:rPr>
                <w:noProof/>
                <w:webHidden/>
              </w:rPr>
              <w:t>243</w:t>
            </w:r>
            <w:r w:rsidR="00502226">
              <w:rPr>
                <w:noProof/>
                <w:webHidden/>
              </w:rPr>
              <w:fldChar w:fldCharType="end"/>
            </w:r>
          </w:hyperlink>
        </w:p>
        <w:p w14:paraId="0000A6EF" w14:textId="7D659A47" w:rsidR="00502226" w:rsidRDefault="00D95089">
          <w:pPr>
            <w:pStyle w:val="TOC2"/>
            <w:tabs>
              <w:tab w:val="right" w:leader="dot" w:pos="9016"/>
            </w:tabs>
            <w:rPr>
              <w:noProof/>
              <w:sz w:val="22"/>
              <w:szCs w:val="22"/>
              <w:lang w:val="en-GB" w:eastAsia="en-GB"/>
            </w:rPr>
          </w:pPr>
          <w:hyperlink w:anchor="_Toc33293138" w:history="1">
            <w:r w:rsidR="00502226" w:rsidRPr="000D48FF">
              <w:rPr>
                <w:rStyle w:val="Hyperlink"/>
                <w:rFonts w:ascii="Calibri" w:eastAsiaTheme="majorEastAsia" w:hAnsi="Calibri" w:cstheme="majorHAnsi"/>
                <w:noProof/>
                <w:lang w:val="en-GB"/>
              </w:rPr>
              <w:t>10.1. Contributions of this research</w:t>
            </w:r>
            <w:r w:rsidR="00502226">
              <w:rPr>
                <w:noProof/>
                <w:webHidden/>
              </w:rPr>
              <w:tab/>
            </w:r>
            <w:r w:rsidR="00502226">
              <w:rPr>
                <w:noProof/>
                <w:webHidden/>
              </w:rPr>
              <w:fldChar w:fldCharType="begin"/>
            </w:r>
            <w:r w:rsidR="00502226">
              <w:rPr>
                <w:noProof/>
                <w:webHidden/>
              </w:rPr>
              <w:instrText xml:space="preserve"> PAGEREF _Toc33293138 \h </w:instrText>
            </w:r>
            <w:r w:rsidR="00502226">
              <w:rPr>
                <w:noProof/>
                <w:webHidden/>
              </w:rPr>
            </w:r>
            <w:r w:rsidR="00502226">
              <w:rPr>
                <w:noProof/>
                <w:webHidden/>
              </w:rPr>
              <w:fldChar w:fldCharType="separate"/>
            </w:r>
            <w:r w:rsidR="001D64A8">
              <w:rPr>
                <w:noProof/>
                <w:webHidden/>
              </w:rPr>
              <w:t>244</w:t>
            </w:r>
            <w:r w:rsidR="00502226">
              <w:rPr>
                <w:noProof/>
                <w:webHidden/>
              </w:rPr>
              <w:fldChar w:fldCharType="end"/>
            </w:r>
          </w:hyperlink>
        </w:p>
        <w:p w14:paraId="3410DCF1" w14:textId="3DC82B89" w:rsidR="00502226" w:rsidRDefault="00D95089">
          <w:pPr>
            <w:pStyle w:val="TOC2"/>
            <w:tabs>
              <w:tab w:val="right" w:leader="dot" w:pos="9016"/>
            </w:tabs>
            <w:rPr>
              <w:noProof/>
              <w:sz w:val="22"/>
              <w:szCs w:val="22"/>
              <w:lang w:val="en-GB" w:eastAsia="en-GB"/>
            </w:rPr>
          </w:pPr>
          <w:hyperlink w:anchor="_Toc33293139" w:history="1">
            <w:r w:rsidR="00502226" w:rsidRPr="000D48FF">
              <w:rPr>
                <w:rStyle w:val="Hyperlink"/>
                <w:rFonts w:ascii="Calibri" w:eastAsiaTheme="majorEastAsia" w:hAnsi="Calibri" w:cstheme="majorHAnsi"/>
                <w:noProof/>
                <w:lang w:val="en-GB"/>
              </w:rPr>
              <w:t>10.2. Future research</w:t>
            </w:r>
            <w:r w:rsidR="00502226">
              <w:rPr>
                <w:noProof/>
                <w:webHidden/>
              </w:rPr>
              <w:tab/>
            </w:r>
            <w:r w:rsidR="00502226">
              <w:rPr>
                <w:noProof/>
                <w:webHidden/>
              </w:rPr>
              <w:fldChar w:fldCharType="begin"/>
            </w:r>
            <w:r w:rsidR="00502226">
              <w:rPr>
                <w:noProof/>
                <w:webHidden/>
              </w:rPr>
              <w:instrText xml:space="preserve"> PAGEREF _Toc33293139 \h </w:instrText>
            </w:r>
            <w:r w:rsidR="00502226">
              <w:rPr>
                <w:noProof/>
                <w:webHidden/>
              </w:rPr>
            </w:r>
            <w:r w:rsidR="00502226">
              <w:rPr>
                <w:noProof/>
                <w:webHidden/>
              </w:rPr>
              <w:fldChar w:fldCharType="separate"/>
            </w:r>
            <w:r w:rsidR="001D64A8">
              <w:rPr>
                <w:noProof/>
                <w:webHidden/>
              </w:rPr>
              <w:t>249</w:t>
            </w:r>
            <w:r w:rsidR="00502226">
              <w:rPr>
                <w:noProof/>
                <w:webHidden/>
              </w:rPr>
              <w:fldChar w:fldCharType="end"/>
            </w:r>
          </w:hyperlink>
        </w:p>
        <w:p w14:paraId="05F8D349" w14:textId="06263457" w:rsidR="00502226" w:rsidRDefault="00D95089">
          <w:pPr>
            <w:pStyle w:val="TOC1"/>
            <w:tabs>
              <w:tab w:val="right" w:leader="dot" w:pos="9016"/>
            </w:tabs>
            <w:rPr>
              <w:noProof/>
              <w:sz w:val="22"/>
              <w:szCs w:val="22"/>
              <w:lang w:val="en-GB" w:eastAsia="en-GB"/>
            </w:rPr>
          </w:pPr>
          <w:hyperlink w:anchor="_Toc33293140" w:history="1">
            <w:r w:rsidR="00502226" w:rsidRPr="000D48FF">
              <w:rPr>
                <w:rStyle w:val="Hyperlink"/>
                <w:rFonts w:ascii="Calibri" w:hAnsi="Calibri" w:cstheme="majorHAnsi"/>
                <w:noProof/>
                <w:lang w:val="en-GB"/>
              </w:rPr>
              <w:t>References</w:t>
            </w:r>
            <w:r w:rsidR="00502226">
              <w:rPr>
                <w:noProof/>
                <w:webHidden/>
              </w:rPr>
              <w:tab/>
            </w:r>
            <w:r w:rsidR="00502226">
              <w:rPr>
                <w:noProof/>
                <w:webHidden/>
              </w:rPr>
              <w:fldChar w:fldCharType="begin"/>
            </w:r>
            <w:r w:rsidR="00502226">
              <w:rPr>
                <w:noProof/>
                <w:webHidden/>
              </w:rPr>
              <w:instrText xml:space="preserve"> PAGEREF _Toc33293140 \h </w:instrText>
            </w:r>
            <w:r w:rsidR="00502226">
              <w:rPr>
                <w:noProof/>
                <w:webHidden/>
              </w:rPr>
            </w:r>
            <w:r w:rsidR="00502226">
              <w:rPr>
                <w:noProof/>
                <w:webHidden/>
              </w:rPr>
              <w:fldChar w:fldCharType="separate"/>
            </w:r>
            <w:r w:rsidR="001D64A8">
              <w:rPr>
                <w:noProof/>
                <w:webHidden/>
              </w:rPr>
              <w:t>252</w:t>
            </w:r>
            <w:r w:rsidR="00502226">
              <w:rPr>
                <w:noProof/>
                <w:webHidden/>
              </w:rPr>
              <w:fldChar w:fldCharType="end"/>
            </w:r>
          </w:hyperlink>
        </w:p>
        <w:p w14:paraId="5E07E17E" w14:textId="7DA25602" w:rsidR="002D6E5D" w:rsidRPr="00C10E4A" w:rsidRDefault="00AF4144" w:rsidP="00565C53">
          <w:pPr>
            <w:spacing w:line="360" w:lineRule="auto"/>
            <w:jc w:val="both"/>
            <w:rPr>
              <w:rFonts w:ascii="Calibri" w:hAnsi="Calibri" w:cstheme="majorHAnsi"/>
              <w:lang w:val="en-GB"/>
            </w:rPr>
            <w:sectPr w:rsidR="002D6E5D" w:rsidRPr="00C10E4A">
              <w:pgSz w:w="11906" w:h="16838"/>
              <w:pgMar w:top="1440" w:right="1440" w:bottom="1440" w:left="1440" w:header="708" w:footer="708" w:gutter="0"/>
              <w:cols w:space="708"/>
              <w:docGrid w:linePitch="360"/>
            </w:sectPr>
          </w:pPr>
          <w:r w:rsidRPr="00C10E4A">
            <w:rPr>
              <w:rFonts w:ascii="Calibri" w:hAnsi="Calibri" w:cstheme="majorHAnsi"/>
              <w:lang w:val="en-GB"/>
            </w:rPr>
            <w:fldChar w:fldCharType="end"/>
          </w:r>
        </w:p>
      </w:sdtContent>
    </w:sdt>
    <w:p w14:paraId="2596FDC6" w14:textId="385ADFDA" w:rsidR="00F32A9B" w:rsidRPr="004E053C" w:rsidRDefault="00220995" w:rsidP="004E053C">
      <w:pPr>
        <w:pStyle w:val="Heading1"/>
        <w:spacing w:line="360" w:lineRule="auto"/>
        <w:jc w:val="both"/>
        <w:rPr>
          <w:rFonts w:asciiTheme="minorHAnsi" w:hAnsiTheme="minorHAnsi" w:cstheme="majorHAnsi"/>
          <w:b w:val="0"/>
          <w:lang w:val="en-GB"/>
        </w:rPr>
      </w:pPr>
      <w:bookmarkStart w:id="4" w:name="_Toc33293068"/>
      <w:r w:rsidRPr="004E053C">
        <w:rPr>
          <w:rFonts w:asciiTheme="minorHAnsi" w:hAnsiTheme="minorHAnsi" w:cstheme="majorHAnsi"/>
          <w:b w:val="0"/>
          <w:lang w:val="en-GB"/>
        </w:rPr>
        <w:lastRenderedPageBreak/>
        <w:t xml:space="preserve">1. </w:t>
      </w:r>
      <w:r w:rsidR="00713CC4" w:rsidRPr="004E053C">
        <w:rPr>
          <w:rFonts w:asciiTheme="minorHAnsi" w:hAnsiTheme="minorHAnsi" w:cstheme="majorHAnsi"/>
          <w:b w:val="0"/>
          <w:lang w:val="en-GB"/>
        </w:rPr>
        <w:t>Introduction</w:t>
      </w:r>
      <w:bookmarkEnd w:id="4"/>
    </w:p>
    <w:p w14:paraId="2C925525" w14:textId="77777777" w:rsidR="00EB2BA8" w:rsidRPr="004E053C" w:rsidRDefault="00EB2BA8" w:rsidP="004E053C">
      <w:pPr>
        <w:spacing w:line="360" w:lineRule="auto"/>
        <w:jc w:val="both"/>
        <w:rPr>
          <w:rFonts w:cstheme="majorHAnsi"/>
          <w:lang w:val="en-GB"/>
        </w:rPr>
      </w:pPr>
    </w:p>
    <w:p w14:paraId="04D93979" w14:textId="77777777" w:rsidR="00EB2BA8" w:rsidRPr="004E053C" w:rsidRDefault="00EB2BA8" w:rsidP="004E053C">
      <w:pPr>
        <w:pStyle w:val="Heading2"/>
        <w:spacing w:before="0" w:line="360" w:lineRule="auto"/>
        <w:jc w:val="both"/>
        <w:rPr>
          <w:rFonts w:cstheme="majorHAnsi"/>
          <w:lang w:val="en-GB"/>
        </w:rPr>
      </w:pPr>
      <w:bookmarkStart w:id="5" w:name="_Toc33293069"/>
      <w:r w:rsidRPr="004E053C">
        <w:rPr>
          <w:rFonts w:cstheme="majorHAnsi"/>
          <w:lang w:val="en-GB"/>
        </w:rPr>
        <w:t>1.1. Background</w:t>
      </w:r>
      <w:bookmarkEnd w:id="5"/>
      <w:r w:rsidRPr="004E053C">
        <w:rPr>
          <w:rFonts w:cstheme="majorHAnsi"/>
          <w:lang w:val="en-GB"/>
        </w:rPr>
        <w:t xml:space="preserve"> </w:t>
      </w:r>
    </w:p>
    <w:p w14:paraId="1C7E7FF2" w14:textId="77777777" w:rsidR="00EB2BA8" w:rsidRPr="004E053C" w:rsidRDefault="00EB2BA8" w:rsidP="004E053C">
      <w:pPr>
        <w:spacing w:line="360" w:lineRule="auto"/>
        <w:jc w:val="both"/>
        <w:rPr>
          <w:rFonts w:cstheme="majorHAnsi"/>
          <w:sz w:val="22"/>
          <w:szCs w:val="22"/>
          <w:lang w:val="en-GB"/>
        </w:rPr>
      </w:pPr>
    </w:p>
    <w:p w14:paraId="06D44D0B" w14:textId="727A391F" w:rsidR="00784F2E" w:rsidRPr="004E053C" w:rsidRDefault="00EB2BA8" w:rsidP="004E053C">
      <w:pPr>
        <w:spacing w:line="360" w:lineRule="auto"/>
        <w:jc w:val="both"/>
        <w:rPr>
          <w:rFonts w:cstheme="majorHAnsi"/>
          <w:sz w:val="22"/>
          <w:szCs w:val="22"/>
          <w:lang w:val="en-GB"/>
        </w:rPr>
      </w:pPr>
      <w:r w:rsidRPr="004E053C">
        <w:rPr>
          <w:rFonts w:cstheme="majorHAnsi"/>
          <w:sz w:val="22"/>
          <w:szCs w:val="22"/>
          <w:lang w:val="en-GB"/>
        </w:rPr>
        <w:t>Artisanal and small-scal</w:t>
      </w:r>
      <w:r w:rsidR="00D57942" w:rsidRPr="004E053C">
        <w:rPr>
          <w:rFonts w:cstheme="majorHAnsi"/>
          <w:sz w:val="22"/>
          <w:szCs w:val="22"/>
          <w:lang w:val="en-GB"/>
        </w:rPr>
        <w:t xml:space="preserve">e </w:t>
      </w:r>
      <w:r w:rsidR="002D6E5D" w:rsidRPr="004E053C">
        <w:rPr>
          <w:rFonts w:cstheme="majorHAnsi"/>
          <w:sz w:val="22"/>
          <w:szCs w:val="22"/>
          <w:lang w:val="en-GB"/>
        </w:rPr>
        <w:t>mining</w:t>
      </w:r>
      <w:r w:rsidR="00D57942" w:rsidRPr="004E053C">
        <w:rPr>
          <w:rFonts w:cstheme="majorHAnsi"/>
          <w:sz w:val="22"/>
          <w:szCs w:val="22"/>
          <w:lang w:val="en-GB"/>
        </w:rPr>
        <w:t xml:space="preserve"> (ASM)</w:t>
      </w:r>
      <w:r w:rsidR="002D6E5D" w:rsidRPr="004E053C">
        <w:rPr>
          <w:rFonts w:cstheme="majorHAnsi"/>
          <w:sz w:val="22"/>
          <w:szCs w:val="22"/>
          <w:lang w:val="en-GB"/>
        </w:rPr>
        <w:t xml:space="preserve"> is recognis</w:t>
      </w:r>
      <w:r w:rsidRPr="004E053C">
        <w:rPr>
          <w:rFonts w:cstheme="majorHAnsi"/>
          <w:sz w:val="22"/>
          <w:szCs w:val="22"/>
          <w:lang w:val="en-GB"/>
        </w:rPr>
        <w:t>ed as providing an important source of livelihood for poor families in mineral-rich co</w:t>
      </w:r>
      <w:r w:rsidR="00060D17" w:rsidRPr="004E053C">
        <w:rPr>
          <w:rFonts w:cstheme="majorHAnsi"/>
          <w:sz w:val="22"/>
          <w:szCs w:val="22"/>
          <w:lang w:val="en-GB"/>
        </w:rPr>
        <w:t>untries in the Global S</w:t>
      </w:r>
      <w:r w:rsidR="00907034" w:rsidRPr="004E053C">
        <w:rPr>
          <w:rFonts w:cstheme="majorHAnsi"/>
          <w:sz w:val="22"/>
          <w:szCs w:val="22"/>
          <w:lang w:val="en-GB"/>
        </w:rPr>
        <w:t>outh. The sector</w:t>
      </w:r>
      <w:r w:rsidRPr="004E053C">
        <w:rPr>
          <w:rFonts w:cstheme="majorHAnsi"/>
          <w:sz w:val="22"/>
          <w:szCs w:val="22"/>
          <w:lang w:val="en-GB"/>
        </w:rPr>
        <w:t xml:space="preserve"> represents an increasingly significant part of the rural economy, particularly as global pressures continue to reduce the profitability of agriculture. In</w:t>
      </w:r>
      <w:r w:rsidR="00060D17" w:rsidRPr="004E053C">
        <w:rPr>
          <w:rFonts w:cstheme="majorHAnsi"/>
          <w:sz w:val="22"/>
          <w:szCs w:val="22"/>
          <w:lang w:val="en-GB"/>
        </w:rPr>
        <w:t xml:space="preserve"> several</w:t>
      </w:r>
      <w:r w:rsidRPr="004E053C">
        <w:rPr>
          <w:rFonts w:cstheme="majorHAnsi"/>
          <w:sz w:val="22"/>
          <w:szCs w:val="22"/>
          <w:lang w:val="en-GB"/>
        </w:rPr>
        <w:t xml:space="preserve"> countries in Latin America, ASM provides an opportunity for poor f</w:t>
      </w:r>
      <w:r w:rsidR="00581079" w:rsidRPr="004E053C">
        <w:rPr>
          <w:rFonts w:cstheme="majorHAnsi"/>
          <w:sz w:val="22"/>
          <w:szCs w:val="22"/>
          <w:lang w:val="en-GB"/>
        </w:rPr>
        <w:t xml:space="preserve">amilies to benefit from natural </w:t>
      </w:r>
      <w:r w:rsidRPr="004E053C">
        <w:rPr>
          <w:rFonts w:cstheme="majorHAnsi"/>
          <w:sz w:val="22"/>
          <w:szCs w:val="22"/>
          <w:lang w:val="en-GB"/>
        </w:rPr>
        <w:t>resource endowments</w:t>
      </w:r>
      <w:r w:rsidR="00030E91">
        <w:rPr>
          <w:rFonts w:cstheme="majorHAnsi"/>
          <w:sz w:val="22"/>
          <w:szCs w:val="22"/>
          <w:lang w:val="en-GB"/>
        </w:rPr>
        <w:t xml:space="preserve"> in a way that large-scale </w:t>
      </w:r>
      <w:r w:rsidRPr="004E053C">
        <w:rPr>
          <w:rFonts w:cstheme="majorHAnsi"/>
          <w:sz w:val="22"/>
          <w:szCs w:val="22"/>
          <w:lang w:val="en-GB"/>
        </w:rPr>
        <w:t xml:space="preserve">extraction </w:t>
      </w:r>
      <w:r w:rsidR="00907034" w:rsidRPr="004E053C">
        <w:rPr>
          <w:rFonts w:cstheme="majorHAnsi"/>
          <w:sz w:val="22"/>
          <w:szCs w:val="22"/>
          <w:lang w:val="en-GB"/>
        </w:rPr>
        <w:t xml:space="preserve">often </w:t>
      </w:r>
      <w:r w:rsidRPr="004E053C">
        <w:rPr>
          <w:rFonts w:cstheme="majorHAnsi"/>
          <w:sz w:val="22"/>
          <w:szCs w:val="22"/>
          <w:lang w:val="en-GB"/>
        </w:rPr>
        <w:t>does not. However, the environmental im</w:t>
      </w:r>
      <w:r w:rsidR="00581079" w:rsidRPr="004E053C">
        <w:rPr>
          <w:rFonts w:cstheme="majorHAnsi"/>
          <w:sz w:val="22"/>
          <w:szCs w:val="22"/>
          <w:lang w:val="en-GB"/>
        </w:rPr>
        <w:t xml:space="preserve">pact of ASM is devastating. In the </w:t>
      </w:r>
      <w:r w:rsidRPr="004E053C">
        <w:rPr>
          <w:rFonts w:cstheme="majorHAnsi"/>
          <w:sz w:val="22"/>
          <w:szCs w:val="22"/>
          <w:lang w:val="en-GB"/>
        </w:rPr>
        <w:t>Amazonian region of Madre de Dios</w:t>
      </w:r>
      <w:r w:rsidR="00581079" w:rsidRPr="004E053C">
        <w:rPr>
          <w:rFonts w:cstheme="majorHAnsi"/>
          <w:sz w:val="22"/>
          <w:szCs w:val="22"/>
          <w:lang w:val="en-GB"/>
        </w:rPr>
        <w:t xml:space="preserve"> in Peru</w:t>
      </w:r>
      <w:r w:rsidR="00030E91">
        <w:rPr>
          <w:rFonts w:cstheme="majorHAnsi"/>
          <w:sz w:val="22"/>
          <w:szCs w:val="22"/>
          <w:lang w:val="en-GB"/>
        </w:rPr>
        <w:t>, mining of gold deposits</w:t>
      </w:r>
      <w:r w:rsidRPr="004E053C">
        <w:rPr>
          <w:rFonts w:cstheme="majorHAnsi"/>
          <w:sz w:val="22"/>
          <w:szCs w:val="22"/>
          <w:lang w:val="en-GB"/>
        </w:rPr>
        <w:t xml:space="preserve"> resulted in the deforestation of 64,586 ha of rainfore</w:t>
      </w:r>
      <w:r w:rsidR="00581079" w:rsidRPr="004E053C">
        <w:rPr>
          <w:rFonts w:cstheme="majorHAnsi"/>
          <w:sz w:val="22"/>
          <w:szCs w:val="22"/>
          <w:lang w:val="en-GB"/>
        </w:rPr>
        <w:t>st between 2009 and 2017, continuing</w:t>
      </w:r>
      <w:r w:rsidRPr="004E053C">
        <w:rPr>
          <w:rFonts w:cstheme="majorHAnsi"/>
          <w:sz w:val="22"/>
          <w:szCs w:val="22"/>
          <w:lang w:val="en-GB"/>
        </w:rPr>
        <w:t xml:space="preserve"> at an accelerating pace throughout that period </w:t>
      </w:r>
      <w:r w:rsidR="00D37045" w:rsidRPr="004E053C">
        <w:rPr>
          <w:rFonts w:cstheme="majorHAnsi"/>
          <w:sz w:val="22"/>
          <w:szCs w:val="22"/>
          <w:lang w:val="en-GB"/>
        </w:rPr>
        <w:t>(</w:t>
      </w:r>
      <w:r w:rsidR="00D37045" w:rsidRPr="004E053C">
        <w:rPr>
          <w:rFonts w:cstheme="majorHAnsi"/>
          <w:sz w:val="22"/>
          <w:szCs w:val="22"/>
          <w:lang w:val="en-GB"/>
        </w:rPr>
        <w:fldChar w:fldCharType="begin" w:fldLock="1"/>
      </w:r>
      <w:r w:rsidR="00D37045" w:rsidRPr="004E053C">
        <w:rPr>
          <w:rFonts w:cstheme="majorHAnsi"/>
          <w:sz w:val="22"/>
          <w:szCs w:val="22"/>
          <w:lang w:val="en-GB"/>
        </w:rPr>
        <w:instrText>ADDIN CSL_CITATION {"citationItems":[{"id":"ITEM-1","itemData":{"author":[{"dropping-particle":"","family":"Centro de Innovacion Cientifica Amazonica (CINCIA)","given":"","non-dropping-particle":"","parse-names":false,"suffix":""}],"id":"ITEM-1","issued":{"date-parts":[["2018"]]},"publisher-place":"Puerto Maldonado","title":"Three Decades of Deforestation from Artisanal Gold Mining in the Peruvian Amazon","type":"report"},"uris":["http://www.mendeley.com/documents/?uuid=733082f8-84aa-43d7-a312-31bd9e22d7a1"]}],"mendeley":{"formattedCitation":"(Centro de Innovacion Cientifica Amazonica (CINCIA), 2018)","manualFormatting":"CINCIA, 2018)","plainTextFormattedCitation":"(Centro de Innovacion Cientifica Amazonica (CINCIA), 2018)","previouslyFormattedCitation":"(Centro de Innovacion Cientifica Amazonica (CINCIA), 2018)"},"properties":{"noteIndex":0},"schema":"https://github.com/citation-style-language/schema/raw/master/csl-citation.json"}</w:instrText>
      </w:r>
      <w:r w:rsidR="00D37045" w:rsidRPr="004E053C">
        <w:rPr>
          <w:rFonts w:cstheme="majorHAnsi"/>
          <w:sz w:val="22"/>
          <w:szCs w:val="22"/>
          <w:lang w:val="en-GB"/>
        </w:rPr>
        <w:fldChar w:fldCharType="separate"/>
      </w:r>
      <w:r w:rsidR="00D37045" w:rsidRPr="004E053C">
        <w:rPr>
          <w:rFonts w:cstheme="majorHAnsi"/>
          <w:noProof/>
          <w:sz w:val="22"/>
          <w:szCs w:val="22"/>
          <w:lang w:val="en-GB"/>
        </w:rPr>
        <w:t>CINCIA, 2018)</w:t>
      </w:r>
      <w:r w:rsidR="00D37045" w:rsidRPr="004E053C">
        <w:rPr>
          <w:rFonts w:cstheme="majorHAnsi"/>
          <w:sz w:val="22"/>
          <w:szCs w:val="22"/>
          <w:lang w:val="en-GB"/>
        </w:rPr>
        <w:fldChar w:fldCharType="end"/>
      </w:r>
      <w:r w:rsidR="005956E6" w:rsidRPr="004E053C">
        <w:rPr>
          <w:rFonts w:cstheme="majorHAnsi"/>
          <w:sz w:val="22"/>
          <w:szCs w:val="22"/>
          <w:lang w:val="en-GB"/>
        </w:rPr>
        <w:t xml:space="preserve">. </w:t>
      </w:r>
      <w:r w:rsidR="00581079" w:rsidRPr="004E053C">
        <w:rPr>
          <w:rFonts w:cstheme="majorHAnsi"/>
          <w:sz w:val="22"/>
          <w:szCs w:val="22"/>
          <w:lang w:val="en-GB"/>
        </w:rPr>
        <w:t xml:space="preserve">Pollution is also a problem, with the </w:t>
      </w:r>
      <w:r w:rsidR="00907034" w:rsidRPr="004E053C">
        <w:rPr>
          <w:rFonts w:cstheme="majorHAnsi"/>
          <w:sz w:val="22"/>
          <w:szCs w:val="22"/>
          <w:lang w:val="en-GB"/>
        </w:rPr>
        <w:t>mercury</w:t>
      </w:r>
      <w:r w:rsidR="00581079" w:rsidRPr="004E053C">
        <w:rPr>
          <w:rFonts w:cstheme="majorHAnsi"/>
          <w:sz w:val="22"/>
          <w:szCs w:val="22"/>
          <w:lang w:val="en-GB"/>
        </w:rPr>
        <w:t xml:space="preserve"> and cyanide</w:t>
      </w:r>
      <w:r w:rsidR="00907034" w:rsidRPr="004E053C">
        <w:rPr>
          <w:rFonts w:cstheme="majorHAnsi"/>
          <w:sz w:val="22"/>
          <w:szCs w:val="22"/>
          <w:lang w:val="en-GB"/>
        </w:rPr>
        <w:t xml:space="preserve"> </w:t>
      </w:r>
      <w:r w:rsidR="00030E91">
        <w:rPr>
          <w:rFonts w:cstheme="majorHAnsi"/>
          <w:sz w:val="22"/>
          <w:szCs w:val="22"/>
          <w:lang w:val="en-GB"/>
        </w:rPr>
        <w:t>used in gold mining activities</w:t>
      </w:r>
      <w:r w:rsidR="00581079" w:rsidRPr="004E053C">
        <w:rPr>
          <w:rFonts w:cstheme="majorHAnsi"/>
          <w:sz w:val="22"/>
          <w:szCs w:val="22"/>
          <w:lang w:val="en-GB"/>
        </w:rPr>
        <w:t xml:space="preserve"> </w:t>
      </w:r>
      <w:r w:rsidRPr="004E053C">
        <w:rPr>
          <w:rFonts w:cstheme="majorHAnsi"/>
          <w:sz w:val="22"/>
          <w:szCs w:val="22"/>
          <w:lang w:val="en-GB"/>
        </w:rPr>
        <w:t>po</w:t>
      </w:r>
      <w:r w:rsidR="00581079" w:rsidRPr="004E053C">
        <w:rPr>
          <w:rFonts w:cstheme="majorHAnsi"/>
          <w:sz w:val="22"/>
          <w:szCs w:val="22"/>
          <w:lang w:val="en-GB"/>
        </w:rPr>
        <w:t>sing</w:t>
      </w:r>
      <w:r w:rsidR="00907034" w:rsidRPr="004E053C">
        <w:rPr>
          <w:rFonts w:cstheme="majorHAnsi"/>
          <w:sz w:val="22"/>
          <w:szCs w:val="22"/>
          <w:lang w:val="en-GB"/>
        </w:rPr>
        <w:t xml:space="preserve"> a threat to local waterways</w:t>
      </w:r>
      <w:r w:rsidRPr="004E053C">
        <w:rPr>
          <w:rFonts w:cstheme="majorHAnsi"/>
          <w:sz w:val="22"/>
          <w:szCs w:val="22"/>
          <w:lang w:val="en-GB"/>
        </w:rPr>
        <w:t xml:space="preserve"> and human he</w:t>
      </w:r>
      <w:r w:rsidR="00D37045" w:rsidRPr="004E053C">
        <w:rPr>
          <w:rFonts w:cstheme="majorHAnsi"/>
          <w:sz w:val="22"/>
          <w:szCs w:val="22"/>
          <w:lang w:val="en-GB"/>
        </w:rPr>
        <w:t xml:space="preserve">alth </w:t>
      </w:r>
      <w:r w:rsidR="00D37045" w:rsidRPr="004E053C">
        <w:rPr>
          <w:rFonts w:cstheme="majorHAnsi"/>
          <w:sz w:val="22"/>
          <w:szCs w:val="22"/>
          <w:lang w:val="en-GB"/>
        </w:rPr>
        <w:fldChar w:fldCharType="begin" w:fldLock="1"/>
      </w:r>
      <w:r w:rsidR="001A4C6E" w:rsidRPr="004E053C">
        <w:rPr>
          <w:rFonts w:cstheme="majorHAnsi"/>
          <w:sz w:val="22"/>
          <w:szCs w:val="22"/>
          <w:lang w:val="en-GB"/>
        </w:rPr>
        <w:instrText>ADDIN CSL_CITATION {"citationItems":[{"id":"ITEM-1","itemData":{"author":[{"dropping-particle":"","family":"Martinez","given":"G","non-dropping-particle":"","parse-names":false,"suffix":""},{"dropping-particle":"","family":"McCord","given":"S","non-dropping-particle":"","parse-names":false,"suffix":""},{"dropping-particle":"","family":"Driscoll","given":"C","non-dropping-particle":"","parse-names":false,"suffix":""},{"dropping-particle":"","family":"Todorova","given":"S","non-dropping-particle":"","parse-names":false,"suffix":""},{"dropping-particle":"","family":"Wu.","given":"S","non-dropping-particle":"","parse-names":false,"suffix":""},{"dropping-particle":"","family":"Araujo","given":"J.F","non-dropping-particle":"","parse-names":false,"suffix":""},{"dropping-particle":"","family":"Vega","given":"C.M","non-dropping-particle":"","parse-names":false,"suffix":""},{"dropping-particle":"","family":"Fernandez","given":"C.M.","non-dropping-particle":"","parse-names":false,"suffix":""}],"container-title":"International Journal Environmental Research and Public Health","id":"ITEM-1","issue":"8","issued":{"date-parts":[["2018"]]},"page":"1584","title":"Mercury contamination in riverine sediments and fish associated with artisanal and small-scale gold mining in Madre de Dios, Peru","type":"article-journal","volume":"15"},"uris":["http://www.mendeley.com/documents/?uuid=f7692328-22a9-49ba-b2c1-81aaa24a9320"]}],"mendeley":{"formattedCitation":"(Martinez et al., 2018)","plainTextFormattedCitation":"(Martinez et al., 2018)","previouslyFormattedCitation":"(Martinez et al., 2018)"},"properties":{"noteIndex":0},"schema":"https://github.com/citation-style-language/schema/raw/master/csl-citation.json"}</w:instrText>
      </w:r>
      <w:r w:rsidR="00D37045" w:rsidRPr="004E053C">
        <w:rPr>
          <w:rFonts w:cstheme="majorHAnsi"/>
          <w:sz w:val="22"/>
          <w:szCs w:val="22"/>
          <w:lang w:val="en-GB"/>
        </w:rPr>
        <w:fldChar w:fldCharType="separate"/>
      </w:r>
      <w:r w:rsidR="00D37045" w:rsidRPr="004E053C">
        <w:rPr>
          <w:rFonts w:cstheme="majorHAnsi"/>
          <w:noProof/>
          <w:sz w:val="22"/>
          <w:szCs w:val="22"/>
          <w:lang w:val="en-GB"/>
        </w:rPr>
        <w:t>(Martinez et al., 2018)</w:t>
      </w:r>
      <w:r w:rsidR="00D37045" w:rsidRPr="004E053C">
        <w:rPr>
          <w:rFonts w:cstheme="majorHAnsi"/>
          <w:sz w:val="22"/>
          <w:szCs w:val="22"/>
          <w:lang w:val="en-GB"/>
        </w:rPr>
        <w:fldChar w:fldCharType="end"/>
      </w:r>
      <w:r w:rsidR="00516970" w:rsidRPr="004E053C">
        <w:rPr>
          <w:rFonts w:cstheme="majorHAnsi"/>
          <w:sz w:val="22"/>
          <w:szCs w:val="22"/>
          <w:lang w:val="en-GB"/>
        </w:rPr>
        <w:t>. There is a clear need for policy reform</w:t>
      </w:r>
      <w:r w:rsidR="00D57942" w:rsidRPr="004E053C">
        <w:rPr>
          <w:rFonts w:cstheme="majorHAnsi"/>
          <w:sz w:val="22"/>
          <w:szCs w:val="22"/>
          <w:lang w:val="en-GB"/>
        </w:rPr>
        <w:t xml:space="preserve"> in the sector in order to create sustainable transformations</w:t>
      </w:r>
      <w:r w:rsidR="00516970" w:rsidRPr="004E053C">
        <w:rPr>
          <w:rFonts w:cstheme="majorHAnsi"/>
          <w:sz w:val="22"/>
          <w:szCs w:val="22"/>
          <w:lang w:val="en-GB"/>
        </w:rPr>
        <w:t>, but the</w:t>
      </w:r>
      <w:r w:rsidRPr="004E053C">
        <w:rPr>
          <w:rFonts w:cstheme="majorHAnsi"/>
          <w:sz w:val="22"/>
          <w:szCs w:val="22"/>
          <w:lang w:val="en-GB"/>
        </w:rPr>
        <w:t xml:space="preserve"> current approach of the Peruvian state has effectively </w:t>
      </w:r>
      <w:r w:rsidR="00091107" w:rsidRPr="004E053C">
        <w:rPr>
          <w:rFonts w:cstheme="majorHAnsi"/>
          <w:sz w:val="22"/>
          <w:szCs w:val="22"/>
          <w:lang w:val="en-GB"/>
        </w:rPr>
        <w:t>criminalise</w:t>
      </w:r>
      <w:r w:rsidRPr="004E053C">
        <w:rPr>
          <w:rFonts w:cstheme="majorHAnsi"/>
          <w:sz w:val="22"/>
          <w:szCs w:val="22"/>
          <w:lang w:val="en-GB"/>
        </w:rPr>
        <w:t>d the sector, pus</w:t>
      </w:r>
      <w:r w:rsidR="004534F9" w:rsidRPr="004E053C">
        <w:rPr>
          <w:rFonts w:cstheme="majorHAnsi"/>
          <w:sz w:val="22"/>
          <w:szCs w:val="22"/>
          <w:lang w:val="en-GB"/>
        </w:rPr>
        <w:t>hing it further into illegality. While this h</w:t>
      </w:r>
      <w:r w:rsidR="002D6E5D" w:rsidRPr="004E053C">
        <w:rPr>
          <w:rFonts w:cstheme="majorHAnsi"/>
          <w:sz w:val="22"/>
          <w:szCs w:val="22"/>
          <w:lang w:val="en-GB"/>
        </w:rPr>
        <w:t>as contributed to the marginalis</w:t>
      </w:r>
      <w:r w:rsidR="004534F9" w:rsidRPr="004E053C">
        <w:rPr>
          <w:rFonts w:cstheme="majorHAnsi"/>
          <w:sz w:val="22"/>
          <w:szCs w:val="22"/>
          <w:lang w:val="en-GB"/>
        </w:rPr>
        <w:t xml:space="preserve">ation of those working in the sector, it has had little </w:t>
      </w:r>
      <w:r w:rsidRPr="004E053C">
        <w:rPr>
          <w:rFonts w:cstheme="majorHAnsi"/>
          <w:sz w:val="22"/>
          <w:szCs w:val="22"/>
          <w:lang w:val="en-GB"/>
        </w:rPr>
        <w:t xml:space="preserve">discernible impact on </w:t>
      </w:r>
      <w:r w:rsidR="00F834D8" w:rsidRPr="004E053C">
        <w:rPr>
          <w:rFonts w:cstheme="majorHAnsi"/>
          <w:sz w:val="22"/>
          <w:szCs w:val="22"/>
          <w:lang w:val="en-GB"/>
        </w:rPr>
        <w:t xml:space="preserve">the </w:t>
      </w:r>
      <w:r w:rsidRPr="004E053C">
        <w:rPr>
          <w:rFonts w:cstheme="majorHAnsi"/>
          <w:sz w:val="22"/>
          <w:szCs w:val="22"/>
          <w:lang w:val="en-GB"/>
        </w:rPr>
        <w:t>number</w:t>
      </w:r>
      <w:r w:rsidR="00F834D8" w:rsidRPr="004E053C">
        <w:rPr>
          <w:rFonts w:cstheme="majorHAnsi"/>
          <w:sz w:val="22"/>
          <w:szCs w:val="22"/>
          <w:lang w:val="en-GB"/>
        </w:rPr>
        <w:t xml:space="preserve"> of mining operatives</w:t>
      </w:r>
      <w:r w:rsidRPr="004E053C">
        <w:rPr>
          <w:rFonts w:cstheme="majorHAnsi"/>
          <w:sz w:val="22"/>
          <w:szCs w:val="22"/>
          <w:lang w:val="en-GB"/>
        </w:rPr>
        <w:t xml:space="preserve">. </w:t>
      </w:r>
    </w:p>
    <w:p w14:paraId="31944B46" w14:textId="7EF21EB9" w:rsidR="00516970" w:rsidRPr="004E053C" w:rsidRDefault="00516970" w:rsidP="004E053C">
      <w:pPr>
        <w:spacing w:line="360" w:lineRule="auto"/>
        <w:jc w:val="both"/>
        <w:rPr>
          <w:rFonts w:cstheme="majorHAnsi"/>
          <w:sz w:val="22"/>
          <w:szCs w:val="22"/>
          <w:lang w:val="en-GB"/>
        </w:rPr>
      </w:pPr>
    </w:p>
    <w:p w14:paraId="4786CF84" w14:textId="55EE4D6D" w:rsidR="004F2501" w:rsidRPr="004E053C" w:rsidRDefault="00516970" w:rsidP="004E053C">
      <w:pPr>
        <w:widowControl w:val="0"/>
        <w:autoSpaceDE w:val="0"/>
        <w:autoSpaceDN w:val="0"/>
        <w:adjustRightInd w:val="0"/>
        <w:spacing w:line="360" w:lineRule="auto"/>
        <w:jc w:val="both"/>
        <w:rPr>
          <w:rFonts w:cstheme="majorHAnsi"/>
          <w:sz w:val="22"/>
          <w:szCs w:val="22"/>
          <w:lang w:val="en-GB" w:eastAsia="zh-CN"/>
        </w:rPr>
      </w:pPr>
      <w:r w:rsidRPr="004E053C">
        <w:rPr>
          <w:rFonts w:cstheme="majorHAnsi"/>
          <w:sz w:val="22"/>
          <w:szCs w:val="22"/>
          <w:lang w:val="en-GB"/>
        </w:rPr>
        <w:t>Public discourse tends to view</w:t>
      </w:r>
      <w:r w:rsidR="00EB2BA8" w:rsidRPr="004E053C">
        <w:rPr>
          <w:rFonts w:cstheme="majorHAnsi"/>
          <w:sz w:val="22"/>
          <w:szCs w:val="22"/>
          <w:lang w:val="en-GB"/>
        </w:rPr>
        <w:t xml:space="preserve"> ASM operatives as a </w:t>
      </w:r>
      <w:r w:rsidR="00670DD0" w:rsidRPr="004E053C">
        <w:rPr>
          <w:rFonts w:cstheme="majorHAnsi"/>
          <w:sz w:val="22"/>
          <w:szCs w:val="22"/>
          <w:lang w:val="en-GB"/>
        </w:rPr>
        <w:t>collection</w:t>
      </w:r>
      <w:r w:rsidR="00EB2BA8" w:rsidRPr="004E053C">
        <w:rPr>
          <w:rFonts w:cstheme="majorHAnsi"/>
          <w:sz w:val="22"/>
          <w:szCs w:val="22"/>
          <w:lang w:val="en-GB"/>
        </w:rPr>
        <w:t xml:space="preserve"> of greed-motivated criminals</w:t>
      </w:r>
      <w:r w:rsidRPr="004E053C">
        <w:rPr>
          <w:rFonts w:cstheme="majorHAnsi"/>
          <w:sz w:val="22"/>
          <w:szCs w:val="22"/>
          <w:lang w:val="en-GB"/>
        </w:rPr>
        <w:t xml:space="preserve"> </w:t>
      </w:r>
      <w:r w:rsidR="00BC158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-1","issue":"6","issued":{"date-parts":[["2007"]]},"page":"1304-1321","title":"Contaminated identities: mercury and marginalization in Ghana's artisanal mining sector","type":"article-journal","volume":"38"},"uris":["http://www.mendeley.com/documents/?uuid=bb6c3eb8-5f3a-408f-89eb-506be52b9a46"]},{"id":"ITEM-2","itemData":{"abstract":"Much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Policy","id":"ITEM-2","issue":"1-2","issued":{"date-parts":[["2009"]]},"page":"24-31","title":"Recognizing and nurturing artisanal mining as a viable livelihood","type":"article-journal","volume":"34"},"uris":["http://www.mendeley.com/documents/?uuid=5831bb71-6055-493f-9a5a-64dcd06bad59"]},{"id":"ITEM-3","itemData":{"abstract":"Contrary to views of South African government officials and the media, illegal miners (. zamazama) in South Africa are better described as 'artisanal' miners and entrepreneurs who create significant numbers of jobs and economic value for many local communities. For the most part, they are not ignorant desperados, nor especially violent. They have unusual non-standard mining skills and knowledge that is distinctly different from industrial miners. They exploit gold resources that major mines cannot access and interact directly with global markets. With better legislation and, possibly, training, they could be economic assets and elements of the national heritage.","author":[{"dropping-particle":"","family":"Thornton","given":"Robert","non-dropping-particle":"","parse-names":false,"suffix":""}],"container-title":"Extractive Industries and Society","id":"ITEM-3","issue":"2","issued":{"date-parts":[["2014"]]},"page":"127-129","publisher":"Elsevier Ltd","title":"Zamazama, \"illegal\" artisanal miners, misrepresented by the South African Press and Government","type":"article-journal","volume":"1"},"uris":["http://www.mendeley.com/documents/?uuid=e5f815be-8d68-4df2-a3e5-b010b5bdc70c"]},{"id":"ITEM-4","itemData":{"abstract":"While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Society","id":"ITEM-4","issue":"1","issued":{"date-parts":[["2014"]]},"page":"75-85","publisher":"Elsevier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 Thornton, 2014; Tschakert, 2009; Tschakert &amp; Singha, 2007)","manualFormatting":"(Nyame &amp; Grant, 2014; Thornton, 2014; Tschakert, 2009; Tschakert &amp; Singha, 2007)","plainTextFormattedCitation":"(F. K. Nyame &amp; Grant, 2014; Thornton, 2014; Tschakert, 2009; Tschakert &amp; Singha, 2007)","previouslyFormattedCitation":"(F. K. Nyame &amp; Grant, 2014; Thornton, 2014; Tschakert, 2009; Tschakert &amp; Singha, 2007)"},"properties":{"noteIndex":0},"schema":"https://github.com/citation-style-language/schema/raw/master/csl-citation.json"}</w:instrText>
      </w:r>
      <w:r w:rsidR="00BC1584" w:rsidRPr="004E053C">
        <w:rPr>
          <w:rFonts w:cstheme="majorHAnsi"/>
          <w:sz w:val="22"/>
          <w:szCs w:val="22"/>
          <w:lang w:val="en-GB"/>
        </w:rPr>
        <w:fldChar w:fldCharType="separate"/>
      </w:r>
      <w:r w:rsidR="00B21FFD" w:rsidRPr="004E053C">
        <w:rPr>
          <w:rFonts w:cstheme="majorHAnsi"/>
          <w:noProof/>
          <w:sz w:val="22"/>
          <w:szCs w:val="22"/>
          <w:lang w:val="en-GB"/>
        </w:rPr>
        <w:t>(</w:t>
      </w:r>
      <w:r w:rsidR="00311E2A" w:rsidRPr="004E053C">
        <w:rPr>
          <w:rFonts w:cstheme="majorHAnsi"/>
          <w:noProof/>
          <w:sz w:val="22"/>
          <w:szCs w:val="22"/>
          <w:lang w:val="en-GB"/>
        </w:rPr>
        <w:t>Nyame &amp; Grant, 2014; Thornton, 2014; Tschakert, 2009; Tschakert &amp; Singha, 2007)</w:t>
      </w:r>
      <w:r w:rsidR="00BC1584" w:rsidRPr="004E053C">
        <w:rPr>
          <w:rFonts w:cstheme="majorHAnsi"/>
          <w:sz w:val="22"/>
          <w:szCs w:val="22"/>
          <w:lang w:val="en-GB"/>
        </w:rPr>
        <w:fldChar w:fldCharType="end"/>
      </w:r>
      <w:r w:rsidRPr="004E053C">
        <w:rPr>
          <w:rFonts w:cstheme="majorHAnsi"/>
          <w:sz w:val="22"/>
          <w:szCs w:val="22"/>
          <w:lang w:val="en-GB"/>
        </w:rPr>
        <w:t xml:space="preserve">, </w:t>
      </w:r>
      <w:r w:rsidR="00313D10" w:rsidRPr="004E053C">
        <w:rPr>
          <w:rFonts w:cstheme="majorHAnsi"/>
          <w:sz w:val="22"/>
          <w:szCs w:val="22"/>
          <w:lang w:val="en-GB"/>
        </w:rPr>
        <w:t xml:space="preserve">which is extremely </w:t>
      </w:r>
      <w:r w:rsidR="004534F9" w:rsidRPr="004E053C">
        <w:rPr>
          <w:rFonts w:cstheme="majorHAnsi"/>
          <w:sz w:val="22"/>
          <w:szCs w:val="22"/>
          <w:lang w:val="en-GB"/>
        </w:rPr>
        <w:t xml:space="preserve">unhelpful </w:t>
      </w:r>
      <w:r w:rsidR="00894DE4" w:rsidRPr="004E053C">
        <w:rPr>
          <w:rFonts w:cstheme="majorHAnsi"/>
          <w:sz w:val="22"/>
          <w:szCs w:val="22"/>
          <w:lang w:val="en-GB"/>
        </w:rPr>
        <w:t>given</w:t>
      </w:r>
      <w:r w:rsidR="004534F9" w:rsidRPr="004E053C">
        <w:rPr>
          <w:rFonts w:cstheme="majorHAnsi"/>
          <w:sz w:val="22"/>
          <w:szCs w:val="22"/>
          <w:lang w:val="en-GB"/>
        </w:rPr>
        <w:t xml:space="preserve"> that </w:t>
      </w:r>
      <w:r w:rsidR="00894DE4" w:rsidRPr="004E053C">
        <w:rPr>
          <w:rFonts w:cstheme="majorHAnsi"/>
          <w:sz w:val="22"/>
          <w:szCs w:val="22"/>
          <w:lang w:val="en-GB"/>
        </w:rPr>
        <w:t>involving</w:t>
      </w:r>
      <w:r w:rsidR="004534F9" w:rsidRPr="004E053C">
        <w:rPr>
          <w:rFonts w:cstheme="majorHAnsi"/>
          <w:sz w:val="22"/>
          <w:szCs w:val="22"/>
          <w:lang w:val="en-GB"/>
        </w:rPr>
        <w:t xml:space="preserve"> miners and local people</w:t>
      </w:r>
      <w:r w:rsidR="00894DE4" w:rsidRPr="004E053C">
        <w:rPr>
          <w:rFonts w:cstheme="majorHAnsi"/>
          <w:sz w:val="22"/>
          <w:szCs w:val="22"/>
          <w:lang w:val="en-GB"/>
        </w:rPr>
        <w:t xml:space="preserve"> in policy </w:t>
      </w:r>
      <w:r w:rsidR="00EB2BA8" w:rsidRPr="004E053C">
        <w:rPr>
          <w:rFonts w:cstheme="majorHAnsi"/>
          <w:sz w:val="22"/>
          <w:szCs w:val="22"/>
          <w:lang w:val="en-GB"/>
        </w:rPr>
        <w:t>discussio</w:t>
      </w:r>
      <w:r w:rsidRPr="004E053C">
        <w:rPr>
          <w:rFonts w:cstheme="majorHAnsi"/>
          <w:sz w:val="22"/>
          <w:szCs w:val="22"/>
          <w:lang w:val="en-GB"/>
        </w:rPr>
        <w:t xml:space="preserve">ns </w:t>
      </w:r>
      <w:r w:rsidR="00EB2BA8" w:rsidRPr="004E053C">
        <w:rPr>
          <w:rFonts w:cstheme="majorHAnsi"/>
          <w:sz w:val="22"/>
          <w:szCs w:val="22"/>
          <w:lang w:val="en-GB"/>
        </w:rPr>
        <w:t xml:space="preserve">is </w:t>
      </w:r>
      <w:r w:rsidR="00313D10" w:rsidRPr="004E053C">
        <w:rPr>
          <w:rFonts w:cstheme="majorHAnsi"/>
          <w:sz w:val="22"/>
          <w:szCs w:val="22"/>
          <w:lang w:val="en-GB"/>
        </w:rPr>
        <w:t xml:space="preserve">thought to be </w:t>
      </w:r>
      <w:r w:rsidR="00EB2BA8" w:rsidRPr="004E053C">
        <w:rPr>
          <w:rFonts w:cstheme="majorHAnsi"/>
          <w:sz w:val="22"/>
          <w:szCs w:val="22"/>
          <w:lang w:val="en-GB"/>
        </w:rPr>
        <w:t xml:space="preserve">crucial for creating change. </w:t>
      </w:r>
      <w:r w:rsidR="00313D10" w:rsidRPr="004E053C">
        <w:rPr>
          <w:rFonts w:cstheme="majorHAnsi"/>
          <w:iCs/>
          <w:sz w:val="22"/>
          <w:szCs w:val="22"/>
          <w:lang w:val="en-GB" w:eastAsia="zh-CN"/>
        </w:rPr>
        <w:t>Several authors ha</w:t>
      </w:r>
      <w:r w:rsidR="00894DE4" w:rsidRPr="004E053C">
        <w:rPr>
          <w:rFonts w:cstheme="majorHAnsi"/>
          <w:iCs/>
          <w:sz w:val="22"/>
          <w:szCs w:val="22"/>
          <w:lang w:val="en-GB" w:eastAsia="zh-CN"/>
        </w:rPr>
        <w:t>ve highlighted the importance of</w:t>
      </w:r>
      <w:r w:rsidR="00EB2BA8" w:rsidRPr="004E053C">
        <w:rPr>
          <w:rFonts w:cstheme="majorHAnsi"/>
          <w:iCs/>
          <w:sz w:val="22"/>
          <w:szCs w:val="22"/>
          <w:lang w:val="en-GB" w:eastAsia="zh-CN"/>
        </w:rPr>
        <w:t xml:space="preserve"> understanding ASM communities if successful policy reform is to be achieved </w:t>
      </w:r>
      <w:r w:rsidR="002E5CC0" w:rsidRPr="004E053C">
        <w:rPr>
          <w:rFonts w:cstheme="majorHAnsi"/>
          <w:iCs/>
          <w:sz w:val="22"/>
          <w:szCs w:val="22"/>
          <w:lang w:val="en-GB" w:eastAsia="zh-CN"/>
        </w:rPr>
        <w:fldChar w:fldCharType="begin" w:fldLock="1"/>
      </w:r>
      <w:r w:rsidR="002F0CEA">
        <w:rPr>
          <w:rFonts w:cstheme="majorHAnsi"/>
          <w:iCs/>
          <w:sz w:val="22"/>
          <w:szCs w:val="22"/>
          <w:lang w:val="en-GB" w:eastAsia="zh-CN"/>
        </w:rPr>
        <w:instrText>ADDIN CSL_CITATION {"citationItems":[{"id":"ITEM-1","itemData":{"author":[{"dropping-particle":"","family":"Hentschel","given":"Thomas","non-dropping-particle":"","parse-names":false,"suffix":""},{"dropping-particle":"","family":"Hruschka","given":"Felix","non-dropping-particle":"","parse-names":false,"suffix":""},{"dropping-particle":"","family":"Priester","given":"Michael","non-dropping-particle":"","parse-names":false,"suffix":""}],"id":"ITEM-1","issued":{"date-parts":[["2002"]]},"publisher-place":"London","title":"Global Report on Artisanal and Small-Scale Mining","type":"report"},"uris":["http://www.mendeley.com/documents/?uuid=e0135a32-651f-3a94-9bc5-5c79c798e40e"]},{"id":"ITEM-2","itemData":{"abstract":"Over the past 10–15 years, several governments have implemented an array of technology, support‐related, sustainable livelihoods (SL) and poverty‐reduction projects for artisanal and small‐scale mining (ASM). In the majority of cases, however, these interventions have failed to facilitate improvements in the industry's productivity and raise the living standards of the sector's subsistence operators. This article argues that a poor understanding of the demographics of target populations has precipitated these outcomes. In order to strengthen policy and assistance in the sector, governments must determine, with greater precision, the number of people operating in ASM regions, their origins and ethnic backgrounds, ages, and educational levels. This can be achieved by carrying out basic and localized census work before promoting ambitious sector‐specific projects aimed at improving working conditions in the industry.","author":[{"dropping-particle":"","family":"Hilson","given":"G","non-dropping-particle":"","parse-names":false,"suffix":""}],"container-title":"Natural Resources Forum","id":"ITEM-2","issue":"2","issued":{"date-parts":[["2005"]]},"page":"144-153","title":"Strengthening artisanal mining research and policy through baseline census activities","type":"article-journal","volume":"29"},"uris":["http://www.mendeley.com/documents/?uuid=447f796c-6b24-49d4-babb-b2a3e2351b39"]},{"id":"ITEM-3","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Affairs","id":"ITEM-3","issue":"424","issued":{"date-parts":[["2007"]]},"page":"413-436","title":"To move or not to move’: reflections on the resettlement of artisanal miners in the western region of Ghana","type":"article-journal","volume":"106"},"uris":["http://www.mendeley.com/documents/?uuid=8ef2711f-ce75-4c5a-8a00-8e27b49f07cf"]},{"id":"ITEM-4","itemData":{"author":[{"dropping-particle":"","family":"Spiegal","given":"SJ","non-dropping-particle":"","parse-names":false,"suffix":""}],"container-title":"Resources Policy","id":"ITEM-4","issued":{"date-parts":[["2009"]]},"page":"39-44","title":"Resource policies and small-scale gold mining in Zimbabwe","type":"article-journal","volume":"34"},"uris":["http://www.mendeley.com/documents/?uuid=92559fdc-94b9-4cde-9fb6-c45edd09ceee"]},{"id":"ITEM-5","itemData":{"abstract":"This paper analyses current policy and legislation in relation to the praxis of artisanal gold mining in Mozambique. Approximately 20,000 people are involved in artisanal mining in central Mozambique, producing annually 480–600kg of gold, 85–90% of which remains in the informal economy. The current legislation, however, is inadequate: artisanal mining is supposed to take place in predetermined “designated areas”, none of which are gold-rich, and, artisanal miners are supposed to get an individual mining pass from provincial authorities, which rarely occurs. Artisanal miners’ associations get support from the Mining Development Fund. Yet, as these organisations are only viable where ore permits long lasting exploitation, their members represent less than 30% of the workforce. Hence the scope for improving miners’ working conditions and limiting their environmental impact through this type of organisation is limited. On the other hand, siltation of rivers and their pollution with heavy metals goes unchecked while the prohibition of artisanal mining, in and around conservation areas has proven counterproductive. The design of more appropriate policies, particularly those pertaining to the environment, hinges upon a better understanding of the socio-economic dynamics of the sector.","author":[{"dropping-particle":"","family":"Dondeyne","given":"S.","non-dropping-particle":"","parse-names":false,"suffix":""},{"dropping-particle":"","family":"Ndunguru","given":"E.","non-dropping-particle":"","parse-names":false,"suffix":""},{"dropping-particle":"","family":"Rafael","given":"P.","non-dropping-particle":"","parse-names":false,"suffix":""},{"dropping-particle":"","family":"Bannerman","given":"J.","non-dropping-particle":"","parse-names":false,"suffix":""}],"container-title":"Resources Policy","id":"ITEM-5","issue":"1","issued":{"date-parts":[["2009"]]},"page":"45-50","title":"Artisanal mining in central Mozambique: policy and environmental issues of concern","type":"article-journal","volume":"34"},"uris":["http://www.mendeley.com/documents/?uuid=771c9fc6-161f-3e4b-b167-9a69c8f93fc3"]}],"mendeley":{"formattedCitation":"(Dondeyne, Ndunguru, Rafael, &amp; Bannerman, 2009; Hentschel, Hruschka, &amp; Priester, 2002; G. Hilson, Yakovleva, &amp; Banchirigah, 2007; G Hilson, 2005; Spiegal, 2009)","manualFormatting":"(Dondeyne et al, 2009; Hentschel et al, 2002; Hilson et al, 2007; Hilson, 2005; Spiegal, 2009)","plainTextFormattedCitation":"(Dondeyne, Ndunguru, Rafael, &amp; Bannerman, 2009; Hentschel, Hruschka, &amp; Priester, 2002; G. Hilson, Yakovleva, &amp; Banchirigah, 2007; G Hilson, 2005; Spiegal, 2009)","previouslyFormattedCitation":"(Dondeyne, Ndunguru, Rafael, &amp; Bannerman, 2009; Hentschel, Hruschka, &amp; Priester, 2002; G. Hilson, Yakovleva, &amp; Banchirigah, 2007; G Hilson, 2005; Spiegal, 2009)"},"properties":{"noteIndex":0},"schema":"https://github.com/citation-style-language/schema/raw/master/csl-citation.json"}</w:instrText>
      </w:r>
      <w:r w:rsidR="002E5CC0" w:rsidRPr="004E053C">
        <w:rPr>
          <w:rFonts w:cstheme="majorHAnsi"/>
          <w:iCs/>
          <w:sz w:val="22"/>
          <w:szCs w:val="22"/>
          <w:lang w:val="en-GB" w:eastAsia="zh-CN"/>
        </w:rPr>
        <w:fldChar w:fldCharType="separate"/>
      </w:r>
      <w:r w:rsidR="002E5CC0" w:rsidRPr="004E053C">
        <w:rPr>
          <w:rFonts w:cstheme="majorHAnsi"/>
          <w:iCs/>
          <w:noProof/>
          <w:sz w:val="22"/>
          <w:szCs w:val="22"/>
          <w:lang w:val="en-GB" w:eastAsia="zh-CN"/>
        </w:rPr>
        <w:t>(Dondeyne et al, 2009; Hentschel et al, 2002; Hilson et al, 2007; Hilson, 2005; Spiegal, 2009)</w:t>
      </w:r>
      <w:r w:rsidR="002E5CC0" w:rsidRPr="004E053C">
        <w:rPr>
          <w:rFonts w:cstheme="majorHAnsi"/>
          <w:iCs/>
          <w:sz w:val="22"/>
          <w:szCs w:val="22"/>
          <w:lang w:val="en-GB" w:eastAsia="zh-CN"/>
        </w:rPr>
        <w:fldChar w:fldCharType="end"/>
      </w:r>
      <w:r w:rsidR="002E5CC0" w:rsidRPr="004E053C">
        <w:rPr>
          <w:rFonts w:cstheme="majorHAnsi"/>
          <w:iCs/>
          <w:sz w:val="22"/>
          <w:szCs w:val="22"/>
          <w:lang w:val="en-GB" w:eastAsia="zh-CN"/>
        </w:rPr>
        <w:t xml:space="preserve"> </w:t>
      </w:r>
      <w:r w:rsidR="00313D10" w:rsidRPr="004E053C">
        <w:rPr>
          <w:rFonts w:cstheme="majorHAnsi"/>
          <w:sz w:val="22"/>
          <w:szCs w:val="22"/>
          <w:lang w:val="en-GB" w:eastAsia="zh-CN"/>
        </w:rPr>
        <w:t>yet</w:t>
      </w:r>
      <w:r w:rsidR="002E5CC0" w:rsidRPr="004E053C">
        <w:rPr>
          <w:rFonts w:cstheme="majorHAnsi"/>
          <w:sz w:val="22"/>
          <w:szCs w:val="22"/>
          <w:lang w:val="en-GB" w:eastAsia="zh-CN"/>
        </w:rPr>
        <w:t xml:space="preserve"> </w:t>
      </w:r>
      <w:r w:rsidR="004534F9" w:rsidRPr="004E053C">
        <w:rPr>
          <w:rFonts w:cstheme="majorHAnsi"/>
          <w:sz w:val="22"/>
          <w:szCs w:val="22"/>
          <w:lang w:val="en-GB" w:eastAsia="zh-CN"/>
        </w:rPr>
        <w:t>few states have</w:t>
      </w:r>
      <w:r w:rsidR="00313D10" w:rsidRPr="004E053C">
        <w:rPr>
          <w:rFonts w:cstheme="majorHAnsi"/>
          <w:sz w:val="22"/>
          <w:szCs w:val="22"/>
          <w:lang w:val="en-GB" w:eastAsia="zh-CN"/>
        </w:rPr>
        <w:t xml:space="preserve"> </w:t>
      </w:r>
      <w:r w:rsidR="004534F9" w:rsidRPr="004E053C">
        <w:rPr>
          <w:rFonts w:cstheme="majorHAnsi"/>
          <w:sz w:val="22"/>
          <w:szCs w:val="22"/>
          <w:lang w:val="en-GB" w:eastAsia="zh-CN"/>
        </w:rPr>
        <w:t>adopted</w:t>
      </w:r>
      <w:r w:rsidR="00313D10" w:rsidRPr="004E053C">
        <w:rPr>
          <w:rFonts w:cstheme="majorHAnsi"/>
          <w:sz w:val="22"/>
          <w:szCs w:val="22"/>
          <w:lang w:val="en-GB" w:eastAsia="zh-CN"/>
        </w:rPr>
        <w:t xml:space="preserve"> this approach</w:t>
      </w:r>
      <w:r w:rsidR="00EB2BA8" w:rsidRPr="004E053C">
        <w:rPr>
          <w:rFonts w:cstheme="majorHAnsi"/>
          <w:sz w:val="22"/>
          <w:szCs w:val="22"/>
          <w:lang w:val="en-GB" w:eastAsia="zh-CN"/>
        </w:rPr>
        <w:t xml:space="preserve">. </w:t>
      </w:r>
      <w:r w:rsidR="004F2501" w:rsidRPr="004E053C">
        <w:rPr>
          <w:rFonts w:cstheme="majorHAnsi"/>
          <w:sz w:val="22"/>
          <w:szCs w:val="22"/>
          <w:lang w:val="en-GB" w:eastAsia="zh-CN"/>
        </w:rPr>
        <w:t xml:space="preserve">The rising levels of crime and interpersonal violence in and around </w:t>
      </w:r>
      <w:r w:rsidR="00030E91">
        <w:rPr>
          <w:rFonts w:cstheme="majorHAnsi"/>
          <w:sz w:val="22"/>
          <w:szCs w:val="22"/>
          <w:lang w:val="en-GB" w:eastAsia="zh-CN"/>
        </w:rPr>
        <w:t xml:space="preserve">gold </w:t>
      </w:r>
      <w:r w:rsidR="004F2501" w:rsidRPr="004E053C">
        <w:rPr>
          <w:rFonts w:cstheme="majorHAnsi"/>
          <w:sz w:val="22"/>
          <w:szCs w:val="22"/>
          <w:lang w:val="en-GB" w:eastAsia="zh-CN"/>
        </w:rPr>
        <w:t xml:space="preserve">mining sites in Madre de Dios further underscores the need to build a clear picture of life within the ASM sector. While the notion of community often seems to imply some element of cohesion, people working and living in mining communities are far from homogenous </w:t>
      </w:r>
      <w:r w:rsidR="004F2501" w:rsidRPr="004E053C">
        <w:rPr>
          <w:rFonts w:cstheme="majorHAnsi"/>
          <w:sz w:val="22"/>
          <w:szCs w:val="22"/>
          <w:lang w:val="en-GB" w:eastAsia="zh-CN"/>
        </w:rPr>
        <w:fldChar w:fldCharType="begin" w:fldLock="1"/>
      </w:r>
      <w:r w:rsidR="004F2501" w:rsidRPr="004E053C">
        <w:rPr>
          <w:rFonts w:cstheme="majorHAnsi"/>
          <w:sz w:val="22"/>
          <w:szCs w:val="22"/>
          <w:lang w:val="en-GB" w:eastAsia="zh-CN"/>
        </w:rPr>
        <w:instrText>ADDIN CSL_CITATION {"citationItems":[{"id":"ITEM-1","itemData":{"author":[{"dropping-particle":"","family":"Lahiri-Dutt","given":"Kuntala","non-dropping-particle":"","parse-names":false,"suffix":""}],"chapter-number":"1","container-title":"Gender the Field: Towards Sustainable Livelihoods for Mining Communities","editor":[{"dropping-particle":"","family":"Lahiri-Dutt","given":"Kuntala","non-dropping-particle":"","parse-names":false,"suffix":""}],"id":"ITEM-1","issued":{"date-parts":[["2011"]]},"page":"1-20","publisher":"ANU Press","publisher-place":"Canberra","title":"Introduction: gendering the masculine field of mining for sustainble community livelihoods","type":"chapter"},"uris":["http://www.mendeley.com/documents/?uuid=a14de98b-319a-4483-8d4f-3949ca031e64"]}],"mendeley":{"formattedCitation":"(Kuntala Lahiri-Dutt, 2011)","manualFormatting":"(Lahiri-Dutt, 2011)","plainTextFormattedCitation":"(Kuntala Lahiri-Dutt, 2011)","previouslyFormattedCitation":"(Kuntala Lahiri-Dutt, 2011)"},"properties":{"noteIndex":0},"schema":"https://github.com/citation-style-language/schema/raw/master/csl-citation.json"}</w:instrText>
      </w:r>
      <w:r w:rsidR="004F2501" w:rsidRPr="004E053C">
        <w:rPr>
          <w:rFonts w:cstheme="majorHAnsi"/>
          <w:sz w:val="22"/>
          <w:szCs w:val="22"/>
          <w:lang w:val="en-GB" w:eastAsia="zh-CN"/>
        </w:rPr>
        <w:fldChar w:fldCharType="separate"/>
      </w:r>
      <w:r w:rsidR="004F2501" w:rsidRPr="004E053C">
        <w:rPr>
          <w:rFonts w:cstheme="majorHAnsi"/>
          <w:noProof/>
          <w:sz w:val="22"/>
          <w:szCs w:val="22"/>
          <w:lang w:val="en-GB" w:eastAsia="zh-CN"/>
        </w:rPr>
        <w:t>(Lahiri-Dutt, 2011)</w:t>
      </w:r>
      <w:r w:rsidR="004F2501" w:rsidRPr="004E053C">
        <w:rPr>
          <w:rFonts w:cstheme="majorHAnsi"/>
          <w:sz w:val="22"/>
          <w:szCs w:val="22"/>
          <w:lang w:val="en-GB" w:eastAsia="zh-CN"/>
        </w:rPr>
        <w:fldChar w:fldCharType="end"/>
      </w:r>
      <w:r w:rsidR="00D57942" w:rsidRPr="004E053C">
        <w:rPr>
          <w:rFonts w:cstheme="majorHAnsi"/>
          <w:sz w:val="22"/>
          <w:szCs w:val="22"/>
          <w:lang w:val="en-GB" w:eastAsia="zh-CN"/>
        </w:rPr>
        <w:t xml:space="preserve">. An individual’s </w:t>
      </w:r>
      <w:r w:rsidR="004F2501" w:rsidRPr="004E053C">
        <w:rPr>
          <w:rFonts w:cstheme="majorHAnsi"/>
          <w:sz w:val="22"/>
          <w:szCs w:val="22"/>
          <w:lang w:val="en-GB" w:eastAsia="zh-CN"/>
        </w:rPr>
        <w:t>or household’</w:t>
      </w:r>
      <w:r w:rsidR="00D57942" w:rsidRPr="004E053C">
        <w:rPr>
          <w:rFonts w:cstheme="majorHAnsi"/>
          <w:sz w:val="22"/>
          <w:szCs w:val="22"/>
          <w:lang w:val="en-GB" w:eastAsia="zh-CN"/>
        </w:rPr>
        <w:t>s</w:t>
      </w:r>
      <w:r w:rsidR="004F2501" w:rsidRPr="004E053C">
        <w:rPr>
          <w:rFonts w:cstheme="majorHAnsi"/>
          <w:sz w:val="22"/>
          <w:szCs w:val="22"/>
          <w:lang w:val="en-GB" w:eastAsia="zh-CN"/>
        </w:rPr>
        <w:t xml:space="preserve"> engagement in the sector and their reasons for doing so may take many forms. While ASM remains a diversification</w:t>
      </w:r>
      <w:r w:rsidR="00E4518B" w:rsidRPr="004E053C">
        <w:rPr>
          <w:rFonts w:cstheme="majorHAnsi"/>
          <w:sz w:val="22"/>
          <w:szCs w:val="22"/>
          <w:lang w:val="en-GB" w:eastAsia="zh-CN"/>
        </w:rPr>
        <w:t xml:space="preserve"> option for some, for others it</w:t>
      </w:r>
      <w:r w:rsidR="004F2501" w:rsidRPr="004E053C">
        <w:rPr>
          <w:rFonts w:cstheme="majorHAnsi"/>
          <w:sz w:val="22"/>
          <w:szCs w:val="22"/>
          <w:lang w:val="en-GB" w:eastAsia="zh-CN"/>
        </w:rPr>
        <w:t xml:space="preserve"> may represent a long-term career</w:t>
      </w:r>
      <w:r w:rsidR="00060D17" w:rsidRPr="004E053C">
        <w:rPr>
          <w:rFonts w:cstheme="majorHAnsi"/>
          <w:sz w:val="22"/>
          <w:szCs w:val="22"/>
          <w:lang w:val="en-GB" w:eastAsia="zh-CN"/>
        </w:rPr>
        <w:t>,</w:t>
      </w:r>
      <w:r w:rsidR="004F2501" w:rsidRPr="004E053C">
        <w:rPr>
          <w:rFonts w:cstheme="majorHAnsi"/>
          <w:sz w:val="22"/>
          <w:szCs w:val="22"/>
          <w:lang w:val="en-GB" w:eastAsia="zh-CN"/>
        </w:rPr>
        <w:t xml:space="preserve"> and livelihood trajectories should therefore be expected to diverge. </w:t>
      </w:r>
    </w:p>
    <w:p w14:paraId="6EE7BDCB" w14:textId="77777777" w:rsidR="004F2501" w:rsidRPr="004E053C" w:rsidRDefault="004F2501" w:rsidP="004E053C">
      <w:pPr>
        <w:widowControl w:val="0"/>
        <w:autoSpaceDE w:val="0"/>
        <w:autoSpaceDN w:val="0"/>
        <w:adjustRightInd w:val="0"/>
        <w:spacing w:line="360" w:lineRule="auto"/>
        <w:jc w:val="both"/>
        <w:rPr>
          <w:rFonts w:cstheme="majorHAnsi"/>
          <w:sz w:val="22"/>
          <w:szCs w:val="22"/>
          <w:lang w:val="en-GB" w:eastAsia="zh-CN"/>
        </w:rPr>
      </w:pPr>
    </w:p>
    <w:p w14:paraId="0263A9A8" w14:textId="4E4BF3FD" w:rsidR="00784F2E" w:rsidRPr="00030E91" w:rsidRDefault="00CA04AD" w:rsidP="004E053C">
      <w:pPr>
        <w:widowControl w:val="0"/>
        <w:autoSpaceDE w:val="0"/>
        <w:autoSpaceDN w:val="0"/>
        <w:adjustRightInd w:val="0"/>
        <w:spacing w:line="360" w:lineRule="auto"/>
        <w:jc w:val="both"/>
        <w:rPr>
          <w:rFonts w:cstheme="majorHAnsi"/>
          <w:sz w:val="22"/>
          <w:szCs w:val="22"/>
          <w:lang w:val="en-GB" w:eastAsia="zh-CN"/>
        </w:rPr>
      </w:pPr>
      <w:r w:rsidRPr="004E053C">
        <w:rPr>
          <w:rFonts w:cstheme="majorHAnsi"/>
          <w:sz w:val="22"/>
          <w:szCs w:val="22"/>
          <w:lang w:val="en-GB"/>
        </w:rPr>
        <w:t xml:space="preserve">Viewing ASM </w:t>
      </w:r>
      <w:r w:rsidR="00894DE4" w:rsidRPr="004E053C">
        <w:rPr>
          <w:rFonts w:cstheme="majorHAnsi"/>
          <w:sz w:val="22"/>
          <w:szCs w:val="22"/>
          <w:lang w:val="en-GB"/>
        </w:rPr>
        <w:t xml:space="preserve">primarily as a livelihood issue allows for </w:t>
      </w:r>
      <w:r w:rsidRPr="004E053C">
        <w:rPr>
          <w:rFonts w:cstheme="majorHAnsi"/>
          <w:sz w:val="22"/>
          <w:szCs w:val="22"/>
          <w:lang w:val="en-GB"/>
        </w:rPr>
        <w:t xml:space="preserve">the incorporation of mining communities into </w:t>
      </w:r>
      <w:r w:rsidRPr="004E053C">
        <w:rPr>
          <w:rFonts w:cstheme="majorHAnsi"/>
          <w:sz w:val="22"/>
          <w:szCs w:val="22"/>
          <w:lang w:val="en-GB"/>
        </w:rPr>
        <w:lastRenderedPageBreak/>
        <w:t xml:space="preserve">policy </w:t>
      </w:r>
      <w:r w:rsidR="00D3785B" w:rsidRPr="004E053C">
        <w:rPr>
          <w:rFonts w:cstheme="majorHAnsi"/>
          <w:sz w:val="22"/>
          <w:szCs w:val="22"/>
          <w:lang w:val="en-GB"/>
        </w:rPr>
        <w:t>discussions</w:t>
      </w:r>
      <w:r w:rsidRPr="004E053C">
        <w:rPr>
          <w:rFonts w:cstheme="majorHAnsi"/>
          <w:sz w:val="22"/>
          <w:szCs w:val="22"/>
          <w:lang w:val="en-GB"/>
        </w:rPr>
        <w:t xml:space="preserve"> aimed at</w:t>
      </w:r>
      <w:r w:rsidR="00894DE4" w:rsidRPr="004E053C">
        <w:rPr>
          <w:rFonts w:cstheme="majorHAnsi"/>
          <w:sz w:val="22"/>
          <w:szCs w:val="22"/>
          <w:lang w:val="en-GB"/>
        </w:rPr>
        <w:t xml:space="preserve"> limit</w:t>
      </w:r>
      <w:r w:rsidRPr="004E053C">
        <w:rPr>
          <w:rFonts w:cstheme="majorHAnsi"/>
          <w:sz w:val="22"/>
          <w:szCs w:val="22"/>
          <w:lang w:val="en-GB"/>
        </w:rPr>
        <w:t>ing the</w:t>
      </w:r>
      <w:r w:rsidR="00894DE4" w:rsidRPr="004E053C">
        <w:rPr>
          <w:rFonts w:cstheme="majorHAnsi"/>
          <w:sz w:val="22"/>
          <w:szCs w:val="22"/>
          <w:lang w:val="en-GB"/>
        </w:rPr>
        <w:t xml:space="preserve"> environmental </w:t>
      </w:r>
      <w:r w:rsidRPr="004E053C">
        <w:rPr>
          <w:rFonts w:cstheme="majorHAnsi"/>
          <w:sz w:val="22"/>
          <w:szCs w:val="22"/>
          <w:lang w:val="en-GB"/>
        </w:rPr>
        <w:t>and social costs of ASM</w:t>
      </w:r>
      <w:r w:rsidR="00894DE4" w:rsidRPr="004E053C">
        <w:rPr>
          <w:rFonts w:cstheme="majorHAnsi"/>
          <w:sz w:val="22"/>
          <w:szCs w:val="22"/>
          <w:lang w:val="en-GB"/>
        </w:rPr>
        <w:t xml:space="preserve">. </w:t>
      </w:r>
      <w:r w:rsidRPr="004E053C">
        <w:rPr>
          <w:rFonts w:cstheme="majorHAnsi"/>
          <w:sz w:val="22"/>
          <w:szCs w:val="22"/>
          <w:lang w:val="en-GB" w:eastAsia="zh-CN"/>
        </w:rPr>
        <w:t xml:space="preserve">However, </w:t>
      </w:r>
      <w:r w:rsidR="001A7F8F" w:rsidRPr="004E053C">
        <w:rPr>
          <w:rFonts w:cstheme="majorHAnsi"/>
          <w:sz w:val="22"/>
          <w:szCs w:val="22"/>
          <w:lang w:val="en-GB" w:eastAsia="zh-CN"/>
        </w:rPr>
        <w:t xml:space="preserve">many </w:t>
      </w:r>
      <w:r w:rsidR="00313D10" w:rsidRPr="004E053C">
        <w:rPr>
          <w:rFonts w:cstheme="majorHAnsi"/>
          <w:sz w:val="22"/>
          <w:szCs w:val="22"/>
          <w:lang w:val="en-GB" w:eastAsia="zh-CN"/>
        </w:rPr>
        <w:t>ASM livelihoods</w:t>
      </w:r>
      <w:r w:rsidRPr="004E053C">
        <w:rPr>
          <w:rFonts w:cstheme="majorHAnsi"/>
          <w:sz w:val="22"/>
          <w:szCs w:val="22"/>
          <w:lang w:val="en-GB" w:eastAsia="zh-CN"/>
        </w:rPr>
        <w:t xml:space="preserve"> </w:t>
      </w:r>
      <w:r w:rsidR="001A7F8F" w:rsidRPr="004E053C">
        <w:rPr>
          <w:rFonts w:cstheme="majorHAnsi"/>
          <w:sz w:val="22"/>
          <w:szCs w:val="22"/>
          <w:lang w:val="en-GB" w:eastAsia="zh-CN"/>
        </w:rPr>
        <w:t>rely on</w:t>
      </w:r>
      <w:r w:rsidRPr="004E053C">
        <w:rPr>
          <w:rFonts w:cstheme="majorHAnsi"/>
          <w:sz w:val="22"/>
          <w:szCs w:val="22"/>
          <w:lang w:val="en-GB" w:eastAsia="zh-CN"/>
        </w:rPr>
        <w:t xml:space="preserve"> high mobility</w:t>
      </w:r>
      <w:r w:rsidR="00313D10" w:rsidRPr="004E053C">
        <w:rPr>
          <w:rFonts w:cstheme="majorHAnsi"/>
          <w:sz w:val="22"/>
          <w:szCs w:val="22"/>
          <w:lang w:val="en-GB" w:eastAsia="zh-CN"/>
        </w:rPr>
        <w:t xml:space="preserve">, </w:t>
      </w:r>
      <w:r w:rsidRPr="004E053C">
        <w:rPr>
          <w:rFonts w:cstheme="majorHAnsi"/>
          <w:sz w:val="22"/>
          <w:szCs w:val="22"/>
          <w:lang w:val="en-GB" w:eastAsia="zh-CN"/>
        </w:rPr>
        <w:t>which has</w:t>
      </w:r>
      <w:r w:rsidR="00313D10" w:rsidRPr="004E053C">
        <w:rPr>
          <w:rFonts w:cstheme="majorHAnsi"/>
          <w:sz w:val="22"/>
          <w:szCs w:val="22"/>
          <w:lang w:val="en-GB" w:eastAsia="zh-CN"/>
        </w:rPr>
        <w:t xml:space="preserve"> implications for formalisation processes </w:t>
      </w:r>
      <w:r w:rsidRPr="004E053C">
        <w:rPr>
          <w:rFonts w:cstheme="majorHAnsi"/>
          <w:sz w:val="22"/>
          <w:szCs w:val="22"/>
          <w:lang w:val="en-GB" w:eastAsia="zh-CN"/>
        </w:rPr>
        <w:t>as well as the environment</w:t>
      </w:r>
      <w:r w:rsidR="00313D10" w:rsidRPr="004E053C">
        <w:rPr>
          <w:rFonts w:cstheme="majorHAnsi"/>
          <w:sz w:val="22"/>
          <w:szCs w:val="22"/>
          <w:lang w:val="en-GB" w:eastAsia="zh-CN"/>
        </w:rPr>
        <w:t xml:space="preserve"> </w:t>
      </w:r>
      <w:r w:rsidR="002E5CC0"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{"citationItems":[{"id":"ITEM-1","itemData":{"abstract":"This paper analyses current policy and legislation in relation to the praxis of artisanal gold mining in Mozambique. Approximately 20,000 people are involved in artisanal mining in central Mozambique, producing annually 480–600kg of gold, 85–90% of which remains in the informal economy. The current legislation, however, is inadequate: artisanal mining is supposed to take place in predetermined “designated areas”, none of which are gold-rich, and, artisanal miners are supposed to get an individual mining pass from provincial authorities, which rarely occurs. Artisanal miners’ associations get support from the Mining Development Fund. Yet, as these organisations are only viable where ore permits long lasting exploitation, their members represent less than 30% of the workforce. Hence the scope for improving miners’ working conditions and limiting their environmental impact through this type of organisation is limited. On the other hand, siltation of rivers and their pollution with heavy metals goes unchecked while the prohibition of artisanal mining, in and around conservation areas has proven counterproductive. The design of more appropriate policies, particularly those pertaining to the environment, hinges upon a better understanding of the socio-economic dynamics of the sector.","author":[{"dropping-particle":"","family":"Dondeyne","given":"S.","non-dropping-particle":"","parse-names":false,"suffix":""},{"dropping-particle":"","family":"Ndunguru","given":"E.","non-dropping-particle":"","parse-names":false,"suffix":""},{"dropping-particle":"","family":"Rafael","given":"P.","non-dropping-particle":"","parse-names":false,"suffix":""},{"dropping-particle":"","family":"Bannerman","given":"J.","non-dropping-particle":"","parse-names":false,"suffix":""}],"container-title":"Resources Policy","id":"ITEM-1","issue":"1","issued":{"date-parts":[["2009"]]},"page":"45-50","title":"Artisanal mining in central Mozambique: policy and environmental issues of concern","type":"article-journal","volume":"34"},"uris":["http://www.mendeley.com/documents/?uuid=771c9fc6-161f-3e4b-b167-9a69c8f93fc3"]},{"id":"ITEM-2","itemData":{"abstract":"This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Policy","id":"ITEM-2","issue":"1-2","issued":{"date-parts":[["2009"]]},"page":"51-56","title":"Artisanal and small-scale mining as an extralegal economy: De Soto and the redefinition of 'formalization'","type":"article-journal","volume":"34"},"uris":["http://www.mendeley.com/documents/?uuid=0cd7f80e-58cc-4421-9a78-f30864db4d69"]}],"mendeley":{"formattedCitation":"(Dondeyne et al., 2009; Siegel &amp; Veiga, 2009)","plainTextFormattedCitation":"(Dondeyne et al., 2009; Siegel &amp; Veiga, 2009)","previouslyFormattedCitation":"(Dondeyne et al., 2009; Siegel &amp; Veiga, 2009)"},"properties":{"noteIndex":0},"schema":"https://github.com/citation-style-language/schema/raw/master/csl-citation.json"}</w:instrText>
      </w:r>
      <w:r w:rsidR="002E5CC0" w:rsidRPr="004E053C">
        <w:rPr>
          <w:rFonts w:cstheme="majorHAnsi"/>
          <w:sz w:val="22"/>
          <w:szCs w:val="22"/>
          <w:lang w:val="en-GB" w:eastAsia="zh-CN"/>
        </w:rPr>
        <w:fldChar w:fldCharType="separate"/>
      </w:r>
      <w:r w:rsidR="002E5CC0" w:rsidRPr="004E053C">
        <w:rPr>
          <w:rFonts w:cstheme="majorHAnsi"/>
          <w:noProof/>
          <w:sz w:val="22"/>
          <w:szCs w:val="22"/>
          <w:lang w:val="en-GB" w:eastAsia="zh-CN"/>
        </w:rPr>
        <w:t>(Dondeyne et al., 2009; Siegel &amp; Veiga, 2009)</w:t>
      </w:r>
      <w:r w:rsidR="002E5CC0" w:rsidRPr="004E053C">
        <w:rPr>
          <w:rFonts w:cstheme="majorHAnsi"/>
          <w:sz w:val="22"/>
          <w:szCs w:val="22"/>
          <w:lang w:val="en-GB" w:eastAsia="zh-CN"/>
        </w:rPr>
        <w:fldChar w:fldCharType="end"/>
      </w:r>
      <w:r w:rsidR="00670DD0" w:rsidRPr="004E053C">
        <w:rPr>
          <w:rFonts w:cstheme="majorHAnsi"/>
          <w:sz w:val="22"/>
          <w:szCs w:val="22"/>
          <w:lang w:val="en-GB" w:eastAsia="zh-CN"/>
        </w:rPr>
        <w:t xml:space="preserve">. </w:t>
      </w:r>
      <w:r w:rsidR="00F836F9" w:rsidRPr="004E053C">
        <w:rPr>
          <w:rFonts w:cstheme="majorHAnsi"/>
          <w:sz w:val="22"/>
          <w:szCs w:val="22"/>
          <w:lang w:val="en-GB" w:eastAsia="zh-CN"/>
        </w:rPr>
        <w:t>Attempti</w:t>
      </w:r>
      <w:r w:rsidR="00313D10" w:rsidRPr="004E053C">
        <w:rPr>
          <w:rFonts w:cstheme="majorHAnsi"/>
          <w:sz w:val="22"/>
          <w:szCs w:val="22"/>
          <w:lang w:val="en-GB" w:eastAsia="zh-CN"/>
        </w:rPr>
        <w:t xml:space="preserve">ng to understand the </w:t>
      </w:r>
      <w:r w:rsidR="00670DD0" w:rsidRPr="004E053C">
        <w:rPr>
          <w:rFonts w:cstheme="majorHAnsi"/>
          <w:sz w:val="22"/>
          <w:szCs w:val="22"/>
          <w:lang w:val="en-GB" w:eastAsia="zh-CN"/>
        </w:rPr>
        <w:t xml:space="preserve">people and </w:t>
      </w:r>
      <w:r w:rsidR="00313D10" w:rsidRPr="004E053C">
        <w:rPr>
          <w:rFonts w:cstheme="majorHAnsi"/>
          <w:sz w:val="22"/>
          <w:szCs w:val="22"/>
          <w:lang w:val="en-GB" w:eastAsia="zh-CN"/>
        </w:rPr>
        <w:t xml:space="preserve">communities that engage in ASM </w:t>
      </w:r>
      <w:r w:rsidR="00F836F9" w:rsidRPr="004E053C">
        <w:rPr>
          <w:rFonts w:cstheme="majorHAnsi"/>
          <w:sz w:val="22"/>
          <w:szCs w:val="22"/>
          <w:lang w:val="en-GB" w:eastAsia="zh-CN"/>
        </w:rPr>
        <w:t xml:space="preserve">therefore necessitates an </w:t>
      </w:r>
      <w:r w:rsidRPr="004E053C">
        <w:rPr>
          <w:rFonts w:cstheme="majorHAnsi"/>
          <w:sz w:val="22"/>
          <w:szCs w:val="22"/>
          <w:lang w:val="en-GB" w:eastAsia="zh-CN"/>
        </w:rPr>
        <w:t xml:space="preserve">analysis of this mobility </w:t>
      </w:r>
      <w:r w:rsidR="00F836F9" w:rsidRPr="004E053C">
        <w:rPr>
          <w:rFonts w:cstheme="majorHAnsi"/>
          <w:sz w:val="22"/>
          <w:szCs w:val="22"/>
          <w:lang w:val="en-GB" w:eastAsia="zh-CN"/>
        </w:rPr>
        <w:t xml:space="preserve">and </w:t>
      </w:r>
      <w:r w:rsidRPr="004E053C">
        <w:rPr>
          <w:rFonts w:cstheme="majorHAnsi"/>
          <w:sz w:val="22"/>
          <w:szCs w:val="22"/>
          <w:lang w:val="en-GB" w:eastAsia="zh-CN"/>
        </w:rPr>
        <w:t>its implications</w:t>
      </w:r>
      <w:r w:rsidR="00F836F9" w:rsidRPr="004E053C">
        <w:rPr>
          <w:rFonts w:cstheme="majorHAnsi"/>
          <w:sz w:val="22"/>
          <w:szCs w:val="22"/>
          <w:lang w:val="en-GB" w:eastAsia="zh-CN"/>
        </w:rPr>
        <w:t xml:space="preserve">. </w:t>
      </w:r>
      <w:r w:rsidR="001E6D97" w:rsidRPr="004E053C">
        <w:rPr>
          <w:rFonts w:cstheme="majorHAnsi"/>
          <w:sz w:val="22"/>
          <w:szCs w:val="22"/>
          <w:lang w:val="en-GB" w:eastAsia="zh-CN"/>
        </w:rPr>
        <w:t>T</w:t>
      </w:r>
      <w:r w:rsidR="00E5250C" w:rsidRPr="004E053C">
        <w:rPr>
          <w:rFonts w:cstheme="majorHAnsi"/>
          <w:sz w:val="22"/>
          <w:szCs w:val="22"/>
          <w:lang w:val="en-GB" w:eastAsia="zh-CN"/>
        </w:rPr>
        <w:t xml:space="preserve">his thesis </w:t>
      </w:r>
      <w:r w:rsidR="00060D17" w:rsidRPr="004E053C">
        <w:rPr>
          <w:rFonts w:cstheme="majorHAnsi"/>
          <w:sz w:val="22"/>
          <w:szCs w:val="22"/>
          <w:lang w:val="en-GB" w:eastAsia="zh-CN"/>
        </w:rPr>
        <w:t>attempts to address this by</w:t>
      </w:r>
      <w:r w:rsidR="00E5250C" w:rsidRPr="004E053C">
        <w:rPr>
          <w:rFonts w:cstheme="majorHAnsi"/>
          <w:sz w:val="22"/>
          <w:szCs w:val="22"/>
          <w:lang w:val="en-GB" w:eastAsia="zh-CN"/>
        </w:rPr>
        <w:t xml:space="preserve"> ap</w:t>
      </w:r>
      <w:r w:rsidR="00060D17" w:rsidRPr="004E053C">
        <w:rPr>
          <w:rFonts w:cstheme="majorHAnsi"/>
          <w:sz w:val="22"/>
          <w:szCs w:val="22"/>
          <w:lang w:val="en-GB" w:eastAsia="zh-CN"/>
        </w:rPr>
        <w:t xml:space="preserve">plying a translocal approach to </w:t>
      </w:r>
      <w:r w:rsidR="00E5250C" w:rsidRPr="004E053C">
        <w:rPr>
          <w:rFonts w:cstheme="majorHAnsi"/>
          <w:sz w:val="22"/>
          <w:szCs w:val="22"/>
          <w:lang w:val="en-GB" w:eastAsia="zh-CN"/>
        </w:rPr>
        <w:t>both livelihoods and community</w:t>
      </w:r>
      <w:r w:rsidR="00060D17" w:rsidRPr="004E053C">
        <w:rPr>
          <w:rFonts w:cstheme="majorHAnsi"/>
          <w:sz w:val="22"/>
          <w:szCs w:val="22"/>
          <w:lang w:val="en-GB" w:eastAsia="zh-CN"/>
        </w:rPr>
        <w:t xml:space="preserve"> it its analysis</w:t>
      </w:r>
      <w:r w:rsidR="00E5250C" w:rsidRPr="004E053C">
        <w:rPr>
          <w:rFonts w:cstheme="majorHAnsi"/>
          <w:sz w:val="22"/>
          <w:szCs w:val="22"/>
          <w:lang w:val="en-GB" w:eastAsia="zh-CN"/>
        </w:rPr>
        <w:t xml:space="preserve">. This </w:t>
      </w:r>
      <w:r w:rsidR="001E6D97" w:rsidRPr="004E053C">
        <w:rPr>
          <w:rFonts w:cstheme="majorHAnsi"/>
          <w:sz w:val="22"/>
          <w:szCs w:val="22"/>
          <w:lang w:val="en-GB" w:eastAsia="zh-CN"/>
        </w:rPr>
        <w:t>approach acknowledges that the migratory processes inherent in</w:t>
      </w:r>
      <w:r w:rsidR="00E5250C" w:rsidRPr="004E053C">
        <w:rPr>
          <w:rFonts w:cstheme="majorHAnsi"/>
          <w:sz w:val="22"/>
          <w:szCs w:val="22"/>
          <w:lang w:val="en-GB" w:eastAsia="zh-CN"/>
        </w:rPr>
        <w:t xml:space="preserve"> ASM create a </w:t>
      </w:r>
      <w:r w:rsidR="00F836F9" w:rsidRPr="004E053C">
        <w:rPr>
          <w:rFonts w:cstheme="majorHAnsi"/>
          <w:sz w:val="22"/>
          <w:szCs w:val="22"/>
          <w:lang w:val="en-GB" w:eastAsia="zh-CN"/>
        </w:rPr>
        <w:t xml:space="preserve">community </w:t>
      </w:r>
      <w:r w:rsidR="00E5250C" w:rsidRPr="004E053C">
        <w:rPr>
          <w:rFonts w:cstheme="majorHAnsi"/>
          <w:sz w:val="22"/>
          <w:szCs w:val="22"/>
          <w:lang w:val="en-GB" w:eastAsia="zh-CN"/>
        </w:rPr>
        <w:t xml:space="preserve">that is not </w:t>
      </w:r>
      <w:r w:rsidR="00E710B8" w:rsidRPr="004E053C">
        <w:rPr>
          <w:rFonts w:cstheme="majorHAnsi"/>
          <w:sz w:val="22"/>
          <w:szCs w:val="22"/>
          <w:lang w:val="en-GB" w:eastAsia="zh-CN"/>
        </w:rPr>
        <w:t xml:space="preserve">spatially </w:t>
      </w:r>
      <w:r w:rsidR="004534F9" w:rsidRPr="004E053C">
        <w:rPr>
          <w:rFonts w:cstheme="majorHAnsi"/>
          <w:sz w:val="22"/>
          <w:szCs w:val="22"/>
          <w:lang w:val="en-GB" w:eastAsia="zh-CN"/>
        </w:rPr>
        <w:t>bound</w:t>
      </w:r>
      <w:r w:rsidR="001E6D97" w:rsidRPr="004E053C">
        <w:rPr>
          <w:rFonts w:cstheme="majorHAnsi"/>
          <w:sz w:val="22"/>
          <w:szCs w:val="22"/>
          <w:lang w:val="en-GB" w:eastAsia="zh-CN"/>
        </w:rPr>
        <w:t xml:space="preserve">. It emphasises the flows of </w:t>
      </w:r>
      <w:r w:rsidR="00357B04" w:rsidRPr="004E053C">
        <w:rPr>
          <w:rFonts w:cstheme="majorHAnsi"/>
          <w:sz w:val="22"/>
          <w:szCs w:val="22"/>
          <w:lang w:val="en-GB" w:eastAsia="zh-CN"/>
        </w:rPr>
        <w:t xml:space="preserve">people and capital </w:t>
      </w:r>
      <w:r w:rsidR="001E6D97" w:rsidRPr="004E053C">
        <w:rPr>
          <w:rFonts w:cstheme="majorHAnsi"/>
          <w:sz w:val="22"/>
          <w:szCs w:val="22"/>
          <w:lang w:val="en-GB" w:eastAsia="zh-CN"/>
        </w:rPr>
        <w:t xml:space="preserve">that </w:t>
      </w:r>
      <w:r w:rsidR="00357B04" w:rsidRPr="004E053C">
        <w:rPr>
          <w:rFonts w:cstheme="majorHAnsi"/>
          <w:sz w:val="22"/>
          <w:szCs w:val="22"/>
          <w:lang w:val="en-GB" w:eastAsia="zh-CN"/>
        </w:rPr>
        <w:t>connect</w:t>
      </w:r>
      <w:r w:rsidR="00E5250C" w:rsidRPr="004E053C">
        <w:rPr>
          <w:rFonts w:cstheme="majorHAnsi"/>
          <w:sz w:val="22"/>
          <w:szCs w:val="22"/>
          <w:lang w:val="en-GB" w:eastAsia="zh-CN"/>
        </w:rPr>
        <w:t xml:space="preserve"> multiple towns and settlements </w:t>
      </w:r>
      <w:r w:rsidR="00357B04"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transnationalism.","author":[{"dropping-particle":"","family":"Greiner","given":"Clemens","non-dropping-particle":"","parse-names":false,"suffix":""}],"container-title":"Sociologus","id":"ITEM-1","issue":"2","issued":{"date-parts":[["2010"]]},"page":"131-161","title":"Patterns of translocality: migration, livelihoods and identities in Northwest Namibia","type":"article-journal","volume":"60"},"uris":["http://www.mendeley.com/documents/?uuid=414887f7-c62a-48a7-b7bf-b65a4cc9aa41"]},{"id":"ITEM-2","itemData":{"author":[{"dropping-particle":"","family":"Benz","given":"Andreas","non-dropping-particle":"","parse-names":false,"suffix":""}],"container-title":"Geographica Helvetica","id":"ITEM-2","issued":{"date-parts":[["2014"]]},"page":"259-270","title":"Mobility, multilocality and translocal development: changing livelihoods in the Karakoram","type":"article-journal","volume":"69"},"uris":["http://www.mendeley.com/documents/?uuid=a8c22e9e-4865-494e-b801-f549845ca7d2"]},{"id":"ITEM-3","itemData":{"author":[{"dropping-particle":"","family":"Steinbrink","given":"Malte","non-dropping-particle":"","parse-names":false,"suffix":""}],"container-title":"Etude de la Population Africaine/African Population Studies","id":"ITEM-3","issued":{"date-parts":[["2009"]]},"page":"219-252","title":"Urbanisation, poverty and translocality: insights from South Africa","type":"article-journal","volume":"23"},"uris":["http://www.mendeley.com/documents/?uuid=73471f27-74d4-4cda-9d28-bfa63481d3fb"]}],"mendeley":{"formattedCitation":"(Benz, 2014; Greiner, 2010; Steinbrink, 2009)","plainTextFormattedCitation":"(Benz, 2014; Greiner, 2010; Steinbrink, 2009)","previouslyFormattedCitation":"(Benz, 2014; Greiner, 2010; Steinbrink, 2009)"},"properties":{"noteIndex":0},"schema":"https://github.com/citation-style-language/schema/raw/master/csl-citation.json"}</w:instrText>
      </w:r>
      <w:r w:rsidR="00357B04" w:rsidRPr="004E053C">
        <w:rPr>
          <w:rFonts w:cstheme="majorHAnsi"/>
          <w:sz w:val="22"/>
          <w:szCs w:val="22"/>
          <w:lang w:val="en-GB" w:eastAsia="zh-CN"/>
        </w:rPr>
        <w:fldChar w:fldCharType="separate"/>
      </w:r>
      <w:r w:rsidR="00357B04" w:rsidRPr="004E053C">
        <w:rPr>
          <w:rFonts w:cstheme="majorHAnsi"/>
          <w:noProof/>
          <w:sz w:val="22"/>
          <w:szCs w:val="22"/>
          <w:lang w:val="en-GB" w:eastAsia="zh-CN"/>
        </w:rPr>
        <w:t>(Benz, 2014; Greiner, 2010; Steinbrink, 2009)</w:t>
      </w:r>
      <w:r w:rsidR="00357B04" w:rsidRPr="004E053C">
        <w:rPr>
          <w:rFonts w:cstheme="majorHAnsi"/>
          <w:sz w:val="22"/>
          <w:szCs w:val="22"/>
          <w:lang w:val="en-GB" w:eastAsia="zh-CN"/>
        </w:rPr>
        <w:fldChar w:fldCharType="end"/>
      </w:r>
      <w:r w:rsidR="001E6D97" w:rsidRPr="004E053C">
        <w:rPr>
          <w:rFonts w:cstheme="majorHAnsi"/>
          <w:sz w:val="22"/>
          <w:szCs w:val="22"/>
          <w:lang w:val="en-GB" w:eastAsia="zh-CN"/>
        </w:rPr>
        <w:t>, creating a web of interconnections</w:t>
      </w:r>
      <w:r w:rsidR="00E5250C" w:rsidRPr="004E053C">
        <w:rPr>
          <w:rFonts w:cstheme="majorHAnsi"/>
          <w:sz w:val="22"/>
          <w:szCs w:val="22"/>
          <w:lang w:val="en-GB" w:eastAsia="zh-CN"/>
        </w:rPr>
        <w:t xml:space="preserve"> far more complex than simple A-B models of migration can accommodate. </w:t>
      </w:r>
      <w:r w:rsidR="001E6D97" w:rsidRPr="004E053C">
        <w:rPr>
          <w:rFonts w:cstheme="majorHAnsi"/>
          <w:sz w:val="22"/>
          <w:szCs w:val="22"/>
          <w:lang w:val="en-GB" w:eastAsia="zh-CN"/>
        </w:rPr>
        <w:t>The</w:t>
      </w:r>
      <w:r w:rsidR="00357B04" w:rsidRPr="004E053C">
        <w:rPr>
          <w:rFonts w:cstheme="majorHAnsi"/>
          <w:sz w:val="22"/>
          <w:szCs w:val="22"/>
          <w:lang w:val="en-GB" w:eastAsia="zh-CN"/>
        </w:rPr>
        <w:t xml:space="preserve"> Bourdieusian </w:t>
      </w:r>
      <w:r w:rsidR="001E6D97" w:rsidRPr="004E053C">
        <w:rPr>
          <w:rFonts w:cstheme="majorHAnsi"/>
          <w:sz w:val="22"/>
          <w:szCs w:val="22"/>
          <w:lang w:val="en-GB" w:eastAsia="zh-CN"/>
        </w:rPr>
        <w:t>concept of the social field is used to</w:t>
      </w:r>
      <w:r w:rsidR="00E5250C" w:rsidRPr="004E053C">
        <w:rPr>
          <w:rFonts w:cstheme="majorHAnsi"/>
          <w:sz w:val="22"/>
          <w:szCs w:val="22"/>
          <w:lang w:val="en-GB" w:eastAsia="zh-CN"/>
        </w:rPr>
        <w:t xml:space="preserve"> frame this translocal AS</w:t>
      </w:r>
      <w:r w:rsidR="004534F9" w:rsidRPr="004E053C">
        <w:rPr>
          <w:rFonts w:cstheme="majorHAnsi"/>
          <w:sz w:val="22"/>
          <w:szCs w:val="22"/>
          <w:lang w:val="en-GB" w:eastAsia="zh-CN"/>
        </w:rPr>
        <w:t>M community, as it allows for not only an</w:t>
      </w:r>
      <w:r w:rsidR="00E5250C" w:rsidRPr="004E053C">
        <w:rPr>
          <w:rFonts w:cstheme="majorHAnsi"/>
          <w:sz w:val="22"/>
          <w:szCs w:val="22"/>
          <w:lang w:val="en-GB" w:eastAsia="zh-CN"/>
        </w:rPr>
        <w:t xml:space="preserve"> analysis of the relationships between </w:t>
      </w:r>
      <w:r w:rsidR="001E6D97" w:rsidRPr="004E053C">
        <w:rPr>
          <w:rFonts w:cstheme="majorHAnsi"/>
          <w:sz w:val="22"/>
          <w:szCs w:val="22"/>
          <w:lang w:val="en-GB" w:eastAsia="zh-CN"/>
        </w:rPr>
        <w:t>the</w:t>
      </w:r>
      <w:r w:rsidR="00E5250C" w:rsidRPr="004E053C">
        <w:rPr>
          <w:rFonts w:cstheme="majorHAnsi"/>
          <w:sz w:val="22"/>
          <w:szCs w:val="22"/>
          <w:lang w:val="en-GB" w:eastAsia="zh-CN"/>
        </w:rPr>
        <w:t xml:space="preserve"> people eng</w:t>
      </w:r>
      <w:r w:rsidR="001E6D97" w:rsidRPr="004E053C">
        <w:rPr>
          <w:rFonts w:cstheme="majorHAnsi"/>
          <w:sz w:val="22"/>
          <w:szCs w:val="22"/>
          <w:lang w:val="en-GB" w:eastAsia="zh-CN"/>
        </w:rPr>
        <w:t>aged in the sector, but also of</w:t>
      </w:r>
      <w:r w:rsidR="00E5250C" w:rsidRPr="004E053C">
        <w:rPr>
          <w:rFonts w:cstheme="majorHAnsi"/>
          <w:sz w:val="22"/>
          <w:szCs w:val="22"/>
          <w:lang w:val="en-GB" w:eastAsia="zh-CN"/>
        </w:rPr>
        <w:t xml:space="preserve"> their </w:t>
      </w:r>
      <w:r w:rsidR="00E5250C" w:rsidRPr="00030E91">
        <w:rPr>
          <w:rFonts w:cstheme="majorHAnsi"/>
          <w:sz w:val="22"/>
          <w:szCs w:val="22"/>
          <w:lang w:val="en-GB" w:eastAsia="zh-CN"/>
        </w:rPr>
        <w:t>interactions with the state and the dominant society.</w:t>
      </w:r>
      <w:r w:rsidR="00E710B8" w:rsidRPr="00030E91">
        <w:rPr>
          <w:rFonts w:cstheme="majorHAnsi"/>
          <w:sz w:val="22"/>
          <w:szCs w:val="22"/>
          <w:lang w:val="en-GB" w:eastAsia="zh-CN"/>
        </w:rPr>
        <w:t xml:space="preserve"> </w:t>
      </w:r>
      <w:r w:rsidR="00927A88" w:rsidRPr="00030E91">
        <w:rPr>
          <w:rFonts w:cstheme="majorHAnsi"/>
          <w:sz w:val="22"/>
          <w:szCs w:val="22"/>
          <w:lang w:val="en-GB" w:eastAsia="zh-CN"/>
        </w:rPr>
        <w:t>This includes incorporating the experiences of women, who despite playing a crucial role in maintaining ASM livelihoods, have until recently been over looked. Moreover, my approach</w:t>
      </w:r>
      <w:r w:rsidR="00E4518B" w:rsidRPr="00030E91">
        <w:rPr>
          <w:rFonts w:cstheme="majorHAnsi"/>
          <w:sz w:val="22"/>
          <w:szCs w:val="22"/>
          <w:lang w:val="en-GB" w:eastAsia="zh-CN"/>
        </w:rPr>
        <w:t xml:space="preserve"> places emphasis on the temporal dimension of translocalit</w:t>
      </w:r>
      <w:r w:rsidR="00433836" w:rsidRPr="00030E91">
        <w:rPr>
          <w:rFonts w:cstheme="majorHAnsi"/>
          <w:sz w:val="22"/>
          <w:szCs w:val="22"/>
          <w:lang w:val="en-GB" w:eastAsia="zh-CN"/>
        </w:rPr>
        <w:t xml:space="preserve">y, which manifests through </w:t>
      </w:r>
      <w:r w:rsidR="00060D17" w:rsidRPr="00030E91">
        <w:rPr>
          <w:rFonts w:cstheme="majorHAnsi"/>
          <w:sz w:val="22"/>
          <w:szCs w:val="22"/>
          <w:lang w:val="en-GB" w:eastAsia="zh-CN"/>
        </w:rPr>
        <w:t xml:space="preserve">tensions </w:t>
      </w:r>
      <w:r w:rsidR="00433836" w:rsidRPr="00030E91">
        <w:rPr>
          <w:rFonts w:cstheme="majorHAnsi"/>
          <w:sz w:val="22"/>
          <w:szCs w:val="22"/>
          <w:lang w:val="en-GB" w:eastAsia="zh-CN"/>
        </w:rPr>
        <w:t>that emerge between miners and other migrants</w:t>
      </w:r>
      <w:r w:rsidR="00060D17" w:rsidRPr="00030E91">
        <w:rPr>
          <w:rFonts w:cstheme="majorHAnsi"/>
          <w:sz w:val="22"/>
          <w:szCs w:val="22"/>
          <w:lang w:val="en-GB" w:eastAsia="zh-CN"/>
        </w:rPr>
        <w:t>. I refer to these tensions as te</w:t>
      </w:r>
      <w:r w:rsidR="00433836" w:rsidRPr="00030E91">
        <w:rPr>
          <w:rFonts w:cstheme="majorHAnsi"/>
          <w:sz w:val="22"/>
          <w:szCs w:val="22"/>
          <w:lang w:val="en-GB" w:eastAsia="zh-CN"/>
        </w:rPr>
        <w:t>mp</w:t>
      </w:r>
      <w:r w:rsidR="00927A88" w:rsidRPr="00030E91">
        <w:rPr>
          <w:rFonts w:cstheme="majorHAnsi"/>
          <w:sz w:val="22"/>
          <w:szCs w:val="22"/>
          <w:lang w:val="en-GB" w:eastAsia="zh-CN"/>
        </w:rPr>
        <w:t>oral frictions, arguing that</w:t>
      </w:r>
      <w:r w:rsidR="00060D17" w:rsidRPr="00030E91">
        <w:rPr>
          <w:rFonts w:cstheme="majorHAnsi"/>
          <w:sz w:val="22"/>
          <w:szCs w:val="22"/>
          <w:lang w:val="en-GB" w:eastAsia="zh-CN"/>
        </w:rPr>
        <w:t xml:space="preserve"> they </w:t>
      </w:r>
      <w:r w:rsidR="00927A88" w:rsidRPr="00030E91">
        <w:rPr>
          <w:rFonts w:cstheme="majorHAnsi"/>
          <w:sz w:val="22"/>
          <w:szCs w:val="22"/>
          <w:lang w:val="en-GB" w:eastAsia="zh-CN"/>
        </w:rPr>
        <w:t>represent</w:t>
      </w:r>
      <w:r w:rsidR="00433836" w:rsidRPr="00030E91">
        <w:rPr>
          <w:rFonts w:cstheme="majorHAnsi"/>
          <w:sz w:val="22"/>
          <w:szCs w:val="22"/>
          <w:lang w:val="en-GB" w:eastAsia="zh-CN"/>
        </w:rPr>
        <w:t xml:space="preserve"> </w:t>
      </w:r>
      <w:r w:rsidR="00060D17" w:rsidRPr="00030E91">
        <w:rPr>
          <w:rFonts w:cstheme="majorHAnsi"/>
          <w:sz w:val="22"/>
          <w:szCs w:val="22"/>
          <w:lang w:val="en-GB" w:eastAsia="zh-CN"/>
        </w:rPr>
        <w:t xml:space="preserve">a type of </w:t>
      </w:r>
      <w:r w:rsidR="00927A88" w:rsidRPr="00030E91">
        <w:rPr>
          <w:rFonts w:cstheme="majorHAnsi"/>
          <w:sz w:val="22"/>
          <w:szCs w:val="22"/>
          <w:lang w:val="en-GB" w:eastAsia="zh-CN"/>
        </w:rPr>
        <w:t xml:space="preserve">contestation, in the </w:t>
      </w:r>
      <w:r w:rsidR="00C66190" w:rsidRPr="00030E91">
        <w:rPr>
          <w:rFonts w:cstheme="majorHAnsi"/>
          <w:sz w:val="22"/>
          <w:szCs w:val="22"/>
          <w:lang w:val="en-GB" w:eastAsia="zh-CN"/>
        </w:rPr>
        <w:t>Bourdieusian</w:t>
      </w:r>
      <w:r w:rsidR="00927A88" w:rsidRPr="00030E91">
        <w:rPr>
          <w:rFonts w:cstheme="majorHAnsi"/>
          <w:sz w:val="22"/>
          <w:szCs w:val="22"/>
          <w:lang w:val="en-GB" w:eastAsia="zh-CN"/>
        </w:rPr>
        <w:t xml:space="preserve"> sense, </w:t>
      </w:r>
      <w:r w:rsidR="00433836" w:rsidRPr="00030E91">
        <w:rPr>
          <w:rFonts w:cstheme="majorHAnsi"/>
          <w:sz w:val="22"/>
          <w:szCs w:val="22"/>
          <w:lang w:val="en-GB" w:eastAsia="zh-CN"/>
        </w:rPr>
        <w:t>that occur</w:t>
      </w:r>
      <w:r w:rsidR="00927A88" w:rsidRPr="00030E91">
        <w:rPr>
          <w:rFonts w:cstheme="majorHAnsi"/>
          <w:sz w:val="22"/>
          <w:szCs w:val="22"/>
          <w:lang w:val="en-GB" w:eastAsia="zh-CN"/>
        </w:rPr>
        <w:t xml:space="preserve">s within </w:t>
      </w:r>
      <w:r w:rsidR="00060D17" w:rsidRPr="00030E91">
        <w:rPr>
          <w:rFonts w:cstheme="majorHAnsi"/>
          <w:sz w:val="22"/>
          <w:szCs w:val="22"/>
          <w:lang w:val="en-GB" w:eastAsia="zh-CN"/>
        </w:rPr>
        <w:t>translocal social field</w:t>
      </w:r>
      <w:r w:rsidR="00927A88" w:rsidRPr="00030E91">
        <w:rPr>
          <w:rFonts w:cstheme="majorHAnsi"/>
          <w:sz w:val="22"/>
          <w:szCs w:val="22"/>
          <w:lang w:val="en-GB" w:eastAsia="zh-CN"/>
        </w:rPr>
        <w:t>s</w:t>
      </w:r>
      <w:r w:rsidR="00433836" w:rsidRPr="00030E91">
        <w:rPr>
          <w:rFonts w:cstheme="majorHAnsi"/>
          <w:sz w:val="22"/>
          <w:szCs w:val="22"/>
          <w:lang w:val="en-GB" w:eastAsia="zh-CN"/>
        </w:rPr>
        <w:t xml:space="preserve">. </w:t>
      </w:r>
    </w:p>
    <w:p w14:paraId="1AC034AA" w14:textId="073471EF" w:rsidR="00EB2BA8" w:rsidRPr="004E053C" w:rsidRDefault="00EB2BA8" w:rsidP="004E053C">
      <w:pPr>
        <w:spacing w:line="360" w:lineRule="auto"/>
        <w:jc w:val="both"/>
        <w:rPr>
          <w:rFonts w:cstheme="majorHAnsi"/>
          <w:sz w:val="22"/>
          <w:szCs w:val="22"/>
          <w:lang w:val="en-GB" w:eastAsia="zh-CN"/>
        </w:rPr>
      </w:pPr>
    </w:p>
    <w:p w14:paraId="5AB10ADD" w14:textId="77777777" w:rsidR="00EB2BA8" w:rsidRPr="004E053C" w:rsidRDefault="00EB2BA8" w:rsidP="004E053C">
      <w:pPr>
        <w:pStyle w:val="Heading2"/>
        <w:spacing w:before="0" w:line="360" w:lineRule="auto"/>
        <w:jc w:val="both"/>
        <w:rPr>
          <w:rFonts w:cstheme="majorHAnsi"/>
          <w:lang w:val="en-GB"/>
        </w:rPr>
      </w:pPr>
      <w:bookmarkStart w:id="6" w:name="_Toc33293070"/>
      <w:r w:rsidRPr="004E053C">
        <w:rPr>
          <w:rFonts w:cstheme="majorHAnsi"/>
          <w:lang w:val="en-GB" w:eastAsia="zh-CN"/>
        </w:rPr>
        <w:t>1.2 Justification</w:t>
      </w:r>
      <w:bookmarkEnd w:id="6"/>
    </w:p>
    <w:p w14:paraId="54FAA776" w14:textId="77777777" w:rsidR="00EB2BA8" w:rsidRPr="004E053C" w:rsidRDefault="00EB2BA8" w:rsidP="004E053C">
      <w:pPr>
        <w:spacing w:line="360" w:lineRule="auto"/>
        <w:jc w:val="both"/>
        <w:rPr>
          <w:rFonts w:cstheme="majorHAnsi"/>
          <w:sz w:val="22"/>
          <w:szCs w:val="22"/>
          <w:lang w:val="en-GB" w:eastAsia="zh-CN"/>
        </w:rPr>
      </w:pPr>
    </w:p>
    <w:p w14:paraId="2EF73847" w14:textId="7A7676D1" w:rsidR="00EB2BA8" w:rsidRPr="004E053C" w:rsidRDefault="00A207BE" w:rsidP="004E053C">
      <w:pPr>
        <w:spacing w:line="360" w:lineRule="auto"/>
        <w:jc w:val="both"/>
        <w:rPr>
          <w:rFonts w:cstheme="majorHAnsi"/>
          <w:sz w:val="22"/>
          <w:szCs w:val="22"/>
          <w:lang w:val="en-GB" w:eastAsia="zh-CN"/>
        </w:rPr>
      </w:pPr>
      <w:r w:rsidRPr="004E053C">
        <w:rPr>
          <w:rFonts w:cstheme="majorHAnsi"/>
          <w:sz w:val="22"/>
          <w:szCs w:val="22"/>
          <w:lang w:val="en-GB"/>
        </w:rPr>
        <w:t>Those working both directly and indirectly in</w:t>
      </w:r>
      <w:r w:rsidR="00030E91">
        <w:rPr>
          <w:rFonts w:cstheme="majorHAnsi"/>
          <w:sz w:val="22"/>
          <w:szCs w:val="22"/>
          <w:lang w:val="en-GB"/>
        </w:rPr>
        <w:t xml:space="preserve"> the informal gold-mining</w:t>
      </w:r>
      <w:r w:rsidR="004534F9" w:rsidRPr="004E053C">
        <w:rPr>
          <w:rFonts w:cstheme="majorHAnsi"/>
          <w:sz w:val="22"/>
          <w:szCs w:val="22"/>
          <w:lang w:val="en-GB"/>
        </w:rPr>
        <w:t xml:space="preserve"> sector in</w:t>
      </w:r>
      <w:r w:rsidR="00EB2BA8" w:rsidRPr="004E053C">
        <w:rPr>
          <w:rFonts w:cstheme="majorHAnsi"/>
          <w:sz w:val="22"/>
          <w:szCs w:val="22"/>
          <w:lang w:val="en-GB"/>
        </w:rPr>
        <w:t xml:space="preserve"> Madre de Dios are almost exclusively migrants, the majority of whom arrive</w:t>
      </w:r>
      <w:r w:rsidRPr="004E053C">
        <w:rPr>
          <w:rFonts w:cstheme="majorHAnsi"/>
          <w:sz w:val="22"/>
          <w:szCs w:val="22"/>
          <w:lang w:val="en-GB"/>
        </w:rPr>
        <w:t>d</w:t>
      </w:r>
      <w:r w:rsidR="00EB2BA8" w:rsidRPr="004E053C">
        <w:rPr>
          <w:rFonts w:cstheme="majorHAnsi"/>
          <w:sz w:val="22"/>
          <w:szCs w:val="22"/>
          <w:lang w:val="en-GB"/>
        </w:rPr>
        <w:t xml:space="preserve"> from the Andes. This is </w:t>
      </w:r>
      <w:r w:rsidRPr="004E053C">
        <w:rPr>
          <w:rFonts w:cstheme="majorHAnsi"/>
          <w:sz w:val="22"/>
          <w:szCs w:val="22"/>
          <w:lang w:val="en-GB"/>
        </w:rPr>
        <w:t>largely</w:t>
      </w:r>
      <w:r w:rsidR="00D57942" w:rsidRPr="004E053C">
        <w:rPr>
          <w:rFonts w:cstheme="majorHAnsi"/>
          <w:sz w:val="22"/>
          <w:szCs w:val="22"/>
          <w:lang w:val="en-GB"/>
        </w:rPr>
        <w:t xml:space="preserve"> due to the high </w:t>
      </w:r>
      <w:r w:rsidR="00EB2BA8" w:rsidRPr="004E053C">
        <w:rPr>
          <w:rFonts w:cstheme="majorHAnsi"/>
          <w:sz w:val="22"/>
          <w:szCs w:val="22"/>
          <w:lang w:val="en-GB"/>
        </w:rPr>
        <w:t xml:space="preserve">rates of poverty in the Andean region, which is compounded by </w:t>
      </w:r>
      <w:r w:rsidRPr="004E053C">
        <w:rPr>
          <w:rFonts w:cstheme="majorHAnsi"/>
          <w:sz w:val="22"/>
          <w:szCs w:val="22"/>
          <w:lang w:val="en-GB"/>
        </w:rPr>
        <w:t>climate change, water scarcity and</w:t>
      </w:r>
      <w:r w:rsidR="00EB2BA8" w:rsidRPr="004E053C">
        <w:rPr>
          <w:rFonts w:cstheme="majorHAnsi"/>
          <w:sz w:val="22"/>
          <w:szCs w:val="22"/>
          <w:lang w:val="en-GB"/>
        </w:rPr>
        <w:t xml:space="preserve"> </w:t>
      </w:r>
      <w:r w:rsidRPr="004E053C">
        <w:rPr>
          <w:rFonts w:cstheme="majorHAnsi"/>
          <w:sz w:val="22"/>
          <w:szCs w:val="22"/>
          <w:lang w:val="en-GB"/>
        </w:rPr>
        <w:t xml:space="preserve">decreasing agricultural productivity. </w:t>
      </w:r>
      <w:r w:rsidR="00D3785B" w:rsidRPr="004E053C">
        <w:rPr>
          <w:rFonts w:cstheme="majorHAnsi"/>
          <w:sz w:val="22"/>
          <w:szCs w:val="22"/>
          <w:lang w:val="en-GB"/>
        </w:rPr>
        <w:t>Furthermore</w:t>
      </w:r>
      <w:r w:rsidRPr="004E053C">
        <w:rPr>
          <w:rFonts w:cstheme="majorHAnsi"/>
          <w:sz w:val="22"/>
          <w:szCs w:val="22"/>
          <w:lang w:val="en-GB"/>
        </w:rPr>
        <w:t>, Andean people often face</w:t>
      </w:r>
      <w:r w:rsidR="00EB2BA8" w:rsidRPr="004E053C">
        <w:rPr>
          <w:rFonts w:cstheme="majorHAnsi"/>
          <w:sz w:val="22"/>
          <w:szCs w:val="22"/>
          <w:lang w:val="en-GB"/>
        </w:rPr>
        <w:t xml:space="preserve"> di</w:t>
      </w:r>
      <w:r w:rsidRPr="004E053C">
        <w:rPr>
          <w:rFonts w:cstheme="majorHAnsi"/>
          <w:sz w:val="22"/>
          <w:szCs w:val="22"/>
          <w:lang w:val="en-GB"/>
        </w:rPr>
        <w:t xml:space="preserve">scrimination when they migrate to urban </w:t>
      </w:r>
      <w:r w:rsidR="008C68C5" w:rsidRPr="004E053C">
        <w:rPr>
          <w:rFonts w:cstheme="majorHAnsi"/>
          <w:sz w:val="22"/>
          <w:szCs w:val="22"/>
          <w:lang w:val="en-GB"/>
        </w:rPr>
        <w:t>centres</w:t>
      </w:r>
      <w:r w:rsidR="00357B04" w:rsidRPr="004E053C">
        <w:rPr>
          <w:rFonts w:cstheme="majorHAnsi"/>
          <w:sz w:val="22"/>
          <w:szCs w:val="22"/>
          <w:lang w:val="en-GB"/>
        </w:rPr>
        <w:t xml:space="preserve"> </w:t>
      </w:r>
      <w:r w:rsidR="00357B04"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{"citationItems":[{"id":"ITEM-1","itemData":{"abstract":"The inequality and structures of domination in Peru influences people from different class, regional, and ethnic backgrounds to migrate both internally and internationally that has significant adverse impact on their relations. Peruvians migrate to a wider range of countries and regions due to several factors such as the economic crisis, political instability, and structural adjustments. The racial and cultural mixture created due to the immigration to Peru produced the diversity of emigrant population. Peruvian emigrants come from both rural and urban areas and Peruvian migrants from rural backgrounds tend to migrate first to urban areas in Peru and then to other countries. Peru has one of the highest rates of out-migration in Latin America and in response to this the Peruvian state has taken steps to include Peruvians abroad in a new imagined Peruvian nation spanning geographical borders.","author":[{"dropping-particle":"","family":"Takenaka","given":"Ayumi","non-dropping-particle":"","parse-names":false,"suffix":""},{"dropping-particle":"","family":"Paerregaard","given":"Karsten","non-dropping-particle":"","parse-names":false,"suffix":""},{"dropping-particle":"","family":"Berg","given":"Ulla","non-dropping-particle":"","parse-names":false,"suffix":""}],"container-title":"Latin American Perspectives","id":"ITEM-1","issue":"5","issued":{"date-parts":[["2010"]]},"page":"3-11","title":"Peruvian migration in a global context","type":"article-journal","volume":"37"},"uris":["http://www.mendeley.com/documents/?uuid=27b837c4-cda6-407f-b5fe-6cea4473aa5e"]},{"id":"ITEM-2","itemData":{"author":[{"dropping-particle":"","family":"Steel","given":"G","non-dropping-particle":"","parse-names":false,"suffix":""},{"dropping-particle":"","family":"Zoomers","given":"A","non-dropping-particle":"","parse-names":false,"suffix":""}],"container-title":"International Development Planning Review","id":"ITEM-2","issue":"4","issued":{"date-parts":[["2009"]]},"page":"377-396","title":"Social mobility in the Central Andes of Peru and Bolivia","type":"article-journal","volume":"31"},"uris":["http://www.mendeley.com/documents/?uuid=8ab52e95-acb4-48ab-9e59-08b5898591f0"]}],"mendeley":{"formattedCitation":"(Steel &amp; Zoomers, 2009; Takenaka, Paerregaard, &amp; Berg, 2010)","manualFormatting":"(Steel &amp; Zoomers, 2009; Takenaka et al, 2010)","plainTextFormattedCitation":"(Steel &amp; Zoomers, 2009; Takenaka, Paerregaard, &amp; Berg, 2010)","previouslyFormattedCitation":"(Steel &amp; Zoomers, 2009; Takenaka, Paerregaard, &amp; Berg, 2010)"},"properties":{"noteIndex":0},"schema":"https://github.com/citation-style-language/schema/raw/master/csl-citation.json"}</w:instrText>
      </w:r>
      <w:r w:rsidR="00357B04" w:rsidRPr="004E053C">
        <w:rPr>
          <w:rFonts w:cstheme="majorHAnsi"/>
          <w:sz w:val="22"/>
          <w:szCs w:val="22"/>
          <w:lang w:val="en-GB"/>
        </w:rPr>
        <w:fldChar w:fldCharType="separate"/>
      </w:r>
      <w:r w:rsidR="00357B04" w:rsidRPr="004E053C">
        <w:rPr>
          <w:rFonts w:cstheme="majorHAnsi"/>
          <w:noProof/>
          <w:sz w:val="22"/>
          <w:szCs w:val="22"/>
          <w:lang w:val="en-GB"/>
        </w:rPr>
        <w:t>(Steel &amp; Zoomers, 200</w:t>
      </w:r>
      <w:r w:rsidR="00803CFF" w:rsidRPr="004E053C">
        <w:rPr>
          <w:rFonts w:cstheme="majorHAnsi"/>
          <w:noProof/>
          <w:sz w:val="22"/>
          <w:szCs w:val="22"/>
          <w:lang w:val="en-GB"/>
        </w:rPr>
        <w:t>9; Takenaka et al</w:t>
      </w:r>
      <w:r w:rsidR="00357B04" w:rsidRPr="004E053C">
        <w:rPr>
          <w:rFonts w:cstheme="majorHAnsi"/>
          <w:noProof/>
          <w:sz w:val="22"/>
          <w:szCs w:val="22"/>
          <w:lang w:val="en-GB"/>
        </w:rPr>
        <w:t>, 2010)</w:t>
      </w:r>
      <w:r w:rsidR="00357B04" w:rsidRPr="004E053C">
        <w:rPr>
          <w:rFonts w:cstheme="majorHAnsi"/>
          <w:sz w:val="22"/>
          <w:szCs w:val="22"/>
          <w:lang w:val="en-GB"/>
        </w:rPr>
        <w:fldChar w:fldCharType="end"/>
      </w:r>
      <w:r w:rsidR="00EB2BA8" w:rsidRPr="004E053C">
        <w:rPr>
          <w:rFonts w:cstheme="majorHAnsi"/>
          <w:sz w:val="22"/>
          <w:szCs w:val="22"/>
          <w:lang w:val="en-GB"/>
        </w:rPr>
        <w:t>. High labour mobility is not a characteristic</w:t>
      </w:r>
      <w:r w:rsidRPr="004E053C">
        <w:rPr>
          <w:rFonts w:cstheme="majorHAnsi"/>
          <w:sz w:val="22"/>
          <w:szCs w:val="22"/>
          <w:lang w:val="en-GB"/>
        </w:rPr>
        <w:t xml:space="preserve"> of ASM that is unique to Peru and it is widely acknowledged in the literature. However, I was unable to find an analysis of the</w:t>
      </w:r>
      <w:r w:rsidR="00EB2BA8" w:rsidRPr="004E053C">
        <w:rPr>
          <w:rFonts w:cstheme="majorHAnsi"/>
          <w:sz w:val="22"/>
          <w:szCs w:val="22"/>
          <w:lang w:val="en-GB"/>
        </w:rPr>
        <w:t xml:space="preserve"> </w:t>
      </w:r>
      <w:r w:rsidR="00755859" w:rsidRPr="004E053C">
        <w:rPr>
          <w:rFonts w:cstheme="majorHAnsi"/>
          <w:sz w:val="22"/>
          <w:szCs w:val="22"/>
          <w:lang w:val="en-GB"/>
        </w:rPr>
        <w:t>mining community</w:t>
      </w:r>
      <w:r w:rsidRPr="004E053C">
        <w:rPr>
          <w:rFonts w:cstheme="majorHAnsi"/>
          <w:sz w:val="22"/>
          <w:szCs w:val="22"/>
          <w:lang w:val="en-GB"/>
        </w:rPr>
        <w:t xml:space="preserve"> that incorporated all sides of the spatial divide</w:t>
      </w:r>
      <w:r w:rsidR="00755859" w:rsidRPr="004E053C">
        <w:rPr>
          <w:rFonts w:cstheme="majorHAnsi"/>
          <w:sz w:val="22"/>
          <w:szCs w:val="22"/>
          <w:lang w:val="en-GB"/>
        </w:rPr>
        <w:t xml:space="preserve">. </w:t>
      </w:r>
      <w:r w:rsidRPr="004E053C">
        <w:rPr>
          <w:rFonts w:cstheme="majorHAnsi"/>
          <w:sz w:val="22"/>
          <w:szCs w:val="22"/>
          <w:lang w:val="en-GB"/>
        </w:rPr>
        <w:t xml:space="preserve">Places of origin are treated as discrete locations that exist separately from mining settlements and are usually only focused on with </w:t>
      </w:r>
      <w:r w:rsidR="00EB2BA8" w:rsidRPr="004E053C">
        <w:rPr>
          <w:rFonts w:cstheme="majorHAnsi"/>
          <w:sz w:val="22"/>
          <w:szCs w:val="22"/>
          <w:lang w:val="en-GB"/>
        </w:rPr>
        <w:t xml:space="preserve">regard to remittances or the </w:t>
      </w:r>
      <w:r w:rsidRPr="004E053C">
        <w:rPr>
          <w:rFonts w:cstheme="majorHAnsi"/>
          <w:sz w:val="22"/>
          <w:szCs w:val="22"/>
          <w:lang w:val="en-GB"/>
        </w:rPr>
        <w:t xml:space="preserve">pre-existing </w:t>
      </w:r>
      <w:r w:rsidR="00EB2BA8" w:rsidRPr="004E053C">
        <w:rPr>
          <w:rFonts w:cstheme="majorHAnsi"/>
          <w:sz w:val="22"/>
          <w:szCs w:val="22"/>
          <w:lang w:val="en-GB"/>
        </w:rPr>
        <w:t xml:space="preserve">conditions that led to </w:t>
      </w:r>
      <w:r w:rsidRPr="004E053C">
        <w:rPr>
          <w:rFonts w:cstheme="majorHAnsi"/>
          <w:sz w:val="22"/>
          <w:szCs w:val="22"/>
          <w:lang w:val="en-GB"/>
        </w:rPr>
        <w:t>migration</w:t>
      </w:r>
      <w:r w:rsidR="00EB2BA8" w:rsidRPr="004E053C">
        <w:rPr>
          <w:rFonts w:cstheme="majorHAnsi"/>
          <w:sz w:val="22"/>
          <w:szCs w:val="22"/>
          <w:lang w:val="en-GB"/>
        </w:rPr>
        <w:t xml:space="preserve">. </w:t>
      </w:r>
      <w:r w:rsidR="002127E0" w:rsidRPr="004E053C">
        <w:rPr>
          <w:rFonts w:cstheme="majorHAnsi"/>
          <w:sz w:val="22"/>
          <w:szCs w:val="22"/>
          <w:lang w:val="en-GB" w:eastAsia="zh-CN"/>
        </w:rPr>
        <w:t xml:space="preserve">Understanding </w:t>
      </w:r>
      <w:r w:rsidR="004609AA" w:rsidRPr="004E053C">
        <w:rPr>
          <w:rFonts w:cstheme="majorHAnsi"/>
          <w:sz w:val="22"/>
          <w:szCs w:val="22"/>
          <w:lang w:val="en-GB" w:eastAsia="zh-CN"/>
        </w:rPr>
        <w:t>this is important</w:t>
      </w:r>
      <w:r w:rsidR="0095041D" w:rsidRPr="004E053C">
        <w:rPr>
          <w:rFonts w:cstheme="majorHAnsi"/>
          <w:sz w:val="22"/>
          <w:szCs w:val="22"/>
          <w:lang w:val="en-GB" w:eastAsia="zh-CN"/>
        </w:rPr>
        <w:t xml:space="preserve"> </w:t>
      </w:r>
      <w:r w:rsidR="004609AA" w:rsidRPr="004E053C">
        <w:rPr>
          <w:rFonts w:cstheme="majorHAnsi"/>
          <w:sz w:val="22"/>
          <w:szCs w:val="22"/>
          <w:lang w:val="en-GB" w:eastAsia="zh-CN"/>
        </w:rPr>
        <w:t xml:space="preserve">but the </w:t>
      </w:r>
      <w:r w:rsidR="0095041D" w:rsidRPr="004E053C">
        <w:rPr>
          <w:rFonts w:cstheme="majorHAnsi"/>
          <w:sz w:val="22"/>
          <w:szCs w:val="22"/>
          <w:lang w:val="en-GB" w:eastAsia="zh-CN"/>
        </w:rPr>
        <w:t>knowledge of</w:t>
      </w:r>
      <w:r w:rsidR="004609AA" w:rsidRPr="004E053C">
        <w:rPr>
          <w:rFonts w:cstheme="majorHAnsi"/>
          <w:sz w:val="22"/>
          <w:szCs w:val="22"/>
          <w:lang w:val="en-GB" w:eastAsia="zh-CN"/>
        </w:rPr>
        <w:t xml:space="preserve"> why</w:t>
      </w:r>
      <w:r w:rsidR="00EB2BA8" w:rsidRPr="004E053C">
        <w:rPr>
          <w:rFonts w:cstheme="majorHAnsi"/>
          <w:i/>
          <w:iCs/>
          <w:sz w:val="22"/>
          <w:szCs w:val="22"/>
          <w:lang w:val="en-GB" w:eastAsia="zh-CN"/>
        </w:rPr>
        <w:t xml:space="preserve"> </w:t>
      </w:r>
      <w:r w:rsidR="00EB2BA8" w:rsidRPr="004E053C">
        <w:rPr>
          <w:rFonts w:cstheme="majorHAnsi"/>
          <w:sz w:val="22"/>
          <w:szCs w:val="22"/>
          <w:lang w:val="en-GB" w:eastAsia="zh-CN"/>
        </w:rPr>
        <w:t xml:space="preserve">a household decided to migrate tells us little about their plans for the future, </w:t>
      </w:r>
      <w:r w:rsidR="00D3785B" w:rsidRPr="004E053C">
        <w:rPr>
          <w:rFonts w:cstheme="majorHAnsi"/>
          <w:sz w:val="22"/>
          <w:szCs w:val="22"/>
          <w:lang w:val="en-GB" w:eastAsia="zh-CN"/>
        </w:rPr>
        <w:t>their</w:t>
      </w:r>
      <w:r w:rsidR="004609AA" w:rsidRPr="004E053C">
        <w:rPr>
          <w:rFonts w:cstheme="majorHAnsi"/>
          <w:sz w:val="22"/>
          <w:szCs w:val="22"/>
          <w:lang w:val="en-GB" w:eastAsia="zh-CN"/>
        </w:rPr>
        <w:t xml:space="preserve"> </w:t>
      </w:r>
      <w:r w:rsidR="00EB2BA8" w:rsidRPr="004E053C">
        <w:rPr>
          <w:rFonts w:cstheme="majorHAnsi"/>
          <w:sz w:val="22"/>
          <w:szCs w:val="22"/>
          <w:lang w:val="en-GB" w:eastAsia="zh-CN"/>
        </w:rPr>
        <w:t xml:space="preserve">experience of </w:t>
      </w:r>
      <w:r w:rsidR="004609AA" w:rsidRPr="004E053C">
        <w:rPr>
          <w:rFonts w:cstheme="majorHAnsi"/>
          <w:sz w:val="22"/>
          <w:szCs w:val="22"/>
          <w:lang w:val="en-GB" w:eastAsia="zh-CN"/>
        </w:rPr>
        <w:t>the migration process or its</w:t>
      </w:r>
      <w:r w:rsidR="00EB2BA8" w:rsidRPr="004E053C">
        <w:rPr>
          <w:rFonts w:cstheme="majorHAnsi"/>
          <w:sz w:val="22"/>
          <w:szCs w:val="22"/>
          <w:lang w:val="en-GB" w:eastAsia="zh-CN"/>
        </w:rPr>
        <w:t xml:space="preserve"> impact on community dynamics. </w:t>
      </w:r>
      <w:r w:rsidR="0095041D" w:rsidRPr="004E053C">
        <w:rPr>
          <w:rFonts w:cstheme="majorHAnsi"/>
          <w:sz w:val="22"/>
          <w:szCs w:val="22"/>
          <w:lang w:val="en-GB" w:eastAsia="zh-CN"/>
        </w:rPr>
        <w:t xml:space="preserve">Furthermore, as mobility is gendered, including these places of origin into the analysis ensures that the contributions that women make to ASM </w:t>
      </w:r>
      <w:r w:rsidR="007E07E5" w:rsidRPr="004E053C">
        <w:rPr>
          <w:rFonts w:cstheme="majorHAnsi"/>
          <w:sz w:val="22"/>
          <w:szCs w:val="22"/>
          <w:lang w:val="en-GB" w:eastAsia="zh-CN"/>
        </w:rPr>
        <w:t xml:space="preserve">livelihoods </w:t>
      </w:r>
      <w:r w:rsidR="0095041D" w:rsidRPr="004E053C">
        <w:rPr>
          <w:rFonts w:cstheme="majorHAnsi"/>
          <w:sz w:val="22"/>
          <w:szCs w:val="22"/>
          <w:lang w:val="en-GB" w:eastAsia="zh-CN"/>
        </w:rPr>
        <w:t xml:space="preserve">is emphasised. </w:t>
      </w:r>
    </w:p>
    <w:p w14:paraId="448693AB" w14:textId="22F0384B" w:rsidR="00265F20" w:rsidRPr="004E053C" w:rsidRDefault="00265F20" w:rsidP="004E053C">
      <w:pPr>
        <w:spacing w:line="360" w:lineRule="auto"/>
        <w:jc w:val="both"/>
        <w:rPr>
          <w:rFonts w:cstheme="majorHAnsi"/>
          <w:sz w:val="22"/>
          <w:szCs w:val="22"/>
          <w:lang w:val="en-GB" w:eastAsia="zh-CN"/>
        </w:rPr>
      </w:pPr>
    </w:p>
    <w:p w14:paraId="04E7EA90" w14:textId="2190E0C3" w:rsidR="00265F20" w:rsidRPr="00030E91" w:rsidRDefault="004A72EE" w:rsidP="004E053C">
      <w:pPr>
        <w:spacing w:line="360" w:lineRule="auto"/>
        <w:jc w:val="both"/>
        <w:rPr>
          <w:rFonts w:cstheme="majorHAnsi"/>
          <w:sz w:val="22"/>
          <w:szCs w:val="22"/>
          <w:lang w:val="en-GB" w:eastAsia="zh-CN"/>
        </w:rPr>
      </w:pPr>
      <w:r w:rsidRPr="004E053C">
        <w:rPr>
          <w:rFonts w:cstheme="majorHAnsi"/>
          <w:sz w:val="22"/>
          <w:szCs w:val="22"/>
          <w:lang w:val="en-GB"/>
        </w:rPr>
        <w:t xml:space="preserve">ASM </w:t>
      </w:r>
      <w:r w:rsidR="00882964" w:rsidRPr="004E053C">
        <w:rPr>
          <w:rFonts w:cstheme="majorHAnsi"/>
          <w:sz w:val="22"/>
          <w:szCs w:val="22"/>
          <w:lang w:val="en-GB"/>
        </w:rPr>
        <w:t>is known to provide</w:t>
      </w:r>
      <w:r w:rsidR="00300887" w:rsidRPr="004E053C">
        <w:rPr>
          <w:rFonts w:cstheme="majorHAnsi"/>
          <w:sz w:val="22"/>
          <w:szCs w:val="22"/>
          <w:lang w:val="en-GB"/>
        </w:rPr>
        <w:t xml:space="preserve"> a means of diversification </w:t>
      </w:r>
      <w:r w:rsidR="00882964" w:rsidRPr="004E053C">
        <w:rPr>
          <w:rFonts w:cstheme="majorHAnsi"/>
          <w:sz w:val="22"/>
          <w:szCs w:val="22"/>
          <w:lang w:val="en-GB"/>
        </w:rPr>
        <w:t>and can</w:t>
      </w:r>
      <w:r w:rsidR="009A0FCD" w:rsidRPr="004E053C">
        <w:rPr>
          <w:rFonts w:cstheme="majorHAnsi"/>
          <w:sz w:val="22"/>
          <w:szCs w:val="22"/>
          <w:lang w:val="en-GB"/>
        </w:rPr>
        <w:t xml:space="preserve"> </w:t>
      </w:r>
      <w:r w:rsidR="00882964" w:rsidRPr="004E053C">
        <w:rPr>
          <w:rFonts w:cstheme="majorHAnsi"/>
          <w:sz w:val="22"/>
          <w:szCs w:val="22"/>
          <w:lang w:val="en-GB"/>
        </w:rPr>
        <w:t xml:space="preserve">be used to </w:t>
      </w:r>
      <w:r w:rsidR="004609AA" w:rsidRPr="004E053C">
        <w:rPr>
          <w:rFonts w:cstheme="majorHAnsi"/>
          <w:sz w:val="22"/>
          <w:szCs w:val="22"/>
          <w:lang w:val="en-GB"/>
        </w:rPr>
        <w:t xml:space="preserve">support other </w:t>
      </w:r>
      <w:r w:rsidRPr="004E053C">
        <w:rPr>
          <w:rFonts w:cstheme="majorHAnsi"/>
          <w:sz w:val="22"/>
          <w:szCs w:val="22"/>
          <w:lang w:val="en-GB"/>
        </w:rPr>
        <w:t>livelihood activities</w:t>
      </w:r>
      <w:r w:rsidR="009A0FCD" w:rsidRPr="004E053C">
        <w:rPr>
          <w:rFonts w:cstheme="majorHAnsi"/>
          <w:sz w:val="22"/>
          <w:szCs w:val="22"/>
          <w:lang w:val="en-GB"/>
        </w:rPr>
        <w:t xml:space="preserve">, </w:t>
      </w:r>
      <w:r w:rsidR="00882964" w:rsidRPr="004E053C">
        <w:rPr>
          <w:rFonts w:cstheme="majorHAnsi"/>
          <w:sz w:val="22"/>
          <w:szCs w:val="22"/>
          <w:lang w:val="en-GB"/>
        </w:rPr>
        <w:t>but may also represent a sole source of household</w:t>
      </w:r>
      <w:r w:rsidR="00300887" w:rsidRPr="004E053C">
        <w:rPr>
          <w:rFonts w:cstheme="majorHAnsi"/>
          <w:sz w:val="22"/>
          <w:szCs w:val="22"/>
          <w:lang w:val="en-GB"/>
        </w:rPr>
        <w:t xml:space="preserve"> income. The implication here is that while some </w:t>
      </w:r>
      <w:r w:rsidR="00882964" w:rsidRPr="004E053C">
        <w:rPr>
          <w:rFonts w:cstheme="majorHAnsi"/>
          <w:sz w:val="22"/>
          <w:szCs w:val="22"/>
          <w:lang w:val="en-GB"/>
        </w:rPr>
        <w:t xml:space="preserve">individuals </w:t>
      </w:r>
      <w:r w:rsidR="00803CFF" w:rsidRPr="004E053C">
        <w:rPr>
          <w:rFonts w:cstheme="majorHAnsi"/>
          <w:sz w:val="22"/>
          <w:szCs w:val="22"/>
          <w:lang w:val="en-GB"/>
        </w:rPr>
        <w:t xml:space="preserve">may be ‘career’ miners </w:t>
      </w:r>
      <w:r w:rsidR="00803CFF"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2010)","manualFormatting":"(Bryceson &amp; Jønsson, 2010)","plainTextFormattedCitation":"(D. F. Bryceson &amp; Jønsson, 2010)","previouslyFormattedCitation":"(D. F. Bryceson &amp; Jønsson, 2010)"},"properties":{"noteIndex":0},"schema":"https://github.com/citation-style-language/schema/raw/master/csl-citation.json"}</w:instrText>
      </w:r>
      <w:r w:rsidR="00803CFF" w:rsidRPr="004E053C">
        <w:rPr>
          <w:rFonts w:cstheme="majorHAnsi"/>
          <w:sz w:val="22"/>
          <w:szCs w:val="22"/>
          <w:lang w:val="en-GB"/>
        </w:rPr>
        <w:fldChar w:fldCharType="separate"/>
      </w:r>
      <w:r w:rsidR="00B21FFD" w:rsidRPr="004E053C">
        <w:rPr>
          <w:rFonts w:cstheme="majorHAnsi"/>
          <w:noProof/>
          <w:sz w:val="22"/>
          <w:szCs w:val="22"/>
          <w:lang w:val="en-GB"/>
        </w:rPr>
        <w:t>(</w:t>
      </w:r>
      <w:r w:rsidR="00EE12FF" w:rsidRPr="004E053C">
        <w:rPr>
          <w:rFonts w:cstheme="majorHAnsi"/>
          <w:noProof/>
          <w:sz w:val="22"/>
          <w:szCs w:val="22"/>
          <w:lang w:val="en-GB"/>
        </w:rPr>
        <w:t>Bryceson &amp; Jønsson, 2010)</w:t>
      </w:r>
      <w:r w:rsidR="00803CFF" w:rsidRPr="004E053C">
        <w:rPr>
          <w:rFonts w:cstheme="majorHAnsi"/>
          <w:sz w:val="22"/>
          <w:szCs w:val="22"/>
          <w:lang w:val="en-GB"/>
        </w:rPr>
        <w:fldChar w:fldCharType="end"/>
      </w:r>
      <w:r w:rsidR="00300887" w:rsidRPr="004E053C">
        <w:rPr>
          <w:rFonts w:cstheme="majorHAnsi"/>
          <w:sz w:val="22"/>
          <w:szCs w:val="22"/>
          <w:lang w:val="en-GB"/>
        </w:rPr>
        <w:t xml:space="preserve">, for others </w:t>
      </w:r>
      <w:r w:rsidR="00882964" w:rsidRPr="004E053C">
        <w:rPr>
          <w:rFonts w:cstheme="majorHAnsi"/>
          <w:sz w:val="22"/>
          <w:szCs w:val="22"/>
          <w:lang w:val="en-GB"/>
        </w:rPr>
        <w:t xml:space="preserve">engagement in the sector is </w:t>
      </w:r>
      <w:r w:rsidR="00300887" w:rsidRPr="004E053C">
        <w:rPr>
          <w:rFonts w:cstheme="majorHAnsi"/>
          <w:sz w:val="22"/>
          <w:szCs w:val="22"/>
          <w:lang w:val="en-GB"/>
        </w:rPr>
        <w:t>temporary, suggesting</w:t>
      </w:r>
      <w:r w:rsidR="009A0FCD" w:rsidRPr="004E053C">
        <w:rPr>
          <w:rFonts w:cstheme="majorHAnsi"/>
          <w:sz w:val="22"/>
          <w:szCs w:val="22"/>
          <w:lang w:val="en-GB"/>
        </w:rPr>
        <w:t xml:space="preserve"> that over time, livelihood trajectories </w:t>
      </w:r>
      <w:r w:rsidR="00300887" w:rsidRPr="004E053C">
        <w:rPr>
          <w:rFonts w:cstheme="majorHAnsi"/>
          <w:sz w:val="22"/>
          <w:szCs w:val="22"/>
          <w:lang w:val="en-GB"/>
        </w:rPr>
        <w:t>have a tendency to diverge. W</w:t>
      </w:r>
      <w:r w:rsidR="007A7DCE">
        <w:rPr>
          <w:rFonts w:cstheme="majorHAnsi"/>
          <w:sz w:val="22"/>
          <w:szCs w:val="22"/>
          <w:lang w:val="en-GB"/>
        </w:rPr>
        <w:t>hile academic</w:t>
      </w:r>
      <w:r w:rsidR="009A0FCD" w:rsidRPr="004E053C">
        <w:rPr>
          <w:rFonts w:cstheme="majorHAnsi"/>
          <w:sz w:val="22"/>
          <w:szCs w:val="22"/>
          <w:lang w:val="en-GB"/>
        </w:rPr>
        <w:t xml:space="preserve">s have </w:t>
      </w:r>
      <w:r w:rsidR="00300887" w:rsidRPr="004E053C">
        <w:rPr>
          <w:rFonts w:cstheme="majorHAnsi"/>
          <w:sz w:val="22"/>
          <w:szCs w:val="22"/>
          <w:lang w:val="en-GB"/>
        </w:rPr>
        <w:t xml:space="preserve">shown that engagement in </w:t>
      </w:r>
      <w:r w:rsidR="00265F20" w:rsidRPr="004E053C">
        <w:rPr>
          <w:rFonts w:cstheme="majorHAnsi"/>
          <w:sz w:val="22"/>
          <w:szCs w:val="22"/>
          <w:lang w:val="en-GB"/>
        </w:rPr>
        <w:t xml:space="preserve">ASM </w:t>
      </w:r>
      <w:r w:rsidR="00300887" w:rsidRPr="004E053C">
        <w:rPr>
          <w:rFonts w:cstheme="majorHAnsi"/>
          <w:sz w:val="22"/>
          <w:szCs w:val="22"/>
          <w:lang w:val="en-GB"/>
        </w:rPr>
        <w:t xml:space="preserve">occurs </w:t>
      </w:r>
      <w:r w:rsidR="00265F20" w:rsidRPr="004E053C">
        <w:rPr>
          <w:rFonts w:cstheme="majorHAnsi"/>
          <w:sz w:val="22"/>
          <w:szCs w:val="22"/>
          <w:lang w:val="en-GB"/>
        </w:rPr>
        <w:t xml:space="preserve">for myriad reasons and </w:t>
      </w:r>
      <w:r w:rsidR="00300887" w:rsidRPr="004E053C">
        <w:rPr>
          <w:rFonts w:cstheme="majorHAnsi"/>
          <w:sz w:val="22"/>
          <w:szCs w:val="22"/>
          <w:lang w:val="en-GB"/>
        </w:rPr>
        <w:t>for different lengths of time, there is little analysis of how divergent livelihood trajectories shape local communities.</w:t>
      </w:r>
      <w:r w:rsidR="00265F20" w:rsidRPr="004E053C">
        <w:rPr>
          <w:rFonts w:cstheme="majorHAnsi"/>
          <w:sz w:val="22"/>
          <w:szCs w:val="22"/>
          <w:lang w:val="en-GB"/>
        </w:rPr>
        <w:t xml:space="preserve"> </w:t>
      </w:r>
      <w:r w:rsidR="006172B6" w:rsidRPr="004E053C">
        <w:rPr>
          <w:rFonts w:cstheme="majorHAnsi"/>
          <w:sz w:val="22"/>
          <w:szCs w:val="22"/>
          <w:lang w:val="en-GB"/>
        </w:rPr>
        <w:t>This seems an oversight, given that livelihood and place are often strong el</w:t>
      </w:r>
      <w:r w:rsidR="00803CFF" w:rsidRPr="004E053C">
        <w:rPr>
          <w:rFonts w:cstheme="majorHAnsi"/>
          <w:sz w:val="22"/>
          <w:szCs w:val="22"/>
          <w:lang w:val="en-GB"/>
        </w:rPr>
        <w:t xml:space="preserve">ements of one’s identity </w:t>
      </w:r>
      <w:r w:rsidR="00803CFF"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choices","type":"article-journal","volume":"38"},"uris":["http://www.mendeley.com/documents/?uuid=7f7b744a-7bae-4fde-b246-36b5d50aedb4"]},{"id":"ITEM-2","itemData":{"abstract":"Sociological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Sociology","id":"ITEM-2","issued":{"date-parts":[["2000"]]},"page":"463-496","title":"A space for place in sociology","type":"article-journal","volume":"26"},"uris":["http://www.mendeley.com/documents/?uuid=40055a61-4bab-46a9-a28c-e073dfac7680"]}],"mendeley":{"formattedCitation":"(D. F. Bryceson &amp; Jønsson, 2010; Gieryn, 2000)","manualFormatting":"(Bryceson &amp; Jønsson, 2010; Gieryn, 2000)","plainTextFormattedCitation":"(D. F. Bryceson &amp; Jønsson, 2010; Gieryn, 2000)","previouslyFormattedCitation":"(D. F. Bryceson &amp; Jønsson, 2010; Gieryn, 2000)"},"properties":{"noteIndex":0},"schema":"https://github.com/citation-style-language/schema/raw/master/csl-citation.json"}</w:instrText>
      </w:r>
      <w:r w:rsidR="00803CFF" w:rsidRPr="004E053C">
        <w:rPr>
          <w:rFonts w:cstheme="majorHAnsi"/>
          <w:sz w:val="22"/>
          <w:szCs w:val="22"/>
          <w:lang w:val="en-GB"/>
        </w:rPr>
        <w:fldChar w:fldCharType="separate"/>
      </w:r>
      <w:r w:rsidR="00B21FFD" w:rsidRPr="004E053C">
        <w:rPr>
          <w:rFonts w:cstheme="majorHAnsi"/>
          <w:noProof/>
          <w:sz w:val="22"/>
          <w:szCs w:val="22"/>
          <w:lang w:val="en-GB"/>
        </w:rPr>
        <w:t>(</w:t>
      </w:r>
      <w:r w:rsidR="00EE12FF" w:rsidRPr="004E053C">
        <w:rPr>
          <w:rFonts w:cstheme="majorHAnsi"/>
          <w:noProof/>
          <w:sz w:val="22"/>
          <w:szCs w:val="22"/>
          <w:lang w:val="en-GB"/>
        </w:rPr>
        <w:t>Bryceson &amp; Jønsson, 2010; Gieryn, 2000)</w:t>
      </w:r>
      <w:r w:rsidR="00803CFF" w:rsidRPr="004E053C">
        <w:rPr>
          <w:rFonts w:cstheme="majorHAnsi"/>
          <w:sz w:val="22"/>
          <w:szCs w:val="22"/>
          <w:lang w:val="en-GB"/>
        </w:rPr>
        <w:fldChar w:fldCharType="end"/>
      </w:r>
      <w:r w:rsidR="004609AA" w:rsidRPr="004E053C">
        <w:rPr>
          <w:rFonts w:cstheme="majorHAnsi"/>
          <w:sz w:val="22"/>
          <w:szCs w:val="22"/>
          <w:lang w:val="en-GB"/>
        </w:rPr>
        <w:t xml:space="preserve"> and</w:t>
      </w:r>
      <w:r w:rsidR="006172B6" w:rsidRPr="004E053C">
        <w:rPr>
          <w:rFonts w:cstheme="majorHAnsi"/>
          <w:sz w:val="22"/>
          <w:szCs w:val="22"/>
          <w:lang w:val="en-GB"/>
        </w:rPr>
        <w:t xml:space="preserve"> both may be undermined by </w:t>
      </w:r>
      <w:r w:rsidR="0078364F" w:rsidRPr="004E053C">
        <w:rPr>
          <w:rFonts w:cstheme="majorHAnsi"/>
          <w:sz w:val="22"/>
          <w:szCs w:val="22"/>
          <w:lang w:val="en-GB"/>
        </w:rPr>
        <w:t xml:space="preserve">high mobility, which is a key characteristic of </w:t>
      </w:r>
      <w:r w:rsidR="0078364F" w:rsidRPr="00030E91">
        <w:rPr>
          <w:rFonts w:cstheme="majorHAnsi"/>
          <w:sz w:val="22"/>
          <w:szCs w:val="22"/>
          <w:lang w:val="en-GB"/>
        </w:rPr>
        <w:t>translocal livelihoods such as ASM</w:t>
      </w:r>
      <w:r w:rsidR="006172B6" w:rsidRPr="00030E91">
        <w:rPr>
          <w:rFonts w:cstheme="majorHAnsi"/>
          <w:sz w:val="22"/>
          <w:szCs w:val="22"/>
          <w:lang w:val="en-GB"/>
        </w:rPr>
        <w:t xml:space="preserve">. </w:t>
      </w:r>
      <w:r w:rsidR="003F40C7" w:rsidRPr="00030E91">
        <w:rPr>
          <w:rFonts w:cstheme="majorHAnsi"/>
          <w:sz w:val="22"/>
          <w:szCs w:val="22"/>
          <w:lang w:val="en-GB"/>
        </w:rPr>
        <w:t xml:space="preserve">If we are to understand mining communities, it is crucial that the relationships between the various actors working with the sector are explored, and this includes analysis at the household, local and translocal level. </w:t>
      </w:r>
      <w:r w:rsidR="002D6E5D" w:rsidRPr="00030E91">
        <w:rPr>
          <w:rFonts w:cstheme="majorHAnsi"/>
          <w:sz w:val="22"/>
          <w:szCs w:val="22"/>
          <w:lang w:val="en-GB"/>
        </w:rPr>
        <w:t>By conceptualis</w:t>
      </w:r>
      <w:r w:rsidR="004609AA" w:rsidRPr="00030E91">
        <w:rPr>
          <w:rFonts w:cstheme="majorHAnsi"/>
          <w:sz w:val="22"/>
          <w:szCs w:val="22"/>
          <w:lang w:val="en-GB"/>
        </w:rPr>
        <w:t xml:space="preserve">ing the translocal ASM community as a social field in the Bourdieusian sense, the contestations that emerge between the various actors can become a key area of focus. </w:t>
      </w:r>
      <w:r w:rsidR="00DF7F15" w:rsidRPr="00030E91">
        <w:rPr>
          <w:rFonts w:cstheme="majorHAnsi"/>
          <w:sz w:val="22"/>
          <w:szCs w:val="22"/>
          <w:lang w:val="en-GB"/>
        </w:rPr>
        <w:t>This is important because d</w:t>
      </w:r>
      <w:r w:rsidR="00927A88" w:rsidRPr="00030E91">
        <w:rPr>
          <w:rFonts w:cstheme="majorHAnsi"/>
          <w:sz w:val="22"/>
          <w:szCs w:val="22"/>
          <w:lang w:val="en-GB"/>
        </w:rPr>
        <w:t>iver</w:t>
      </w:r>
      <w:r w:rsidR="00DF7F15" w:rsidRPr="00030E91">
        <w:rPr>
          <w:rFonts w:cstheme="majorHAnsi"/>
          <w:sz w:val="22"/>
          <w:szCs w:val="22"/>
          <w:lang w:val="en-GB"/>
        </w:rPr>
        <w:t>gent livelihood trajectories suggest the existence of competing long-term interests that will result in some form of contestation.</w:t>
      </w:r>
    </w:p>
    <w:p w14:paraId="5D36D089" w14:textId="77777777" w:rsidR="00EB2BA8" w:rsidRPr="00030E91" w:rsidRDefault="00EB2BA8" w:rsidP="004E053C">
      <w:pPr>
        <w:spacing w:line="360" w:lineRule="auto"/>
        <w:jc w:val="both"/>
        <w:rPr>
          <w:rFonts w:cstheme="majorHAnsi"/>
          <w:sz w:val="22"/>
          <w:szCs w:val="22"/>
          <w:lang w:val="en-GB"/>
        </w:rPr>
      </w:pPr>
    </w:p>
    <w:p w14:paraId="44C4C281" w14:textId="788690F6" w:rsidR="00EB2BA8" w:rsidRPr="004E053C" w:rsidRDefault="00986AF4" w:rsidP="004E053C">
      <w:pPr>
        <w:spacing w:line="360" w:lineRule="auto"/>
        <w:jc w:val="both"/>
        <w:rPr>
          <w:rFonts w:cstheme="majorHAnsi"/>
          <w:sz w:val="22"/>
          <w:szCs w:val="22"/>
          <w:lang w:val="en-GB"/>
        </w:rPr>
      </w:pPr>
      <w:r w:rsidRPr="00030E91">
        <w:rPr>
          <w:rFonts w:cstheme="majorHAnsi"/>
          <w:sz w:val="22"/>
          <w:szCs w:val="22"/>
          <w:lang w:val="en-GB"/>
        </w:rPr>
        <w:t xml:space="preserve">In contexts where </w:t>
      </w:r>
      <w:r w:rsidR="00EB2BA8" w:rsidRPr="00030E91">
        <w:rPr>
          <w:rFonts w:cstheme="majorHAnsi"/>
          <w:sz w:val="22"/>
          <w:szCs w:val="22"/>
          <w:lang w:val="en-GB"/>
        </w:rPr>
        <w:t>ASM</w:t>
      </w:r>
      <w:r w:rsidRPr="00030E91">
        <w:rPr>
          <w:rFonts w:cstheme="majorHAnsi"/>
          <w:sz w:val="22"/>
          <w:szCs w:val="22"/>
          <w:lang w:val="en-GB"/>
        </w:rPr>
        <w:t xml:space="preserve"> is illegal</w:t>
      </w:r>
      <w:r w:rsidR="00EB2BA8" w:rsidRPr="00030E91">
        <w:rPr>
          <w:rFonts w:cstheme="majorHAnsi"/>
          <w:sz w:val="22"/>
          <w:szCs w:val="22"/>
          <w:lang w:val="en-GB"/>
        </w:rPr>
        <w:t>, the issue of criminality has central</w:t>
      </w:r>
      <w:r w:rsidR="00EB2BA8" w:rsidRPr="004E053C">
        <w:rPr>
          <w:rFonts w:cstheme="majorHAnsi"/>
          <w:sz w:val="22"/>
          <w:szCs w:val="22"/>
          <w:lang w:val="en-GB"/>
        </w:rPr>
        <w:t xml:space="preserve"> importance. As in many countries with a significant ASM sector, public discourse in Peru vilifies artisanal gold miners. While this trend has </w:t>
      </w:r>
      <w:r w:rsidR="002127E0" w:rsidRPr="004E053C">
        <w:rPr>
          <w:rFonts w:cstheme="majorHAnsi"/>
          <w:sz w:val="22"/>
          <w:szCs w:val="22"/>
          <w:lang w:val="en-GB"/>
        </w:rPr>
        <w:t xml:space="preserve">frequently </w:t>
      </w:r>
      <w:r w:rsidR="00EB2BA8" w:rsidRPr="004E053C">
        <w:rPr>
          <w:rFonts w:cstheme="majorHAnsi"/>
          <w:sz w:val="22"/>
          <w:szCs w:val="22"/>
          <w:lang w:val="en-GB"/>
        </w:rPr>
        <w:t xml:space="preserve">been observed in the literature </w:t>
      </w:r>
      <w:r w:rsidR="00A53F91"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{"citationItems":[{"id":"ITEM-1","itemData":{"abstract":"Contrary to views of South African government officials and the media, illegal miners (. zamazama) in South Africa are better described as 'artisanal' miners and entrepreneurs who create significant numbers of jobs and economic value for many local communities. For the most part, they are not ignorant desperados, nor especially violent. They have unusual non-standard mining skills and knowledge that is distinctly different from industrial miners. They exploit gold resources that major mines cannot access and interact directly with global markets. With better legislation and, possibly, training, they could be economic assets and elements of the national heritage.","author":[{"dropping-particle":"","family":"Thornton","given":"Robert","non-dropping-particle":"","parse-names":false,"suffix":""}],"container-title":"Extractive Industries and Society","id":"ITEM-1","issue":"2","issued":{"date-parts":[["2014"]]},"page":"127-129","publisher":"Elsevier Ltd","title":"Zamazama, \"illegal\" artisanal miners, misrepresented by the South African Press and Government","type":"article-journal","volume":"1"},"uris":["http://www.mendeley.com/documents/?uuid=e5f815be-8d68-4df2-a3e5-b010b5bdc70c"]},{"id":"ITEM-2","itemData":{"abstract":"Much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Policy","id":"ITEM-2","issue":"1-2","issued":{"date-parts":[["2009"]]},"page":"24-31","title":"Recognizing and nurturing artisanal mining as a viable livelihood","type":"article-journal","volume":"34"},"uris":["http://www.mendeley.com/documents/?uuid=5831bb71-6055-493f-9a5a-64dcd06bad59"]},{"id":"ITEM-3","itemData":{"abstract":"While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Society","id":"ITEM-3","issue":"1","issued":{"date-parts":[["2014"]]},"page":"75-85","publisher":"Elsevier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 Thornton, 2014; Tschakert, 2009)","manualFormatting":"(Nyame &amp; Grant, 2014; Thornton, 2014; Tschakert, 2009)","plainTextFormattedCitation":"(F. K. Nyame &amp; Grant, 2014; Thornton, 2014; Tschakert, 2009)","previouslyFormattedCitation":"(F. K. Nyame &amp; Grant, 2014; Thornton, 2014; Tschakert, 2009)"},"properties":{"noteIndex":0},"schema":"https://github.com/citation-style-language/schema/raw/master/csl-citation.json"}</w:instrText>
      </w:r>
      <w:r w:rsidR="00A53F91" w:rsidRPr="004E053C">
        <w:rPr>
          <w:rFonts w:cstheme="majorHAnsi"/>
          <w:sz w:val="22"/>
          <w:szCs w:val="22"/>
          <w:lang w:val="en-GB"/>
        </w:rPr>
        <w:fldChar w:fldCharType="separate"/>
      </w:r>
      <w:r w:rsidR="00B21FFD" w:rsidRPr="004E053C">
        <w:rPr>
          <w:rFonts w:cstheme="majorHAnsi"/>
          <w:noProof/>
          <w:sz w:val="22"/>
          <w:szCs w:val="22"/>
          <w:lang w:val="en-GB"/>
        </w:rPr>
        <w:t>(</w:t>
      </w:r>
      <w:r w:rsidR="00311E2A" w:rsidRPr="004E053C">
        <w:rPr>
          <w:rFonts w:cstheme="majorHAnsi"/>
          <w:noProof/>
          <w:sz w:val="22"/>
          <w:szCs w:val="22"/>
          <w:lang w:val="en-GB"/>
        </w:rPr>
        <w:t>Nyame &amp; Grant, 2014; Thornton, 2014; Tschakert, 2009)</w:t>
      </w:r>
      <w:r w:rsidR="00A53F91" w:rsidRPr="004E053C">
        <w:rPr>
          <w:rFonts w:cstheme="majorHAnsi"/>
          <w:sz w:val="22"/>
          <w:szCs w:val="22"/>
          <w:lang w:val="en-GB"/>
        </w:rPr>
        <w:fldChar w:fldCharType="end"/>
      </w:r>
      <w:r w:rsidR="00EB2BA8" w:rsidRPr="004E053C">
        <w:rPr>
          <w:rFonts w:cstheme="majorHAnsi"/>
          <w:sz w:val="22"/>
          <w:szCs w:val="22"/>
          <w:lang w:val="en-GB"/>
        </w:rPr>
        <w:t>, the impact</w:t>
      </w:r>
      <w:r w:rsidR="002127E0" w:rsidRPr="004E053C">
        <w:rPr>
          <w:rFonts w:cstheme="majorHAnsi"/>
          <w:sz w:val="22"/>
          <w:szCs w:val="22"/>
          <w:lang w:val="en-GB"/>
        </w:rPr>
        <w:t xml:space="preserve"> of this </w:t>
      </w:r>
      <w:r w:rsidR="00091107" w:rsidRPr="004E053C">
        <w:rPr>
          <w:rFonts w:cstheme="majorHAnsi"/>
          <w:sz w:val="22"/>
          <w:szCs w:val="22"/>
          <w:lang w:val="en-GB"/>
        </w:rPr>
        <w:t>criminalisation</w:t>
      </w:r>
      <w:r w:rsidR="002127E0" w:rsidRPr="004E053C">
        <w:rPr>
          <w:rFonts w:cstheme="majorHAnsi"/>
          <w:sz w:val="22"/>
          <w:szCs w:val="22"/>
          <w:lang w:val="en-GB"/>
        </w:rPr>
        <w:t xml:space="preserve"> on local people is </w:t>
      </w:r>
      <w:r w:rsidR="00EB2BA8" w:rsidRPr="004E053C">
        <w:rPr>
          <w:rFonts w:cstheme="majorHAnsi"/>
          <w:sz w:val="22"/>
          <w:szCs w:val="22"/>
          <w:lang w:val="en-GB"/>
        </w:rPr>
        <w:t>not</w:t>
      </w:r>
      <w:r w:rsidR="002127E0" w:rsidRPr="004E053C">
        <w:rPr>
          <w:rFonts w:cstheme="majorHAnsi"/>
          <w:sz w:val="22"/>
          <w:szCs w:val="22"/>
          <w:lang w:val="en-GB"/>
        </w:rPr>
        <w:t xml:space="preserve"> well</w:t>
      </w:r>
      <w:r w:rsidR="00EB2BA8" w:rsidRPr="004E053C">
        <w:rPr>
          <w:rFonts w:cstheme="majorHAnsi"/>
          <w:sz w:val="22"/>
          <w:szCs w:val="22"/>
          <w:lang w:val="en-GB"/>
        </w:rPr>
        <w:t xml:space="preserve"> understood. Al</w:t>
      </w:r>
      <w:r w:rsidR="002127E0" w:rsidRPr="004E053C">
        <w:rPr>
          <w:rFonts w:cstheme="majorHAnsi"/>
          <w:sz w:val="22"/>
          <w:szCs w:val="22"/>
          <w:lang w:val="en-GB"/>
        </w:rPr>
        <w:t xml:space="preserve">though it has been noted that </w:t>
      </w:r>
      <w:r w:rsidR="00091107" w:rsidRPr="004E053C">
        <w:rPr>
          <w:rFonts w:cstheme="majorHAnsi"/>
          <w:sz w:val="22"/>
          <w:szCs w:val="22"/>
          <w:lang w:val="en-GB"/>
        </w:rPr>
        <w:t>criminalisation</w:t>
      </w:r>
      <w:r w:rsidR="00EB2BA8" w:rsidRPr="004E053C">
        <w:rPr>
          <w:rFonts w:cstheme="majorHAnsi"/>
          <w:sz w:val="22"/>
          <w:szCs w:val="22"/>
          <w:lang w:val="en-GB"/>
        </w:rPr>
        <w:t xml:space="preserve"> may exclude</w:t>
      </w:r>
      <w:r w:rsidR="00A53F91" w:rsidRPr="004E053C">
        <w:rPr>
          <w:rFonts w:cstheme="majorHAnsi"/>
          <w:sz w:val="22"/>
          <w:szCs w:val="22"/>
          <w:lang w:val="en-GB"/>
        </w:rPr>
        <w:t xml:space="preserve"> miners from the debat</w:t>
      </w:r>
      <w:r w:rsidR="002D6E5D" w:rsidRPr="004E053C">
        <w:rPr>
          <w:rFonts w:cstheme="majorHAnsi"/>
          <w:sz w:val="22"/>
          <w:szCs w:val="22"/>
          <w:lang w:val="en-GB"/>
        </w:rPr>
        <w:t>e, the impact of this marginalis</w:t>
      </w:r>
      <w:r w:rsidR="00A53F91" w:rsidRPr="004E053C">
        <w:rPr>
          <w:rFonts w:cstheme="majorHAnsi"/>
          <w:sz w:val="22"/>
          <w:szCs w:val="22"/>
          <w:lang w:val="en-GB"/>
        </w:rPr>
        <w:t>ation on</w:t>
      </w:r>
      <w:r w:rsidR="00EB2BA8" w:rsidRPr="004E053C">
        <w:rPr>
          <w:rFonts w:cstheme="majorHAnsi"/>
          <w:sz w:val="22"/>
          <w:szCs w:val="22"/>
          <w:lang w:val="en-GB"/>
        </w:rPr>
        <w:t xml:space="preserve"> </w:t>
      </w:r>
      <w:r w:rsidR="00265F20" w:rsidRPr="004E053C">
        <w:rPr>
          <w:rFonts w:cstheme="majorHAnsi"/>
          <w:sz w:val="22"/>
          <w:szCs w:val="22"/>
          <w:lang w:val="en-GB"/>
        </w:rPr>
        <w:t>collective identity</w:t>
      </w:r>
      <w:r w:rsidR="00EB2BA8" w:rsidRPr="004E053C">
        <w:rPr>
          <w:rFonts w:cstheme="majorHAnsi"/>
          <w:sz w:val="22"/>
          <w:szCs w:val="22"/>
          <w:lang w:val="en-GB"/>
        </w:rPr>
        <w:t xml:space="preserve"> has not been </w:t>
      </w:r>
      <w:r w:rsidR="00D3785B" w:rsidRPr="004E053C">
        <w:rPr>
          <w:rFonts w:cstheme="majorHAnsi"/>
          <w:sz w:val="22"/>
          <w:szCs w:val="22"/>
          <w:lang w:val="en-GB"/>
        </w:rPr>
        <w:t>thoroughly</w:t>
      </w:r>
      <w:r w:rsidR="00A53F91" w:rsidRPr="004E053C">
        <w:rPr>
          <w:rFonts w:cstheme="majorHAnsi"/>
          <w:sz w:val="22"/>
          <w:szCs w:val="22"/>
          <w:lang w:val="en-GB"/>
        </w:rPr>
        <w:t xml:space="preserve"> </w:t>
      </w:r>
      <w:r w:rsidR="00EB2BA8" w:rsidRPr="004E053C">
        <w:rPr>
          <w:rFonts w:cstheme="majorHAnsi"/>
          <w:sz w:val="22"/>
          <w:szCs w:val="22"/>
          <w:lang w:val="en-GB"/>
        </w:rPr>
        <w:t xml:space="preserve">explored. </w:t>
      </w:r>
      <w:r w:rsidR="002127E0" w:rsidRPr="004E053C">
        <w:rPr>
          <w:rFonts w:cstheme="majorHAnsi"/>
          <w:sz w:val="22"/>
          <w:szCs w:val="22"/>
          <w:lang w:val="en-GB"/>
        </w:rPr>
        <w:t>This is surprising, given the focus on identity within the literature</w:t>
      </w:r>
      <w:r w:rsidR="004609AA" w:rsidRPr="004E053C">
        <w:rPr>
          <w:rFonts w:cstheme="majorHAnsi"/>
          <w:sz w:val="22"/>
          <w:szCs w:val="22"/>
          <w:lang w:val="en-GB"/>
        </w:rPr>
        <w:t xml:space="preserve"> </w:t>
      </w:r>
      <w:r w:rsidR="004609AA"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2010)","manualFormatting":"(Bryceson &amp; Jønsson, 2010)","plainTextFormattedCitation":"(D. F. Bryceson &amp; Jønsson, 2010)","previouslyFormattedCitation":"(D. F. Bryceson &amp; Jønsson, 2010)"},"properties":{"noteIndex":0},"schema":"https://github.com/citation-style-language/schema/raw/master/csl-citation.json"}</w:instrText>
      </w:r>
      <w:r w:rsidR="004609AA" w:rsidRPr="004E053C">
        <w:rPr>
          <w:rFonts w:cstheme="majorHAnsi"/>
          <w:sz w:val="22"/>
          <w:szCs w:val="22"/>
          <w:lang w:val="en-GB"/>
        </w:rPr>
        <w:fldChar w:fldCharType="separate"/>
      </w:r>
      <w:r w:rsidR="004609AA" w:rsidRPr="004E053C">
        <w:rPr>
          <w:rFonts w:cstheme="majorHAnsi"/>
          <w:noProof/>
          <w:sz w:val="22"/>
          <w:szCs w:val="22"/>
          <w:lang w:val="en-GB"/>
        </w:rPr>
        <w:t>(Bryceson &amp; Jønsson, 2010)</w:t>
      </w:r>
      <w:r w:rsidR="004609AA" w:rsidRPr="004E053C">
        <w:rPr>
          <w:rFonts w:cstheme="majorHAnsi"/>
          <w:sz w:val="22"/>
          <w:szCs w:val="22"/>
          <w:lang w:val="en-GB"/>
        </w:rPr>
        <w:fldChar w:fldCharType="end"/>
      </w:r>
      <w:r w:rsidR="002127E0" w:rsidRPr="004E053C">
        <w:rPr>
          <w:rFonts w:cstheme="majorHAnsi"/>
          <w:sz w:val="22"/>
          <w:szCs w:val="22"/>
          <w:lang w:val="en-GB"/>
        </w:rPr>
        <w:t xml:space="preserve">. </w:t>
      </w:r>
      <w:r w:rsidR="00EB2BA8" w:rsidRPr="004E053C">
        <w:rPr>
          <w:rFonts w:cstheme="majorHAnsi"/>
          <w:sz w:val="22"/>
          <w:szCs w:val="22"/>
          <w:lang w:val="en-GB"/>
        </w:rPr>
        <w:t xml:space="preserve">Given the importance of engaging ASM operatives and the wider community in discussions regarding the future of ASM policy and regulation, this seems like a crucial avenue of investigation. At the same time, the impact of </w:t>
      </w:r>
      <w:r w:rsidR="00091107" w:rsidRPr="004E053C">
        <w:rPr>
          <w:rFonts w:cstheme="majorHAnsi"/>
          <w:sz w:val="22"/>
          <w:szCs w:val="22"/>
          <w:lang w:val="en-GB"/>
        </w:rPr>
        <w:t>criminalisation</w:t>
      </w:r>
      <w:r w:rsidR="00EB2BA8" w:rsidRPr="004E053C">
        <w:rPr>
          <w:rFonts w:cstheme="majorHAnsi"/>
          <w:sz w:val="22"/>
          <w:szCs w:val="22"/>
          <w:lang w:val="en-GB"/>
        </w:rPr>
        <w:t xml:space="preserve"> cannot be considered independently of the divergent migratory processes that underpin mining communities, as these are likely to influence the views of the residents and their engagement with policy processes. </w:t>
      </w:r>
      <w:r w:rsidR="00CF0DDA" w:rsidRPr="004E053C">
        <w:rPr>
          <w:rFonts w:cstheme="majorHAnsi"/>
          <w:sz w:val="22"/>
          <w:szCs w:val="22"/>
          <w:lang w:val="en-GB"/>
        </w:rPr>
        <w:t>Through its analy</w:t>
      </w:r>
      <w:r w:rsidR="002D4F92" w:rsidRPr="004E053C">
        <w:rPr>
          <w:rFonts w:cstheme="majorHAnsi"/>
          <w:sz w:val="22"/>
          <w:szCs w:val="22"/>
          <w:lang w:val="en-GB"/>
        </w:rPr>
        <w:t xml:space="preserve">sis of </w:t>
      </w:r>
      <w:r w:rsidR="00D3785B" w:rsidRPr="004E053C">
        <w:rPr>
          <w:rFonts w:cstheme="majorHAnsi"/>
          <w:sz w:val="22"/>
          <w:szCs w:val="22"/>
          <w:lang w:val="en-GB"/>
        </w:rPr>
        <w:t>translocal</w:t>
      </w:r>
      <w:r w:rsidR="002D4F92" w:rsidRPr="004E053C">
        <w:rPr>
          <w:rFonts w:cstheme="majorHAnsi"/>
          <w:sz w:val="22"/>
          <w:szCs w:val="22"/>
          <w:lang w:val="en-GB"/>
        </w:rPr>
        <w:t xml:space="preserve"> livelihoods</w:t>
      </w:r>
      <w:r w:rsidR="00CF0DDA" w:rsidRPr="004E053C">
        <w:rPr>
          <w:rFonts w:cstheme="majorHAnsi"/>
          <w:sz w:val="22"/>
          <w:szCs w:val="22"/>
          <w:lang w:val="en-GB"/>
        </w:rPr>
        <w:t>, this</w:t>
      </w:r>
      <w:r w:rsidR="00755859" w:rsidRPr="004E053C">
        <w:rPr>
          <w:rFonts w:cstheme="majorHAnsi"/>
          <w:sz w:val="22"/>
          <w:szCs w:val="22"/>
          <w:lang w:val="en-GB"/>
        </w:rPr>
        <w:t xml:space="preserve"> thesis</w:t>
      </w:r>
      <w:r w:rsidR="00CF0DDA" w:rsidRPr="004E053C">
        <w:rPr>
          <w:rFonts w:cstheme="majorHAnsi"/>
          <w:sz w:val="22"/>
          <w:szCs w:val="22"/>
          <w:lang w:val="en-GB"/>
        </w:rPr>
        <w:t xml:space="preserve"> b</w:t>
      </w:r>
      <w:r w:rsidR="00755859" w:rsidRPr="004E053C">
        <w:rPr>
          <w:rFonts w:cstheme="majorHAnsi"/>
          <w:sz w:val="22"/>
          <w:szCs w:val="22"/>
          <w:lang w:val="en-GB"/>
        </w:rPr>
        <w:t>rings together</w:t>
      </w:r>
      <w:r w:rsidR="00D26DB1" w:rsidRPr="004E053C">
        <w:rPr>
          <w:rFonts w:cstheme="majorHAnsi"/>
          <w:sz w:val="22"/>
          <w:szCs w:val="22"/>
          <w:lang w:val="en-GB"/>
        </w:rPr>
        <w:t xml:space="preserve"> debates on migration and place </w:t>
      </w:r>
      <w:r w:rsidR="00755859" w:rsidRPr="004E053C">
        <w:rPr>
          <w:rFonts w:cstheme="majorHAnsi"/>
          <w:sz w:val="22"/>
          <w:szCs w:val="22"/>
          <w:lang w:val="en-GB"/>
        </w:rPr>
        <w:t xml:space="preserve">identity with </w:t>
      </w:r>
      <w:r w:rsidR="00CF0DDA" w:rsidRPr="004E053C">
        <w:rPr>
          <w:rFonts w:cstheme="majorHAnsi"/>
          <w:sz w:val="22"/>
          <w:szCs w:val="22"/>
          <w:lang w:val="en-GB"/>
        </w:rPr>
        <w:t xml:space="preserve">theory on criminality and </w:t>
      </w:r>
      <w:r w:rsidR="00755859" w:rsidRPr="004E053C">
        <w:rPr>
          <w:rFonts w:cstheme="majorHAnsi"/>
          <w:sz w:val="22"/>
          <w:szCs w:val="22"/>
          <w:lang w:val="en-GB"/>
        </w:rPr>
        <w:t>deviance in the c</w:t>
      </w:r>
      <w:r w:rsidR="00CF0DDA" w:rsidRPr="004E053C">
        <w:rPr>
          <w:rFonts w:cstheme="majorHAnsi"/>
          <w:sz w:val="22"/>
          <w:szCs w:val="22"/>
          <w:lang w:val="en-GB"/>
        </w:rPr>
        <w:t>ontext of ASM</w:t>
      </w:r>
      <w:r w:rsidR="00755859" w:rsidRPr="004E053C">
        <w:rPr>
          <w:rFonts w:cstheme="majorHAnsi"/>
          <w:sz w:val="22"/>
          <w:szCs w:val="22"/>
          <w:lang w:val="en-GB"/>
        </w:rPr>
        <w:t xml:space="preserve">. </w:t>
      </w:r>
    </w:p>
    <w:p w14:paraId="66AB100F" w14:textId="77777777" w:rsidR="00DF7F15" w:rsidRPr="004E053C" w:rsidRDefault="00DF7F15" w:rsidP="004E053C">
      <w:pPr>
        <w:spacing w:line="360" w:lineRule="auto"/>
        <w:jc w:val="both"/>
        <w:rPr>
          <w:rFonts w:cstheme="majorHAnsi"/>
          <w:sz w:val="22"/>
          <w:szCs w:val="22"/>
          <w:lang w:val="en-GB"/>
        </w:rPr>
      </w:pPr>
    </w:p>
    <w:p w14:paraId="4B66A9FA" w14:textId="30939823" w:rsidR="0081283D" w:rsidRPr="004E053C" w:rsidRDefault="00681618" w:rsidP="004E053C">
      <w:pPr>
        <w:pStyle w:val="Heading2"/>
        <w:spacing w:before="0" w:line="360" w:lineRule="auto"/>
        <w:jc w:val="both"/>
        <w:rPr>
          <w:rFonts w:cstheme="majorHAnsi"/>
          <w:lang w:val="en-GB"/>
        </w:rPr>
      </w:pPr>
      <w:bookmarkStart w:id="7" w:name="_Toc33293071"/>
      <w:r w:rsidRPr="004E053C">
        <w:rPr>
          <w:rFonts w:cstheme="majorHAnsi"/>
          <w:lang w:val="en-GB"/>
        </w:rPr>
        <w:t>1.3. O</w:t>
      </w:r>
      <w:r w:rsidR="00EB2BA8" w:rsidRPr="004E053C">
        <w:rPr>
          <w:rFonts w:cstheme="majorHAnsi"/>
          <w:lang w:val="en-GB"/>
        </w:rPr>
        <w:t>bjective</w:t>
      </w:r>
      <w:r w:rsidR="004A3EF1" w:rsidRPr="004E053C">
        <w:rPr>
          <w:rFonts w:cstheme="majorHAnsi"/>
          <w:lang w:val="en-GB"/>
        </w:rPr>
        <w:t xml:space="preserve"> and research q</w:t>
      </w:r>
      <w:r w:rsidRPr="004E053C">
        <w:rPr>
          <w:rFonts w:cstheme="majorHAnsi"/>
          <w:lang w:val="en-GB"/>
        </w:rPr>
        <w:t>uestions</w:t>
      </w:r>
      <w:bookmarkEnd w:id="7"/>
      <w:r w:rsidRPr="004E053C">
        <w:rPr>
          <w:rFonts w:cstheme="majorHAnsi"/>
          <w:lang w:val="en-GB"/>
        </w:rPr>
        <w:t xml:space="preserve"> </w:t>
      </w:r>
    </w:p>
    <w:p w14:paraId="3C93B0DD" w14:textId="77777777" w:rsidR="0081283D" w:rsidRPr="004E053C" w:rsidRDefault="0081283D" w:rsidP="004E053C">
      <w:pPr>
        <w:spacing w:line="360" w:lineRule="auto"/>
        <w:jc w:val="both"/>
        <w:rPr>
          <w:rFonts w:cstheme="majorHAnsi"/>
          <w:sz w:val="22"/>
          <w:szCs w:val="22"/>
          <w:lang w:val="en-GB"/>
        </w:rPr>
      </w:pPr>
    </w:p>
    <w:p w14:paraId="3E32C2ED" w14:textId="0C6771A2" w:rsidR="0081283D" w:rsidRPr="004E053C" w:rsidRDefault="0081283D" w:rsidP="004E053C">
      <w:pPr>
        <w:spacing w:line="360" w:lineRule="auto"/>
        <w:jc w:val="both"/>
        <w:rPr>
          <w:rFonts w:cstheme="majorHAnsi"/>
          <w:b/>
          <w:sz w:val="22"/>
          <w:szCs w:val="22"/>
          <w:lang w:val="en-GB"/>
        </w:rPr>
      </w:pPr>
      <w:r w:rsidRPr="004E053C">
        <w:rPr>
          <w:rFonts w:cstheme="majorHAnsi"/>
          <w:bCs/>
          <w:color w:val="000000"/>
          <w:sz w:val="22"/>
          <w:szCs w:val="22"/>
          <w:lang w:val="en-GB"/>
        </w:rPr>
        <w:lastRenderedPageBreak/>
        <w:t>The overall objective of this research is to understand how migratory processes and divergent livelihood trajectories within the ASM sector shape co</w:t>
      </w:r>
      <w:r w:rsidR="00D57942" w:rsidRPr="004E053C">
        <w:rPr>
          <w:rFonts w:cstheme="majorHAnsi"/>
          <w:bCs/>
          <w:color w:val="000000"/>
          <w:sz w:val="22"/>
          <w:szCs w:val="22"/>
          <w:lang w:val="en-GB"/>
        </w:rPr>
        <w:t xml:space="preserve">mmunity dynamics and collective </w:t>
      </w:r>
      <w:r w:rsidRPr="004E053C">
        <w:rPr>
          <w:rFonts w:cstheme="majorHAnsi"/>
          <w:bCs/>
          <w:color w:val="000000"/>
          <w:sz w:val="22"/>
          <w:szCs w:val="22"/>
          <w:lang w:val="en-GB"/>
        </w:rPr>
        <w:t>identities</w:t>
      </w:r>
      <w:r w:rsidR="00ED3EA5" w:rsidRPr="004E053C">
        <w:rPr>
          <w:rFonts w:cstheme="majorHAnsi"/>
          <w:bCs/>
          <w:color w:val="000000"/>
          <w:sz w:val="22"/>
          <w:szCs w:val="22"/>
          <w:lang w:val="en-GB"/>
        </w:rPr>
        <w:t>.</w:t>
      </w:r>
      <w:r w:rsidR="00ED3EA5" w:rsidRPr="004E053C">
        <w:rPr>
          <w:rFonts w:cstheme="majorHAnsi"/>
          <w:b/>
          <w:sz w:val="22"/>
          <w:szCs w:val="22"/>
          <w:lang w:val="en-GB"/>
        </w:rPr>
        <w:t xml:space="preserve"> </w:t>
      </w:r>
      <w:r w:rsidRPr="004E053C">
        <w:rPr>
          <w:rFonts w:cstheme="majorHAnsi"/>
          <w:color w:val="000000"/>
          <w:sz w:val="22"/>
          <w:szCs w:val="22"/>
          <w:lang w:val="en-GB"/>
        </w:rPr>
        <w:t>In order to achieve this aim, four research questions were selected. These are:</w:t>
      </w:r>
    </w:p>
    <w:p w14:paraId="19DF92B7" w14:textId="77777777" w:rsidR="00ED3EA5" w:rsidRPr="004E053C" w:rsidRDefault="00ED3EA5" w:rsidP="004E053C">
      <w:pPr>
        <w:pStyle w:val="ListParagraph"/>
        <w:spacing w:after="0" w:line="360" w:lineRule="auto"/>
        <w:ind w:left="0"/>
        <w:jc w:val="both"/>
        <w:rPr>
          <w:rFonts w:eastAsiaTheme="minorEastAsia" w:cstheme="majorHAnsi"/>
          <w:color w:val="000000"/>
          <w:lang w:val="en-GB"/>
        </w:rPr>
      </w:pPr>
    </w:p>
    <w:p w14:paraId="2B229F59" w14:textId="29AFFBC2" w:rsidR="00ED3EA5" w:rsidRPr="004E053C" w:rsidRDefault="0081283D" w:rsidP="004E053C">
      <w:pPr>
        <w:pStyle w:val="ListParagraph"/>
        <w:numPr>
          <w:ilvl w:val="0"/>
          <w:numId w:val="1"/>
        </w:numPr>
        <w:spacing w:after="0" w:line="360" w:lineRule="auto"/>
        <w:jc w:val="both"/>
        <w:rPr>
          <w:rFonts w:cstheme="majorHAnsi"/>
          <w:color w:val="000000"/>
          <w:lang w:val="en-GB"/>
        </w:rPr>
      </w:pPr>
      <w:r w:rsidRPr="004E053C">
        <w:rPr>
          <w:rFonts w:cstheme="majorHAnsi"/>
          <w:color w:val="000000"/>
          <w:lang w:val="en-GB"/>
        </w:rPr>
        <w:t xml:space="preserve">Why do people become involved in ASM and what do their livelihood trajectories look like? </w:t>
      </w:r>
    </w:p>
    <w:p w14:paraId="6A47D9B1" w14:textId="6CDCED46" w:rsidR="00ED3EA5" w:rsidRPr="004E053C" w:rsidRDefault="0081283D" w:rsidP="004E053C">
      <w:pPr>
        <w:pStyle w:val="ListParagraph"/>
        <w:numPr>
          <w:ilvl w:val="0"/>
          <w:numId w:val="1"/>
        </w:numPr>
        <w:spacing w:after="0" w:line="360" w:lineRule="auto"/>
        <w:jc w:val="both"/>
        <w:rPr>
          <w:rFonts w:cstheme="majorHAnsi"/>
          <w:bCs/>
          <w:lang w:val="en-GB"/>
        </w:rPr>
      </w:pPr>
      <w:r w:rsidRPr="004E053C">
        <w:rPr>
          <w:rFonts w:cstheme="majorHAnsi"/>
          <w:bCs/>
          <w:lang w:val="en-GB"/>
        </w:rPr>
        <w:t>What role do women play in ASM livelihoods and how do they contribute to the translocal ASM community?</w:t>
      </w:r>
    </w:p>
    <w:p w14:paraId="61775CA0" w14:textId="574B8844" w:rsidR="00ED3EA5" w:rsidRPr="004E053C" w:rsidRDefault="0081283D" w:rsidP="004E053C">
      <w:pPr>
        <w:pStyle w:val="ListParagraph"/>
        <w:numPr>
          <w:ilvl w:val="0"/>
          <w:numId w:val="1"/>
        </w:numPr>
        <w:spacing w:after="0" w:line="360" w:lineRule="auto"/>
        <w:jc w:val="both"/>
        <w:rPr>
          <w:rFonts w:cstheme="majorHAnsi"/>
          <w:color w:val="000000"/>
          <w:lang w:val="en-GB"/>
        </w:rPr>
      </w:pPr>
      <w:r w:rsidRPr="004E053C">
        <w:rPr>
          <w:rFonts w:cstheme="majorHAnsi"/>
          <w:color w:val="000000"/>
          <w:lang w:val="en-GB"/>
        </w:rPr>
        <w:t>What is the role of translocal livelihoods in shaping mining communities and to what extent do divergent livelih</w:t>
      </w:r>
      <w:r w:rsidR="00A9346A" w:rsidRPr="004E053C">
        <w:rPr>
          <w:rFonts w:cstheme="majorHAnsi"/>
          <w:color w:val="000000"/>
          <w:lang w:val="en-GB"/>
        </w:rPr>
        <w:t>ood trajectories lead to</w:t>
      </w:r>
      <w:r w:rsidR="004F07D9" w:rsidRPr="004E053C">
        <w:rPr>
          <w:rFonts w:cstheme="majorHAnsi"/>
          <w:color w:val="000000"/>
          <w:lang w:val="en-GB"/>
        </w:rPr>
        <w:t xml:space="preserve"> tension</w:t>
      </w:r>
      <w:r w:rsidR="00843DED" w:rsidRPr="004E053C">
        <w:rPr>
          <w:rFonts w:cstheme="majorHAnsi"/>
          <w:color w:val="000000"/>
          <w:lang w:val="en-GB"/>
        </w:rPr>
        <w:t xml:space="preserve"> and contestations</w:t>
      </w:r>
      <w:r w:rsidRPr="004E053C">
        <w:rPr>
          <w:rFonts w:cstheme="majorHAnsi"/>
          <w:color w:val="000000"/>
          <w:lang w:val="en-GB"/>
        </w:rPr>
        <w:t>?</w:t>
      </w:r>
    </w:p>
    <w:p w14:paraId="2D2A41C5" w14:textId="363D0BFC" w:rsidR="0081283D" w:rsidRPr="004E053C" w:rsidRDefault="0081283D" w:rsidP="004E053C">
      <w:pPr>
        <w:pStyle w:val="ListParagraph"/>
        <w:numPr>
          <w:ilvl w:val="0"/>
          <w:numId w:val="1"/>
        </w:numPr>
        <w:spacing w:after="0" w:line="360" w:lineRule="auto"/>
        <w:jc w:val="both"/>
        <w:rPr>
          <w:rFonts w:cstheme="majorHAnsi"/>
          <w:bCs/>
          <w:color w:val="000000"/>
          <w:lang w:val="en-GB"/>
        </w:rPr>
      </w:pPr>
      <w:r w:rsidRPr="004E053C">
        <w:rPr>
          <w:rFonts w:cstheme="majorHAnsi"/>
          <w:color w:val="000000"/>
          <w:lang w:val="en-GB"/>
        </w:rPr>
        <w:t>How is community identity linked to the competing discourses of legality and illegality that emerge around ASM livelihoods and to what extent is this affected by the translocal nature of the ASM community?</w:t>
      </w:r>
    </w:p>
    <w:p w14:paraId="4929F7C2" w14:textId="77777777" w:rsidR="00EB2BA8" w:rsidRPr="004E053C" w:rsidRDefault="00EB2BA8" w:rsidP="004E053C">
      <w:pPr>
        <w:spacing w:line="360" w:lineRule="auto"/>
        <w:jc w:val="both"/>
        <w:rPr>
          <w:rFonts w:cstheme="majorHAnsi"/>
          <w:sz w:val="22"/>
          <w:szCs w:val="22"/>
          <w:lang w:val="en-GB"/>
        </w:rPr>
      </w:pPr>
    </w:p>
    <w:p w14:paraId="6A12BB78" w14:textId="77777777" w:rsidR="00EB2BA8" w:rsidRPr="004E053C" w:rsidRDefault="00EB2BA8" w:rsidP="004E053C">
      <w:pPr>
        <w:pStyle w:val="Heading2"/>
        <w:spacing w:before="0" w:line="360" w:lineRule="auto"/>
        <w:jc w:val="both"/>
        <w:rPr>
          <w:rFonts w:cstheme="majorHAnsi"/>
          <w:lang w:val="en-GB"/>
        </w:rPr>
      </w:pPr>
      <w:bookmarkStart w:id="8" w:name="_Toc33293072"/>
      <w:r w:rsidRPr="004E053C">
        <w:rPr>
          <w:rFonts w:cstheme="majorHAnsi"/>
          <w:lang w:val="en-GB"/>
        </w:rPr>
        <w:t>1.4. Approach</w:t>
      </w:r>
      <w:bookmarkEnd w:id="8"/>
      <w:r w:rsidRPr="004E053C">
        <w:rPr>
          <w:rFonts w:cstheme="majorHAnsi"/>
          <w:lang w:val="en-GB"/>
        </w:rPr>
        <w:t xml:space="preserve"> </w:t>
      </w:r>
    </w:p>
    <w:p w14:paraId="6BAEDD4E" w14:textId="77777777" w:rsidR="00EB2BA8" w:rsidRPr="004E053C" w:rsidRDefault="00EB2BA8" w:rsidP="004E053C">
      <w:pPr>
        <w:spacing w:line="360" w:lineRule="auto"/>
        <w:jc w:val="both"/>
        <w:rPr>
          <w:rFonts w:cstheme="majorHAnsi"/>
          <w:sz w:val="22"/>
          <w:szCs w:val="22"/>
          <w:lang w:val="en-GB"/>
        </w:rPr>
      </w:pPr>
    </w:p>
    <w:p w14:paraId="2E6CFD10" w14:textId="5B70AC27" w:rsidR="00EB2BA8" w:rsidRPr="004E053C" w:rsidRDefault="00EB2BA8" w:rsidP="004E053C">
      <w:pPr>
        <w:spacing w:line="360" w:lineRule="auto"/>
        <w:jc w:val="both"/>
        <w:rPr>
          <w:rFonts w:cstheme="majorHAnsi"/>
          <w:sz w:val="22"/>
          <w:szCs w:val="22"/>
          <w:lang w:val="en-GB"/>
        </w:rPr>
      </w:pPr>
      <w:r w:rsidRPr="004E053C">
        <w:rPr>
          <w:rFonts w:cstheme="majorHAnsi"/>
          <w:sz w:val="22"/>
          <w:szCs w:val="22"/>
          <w:lang w:val="en-GB"/>
        </w:rPr>
        <w:t xml:space="preserve">Given that the main objective of this research is to provide a holistic understanding of ASM communities, including origin and destination communities and all the links between them, I have taken a translocal livelihoods approach to the analysis. ASM communities have previously been identified </w:t>
      </w:r>
      <w:r w:rsidR="00A53F91" w:rsidRPr="004E053C">
        <w:rPr>
          <w:rFonts w:cstheme="majorHAnsi"/>
          <w:sz w:val="22"/>
          <w:szCs w:val="22"/>
          <w:lang w:val="en-GB"/>
        </w:rPr>
        <w:t xml:space="preserve">as translocal by Werthmann </w:t>
      </w:r>
      <w:r w:rsidR="00A53F91"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00A53F91" w:rsidRPr="004E053C">
        <w:rPr>
          <w:rFonts w:cstheme="majorHAnsi"/>
          <w:sz w:val="22"/>
          <w:szCs w:val="22"/>
          <w:lang w:val="en-GB"/>
        </w:rPr>
        <w:fldChar w:fldCharType="separate"/>
      </w:r>
      <w:r w:rsidR="00A53F91" w:rsidRPr="004E053C">
        <w:rPr>
          <w:rFonts w:cstheme="majorHAnsi"/>
          <w:noProof/>
          <w:sz w:val="22"/>
          <w:szCs w:val="22"/>
          <w:lang w:val="en-GB"/>
        </w:rPr>
        <w:t>(2010)</w:t>
      </w:r>
      <w:r w:rsidR="00A53F91" w:rsidRPr="004E053C">
        <w:rPr>
          <w:rFonts w:cstheme="majorHAnsi"/>
          <w:sz w:val="22"/>
          <w:szCs w:val="22"/>
          <w:lang w:val="en-GB"/>
        </w:rPr>
        <w:fldChar w:fldCharType="end"/>
      </w:r>
      <w:r w:rsidRPr="004E053C">
        <w:rPr>
          <w:rFonts w:cstheme="majorHAnsi"/>
          <w:sz w:val="22"/>
          <w:szCs w:val="22"/>
          <w:lang w:val="en-GB"/>
        </w:rPr>
        <w:t>, who re</w:t>
      </w:r>
      <w:r w:rsidR="002D6E5D" w:rsidRPr="004E053C">
        <w:rPr>
          <w:rFonts w:cstheme="majorHAnsi"/>
          <w:sz w:val="22"/>
          <w:szCs w:val="22"/>
          <w:lang w:val="en-GB"/>
        </w:rPr>
        <w:t>cognis</w:t>
      </w:r>
      <w:r w:rsidR="003B5DCB" w:rsidRPr="004E053C">
        <w:rPr>
          <w:rFonts w:cstheme="majorHAnsi"/>
          <w:sz w:val="22"/>
          <w:szCs w:val="22"/>
          <w:lang w:val="en-GB"/>
        </w:rPr>
        <w:t>ed that they are ‘</w:t>
      </w:r>
      <w:r w:rsidRPr="004E053C">
        <w:rPr>
          <w:rFonts w:cstheme="majorHAnsi"/>
          <w:bCs/>
          <w:sz w:val="22"/>
          <w:szCs w:val="22"/>
          <w:lang w:val="en-GB"/>
        </w:rPr>
        <w:t>poly-ethnic, multi-national, f</w:t>
      </w:r>
      <w:r w:rsidR="003B5DCB" w:rsidRPr="004E053C">
        <w:rPr>
          <w:rFonts w:cstheme="majorHAnsi"/>
          <w:bCs/>
          <w:sz w:val="22"/>
          <w:szCs w:val="22"/>
          <w:lang w:val="en-GB"/>
        </w:rPr>
        <w:t>luctuating and extremely mobile’</w:t>
      </w:r>
      <w:r w:rsidRPr="004E053C">
        <w:rPr>
          <w:rFonts w:cstheme="majorHAnsi"/>
          <w:bCs/>
          <w:sz w:val="22"/>
          <w:szCs w:val="22"/>
          <w:lang w:val="en-GB"/>
        </w:rPr>
        <w:t xml:space="preserve"> in character</w:t>
      </w:r>
      <w:r w:rsidRPr="004E053C">
        <w:rPr>
          <w:rFonts w:cstheme="majorHAnsi"/>
          <w:sz w:val="22"/>
          <w:szCs w:val="22"/>
          <w:lang w:val="en-GB"/>
        </w:rPr>
        <w:t>. Although this d</w:t>
      </w:r>
      <w:r w:rsidR="00CF0DDA" w:rsidRPr="004E053C">
        <w:rPr>
          <w:rFonts w:cstheme="majorHAnsi"/>
          <w:sz w:val="22"/>
          <w:szCs w:val="22"/>
          <w:lang w:val="en-GB"/>
        </w:rPr>
        <w:t>escription perfectly illustrates</w:t>
      </w:r>
      <w:r w:rsidRPr="004E053C">
        <w:rPr>
          <w:rFonts w:cstheme="majorHAnsi"/>
          <w:sz w:val="22"/>
          <w:szCs w:val="22"/>
          <w:lang w:val="en-GB"/>
        </w:rPr>
        <w:t xml:space="preserve"> the interconnections that exist between mining communities due to the flows of peopl</w:t>
      </w:r>
      <w:r w:rsidR="00A53F91" w:rsidRPr="004E053C">
        <w:rPr>
          <w:rFonts w:cstheme="majorHAnsi"/>
          <w:sz w:val="22"/>
          <w:szCs w:val="22"/>
          <w:lang w:val="en-GB"/>
        </w:rPr>
        <w:t>e between them, Werthmann</w:t>
      </w:r>
      <w:r w:rsidRPr="004E053C">
        <w:rPr>
          <w:rFonts w:cstheme="majorHAnsi"/>
          <w:sz w:val="22"/>
          <w:szCs w:val="22"/>
          <w:lang w:val="en-GB"/>
        </w:rPr>
        <w:t xml:space="preserve"> only used the term to apply to destination</w:t>
      </w:r>
      <w:r w:rsidR="004D287A" w:rsidRPr="004E053C">
        <w:rPr>
          <w:rFonts w:cstheme="majorHAnsi"/>
          <w:sz w:val="22"/>
          <w:szCs w:val="22"/>
          <w:lang w:val="en-GB"/>
        </w:rPr>
        <w:t xml:space="preserve"> locale</w:t>
      </w:r>
      <w:r w:rsidRPr="004E053C">
        <w:rPr>
          <w:rFonts w:cstheme="majorHAnsi"/>
          <w:sz w:val="22"/>
          <w:szCs w:val="22"/>
          <w:lang w:val="en-GB"/>
        </w:rPr>
        <w:t xml:space="preserve">s, such as mining towns and settlements. </w:t>
      </w:r>
      <w:r w:rsidR="00755859" w:rsidRPr="004E053C">
        <w:rPr>
          <w:rFonts w:cstheme="majorHAnsi"/>
          <w:sz w:val="22"/>
          <w:szCs w:val="22"/>
          <w:lang w:val="en-GB"/>
        </w:rPr>
        <w:t xml:space="preserve">In fact, the translocal space that emerges due to ASM not only connects various mining towns and camps, but also connects all of those locations from which the workers and other residents migrated. </w:t>
      </w:r>
      <w:r w:rsidRPr="004E053C">
        <w:rPr>
          <w:rFonts w:cstheme="majorHAnsi"/>
          <w:sz w:val="22"/>
          <w:szCs w:val="22"/>
          <w:lang w:val="en-GB"/>
        </w:rPr>
        <w:t xml:space="preserve">This is important in the context of the mining areas of Madre de Dios, as there were only a few indigenous tribes inhabiting the area before the arrival of miners and now the residents are almost exclusively migrants. </w:t>
      </w:r>
      <w:r w:rsidR="004D287A" w:rsidRPr="004E053C">
        <w:rPr>
          <w:rFonts w:cstheme="majorHAnsi"/>
          <w:sz w:val="22"/>
          <w:szCs w:val="22"/>
          <w:lang w:val="en-GB"/>
        </w:rPr>
        <w:t>I have based this</w:t>
      </w:r>
      <w:r w:rsidRPr="004E053C">
        <w:rPr>
          <w:rFonts w:cstheme="majorHAnsi"/>
          <w:sz w:val="22"/>
          <w:szCs w:val="22"/>
          <w:lang w:val="en-GB"/>
        </w:rPr>
        <w:t xml:space="preserve"> translocal livelihoods approach </w:t>
      </w:r>
      <w:r w:rsidR="009E0946" w:rsidRPr="004E053C">
        <w:rPr>
          <w:rFonts w:cstheme="majorHAnsi"/>
          <w:sz w:val="22"/>
          <w:szCs w:val="22"/>
          <w:lang w:val="en-GB"/>
        </w:rPr>
        <w:t xml:space="preserve">on </w:t>
      </w:r>
      <w:r w:rsidRPr="004E053C">
        <w:rPr>
          <w:rFonts w:cstheme="majorHAnsi"/>
          <w:sz w:val="22"/>
          <w:szCs w:val="22"/>
          <w:lang w:val="en-GB"/>
        </w:rPr>
        <w:t xml:space="preserve">a </w:t>
      </w:r>
      <w:r w:rsidR="00755859" w:rsidRPr="004E053C">
        <w:rPr>
          <w:rFonts w:cstheme="majorHAnsi"/>
          <w:sz w:val="22"/>
          <w:szCs w:val="22"/>
          <w:lang w:val="en-GB"/>
        </w:rPr>
        <w:t>Bourdieusian</w:t>
      </w:r>
      <w:r w:rsidR="009E0946" w:rsidRPr="004E053C">
        <w:rPr>
          <w:rFonts w:cstheme="majorHAnsi"/>
          <w:sz w:val="22"/>
          <w:szCs w:val="22"/>
          <w:lang w:val="en-GB"/>
        </w:rPr>
        <w:t xml:space="preserve"> perspective of</w:t>
      </w:r>
      <w:r w:rsidRPr="004E053C">
        <w:rPr>
          <w:rFonts w:cstheme="majorHAnsi"/>
          <w:sz w:val="22"/>
          <w:szCs w:val="22"/>
          <w:lang w:val="en-GB"/>
        </w:rPr>
        <w:t xml:space="preserve"> social fields, in which livelihoods are seen as social practices. </w:t>
      </w:r>
      <w:r w:rsidR="004D287A" w:rsidRPr="004E053C">
        <w:rPr>
          <w:rFonts w:cstheme="majorHAnsi"/>
          <w:sz w:val="22"/>
          <w:szCs w:val="22"/>
          <w:lang w:val="en-GB"/>
        </w:rPr>
        <w:t xml:space="preserve">In this </w:t>
      </w:r>
      <w:r w:rsidR="00091107" w:rsidRPr="004E053C">
        <w:rPr>
          <w:rFonts w:cstheme="majorHAnsi"/>
          <w:sz w:val="22"/>
          <w:szCs w:val="22"/>
          <w:lang w:val="en-GB"/>
        </w:rPr>
        <w:t>conceptualisation</w:t>
      </w:r>
      <w:r w:rsidR="004D287A" w:rsidRPr="004E053C">
        <w:rPr>
          <w:rFonts w:cstheme="majorHAnsi"/>
          <w:sz w:val="22"/>
          <w:szCs w:val="22"/>
          <w:lang w:val="en-GB"/>
        </w:rPr>
        <w:t xml:space="preserve">, ASM is viewed as a social field, which incorporates all the various towns and settlements that make up the translocal community. Within the field however, agents hold different positions and may struggle over resources, both within the field and in relation to external powers. </w:t>
      </w:r>
      <w:r w:rsidRPr="004E053C">
        <w:rPr>
          <w:rFonts w:cstheme="majorHAnsi"/>
          <w:sz w:val="22"/>
          <w:szCs w:val="22"/>
          <w:lang w:val="en-GB"/>
        </w:rPr>
        <w:t xml:space="preserve">This is important, as it allows for the analysis of contestations within the </w:t>
      </w:r>
      <w:r w:rsidR="004D287A" w:rsidRPr="004E053C">
        <w:rPr>
          <w:rFonts w:cstheme="majorHAnsi"/>
          <w:sz w:val="22"/>
          <w:szCs w:val="22"/>
          <w:lang w:val="en-GB"/>
        </w:rPr>
        <w:t>social field</w:t>
      </w:r>
      <w:r w:rsidRPr="004E053C">
        <w:rPr>
          <w:rFonts w:cstheme="majorHAnsi"/>
          <w:sz w:val="22"/>
          <w:szCs w:val="22"/>
          <w:lang w:val="en-GB"/>
        </w:rPr>
        <w:t xml:space="preserve">, which seems highly relevant in the context of illicit livelihoods, </w:t>
      </w:r>
      <w:r w:rsidR="002D6E5D" w:rsidRPr="004E053C">
        <w:rPr>
          <w:rFonts w:cstheme="majorHAnsi"/>
          <w:sz w:val="22"/>
          <w:szCs w:val="22"/>
          <w:lang w:val="en-GB"/>
        </w:rPr>
        <w:t>marginalis</w:t>
      </w:r>
      <w:r w:rsidRPr="004E053C">
        <w:rPr>
          <w:rFonts w:cstheme="majorHAnsi"/>
          <w:sz w:val="22"/>
          <w:szCs w:val="22"/>
          <w:lang w:val="en-GB"/>
        </w:rPr>
        <w:t>ation and government regulation.</w:t>
      </w:r>
    </w:p>
    <w:p w14:paraId="26350EE1" w14:textId="77777777" w:rsidR="00EB2BA8" w:rsidRPr="004E053C" w:rsidRDefault="00EB2BA8" w:rsidP="004E053C">
      <w:pPr>
        <w:spacing w:line="360" w:lineRule="auto"/>
        <w:jc w:val="both"/>
        <w:rPr>
          <w:rFonts w:cstheme="majorHAnsi"/>
          <w:sz w:val="22"/>
          <w:szCs w:val="22"/>
          <w:lang w:val="en-GB"/>
        </w:rPr>
      </w:pPr>
    </w:p>
    <w:p w14:paraId="5C888CD4" w14:textId="66CD4F96" w:rsidR="00EB2BA8" w:rsidRPr="004E053C" w:rsidRDefault="00EB2BA8" w:rsidP="004E053C">
      <w:pPr>
        <w:spacing w:line="360" w:lineRule="auto"/>
        <w:jc w:val="both"/>
        <w:rPr>
          <w:rFonts w:cstheme="majorHAnsi"/>
          <w:sz w:val="22"/>
          <w:szCs w:val="22"/>
          <w:lang w:val="en-GB"/>
        </w:rPr>
      </w:pPr>
      <w:r w:rsidRPr="004E053C">
        <w:rPr>
          <w:rFonts w:cstheme="majorHAnsi"/>
          <w:sz w:val="22"/>
          <w:szCs w:val="22"/>
          <w:lang w:val="en-GB"/>
        </w:rPr>
        <w:lastRenderedPageBreak/>
        <w:t xml:space="preserve">Through the application of a translocal livelihoods approach to ASM, I provide a holistic account of migratory livelihood practices that includes left-behind </w:t>
      </w:r>
      <w:r w:rsidR="00F5678B" w:rsidRPr="004E053C">
        <w:rPr>
          <w:rFonts w:cstheme="majorHAnsi"/>
          <w:sz w:val="22"/>
          <w:szCs w:val="22"/>
          <w:lang w:val="en-GB"/>
        </w:rPr>
        <w:t>population</w:t>
      </w:r>
      <w:r w:rsidRPr="004E053C">
        <w:rPr>
          <w:rFonts w:cstheme="majorHAnsi"/>
          <w:sz w:val="22"/>
          <w:szCs w:val="22"/>
          <w:lang w:val="en-GB"/>
        </w:rPr>
        <w:t>s</w:t>
      </w:r>
      <w:r w:rsidR="00F5678B" w:rsidRPr="004E053C">
        <w:rPr>
          <w:rFonts w:cstheme="majorHAnsi"/>
          <w:sz w:val="22"/>
          <w:szCs w:val="22"/>
          <w:lang w:val="en-GB"/>
        </w:rPr>
        <w:t xml:space="preserve"> in places of origin</w:t>
      </w:r>
      <w:r w:rsidRPr="004E053C">
        <w:rPr>
          <w:rFonts w:cstheme="majorHAnsi"/>
          <w:sz w:val="22"/>
          <w:szCs w:val="22"/>
          <w:lang w:val="en-GB"/>
        </w:rPr>
        <w:t xml:space="preserve">. </w:t>
      </w:r>
      <w:r w:rsidR="00F5678B" w:rsidRPr="004E053C">
        <w:rPr>
          <w:rFonts w:cstheme="majorHAnsi"/>
          <w:sz w:val="22"/>
          <w:szCs w:val="22"/>
          <w:lang w:val="en-GB"/>
        </w:rPr>
        <w:t>While several authors have highlighted the importance of understanding</w:t>
      </w:r>
      <w:r w:rsidR="0074372D" w:rsidRPr="004E053C">
        <w:rPr>
          <w:rFonts w:cstheme="majorHAnsi"/>
          <w:sz w:val="22"/>
          <w:szCs w:val="22"/>
          <w:lang w:val="en-GB"/>
        </w:rPr>
        <w:t xml:space="preserve"> ASM</w:t>
      </w:r>
      <w:r w:rsidR="00F5678B" w:rsidRPr="004E053C">
        <w:rPr>
          <w:rFonts w:cstheme="majorHAnsi"/>
          <w:sz w:val="22"/>
          <w:szCs w:val="22"/>
          <w:lang w:val="en-GB"/>
        </w:rPr>
        <w:t xml:space="preserve"> communities if successful policies are to be developed</w:t>
      </w:r>
      <w:r w:rsidR="00D57942" w:rsidRPr="004E053C">
        <w:rPr>
          <w:rFonts w:cstheme="majorHAnsi"/>
          <w:sz w:val="22"/>
          <w:szCs w:val="22"/>
          <w:lang w:val="en-GB"/>
        </w:rPr>
        <w:t xml:space="preserve"> </w:t>
      </w:r>
      <w:r w:rsidR="00D26DB1" w:rsidRPr="004E053C">
        <w:rPr>
          <w:rFonts w:cstheme="majorHAnsi"/>
          <w:iCs/>
          <w:sz w:val="22"/>
          <w:szCs w:val="22"/>
          <w:lang w:val="en-GB" w:eastAsia="zh-CN"/>
        </w:rPr>
        <w:fldChar w:fldCharType="begin" w:fldLock="1"/>
      </w:r>
      <w:r w:rsidR="002F0CEA">
        <w:rPr>
          <w:rFonts w:cstheme="majorHAnsi"/>
          <w:iCs/>
          <w:sz w:val="22"/>
          <w:szCs w:val="22"/>
          <w:lang w:val="en-GB" w:eastAsia="zh-CN"/>
        </w:rPr>
        <w:instrText>ADDIN CSL_CITATION {"citationItems":[{"id":"ITEM-1","itemData":{"author":[{"dropping-particle":"","family":"Hentschel","given":"Thomas","non-dropping-particle":"","parse-names":false,"suffix":""},{"dropping-particle":"","family":"Hruschka","given":"Felix","non-dropping-particle":"","parse-names":false,"suffix":""},{"dropping-particle":"","family":"Priester","given":"Michael","non-dropping-particle":"","parse-names":false,"suffix":""}],"id":"ITEM-1","issued":{"date-parts":[["2002"]]},"publisher-place":"London","title":"Global Report on Artisanal and Small-Scale Mining","type":"report"},"uris":["http://www.mendeley.com/documents/?uuid=e0135a32-651f-3a94-9bc5-5c79c798e40e"]},{"id":"ITEM-2","itemData":{"abstract":"Over the past 10–15 years, several governments have implemented an array of technology, support‐related, sustainable livelihoods (SL) and poverty‐reduction projects for artisanal and small‐scale mining (ASM). In the majority of cases, however, these interventions have failed to facilitate improvements in the industry's productivity and raise the living standards of the sector's subsistence operators. This article argues that a poor understanding of the demographics of target populations has precipitated these outcomes. In order to strengthen policy and assistance in the sector, governments must determine, with greater precision, the number of people operating in ASM regions, their origins and ethnic backgrounds, ages, and educational levels. This can be achieved by carrying out basic and localized census work before promoting ambitious sector‐specific projects aimed at improving working conditions in the industry.","author":[{"dropping-particle":"","family":"Hilson","given":"G","non-dropping-particle":"","parse-names":false,"suffix":""}],"container-title":"Natural Resources Forum","id":"ITEM-2","issue":"2","issued":{"date-parts":[["2005"]]},"page":"144-153","title":"Strengthening artisanal mining research and policy through baseline census activities","type":"article-journal","volume":"29"},"uris":["http://www.mendeley.com/documents/?uuid=447f796c-6b24-49d4-babb-b2a3e2351b39"]},{"id":"ITEM-3","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Affairs","id":"ITEM-3","issue":"424","issued":{"date-parts":[["2007"]]},"page":"413-436","title":"To move or not to move’: reflections on the resettlement of artisanal miners in the western region of Ghana","type":"article-journal","volume":"106"},"uris":["http://www.mendeley.com/documents/?uuid=8ef2711f-ce75-4c5a-8a00-8e27b49f07cf"]},{"id":"ITEM-4","itemData":{"author":[{"dropping-particle":"","family":"Spiegal","given":"SJ","non-dropping-particle":"","parse-names":false,"suffix":""}],"container-title":"Resources Policy","id":"ITEM-4","issued":{"date-parts":[["2009"]]},"page":"39-44","title":"Resource policies and small-scale gold mining in Zimbabwe","type":"article-journal","volume":"34"},"uris":["http://www.mendeley.com/documents/?uuid=92559fdc-94b9-4cde-9fb6-c45edd09ceee"]},{"id":"ITEM-5","itemData":{"abstract":"a b s t r a c t Millions of people worldwide are involved in artisanal and small-scale gold mining. Many of them live in conditions of poverty and insalubrities due to the mercury amalgamation of gold and the application of other rudimentary techniques. In spite of this, the sector has been nearly overlooked by resource economists. In this paper we analyze the sector based on a survey of the existing literature. We find some commonalities of artisanal and small-scale gold mining in different countries of the developing world as follows: low levels of mechanization and technology, labor intensiveness, low awareness of environmental degradation, poor training, high transience among some miners, and lack of financial savings. Moreover, with these commonalities in mind, we present some topics and challenges for a research agenda in the field of environmental, ecological, and development economics.","author":[{"dropping-particle":"","family":"Saldarriaga-Isaza","given":"Adrián","non-dropping-particle":"","parse-names":false,"suffix":""},{"dropping-particle":"","family":"Villegas-Palacio","given":"Clara","non-dropping-particle":"","parse-names":false,"suffix":""},{"dropping-particle":"","family":"Arango","given":"Santiago","non-dropping-particle":"","parse-names":false,"suffix":""}],"container-title":"Resources Policy","id":"ITEM-5","issue":"2","issued":{"date-parts":[["2013"]]},"page":"224-232","title":"The public good dilemma of a non-renewable common resource: a look at the facts of artisanal gold mining","type":"article-journal","volume":"38"},"uris":["http://www.mendeley.com/documents/?uuid=9112f4f7-b1fb-43ae-8ee5-daf59e85ff33"]}],"mendeley":{"formattedCitation":"(Hentschel et al., 2002; G. Hilson et al., 2007; G Hilson, 2005; Saldarriaga-Isaza, Villegas-Palacio, &amp; Arango, 2013; Spiegal, 2009)","manualFormatting":"(Hentschel et al., 2002; Hilson et al., 2007; Hilson, 2005; Saldarriaga-Isaza et al, 2013; Spiegal, 2009)","plainTextFormattedCitation":"(Hentschel et al., 2002; G. Hilson et al., 2007; G Hilson, 2005; Saldarriaga-Isaza, Villegas-Palacio, &amp; Arango, 2013; Spiegal, 2009)","previouslyFormattedCitation":"(Hentschel et al., 2002; G. Hilson et al., 2007; G Hilson, 2005; Saldarriaga-Isaza, Villegas-Palacio, &amp; Arango, 2013; Spiegal, 2009)"},"properties":{"noteIndex":0},"schema":"https://github.com/citation-style-language/schema/raw/master/csl-citation.json"}</w:instrText>
      </w:r>
      <w:r w:rsidR="00D26DB1" w:rsidRPr="004E053C">
        <w:rPr>
          <w:rFonts w:cstheme="majorHAnsi"/>
          <w:iCs/>
          <w:sz w:val="22"/>
          <w:szCs w:val="22"/>
          <w:lang w:val="en-GB" w:eastAsia="zh-CN"/>
        </w:rPr>
        <w:fldChar w:fldCharType="separate"/>
      </w:r>
      <w:r w:rsidR="00D26DB1" w:rsidRPr="00636641">
        <w:rPr>
          <w:rFonts w:cstheme="majorHAnsi"/>
          <w:iCs/>
          <w:noProof/>
          <w:sz w:val="22"/>
          <w:szCs w:val="22"/>
          <w:lang w:val="en-GB" w:eastAsia="zh-CN"/>
        </w:rPr>
        <w:t>(Hentschel et al., 2002; Hilson et al., 2007; Hilson, 2005; Saldarriaga-Isaza et al, 2013; Spiegal, 2009)</w:t>
      </w:r>
      <w:r w:rsidR="00D26DB1" w:rsidRPr="004E053C">
        <w:rPr>
          <w:rFonts w:cstheme="majorHAnsi"/>
          <w:iCs/>
          <w:sz w:val="22"/>
          <w:szCs w:val="22"/>
          <w:lang w:val="en-GB" w:eastAsia="zh-CN"/>
        </w:rPr>
        <w:fldChar w:fldCharType="end"/>
      </w:r>
      <w:r w:rsidR="00D26DB1" w:rsidRPr="004E053C">
        <w:rPr>
          <w:rFonts w:cstheme="majorHAnsi"/>
          <w:iCs/>
          <w:sz w:val="22"/>
          <w:szCs w:val="22"/>
          <w:lang w:val="en-GB" w:eastAsia="zh-CN"/>
        </w:rPr>
        <w:t xml:space="preserve"> </w:t>
      </w:r>
      <w:r w:rsidR="00E60604" w:rsidRPr="004E053C">
        <w:rPr>
          <w:rFonts w:cstheme="majorHAnsi"/>
          <w:sz w:val="22"/>
          <w:szCs w:val="22"/>
          <w:lang w:val="en-GB"/>
        </w:rPr>
        <w:t xml:space="preserve">they have too often focused their analysis on spatially bound localities that inevitably overlooks the relationships between places. </w:t>
      </w:r>
      <w:r w:rsidRPr="004E053C">
        <w:rPr>
          <w:rFonts w:cstheme="majorHAnsi"/>
          <w:sz w:val="22"/>
          <w:szCs w:val="22"/>
          <w:lang w:val="en-GB"/>
        </w:rPr>
        <w:t>Taking this approach alongside a focus on the r</w:t>
      </w:r>
      <w:r w:rsidR="00E60604" w:rsidRPr="004E053C">
        <w:rPr>
          <w:rFonts w:cstheme="majorHAnsi"/>
          <w:sz w:val="22"/>
          <w:szCs w:val="22"/>
          <w:lang w:val="en-GB"/>
        </w:rPr>
        <w:t>esidents of the translocal community</w:t>
      </w:r>
      <w:r w:rsidRPr="004E053C">
        <w:rPr>
          <w:rFonts w:cstheme="majorHAnsi"/>
          <w:sz w:val="22"/>
          <w:szCs w:val="22"/>
          <w:lang w:val="en-GB"/>
        </w:rPr>
        <w:t xml:space="preserve">, rather than </w:t>
      </w:r>
      <w:r w:rsidR="00E60604" w:rsidRPr="004E053C">
        <w:rPr>
          <w:rFonts w:cstheme="majorHAnsi"/>
          <w:sz w:val="22"/>
          <w:szCs w:val="22"/>
          <w:lang w:val="en-GB"/>
        </w:rPr>
        <w:t xml:space="preserve">those </w:t>
      </w:r>
      <w:r w:rsidRPr="004E053C">
        <w:rPr>
          <w:rFonts w:cstheme="majorHAnsi"/>
          <w:sz w:val="22"/>
          <w:szCs w:val="22"/>
          <w:lang w:val="en-GB"/>
        </w:rPr>
        <w:t xml:space="preserve">specifically </w:t>
      </w:r>
      <w:r w:rsidR="00E60604" w:rsidRPr="004E053C">
        <w:rPr>
          <w:rFonts w:cstheme="majorHAnsi"/>
          <w:sz w:val="22"/>
          <w:szCs w:val="22"/>
          <w:lang w:val="en-GB"/>
        </w:rPr>
        <w:t>engaged</w:t>
      </w:r>
      <w:r w:rsidRPr="004E053C">
        <w:rPr>
          <w:rFonts w:cstheme="majorHAnsi"/>
          <w:sz w:val="22"/>
          <w:szCs w:val="22"/>
          <w:lang w:val="en-GB"/>
        </w:rPr>
        <w:t xml:space="preserve"> directly in ASM activity, I provide further clarity on the role of women in ASM. A translocal analysis also enables consideration of livelihood trajectories, and I show that the divergences in</w:t>
      </w:r>
      <w:r w:rsidR="00DF7F15" w:rsidRPr="004E053C">
        <w:rPr>
          <w:rFonts w:cstheme="majorHAnsi"/>
          <w:sz w:val="22"/>
          <w:szCs w:val="22"/>
          <w:lang w:val="en-GB"/>
        </w:rPr>
        <w:t xml:space="preserve"> livelihood trajectories creates competing long-term interests that lead to temporal frictions</w:t>
      </w:r>
      <w:r w:rsidRPr="004E053C">
        <w:rPr>
          <w:rFonts w:cstheme="majorHAnsi"/>
          <w:sz w:val="22"/>
          <w:szCs w:val="22"/>
          <w:lang w:val="en-GB"/>
        </w:rPr>
        <w:t xml:space="preserve"> within mining communities</w:t>
      </w:r>
      <w:r w:rsidR="00DF7F15" w:rsidRPr="004E053C">
        <w:rPr>
          <w:rFonts w:cstheme="majorHAnsi"/>
          <w:sz w:val="22"/>
          <w:szCs w:val="22"/>
          <w:lang w:val="en-GB"/>
        </w:rPr>
        <w:t>. I then show how the</w:t>
      </w:r>
      <w:r w:rsidRPr="004E053C">
        <w:rPr>
          <w:rFonts w:cstheme="majorHAnsi"/>
          <w:sz w:val="22"/>
          <w:szCs w:val="22"/>
          <w:lang w:val="en-GB"/>
        </w:rPr>
        <w:t xml:space="preserve"> tension and in</w:t>
      </w:r>
      <w:r w:rsidR="0074372D" w:rsidRPr="004E053C">
        <w:rPr>
          <w:rFonts w:cstheme="majorHAnsi"/>
          <w:sz w:val="22"/>
          <w:szCs w:val="22"/>
          <w:lang w:val="en-GB"/>
        </w:rPr>
        <w:t xml:space="preserve">security caused by translocal livelihoods, high mobility and the </w:t>
      </w:r>
      <w:r w:rsidRPr="004E053C">
        <w:rPr>
          <w:rFonts w:cstheme="majorHAnsi"/>
          <w:sz w:val="22"/>
          <w:szCs w:val="22"/>
          <w:lang w:val="en-GB"/>
        </w:rPr>
        <w:t>marginali</w:t>
      </w:r>
      <w:r w:rsidR="002D6E5D" w:rsidRPr="004E053C">
        <w:rPr>
          <w:rFonts w:cstheme="majorHAnsi"/>
          <w:sz w:val="22"/>
          <w:szCs w:val="22"/>
          <w:lang w:val="en-GB"/>
        </w:rPr>
        <w:t>s</w:t>
      </w:r>
      <w:r w:rsidRPr="004E053C">
        <w:rPr>
          <w:rFonts w:cstheme="majorHAnsi"/>
          <w:sz w:val="22"/>
          <w:szCs w:val="22"/>
          <w:lang w:val="en-GB"/>
        </w:rPr>
        <w:t xml:space="preserve">ation </w:t>
      </w:r>
      <w:r w:rsidR="00CF0DDA" w:rsidRPr="004E053C">
        <w:rPr>
          <w:rFonts w:cstheme="majorHAnsi"/>
          <w:sz w:val="22"/>
          <w:szCs w:val="22"/>
          <w:lang w:val="en-GB"/>
        </w:rPr>
        <w:t>that results from</w:t>
      </w:r>
      <w:r w:rsidR="0074372D" w:rsidRPr="004E053C">
        <w:rPr>
          <w:rFonts w:cstheme="majorHAnsi"/>
          <w:sz w:val="22"/>
          <w:szCs w:val="22"/>
          <w:lang w:val="en-GB"/>
        </w:rPr>
        <w:t xml:space="preserve"> the</w:t>
      </w:r>
      <w:r w:rsidRPr="004E053C">
        <w:rPr>
          <w:rFonts w:cstheme="majorHAnsi"/>
          <w:sz w:val="22"/>
          <w:szCs w:val="22"/>
          <w:lang w:val="en-GB"/>
        </w:rPr>
        <w:t xml:space="preserve"> government’s </w:t>
      </w:r>
      <w:r w:rsidR="00091107" w:rsidRPr="004E053C">
        <w:rPr>
          <w:rFonts w:cstheme="majorHAnsi"/>
          <w:sz w:val="22"/>
          <w:szCs w:val="22"/>
          <w:lang w:val="en-GB"/>
        </w:rPr>
        <w:t>criminalisation</w:t>
      </w:r>
      <w:r w:rsidRPr="004E053C">
        <w:rPr>
          <w:rFonts w:cstheme="majorHAnsi"/>
          <w:sz w:val="22"/>
          <w:szCs w:val="22"/>
          <w:lang w:val="en-GB"/>
        </w:rPr>
        <w:t xml:space="preserve"> of the sector has contributed to the emergence of a co</w:t>
      </w:r>
      <w:r w:rsidR="00A9346A" w:rsidRPr="004E053C">
        <w:rPr>
          <w:rFonts w:cstheme="majorHAnsi"/>
          <w:sz w:val="22"/>
          <w:szCs w:val="22"/>
          <w:lang w:val="en-GB"/>
        </w:rPr>
        <w:t xml:space="preserve">llective identity. This identity </w:t>
      </w:r>
      <w:r w:rsidR="002D6E5D" w:rsidRPr="004E053C">
        <w:rPr>
          <w:rFonts w:cstheme="majorHAnsi"/>
          <w:sz w:val="22"/>
          <w:szCs w:val="22"/>
          <w:lang w:val="en-GB"/>
        </w:rPr>
        <w:t>legitimis</w:t>
      </w:r>
      <w:r w:rsidRPr="004E053C">
        <w:rPr>
          <w:rFonts w:cstheme="majorHAnsi"/>
          <w:sz w:val="22"/>
          <w:szCs w:val="22"/>
          <w:lang w:val="en-GB"/>
        </w:rPr>
        <w:t>es the continuation of an illicit livelihood and other forms of everyday resist</w:t>
      </w:r>
      <w:r w:rsidR="00CF0DDA" w:rsidRPr="004E053C">
        <w:rPr>
          <w:rFonts w:cstheme="majorHAnsi"/>
          <w:sz w:val="22"/>
          <w:szCs w:val="22"/>
          <w:lang w:val="en-GB"/>
        </w:rPr>
        <w:t xml:space="preserve">ance at the community </w:t>
      </w:r>
      <w:r w:rsidRPr="004E053C">
        <w:rPr>
          <w:rFonts w:cstheme="majorHAnsi"/>
          <w:sz w:val="22"/>
          <w:szCs w:val="22"/>
          <w:lang w:val="en-GB"/>
        </w:rPr>
        <w:t xml:space="preserve">level. </w:t>
      </w:r>
      <w:r w:rsidR="00CF0DDA" w:rsidRPr="004E053C">
        <w:rPr>
          <w:rFonts w:cstheme="majorHAnsi"/>
          <w:sz w:val="22"/>
          <w:szCs w:val="22"/>
          <w:lang w:val="en-GB"/>
        </w:rPr>
        <w:t xml:space="preserve">For the purpose of this study, I distinguish between the translocal community and the smaller, more traditional </w:t>
      </w:r>
      <w:r w:rsidR="00091107" w:rsidRPr="004E053C">
        <w:rPr>
          <w:rFonts w:cstheme="majorHAnsi"/>
          <w:sz w:val="22"/>
          <w:szCs w:val="22"/>
          <w:lang w:val="en-GB"/>
        </w:rPr>
        <w:t>conceptualisation</w:t>
      </w:r>
      <w:r w:rsidR="00CF0DDA" w:rsidRPr="004E053C">
        <w:rPr>
          <w:rFonts w:cstheme="majorHAnsi"/>
          <w:sz w:val="22"/>
          <w:szCs w:val="22"/>
          <w:lang w:val="en-GB"/>
        </w:rPr>
        <w:t xml:space="preserve"> of a local community that is spatially bound. However, given the emphasis on tension and contestations, unlike many </w:t>
      </w:r>
      <w:r w:rsidR="00D3785B" w:rsidRPr="004E053C">
        <w:rPr>
          <w:rFonts w:cstheme="majorHAnsi"/>
          <w:sz w:val="22"/>
          <w:szCs w:val="22"/>
          <w:lang w:val="en-GB"/>
        </w:rPr>
        <w:t>definitions</w:t>
      </w:r>
      <w:r w:rsidR="00CF0DDA" w:rsidRPr="004E053C">
        <w:rPr>
          <w:rFonts w:cstheme="majorHAnsi"/>
          <w:sz w:val="22"/>
          <w:szCs w:val="22"/>
          <w:lang w:val="en-GB"/>
        </w:rPr>
        <w:t xml:space="preserve"> of </w:t>
      </w:r>
      <w:r w:rsidR="003B5DCB" w:rsidRPr="004E053C">
        <w:rPr>
          <w:rFonts w:cstheme="majorHAnsi"/>
          <w:sz w:val="22"/>
          <w:szCs w:val="22"/>
          <w:lang w:val="en-GB"/>
        </w:rPr>
        <w:t>‘community’</w:t>
      </w:r>
      <w:r w:rsidR="00CF0DDA" w:rsidRPr="004E053C">
        <w:rPr>
          <w:rFonts w:cstheme="majorHAnsi"/>
          <w:sz w:val="22"/>
          <w:szCs w:val="22"/>
          <w:lang w:val="en-GB"/>
        </w:rPr>
        <w:t>, I am not suggesting that all the peop</w:t>
      </w:r>
      <w:r w:rsidR="00D37045" w:rsidRPr="004E053C">
        <w:rPr>
          <w:rFonts w:cstheme="majorHAnsi"/>
          <w:sz w:val="22"/>
          <w:szCs w:val="22"/>
          <w:lang w:val="en-GB"/>
        </w:rPr>
        <w:t xml:space="preserve">le that reside within one locale can be considered as a homogenous group. </w:t>
      </w:r>
    </w:p>
    <w:p w14:paraId="7D8F789A" w14:textId="77777777" w:rsidR="00EB2BA8" w:rsidRPr="004E053C" w:rsidRDefault="00EB2BA8" w:rsidP="004E053C">
      <w:pPr>
        <w:spacing w:line="360" w:lineRule="auto"/>
        <w:jc w:val="both"/>
        <w:rPr>
          <w:rFonts w:cstheme="majorHAnsi"/>
          <w:sz w:val="22"/>
          <w:szCs w:val="22"/>
          <w:lang w:val="en-GB"/>
        </w:rPr>
      </w:pPr>
    </w:p>
    <w:p w14:paraId="60E2347D" w14:textId="2DC2FA79" w:rsidR="00DF763A" w:rsidRPr="004E053C" w:rsidRDefault="00EB2BA8" w:rsidP="004E053C">
      <w:pPr>
        <w:spacing w:line="360" w:lineRule="auto"/>
        <w:jc w:val="both"/>
        <w:rPr>
          <w:rFonts w:cstheme="majorHAnsi"/>
          <w:sz w:val="22"/>
          <w:szCs w:val="22"/>
          <w:lang w:val="en-GB"/>
        </w:rPr>
      </w:pPr>
      <w:r w:rsidRPr="004E053C">
        <w:rPr>
          <w:rFonts w:cstheme="majorHAnsi"/>
          <w:sz w:val="22"/>
          <w:szCs w:val="22"/>
          <w:lang w:val="en-GB"/>
        </w:rPr>
        <w:t xml:space="preserve">The application of a translocal approach to ASM has not just been enlightening due to the empirical contributions to the ASM literature, but also </w:t>
      </w:r>
      <w:r w:rsidR="00E60604" w:rsidRPr="004E053C">
        <w:rPr>
          <w:rFonts w:cstheme="majorHAnsi"/>
          <w:sz w:val="22"/>
          <w:szCs w:val="22"/>
          <w:lang w:val="en-GB"/>
        </w:rPr>
        <w:t>because it has revealed important</w:t>
      </w:r>
      <w:r w:rsidRPr="004E053C">
        <w:rPr>
          <w:rFonts w:cstheme="majorHAnsi"/>
          <w:sz w:val="22"/>
          <w:szCs w:val="22"/>
          <w:lang w:val="en-GB"/>
        </w:rPr>
        <w:t xml:space="preserve"> </w:t>
      </w:r>
      <w:r w:rsidR="00E60604" w:rsidRPr="004E053C">
        <w:rPr>
          <w:rFonts w:cstheme="majorHAnsi"/>
          <w:sz w:val="22"/>
          <w:szCs w:val="22"/>
          <w:lang w:val="en-GB"/>
        </w:rPr>
        <w:t>limitations to</w:t>
      </w:r>
      <w:r w:rsidRPr="004E053C">
        <w:rPr>
          <w:rFonts w:cstheme="majorHAnsi"/>
          <w:sz w:val="22"/>
          <w:szCs w:val="22"/>
          <w:lang w:val="en-GB"/>
        </w:rPr>
        <w:t xml:space="preserve"> </w:t>
      </w:r>
      <w:r w:rsidR="00E60604" w:rsidRPr="004E053C">
        <w:rPr>
          <w:rFonts w:cstheme="majorHAnsi"/>
          <w:sz w:val="22"/>
          <w:szCs w:val="22"/>
          <w:lang w:val="en-GB"/>
        </w:rPr>
        <w:t xml:space="preserve">its </w:t>
      </w:r>
      <w:r w:rsidR="00A9346A" w:rsidRPr="004E053C">
        <w:rPr>
          <w:rFonts w:cstheme="majorHAnsi"/>
          <w:sz w:val="22"/>
          <w:szCs w:val="22"/>
          <w:lang w:val="en-GB"/>
        </w:rPr>
        <w:t>own</w:t>
      </w:r>
      <w:r w:rsidR="00E60604" w:rsidRPr="004E053C">
        <w:rPr>
          <w:rFonts w:cstheme="majorHAnsi"/>
          <w:sz w:val="22"/>
          <w:szCs w:val="22"/>
          <w:lang w:val="en-GB"/>
        </w:rPr>
        <w:t xml:space="preserve"> </w:t>
      </w:r>
      <w:r w:rsidR="00D3785B" w:rsidRPr="004E053C">
        <w:rPr>
          <w:rFonts w:cstheme="majorHAnsi"/>
          <w:sz w:val="22"/>
          <w:szCs w:val="22"/>
          <w:lang w:val="en-GB"/>
        </w:rPr>
        <w:t>conceptualisation</w:t>
      </w:r>
      <w:r w:rsidRPr="004E053C">
        <w:rPr>
          <w:rFonts w:cstheme="majorHAnsi"/>
          <w:sz w:val="22"/>
          <w:szCs w:val="22"/>
          <w:lang w:val="en-GB"/>
        </w:rPr>
        <w:t>. Most importantly, the divergent nature of ASM livelihood trajectories calls fo</w:t>
      </w:r>
      <w:r w:rsidR="00A9346A" w:rsidRPr="004E053C">
        <w:rPr>
          <w:rFonts w:cstheme="majorHAnsi"/>
          <w:sz w:val="22"/>
          <w:szCs w:val="22"/>
          <w:lang w:val="en-GB"/>
        </w:rPr>
        <w:t>r an extension of the concept that</w:t>
      </w:r>
      <w:r w:rsidRPr="004E053C">
        <w:rPr>
          <w:rFonts w:cstheme="majorHAnsi"/>
          <w:sz w:val="22"/>
          <w:szCs w:val="22"/>
          <w:lang w:val="en-GB"/>
        </w:rPr>
        <w:t xml:space="preserve"> account</w:t>
      </w:r>
      <w:r w:rsidR="00A9346A" w:rsidRPr="004E053C">
        <w:rPr>
          <w:rFonts w:cstheme="majorHAnsi"/>
          <w:sz w:val="22"/>
          <w:szCs w:val="22"/>
          <w:lang w:val="en-GB"/>
        </w:rPr>
        <w:t>s</w:t>
      </w:r>
      <w:r w:rsidRPr="004E053C">
        <w:rPr>
          <w:rFonts w:cstheme="majorHAnsi"/>
          <w:sz w:val="22"/>
          <w:szCs w:val="22"/>
          <w:lang w:val="en-GB"/>
        </w:rPr>
        <w:t xml:space="preserve"> for the temporal variations in translocal livelihoods. This is because levels of translocality vary over time, </w:t>
      </w:r>
      <w:r w:rsidRPr="00030E91">
        <w:rPr>
          <w:rFonts w:cstheme="majorHAnsi"/>
          <w:sz w:val="22"/>
          <w:szCs w:val="22"/>
          <w:lang w:val="en-GB"/>
        </w:rPr>
        <w:t>with people becoming effectively less translocal if they root themselves in a destination community</w:t>
      </w:r>
      <w:r w:rsidR="00061CD1" w:rsidRPr="00030E91">
        <w:rPr>
          <w:rFonts w:cstheme="majorHAnsi"/>
          <w:sz w:val="22"/>
          <w:szCs w:val="22"/>
          <w:lang w:val="en-GB"/>
        </w:rPr>
        <w:t xml:space="preserve"> or eventually return home for longer periods</w:t>
      </w:r>
      <w:r w:rsidRPr="00030E91">
        <w:rPr>
          <w:rFonts w:cstheme="majorHAnsi"/>
          <w:sz w:val="22"/>
          <w:szCs w:val="22"/>
          <w:lang w:val="en-GB"/>
        </w:rPr>
        <w:t xml:space="preserve">. </w:t>
      </w:r>
      <w:r w:rsidR="00061CD1" w:rsidRPr="00030E91">
        <w:rPr>
          <w:rFonts w:cstheme="majorHAnsi"/>
          <w:sz w:val="22"/>
          <w:szCs w:val="22"/>
          <w:lang w:val="en-GB"/>
        </w:rPr>
        <w:t xml:space="preserve">I refer to this as </w:t>
      </w:r>
      <w:r w:rsidR="00061CD1" w:rsidRPr="00030E91">
        <w:rPr>
          <w:rFonts w:cstheme="majorHAnsi"/>
          <w:i/>
          <w:sz w:val="22"/>
          <w:szCs w:val="22"/>
          <w:lang w:val="en-GB"/>
        </w:rPr>
        <w:t>diminishing–settled translocality</w:t>
      </w:r>
      <w:r w:rsidR="00061CD1" w:rsidRPr="00030E91">
        <w:rPr>
          <w:rFonts w:cstheme="majorHAnsi"/>
          <w:sz w:val="22"/>
          <w:szCs w:val="22"/>
          <w:lang w:val="en-GB"/>
        </w:rPr>
        <w:t xml:space="preserve"> and </w:t>
      </w:r>
      <w:r w:rsidR="00061CD1" w:rsidRPr="00030E91">
        <w:rPr>
          <w:rFonts w:cstheme="majorHAnsi"/>
          <w:i/>
          <w:sz w:val="22"/>
          <w:szCs w:val="22"/>
          <w:lang w:val="en-GB"/>
        </w:rPr>
        <w:t>diminishing-returning translocality.</w:t>
      </w:r>
      <w:r w:rsidR="00061CD1" w:rsidRPr="00030E91">
        <w:rPr>
          <w:rFonts w:cstheme="majorHAnsi"/>
          <w:sz w:val="22"/>
          <w:szCs w:val="22"/>
          <w:lang w:val="en-GB"/>
        </w:rPr>
        <w:t xml:space="preserve"> At other times, individuals may move on to a completely new location, outside of the social field, which is a more </w:t>
      </w:r>
      <w:r w:rsidR="00061CD1" w:rsidRPr="00030E91">
        <w:rPr>
          <w:rFonts w:cstheme="majorHAnsi"/>
          <w:i/>
          <w:sz w:val="22"/>
          <w:szCs w:val="22"/>
          <w:lang w:val="en-GB"/>
        </w:rPr>
        <w:t>reorientating translocality</w:t>
      </w:r>
      <w:r w:rsidR="00061CD1" w:rsidRPr="00030E91">
        <w:rPr>
          <w:rFonts w:cstheme="majorHAnsi"/>
          <w:sz w:val="22"/>
          <w:szCs w:val="22"/>
          <w:lang w:val="en-GB"/>
        </w:rPr>
        <w:t xml:space="preserve">. </w:t>
      </w:r>
      <w:r w:rsidR="00DE28CB" w:rsidRPr="00030E91">
        <w:rPr>
          <w:rFonts w:cstheme="majorHAnsi"/>
          <w:sz w:val="22"/>
          <w:szCs w:val="22"/>
          <w:lang w:val="en-GB"/>
        </w:rPr>
        <w:t xml:space="preserve">This is an important extension to the </w:t>
      </w:r>
      <w:r w:rsidR="002D6A2F" w:rsidRPr="00030E91">
        <w:rPr>
          <w:rFonts w:cstheme="majorHAnsi"/>
          <w:sz w:val="22"/>
          <w:szCs w:val="22"/>
          <w:lang w:val="en-GB"/>
        </w:rPr>
        <w:t>predominantly</w:t>
      </w:r>
      <w:r w:rsidR="00DE28CB" w:rsidRPr="00030E91">
        <w:rPr>
          <w:rFonts w:cstheme="majorHAnsi"/>
          <w:sz w:val="22"/>
          <w:szCs w:val="22"/>
          <w:lang w:val="en-GB"/>
        </w:rPr>
        <w:t xml:space="preserve"> spatial considerations of translocality</w:t>
      </w:r>
      <w:r w:rsidRPr="00030E91">
        <w:rPr>
          <w:rFonts w:cstheme="majorHAnsi"/>
          <w:sz w:val="22"/>
          <w:szCs w:val="22"/>
          <w:lang w:val="en-GB"/>
        </w:rPr>
        <w:t xml:space="preserve">, </w:t>
      </w:r>
      <w:r w:rsidR="00DE28CB" w:rsidRPr="00030E91">
        <w:rPr>
          <w:rFonts w:cstheme="majorHAnsi"/>
          <w:sz w:val="22"/>
          <w:szCs w:val="22"/>
          <w:lang w:val="en-GB"/>
        </w:rPr>
        <w:t>which also emphasises the</w:t>
      </w:r>
      <w:r w:rsidRPr="00030E91">
        <w:rPr>
          <w:rFonts w:cstheme="majorHAnsi"/>
          <w:sz w:val="22"/>
          <w:szCs w:val="22"/>
          <w:lang w:val="en-GB"/>
        </w:rPr>
        <w:t xml:space="preserve"> difference</w:t>
      </w:r>
      <w:r w:rsidR="00DE28CB" w:rsidRPr="00030E91">
        <w:rPr>
          <w:rFonts w:cstheme="majorHAnsi"/>
          <w:sz w:val="22"/>
          <w:szCs w:val="22"/>
          <w:lang w:val="en-GB"/>
        </w:rPr>
        <w:t>s</w:t>
      </w:r>
      <w:r w:rsidRPr="00030E91">
        <w:rPr>
          <w:rFonts w:cstheme="majorHAnsi"/>
          <w:sz w:val="22"/>
          <w:szCs w:val="22"/>
          <w:lang w:val="en-GB"/>
        </w:rPr>
        <w:t xml:space="preserve"> between individuals, drawing on the understanding that not everyone within the translocal space is equally embedd</w:t>
      </w:r>
      <w:r w:rsidR="00A9346A" w:rsidRPr="00030E91">
        <w:rPr>
          <w:rFonts w:cstheme="majorHAnsi"/>
          <w:sz w:val="22"/>
          <w:szCs w:val="22"/>
          <w:lang w:val="en-GB"/>
        </w:rPr>
        <w:t>ed within each location. T</w:t>
      </w:r>
      <w:r w:rsidRPr="00030E91">
        <w:rPr>
          <w:rFonts w:cstheme="majorHAnsi"/>
          <w:sz w:val="22"/>
          <w:szCs w:val="22"/>
          <w:lang w:val="en-GB"/>
        </w:rPr>
        <w:t xml:space="preserve">he rural/peri-urban context of most ASM communities provides an interesting alternative to normal translocal livelihoods studies that continue to focus on migration to urban areas. This is because the relative small size of the </w:t>
      </w:r>
      <w:r w:rsidR="00B03102" w:rsidRPr="00030E91">
        <w:rPr>
          <w:rFonts w:cstheme="majorHAnsi"/>
          <w:sz w:val="22"/>
          <w:szCs w:val="22"/>
          <w:lang w:val="en-GB"/>
        </w:rPr>
        <w:t xml:space="preserve">host </w:t>
      </w:r>
      <w:r w:rsidRPr="00030E91">
        <w:rPr>
          <w:rFonts w:cstheme="majorHAnsi"/>
          <w:sz w:val="22"/>
          <w:szCs w:val="22"/>
          <w:lang w:val="en-GB"/>
        </w:rPr>
        <w:t xml:space="preserve">population </w:t>
      </w:r>
      <w:r w:rsidR="00B03102" w:rsidRPr="00030E91">
        <w:rPr>
          <w:rFonts w:cstheme="majorHAnsi"/>
          <w:sz w:val="22"/>
          <w:szCs w:val="22"/>
          <w:lang w:val="en-GB"/>
        </w:rPr>
        <w:t>in comparison to the number</w:t>
      </w:r>
      <w:r w:rsidR="00B03102" w:rsidRPr="004E053C">
        <w:rPr>
          <w:rFonts w:cstheme="majorHAnsi"/>
          <w:sz w:val="22"/>
          <w:szCs w:val="22"/>
          <w:lang w:val="en-GB"/>
        </w:rPr>
        <w:t xml:space="preserve"> of </w:t>
      </w:r>
      <w:r w:rsidR="00D3785B" w:rsidRPr="004E053C">
        <w:rPr>
          <w:rFonts w:cstheme="majorHAnsi"/>
          <w:sz w:val="22"/>
          <w:szCs w:val="22"/>
          <w:lang w:val="en-GB"/>
        </w:rPr>
        <w:t>migrants</w:t>
      </w:r>
      <w:r w:rsidR="00B03102" w:rsidRPr="004E053C">
        <w:rPr>
          <w:rFonts w:cstheme="majorHAnsi"/>
          <w:sz w:val="22"/>
          <w:szCs w:val="22"/>
          <w:lang w:val="en-GB"/>
        </w:rPr>
        <w:t xml:space="preserve"> </w:t>
      </w:r>
      <w:r w:rsidRPr="004E053C">
        <w:rPr>
          <w:rFonts w:cstheme="majorHAnsi"/>
          <w:sz w:val="22"/>
          <w:szCs w:val="22"/>
          <w:lang w:val="en-GB"/>
        </w:rPr>
        <w:t xml:space="preserve">illuminates the impact of translocality on destination areas. </w:t>
      </w:r>
    </w:p>
    <w:p w14:paraId="799E8E08" w14:textId="77777777" w:rsidR="00EB2BA8" w:rsidRPr="004E053C" w:rsidRDefault="00EB2BA8" w:rsidP="004E053C">
      <w:pPr>
        <w:spacing w:line="360" w:lineRule="auto"/>
        <w:jc w:val="both"/>
        <w:rPr>
          <w:rFonts w:cstheme="majorHAnsi"/>
          <w:sz w:val="22"/>
          <w:szCs w:val="22"/>
          <w:lang w:val="en-GB"/>
        </w:rPr>
      </w:pPr>
    </w:p>
    <w:p w14:paraId="52BBC570" w14:textId="2CD555A2" w:rsidR="00EB2BA8" w:rsidRPr="004E053C" w:rsidRDefault="002D4F92" w:rsidP="004E053C">
      <w:pPr>
        <w:pStyle w:val="Heading2"/>
        <w:spacing w:before="0" w:line="360" w:lineRule="auto"/>
        <w:jc w:val="both"/>
        <w:rPr>
          <w:rFonts w:cstheme="majorHAnsi"/>
          <w:lang w:val="en-GB"/>
        </w:rPr>
      </w:pPr>
      <w:bookmarkStart w:id="9" w:name="_Toc33293073"/>
      <w:r w:rsidRPr="004E053C">
        <w:rPr>
          <w:rFonts w:cstheme="majorHAnsi"/>
          <w:lang w:val="en-GB"/>
        </w:rPr>
        <w:lastRenderedPageBreak/>
        <w:t>1.5.</w:t>
      </w:r>
      <w:r w:rsidR="00EB2BA8" w:rsidRPr="004E053C">
        <w:rPr>
          <w:rFonts w:cstheme="majorHAnsi"/>
          <w:lang w:val="en-GB"/>
        </w:rPr>
        <w:t xml:space="preserve"> Structure of this thesis</w:t>
      </w:r>
      <w:bookmarkEnd w:id="9"/>
    </w:p>
    <w:p w14:paraId="08922F56" w14:textId="77777777" w:rsidR="00EB2BA8" w:rsidRPr="004E053C" w:rsidRDefault="00EB2BA8" w:rsidP="004E053C">
      <w:pPr>
        <w:spacing w:line="360" w:lineRule="auto"/>
        <w:jc w:val="both"/>
        <w:rPr>
          <w:rFonts w:cstheme="majorHAnsi"/>
          <w:sz w:val="22"/>
          <w:szCs w:val="22"/>
          <w:lang w:val="en-GB"/>
        </w:rPr>
      </w:pPr>
    </w:p>
    <w:p w14:paraId="221C9D23" w14:textId="67E2A804" w:rsidR="00F16371" w:rsidRPr="004E053C" w:rsidRDefault="00EB2BA8" w:rsidP="004E053C">
      <w:pPr>
        <w:spacing w:line="360" w:lineRule="auto"/>
        <w:jc w:val="both"/>
        <w:rPr>
          <w:rFonts w:cstheme="majorHAnsi"/>
          <w:sz w:val="22"/>
          <w:szCs w:val="22"/>
          <w:lang w:val="en-GB"/>
        </w:rPr>
      </w:pPr>
      <w:r w:rsidRPr="004E053C">
        <w:rPr>
          <w:rFonts w:cstheme="majorHAnsi"/>
          <w:sz w:val="22"/>
          <w:szCs w:val="22"/>
          <w:lang w:val="en-GB"/>
        </w:rPr>
        <w:t xml:space="preserve">Following on from the introduction, Chapter 2 </w:t>
      </w:r>
      <w:r w:rsidR="002D4F92" w:rsidRPr="004E053C">
        <w:rPr>
          <w:rFonts w:cstheme="majorHAnsi"/>
          <w:sz w:val="22"/>
          <w:szCs w:val="22"/>
          <w:lang w:val="en-GB"/>
        </w:rPr>
        <w:t>provides an overview of the</w:t>
      </w:r>
      <w:r w:rsidRPr="004E053C">
        <w:rPr>
          <w:rFonts w:cstheme="majorHAnsi"/>
          <w:sz w:val="22"/>
          <w:szCs w:val="22"/>
          <w:lang w:val="en-GB"/>
        </w:rPr>
        <w:t xml:space="preserve"> </w:t>
      </w:r>
      <w:r w:rsidR="002D4F92" w:rsidRPr="004E053C">
        <w:rPr>
          <w:rFonts w:cstheme="majorHAnsi"/>
          <w:sz w:val="22"/>
          <w:szCs w:val="22"/>
          <w:lang w:val="en-GB"/>
        </w:rPr>
        <w:t xml:space="preserve">ASM sector in order to highlight the relevant </w:t>
      </w:r>
      <w:r w:rsidRPr="004E053C">
        <w:rPr>
          <w:rFonts w:cstheme="majorHAnsi"/>
          <w:sz w:val="22"/>
          <w:szCs w:val="22"/>
          <w:lang w:val="en-GB"/>
        </w:rPr>
        <w:t xml:space="preserve">the gaps in the literature. </w:t>
      </w:r>
      <w:r w:rsidR="00406E3A" w:rsidRPr="004E053C">
        <w:rPr>
          <w:rFonts w:cstheme="majorHAnsi"/>
          <w:sz w:val="22"/>
          <w:szCs w:val="22"/>
          <w:lang w:val="en-GB"/>
        </w:rPr>
        <w:t>The</w:t>
      </w:r>
      <w:r w:rsidRPr="004E053C">
        <w:rPr>
          <w:rFonts w:cstheme="majorHAnsi"/>
          <w:sz w:val="22"/>
          <w:szCs w:val="22"/>
          <w:lang w:val="en-GB"/>
        </w:rPr>
        <w:t xml:space="preserve"> broad debates in the extractive industries</w:t>
      </w:r>
      <w:r w:rsidR="00406E3A" w:rsidRPr="004E053C">
        <w:rPr>
          <w:rFonts w:cstheme="majorHAnsi"/>
          <w:sz w:val="22"/>
          <w:szCs w:val="22"/>
          <w:lang w:val="en-GB"/>
        </w:rPr>
        <w:t xml:space="preserve"> are presented</w:t>
      </w:r>
      <w:r w:rsidR="002D4F92" w:rsidRPr="004E053C">
        <w:rPr>
          <w:rFonts w:cstheme="majorHAnsi"/>
          <w:sz w:val="22"/>
          <w:szCs w:val="22"/>
          <w:lang w:val="en-GB"/>
        </w:rPr>
        <w:t>, with a</w:t>
      </w:r>
      <w:r w:rsidRPr="004E053C">
        <w:rPr>
          <w:rFonts w:cstheme="majorHAnsi"/>
          <w:sz w:val="22"/>
          <w:szCs w:val="22"/>
          <w:lang w:val="en-GB"/>
        </w:rPr>
        <w:t xml:space="preserve"> particu</w:t>
      </w:r>
      <w:r w:rsidR="002D4F92" w:rsidRPr="004E053C">
        <w:rPr>
          <w:rFonts w:cstheme="majorHAnsi"/>
          <w:sz w:val="22"/>
          <w:szCs w:val="22"/>
          <w:lang w:val="en-GB"/>
        </w:rPr>
        <w:t>lar focus on economic and social inequality. The discussion then moves on to looking specifically at</w:t>
      </w:r>
      <w:r w:rsidRPr="004E053C">
        <w:rPr>
          <w:rFonts w:cstheme="majorHAnsi"/>
          <w:sz w:val="22"/>
          <w:szCs w:val="22"/>
          <w:lang w:val="en-GB"/>
        </w:rPr>
        <w:t xml:space="preserve"> ASM. After highlighting the persistent informality of the sector, I </w:t>
      </w:r>
      <w:r w:rsidR="002D4F92" w:rsidRPr="004E053C">
        <w:rPr>
          <w:rFonts w:cstheme="majorHAnsi"/>
          <w:sz w:val="22"/>
          <w:szCs w:val="22"/>
          <w:lang w:val="en-GB"/>
        </w:rPr>
        <w:t>introduce the</w:t>
      </w:r>
      <w:r w:rsidRPr="004E053C">
        <w:rPr>
          <w:rFonts w:cstheme="majorHAnsi"/>
          <w:sz w:val="22"/>
          <w:szCs w:val="22"/>
          <w:lang w:val="en-GB"/>
        </w:rPr>
        <w:t xml:space="preserve"> literature that relates to migratory practices. This </w:t>
      </w:r>
      <w:r w:rsidR="00406E3A" w:rsidRPr="004E053C">
        <w:rPr>
          <w:rFonts w:cstheme="majorHAnsi"/>
          <w:sz w:val="22"/>
          <w:szCs w:val="22"/>
          <w:lang w:val="en-GB"/>
        </w:rPr>
        <w:t>points to the</w:t>
      </w:r>
      <w:r w:rsidRPr="004E053C">
        <w:rPr>
          <w:rFonts w:cstheme="majorHAnsi"/>
          <w:sz w:val="22"/>
          <w:szCs w:val="22"/>
          <w:lang w:val="en-GB"/>
        </w:rPr>
        <w:t xml:space="preserve"> benefits of migration and the motivations behind such choices, as well as the negative impacts a household may </w:t>
      </w:r>
      <w:r w:rsidR="000A1CD0" w:rsidRPr="004E053C">
        <w:rPr>
          <w:rFonts w:cstheme="majorHAnsi"/>
          <w:sz w:val="22"/>
          <w:szCs w:val="22"/>
          <w:lang w:val="en-GB"/>
        </w:rPr>
        <w:t xml:space="preserve">face as a result. I then highlight how a </w:t>
      </w:r>
      <w:r w:rsidR="00406E3A" w:rsidRPr="004E053C">
        <w:rPr>
          <w:rFonts w:cstheme="majorHAnsi"/>
          <w:sz w:val="22"/>
          <w:szCs w:val="22"/>
          <w:lang w:val="en-GB"/>
        </w:rPr>
        <w:t>single</w:t>
      </w:r>
      <w:r w:rsidRPr="004E053C">
        <w:rPr>
          <w:rFonts w:cstheme="majorHAnsi"/>
          <w:sz w:val="22"/>
          <w:szCs w:val="22"/>
          <w:lang w:val="en-GB"/>
        </w:rPr>
        <w:t xml:space="preserve">-sited approach to analysis </w:t>
      </w:r>
      <w:r w:rsidR="00406E3A" w:rsidRPr="004E053C">
        <w:rPr>
          <w:rFonts w:cstheme="majorHAnsi"/>
          <w:sz w:val="22"/>
          <w:szCs w:val="22"/>
          <w:lang w:val="en-GB"/>
        </w:rPr>
        <w:t>tends to leave out</w:t>
      </w:r>
      <w:r w:rsidR="000A1CD0" w:rsidRPr="004E053C">
        <w:rPr>
          <w:rFonts w:cstheme="majorHAnsi"/>
          <w:sz w:val="22"/>
          <w:szCs w:val="22"/>
          <w:lang w:val="en-GB"/>
        </w:rPr>
        <w:t xml:space="preserve"> left-behind communities, while focusing on direct engagement in ASM also</w:t>
      </w:r>
      <w:r w:rsidR="00406E3A" w:rsidRPr="004E053C">
        <w:rPr>
          <w:rFonts w:cstheme="majorHAnsi"/>
          <w:sz w:val="22"/>
          <w:szCs w:val="22"/>
          <w:lang w:val="en-GB"/>
        </w:rPr>
        <w:t xml:space="preserve"> ignores </w:t>
      </w:r>
      <w:r w:rsidRPr="004E053C">
        <w:rPr>
          <w:rFonts w:cstheme="majorHAnsi"/>
          <w:sz w:val="22"/>
          <w:szCs w:val="22"/>
          <w:lang w:val="en-GB"/>
        </w:rPr>
        <w:t>peopl</w:t>
      </w:r>
      <w:r w:rsidR="000A1CD0" w:rsidRPr="004E053C">
        <w:rPr>
          <w:rFonts w:cstheme="majorHAnsi"/>
          <w:sz w:val="22"/>
          <w:szCs w:val="22"/>
          <w:lang w:val="en-GB"/>
        </w:rPr>
        <w:t xml:space="preserve">e engaged in providing services. In both cases this </w:t>
      </w:r>
      <w:r w:rsidR="00991ECF" w:rsidRPr="004E053C">
        <w:rPr>
          <w:rFonts w:cstheme="majorHAnsi"/>
          <w:sz w:val="22"/>
          <w:szCs w:val="22"/>
          <w:lang w:val="en-GB"/>
        </w:rPr>
        <w:t>risks obscuring</w:t>
      </w:r>
      <w:r w:rsidR="000A1CD0" w:rsidRPr="004E053C">
        <w:rPr>
          <w:rFonts w:cstheme="majorHAnsi"/>
          <w:sz w:val="22"/>
          <w:szCs w:val="22"/>
          <w:lang w:val="en-GB"/>
        </w:rPr>
        <w:t xml:space="preserve"> the role of </w:t>
      </w:r>
      <w:r w:rsidRPr="004E053C">
        <w:rPr>
          <w:rFonts w:cstheme="majorHAnsi"/>
          <w:sz w:val="22"/>
          <w:szCs w:val="22"/>
          <w:lang w:val="en-GB"/>
        </w:rPr>
        <w:t>women</w:t>
      </w:r>
      <w:r w:rsidR="000A1CD0" w:rsidRPr="004E053C">
        <w:rPr>
          <w:rFonts w:cstheme="majorHAnsi"/>
          <w:sz w:val="22"/>
          <w:szCs w:val="22"/>
          <w:lang w:val="en-GB"/>
        </w:rPr>
        <w:t xml:space="preserve"> in the sector</w:t>
      </w:r>
      <w:r w:rsidRPr="004E053C">
        <w:rPr>
          <w:rFonts w:cstheme="majorHAnsi"/>
          <w:sz w:val="22"/>
          <w:szCs w:val="22"/>
          <w:lang w:val="en-GB"/>
        </w:rPr>
        <w:t xml:space="preserve">. </w:t>
      </w:r>
      <w:r w:rsidR="000A1CD0" w:rsidRPr="004E053C">
        <w:rPr>
          <w:rFonts w:cstheme="majorHAnsi"/>
          <w:sz w:val="22"/>
          <w:szCs w:val="22"/>
          <w:lang w:val="en-GB"/>
        </w:rPr>
        <w:t xml:space="preserve">A </w:t>
      </w:r>
      <w:r w:rsidR="00D3785B" w:rsidRPr="004E053C">
        <w:rPr>
          <w:rFonts w:cstheme="majorHAnsi"/>
          <w:sz w:val="22"/>
          <w:szCs w:val="22"/>
          <w:lang w:val="en-GB"/>
        </w:rPr>
        <w:t>further</w:t>
      </w:r>
      <w:r w:rsidR="000A1CD0" w:rsidRPr="004E053C">
        <w:rPr>
          <w:rFonts w:cstheme="majorHAnsi"/>
          <w:sz w:val="22"/>
          <w:szCs w:val="22"/>
          <w:lang w:val="en-GB"/>
        </w:rPr>
        <w:t xml:space="preserve"> issue is the </w:t>
      </w:r>
      <w:r w:rsidRPr="004E053C">
        <w:rPr>
          <w:rFonts w:cstheme="majorHAnsi"/>
          <w:sz w:val="22"/>
          <w:szCs w:val="22"/>
          <w:lang w:val="en-GB"/>
        </w:rPr>
        <w:t xml:space="preserve">lack of focus on the heterogeneity of ASM livelihood strategies and the tensions that may arise in the community due to these divergent trajectories. </w:t>
      </w:r>
    </w:p>
    <w:p w14:paraId="19D8F968" w14:textId="77777777" w:rsidR="00F16371" w:rsidRPr="004E053C" w:rsidRDefault="00F16371" w:rsidP="004E053C">
      <w:pPr>
        <w:spacing w:line="360" w:lineRule="auto"/>
        <w:jc w:val="both"/>
        <w:rPr>
          <w:rFonts w:cstheme="majorHAnsi"/>
          <w:sz w:val="22"/>
          <w:szCs w:val="22"/>
          <w:lang w:val="en-GB"/>
        </w:rPr>
      </w:pPr>
    </w:p>
    <w:p w14:paraId="6B2E9AF4" w14:textId="6A52DE17" w:rsidR="00EB2BA8" w:rsidRPr="004E053C" w:rsidRDefault="00DE28CB" w:rsidP="004E053C">
      <w:pPr>
        <w:spacing w:line="360" w:lineRule="auto"/>
        <w:jc w:val="both"/>
        <w:rPr>
          <w:rFonts w:cstheme="majorHAnsi"/>
          <w:sz w:val="22"/>
          <w:szCs w:val="22"/>
          <w:lang w:val="en-GB"/>
        </w:rPr>
      </w:pPr>
      <w:r w:rsidRPr="004E053C">
        <w:rPr>
          <w:rFonts w:cstheme="majorHAnsi"/>
          <w:sz w:val="22"/>
          <w:szCs w:val="22"/>
          <w:lang w:val="en-GB"/>
        </w:rPr>
        <w:t>Chapter 3 aims to provide a contextual account of</w:t>
      </w:r>
      <w:r w:rsidR="00406E3A" w:rsidRPr="004E053C">
        <w:rPr>
          <w:rFonts w:cstheme="majorHAnsi"/>
          <w:sz w:val="22"/>
          <w:szCs w:val="22"/>
          <w:lang w:val="en-GB"/>
        </w:rPr>
        <w:t xml:space="preserve"> Peru, </w:t>
      </w:r>
      <w:r w:rsidRPr="004E053C">
        <w:rPr>
          <w:rFonts w:cstheme="majorHAnsi"/>
          <w:sz w:val="22"/>
          <w:szCs w:val="22"/>
          <w:lang w:val="en-GB"/>
        </w:rPr>
        <w:t xml:space="preserve">setting the scene for the findings and discussion that follow. Given the crucial role that extractives have played, and continue to play, in Peru’s economic development, </w:t>
      </w:r>
      <w:r w:rsidR="009043F6" w:rsidRPr="004E053C">
        <w:rPr>
          <w:rFonts w:cstheme="majorHAnsi"/>
          <w:sz w:val="22"/>
          <w:szCs w:val="22"/>
          <w:lang w:val="en-GB"/>
        </w:rPr>
        <w:t xml:space="preserve">the chapter starts with an overview of the economy. This covers economic history from the early 1900s, discussing the implications of Import Substitution and then going on to discuss the changes brought in by President Alberto Fujimore in the 1990s. I then go on to discuss the human population of Peru, giving particular attention to the structural inequalities that continue to disadvantage Andean people. This leads into a discussion of </w:t>
      </w:r>
      <w:r w:rsidR="009043F6" w:rsidRPr="004E053C">
        <w:rPr>
          <w:rFonts w:cstheme="majorHAnsi"/>
          <w:i/>
          <w:sz w:val="22"/>
          <w:szCs w:val="22"/>
          <w:lang w:val="en-GB"/>
        </w:rPr>
        <w:t>Sendero Luminoso</w:t>
      </w:r>
      <w:r w:rsidR="009043F6" w:rsidRPr="004E053C">
        <w:rPr>
          <w:rFonts w:cstheme="majorHAnsi"/>
          <w:sz w:val="22"/>
          <w:szCs w:val="22"/>
          <w:lang w:val="en-GB"/>
        </w:rPr>
        <w:t xml:space="preserve">, </w:t>
      </w:r>
      <w:r w:rsidR="00991ECF" w:rsidRPr="004E053C">
        <w:rPr>
          <w:rFonts w:cstheme="majorHAnsi"/>
          <w:sz w:val="22"/>
          <w:szCs w:val="22"/>
          <w:lang w:val="en-GB"/>
        </w:rPr>
        <w:t xml:space="preserve">a guerrilla movement </w:t>
      </w:r>
      <w:r w:rsidR="009043F6" w:rsidRPr="004E053C">
        <w:rPr>
          <w:rFonts w:cstheme="majorHAnsi"/>
          <w:sz w:val="22"/>
          <w:szCs w:val="22"/>
          <w:lang w:val="en-GB"/>
        </w:rPr>
        <w:t xml:space="preserve">who were initially driven to take up </w:t>
      </w:r>
      <w:r w:rsidR="00991ECF" w:rsidRPr="004E053C">
        <w:rPr>
          <w:rFonts w:cstheme="majorHAnsi"/>
          <w:sz w:val="22"/>
          <w:szCs w:val="22"/>
          <w:lang w:val="en-GB"/>
        </w:rPr>
        <w:t xml:space="preserve">arms due to </w:t>
      </w:r>
      <w:r w:rsidR="009043F6" w:rsidRPr="004E053C">
        <w:rPr>
          <w:rFonts w:cstheme="majorHAnsi"/>
          <w:sz w:val="22"/>
          <w:szCs w:val="22"/>
          <w:lang w:val="en-GB"/>
        </w:rPr>
        <w:t xml:space="preserve">the poverty they saw around them in </w:t>
      </w:r>
      <w:r w:rsidR="0055536C" w:rsidRPr="004E053C">
        <w:rPr>
          <w:rFonts w:cstheme="majorHAnsi"/>
          <w:sz w:val="22"/>
          <w:szCs w:val="22"/>
          <w:lang w:val="en-GB"/>
        </w:rPr>
        <w:t xml:space="preserve">Ayachucho, a city in the central Andes. The violence that came to characterise the 1980s and early 1990s </w:t>
      </w:r>
      <w:r w:rsidR="00991ECF" w:rsidRPr="004E053C">
        <w:rPr>
          <w:rFonts w:cstheme="majorHAnsi"/>
          <w:sz w:val="22"/>
          <w:szCs w:val="22"/>
          <w:lang w:val="en-GB"/>
        </w:rPr>
        <w:t>is important background for the livelihood trajectories of many migrants that now live in mining towns in Madre de Dios</w:t>
      </w:r>
      <w:r w:rsidR="0055536C" w:rsidRPr="004E053C">
        <w:rPr>
          <w:rFonts w:cstheme="majorHAnsi"/>
          <w:sz w:val="22"/>
          <w:szCs w:val="22"/>
          <w:lang w:val="en-GB"/>
        </w:rPr>
        <w:t xml:space="preserve">. I then move on to discuss the political economy of mining, as Peru has a rich history of extractive industries and it is impossible to understand the ASM sector without contextualising it within broader sectoral trends. Finally, I conclude with an overview of resistance in Peru, particularly that which has occurred in recent years in response to the expansion of large-scale </w:t>
      </w:r>
      <w:r w:rsidR="002D6A2F" w:rsidRPr="004E053C">
        <w:rPr>
          <w:rFonts w:cstheme="majorHAnsi"/>
          <w:sz w:val="22"/>
          <w:szCs w:val="22"/>
          <w:lang w:val="en-GB"/>
        </w:rPr>
        <w:t>extractive</w:t>
      </w:r>
      <w:r w:rsidR="0055536C" w:rsidRPr="004E053C">
        <w:rPr>
          <w:rFonts w:cstheme="majorHAnsi"/>
          <w:sz w:val="22"/>
          <w:szCs w:val="22"/>
          <w:lang w:val="en-GB"/>
        </w:rPr>
        <w:t xml:space="preserve"> industries. </w:t>
      </w:r>
    </w:p>
    <w:p w14:paraId="75FB82FD" w14:textId="77777777" w:rsidR="00EB2BA8" w:rsidRPr="004E053C" w:rsidRDefault="00EB2BA8" w:rsidP="004E053C">
      <w:pPr>
        <w:spacing w:line="360" w:lineRule="auto"/>
        <w:jc w:val="both"/>
        <w:rPr>
          <w:rFonts w:cstheme="majorHAnsi"/>
          <w:sz w:val="22"/>
          <w:szCs w:val="22"/>
          <w:lang w:val="en-GB"/>
        </w:rPr>
      </w:pPr>
    </w:p>
    <w:p w14:paraId="4CDD29F5" w14:textId="3A7FB97E" w:rsidR="00EB2BA8" w:rsidRPr="004E053C" w:rsidRDefault="00F16371" w:rsidP="004E053C">
      <w:pPr>
        <w:spacing w:line="360" w:lineRule="auto"/>
        <w:jc w:val="both"/>
        <w:rPr>
          <w:rFonts w:cstheme="majorHAnsi"/>
          <w:color w:val="FF0000"/>
          <w:sz w:val="22"/>
          <w:szCs w:val="22"/>
          <w:lang w:val="en-GB"/>
        </w:rPr>
      </w:pPr>
      <w:r w:rsidRPr="004E053C">
        <w:rPr>
          <w:rFonts w:cstheme="majorHAnsi"/>
          <w:sz w:val="22"/>
          <w:szCs w:val="22"/>
          <w:lang w:val="en-GB"/>
        </w:rPr>
        <w:t>Chapter 4</w:t>
      </w:r>
      <w:r w:rsidR="00EB2BA8" w:rsidRPr="004E053C">
        <w:rPr>
          <w:rFonts w:cstheme="majorHAnsi"/>
          <w:sz w:val="22"/>
          <w:szCs w:val="22"/>
          <w:lang w:val="en-GB"/>
        </w:rPr>
        <w:t xml:space="preserve"> elaborates on the use of the translocal live</w:t>
      </w:r>
      <w:r w:rsidR="00055562" w:rsidRPr="004E053C">
        <w:rPr>
          <w:rFonts w:cstheme="majorHAnsi"/>
          <w:sz w:val="22"/>
          <w:szCs w:val="22"/>
          <w:lang w:val="en-GB"/>
        </w:rPr>
        <w:t xml:space="preserve">lihoods approach adopted by this thesis, which is underpinned by </w:t>
      </w:r>
      <w:r w:rsidR="00755859" w:rsidRPr="004E053C">
        <w:rPr>
          <w:rFonts w:cstheme="majorHAnsi"/>
          <w:sz w:val="22"/>
          <w:szCs w:val="22"/>
          <w:lang w:val="en-GB"/>
        </w:rPr>
        <w:t>Bourdieusian</w:t>
      </w:r>
      <w:r w:rsidR="00055562" w:rsidRPr="004E053C">
        <w:rPr>
          <w:rFonts w:cstheme="majorHAnsi"/>
          <w:sz w:val="22"/>
          <w:szCs w:val="22"/>
          <w:lang w:val="en-GB"/>
        </w:rPr>
        <w:t xml:space="preserve"> notions </w:t>
      </w:r>
      <w:r w:rsidR="00EB2BA8" w:rsidRPr="004E053C">
        <w:rPr>
          <w:rFonts w:cstheme="majorHAnsi"/>
          <w:sz w:val="22"/>
          <w:szCs w:val="22"/>
          <w:lang w:val="en-GB"/>
        </w:rPr>
        <w:t xml:space="preserve">of social fields, social practices and social capital. This </w:t>
      </w:r>
      <w:r w:rsidR="000A1CD0" w:rsidRPr="004E053C">
        <w:rPr>
          <w:rFonts w:cstheme="majorHAnsi"/>
          <w:sz w:val="22"/>
          <w:szCs w:val="22"/>
          <w:lang w:val="en-GB"/>
        </w:rPr>
        <w:t xml:space="preserve">approach </w:t>
      </w:r>
      <w:r w:rsidR="00A9346A" w:rsidRPr="004E053C">
        <w:rPr>
          <w:rFonts w:cstheme="majorHAnsi"/>
          <w:sz w:val="22"/>
          <w:szCs w:val="22"/>
          <w:lang w:val="en-GB"/>
        </w:rPr>
        <w:t xml:space="preserve">views </w:t>
      </w:r>
      <w:r w:rsidR="00EB2BA8" w:rsidRPr="004E053C">
        <w:rPr>
          <w:rFonts w:cstheme="majorHAnsi"/>
          <w:sz w:val="22"/>
          <w:szCs w:val="22"/>
          <w:lang w:val="en-GB"/>
        </w:rPr>
        <w:t xml:space="preserve">livelihoods as social </w:t>
      </w:r>
      <w:r w:rsidR="000A1CD0" w:rsidRPr="004E053C">
        <w:rPr>
          <w:rFonts w:cstheme="majorHAnsi"/>
          <w:sz w:val="22"/>
          <w:szCs w:val="22"/>
          <w:lang w:val="en-GB"/>
        </w:rPr>
        <w:t xml:space="preserve">practices and accounts </w:t>
      </w:r>
      <w:r w:rsidR="00EB2BA8" w:rsidRPr="004E053C">
        <w:rPr>
          <w:rFonts w:cstheme="majorHAnsi"/>
          <w:sz w:val="22"/>
          <w:szCs w:val="22"/>
          <w:lang w:val="en-GB"/>
        </w:rPr>
        <w:t xml:space="preserve">for the contestations that emerge as actors attempt to make the most of the resources and capital that are available to them within the </w:t>
      </w:r>
      <w:r w:rsidR="000A1CD0" w:rsidRPr="004E053C">
        <w:rPr>
          <w:rFonts w:cstheme="majorHAnsi"/>
          <w:sz w:val="22"/>
          <w:szCs w:val="22"/>
          <w:lang w:val="en-GB"/>
        </w:rPr>
        <w:lastRenderedPageBreak/>
        <w:t>sector</w:t>
      </w:r>
      <w:r w:rsidR="00EB2BA8" w:rsidRPr="004E053C">
        <w:rPr>
          <w:rFonts w:cstheme="majorHAnsi"/>
          <w:sz w:val="22"/>
          <w:szCs w:val="22"/>
          <w:lang w:val="en-GB"/>
        </w:rPr>
        <w:t xml:space="preserve">. </w:t>
      </w:r>
      <w:r w:rsidR="000A1CD0" w:rsidRPr="004E053C">
        <w:rPr>
          <w:rFonts w:cstheme="majorHAnsi"/>
          <w:sz w:val="22"/>
          <w:szCs w:val="22"/>
          <w:lang w:val="en-GB"/>
        </w:rPr>
        <w:t xml:space="preserve">I </w:t>
      </w:r>
      <w:r w:rsidR="00EB2BA8" w:rsidRPr="004E053C">
        <w:rPr>
          <w:rFonts w:cstheme="majorHAnsi"/>
          <w:sz w:val="22"/>
          <w:szCs w:val="22"/>
          <w:lang w:val="en-GB"/>
        </w:rPr>
        <w:t xml:space="preserve">briefly explain why linear models of migration are inappropriate for a consideration of ASM livelihoods, before explaining the </w:t>
      </w:r>
      <w:r w:rsidR="00091107" w:rsidRPr="004E053C">
        <w:rPr>
          <w:rFonts w:cstheme="majorHAnsi"/>
          <w:sz w:val="22"/>
          <w:szCs w:val="22"/>
          <w:lang w:val="en-GB"/>
        </w:rPr>
        <w:t>conceptualisation</w:t>
      </w:r>
      <w:r w:rsidR="00EB2BA8" w:rsidRPr="004E053C">
        <w:rPr>
          <w:rFonts w:cstheme="majorHAnsi"/>
          <w:sz w:val="22"/>
          <w:szCs w:val="22"/>
          <w:lang w:val="en-GB"/>
        </w:rPr>
        <w:t xml:space="preserve"> of translocality as applied to both livelihoods and communities. </w:t>
      </w:r>
      <w:r w:rsidR="007A757C" w:rsidRPr="004E053C">
        <w:rPr>
          <w:rFonts w:cstheme="majorHAnsi"/>
          <w:sz w:val="22"/>
          <w:szCs w:val="22"/>
          <w:lang w:val="en-GB"/>
        </w:rPr>
        <w:t xml:space="preserve">This notion of the translocal community as a social field is then illustrated through a model which draws on an earlier conceptualisation of transnationalism </w:t>
      </w:r>
      <w:r w:rsidR="007A757C" w:rsidRPr="004E053C">
        <w:rPr>
          <w:rFonts w:cstheme="majorHAnsi"/>
          <w:sz w:val="22"/>
          <w:szCs w:val="22"/>
          <w:lang w:val="en-GB"/>
        </w:rPr>
        <w:fldChar w:fldCharType="begin" w:fldLock="1"/>
      </w:r>
      <w:r w:rsidR="00B12F90" w:rsidRPr="004E053C">
        <w:rPr>
          <w:rFonts w:cstheme="majorHAnsi"/>
          <w:sz w:val="22"/>
          <w:szCs w:val="22"/>
          <w:lang w:val="en-GB"/>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transnationalism","type":"article-journal","volume":"31"},"uris":["http://www.mendeley.com/documents/?uuid=4e9502bd-03d1-49f4-adda-36bcff515ccc"]}],"mendeley":{"formattedCitation":"(Carling, 2008)","plainTextFormattedCitation":"(Carling, 2008)","previouslyFormattedCitation":"(Carling, 2008)"},"properties":{"noteIndex":0},"schema":"https://github.com/citation-style-language/schema/raw/master/csl-citation.json"}</w:instrText>
      </w:r>
      <w:r w:rsidR="007A757C" w:rsidRPr="004E053C">
        <w:rPr>
          <w:rFonts w:cstheme="majorHAnsi"/>
          <w:sz w:val="22"/>
          <w:szCs w:val="22"/>
          <w:lang w:val="en-GB"/>
        </w:rPr>
        <w:fldChar w:fldCharType="separate"/>
      </w:r>
      <w:r w:rsidR="007A757C" w:rsidRPr="004E053C">
        <w:rPr>
          <w:rFonts w:cstheme="majorHAnsi"/>
          <w:noProof/>
          <w:sz w:val="22"/>
          <w:szCs w:val="22"/>
          <w:lang w:val="en-GB"/>
        </w:rPr>
        <w:t>(Carling, 2008)</w:t>
      </w:r>
      <w:r w:rsidR="007A757C" w:rsidRPr="004E053C">
        <w:rPr>
          <w:rFonts w:cstheme="majorHAnsi"/>
          <w:sz w:val="22"/>
          <w:szCs w:val="22"/>
          <w:lang w:val="en-GB"/>
        </w:rPr>
        <w:fldChar w:fldCharType="end"/>
      </w:r>
      <w:r w:rsidR="007A757C" w:rsidRPr="004E053C">
        <w:rPr>
          <w:rFonts w:cstheme="majorHAnsi"/>
          <w:sz w:val="22"/>
          <w:szCs w:val="22"/>
          <w:lang w:val="en-GB"/>
        </w:rPr>
        <w:t xml:space="preserve">. </w:t>
      </w:r>
      <w:r w:rsidR="00EB2BA8" w:rsidRPr="004E053C">
        <w:rPr>
          <w:rFonts w:cstheme="majorHAnsi"/>
          <w:sz w:val="22"/>
          <w:szCs w:val="22"/>
          <w:lang w:val="en-GB"/>
        </w:rPr>
        <w:t xml:space="preserve">Given the centrality of place to this </w:t>
      </w:r>
      <w:r w:rsidR="000A1CD0" w:rsidRPr="004E053C">
        <w:rPr>
          <w:rFonts w:cstheme="majorHAnsi"/>
          <w:sz w:val="22"/>
          <w:szCs w:val="22"/>
          <w:lang w:val="en-GB"/>
        </w:rPr>
        <w:t>research</w:t>
      </w:r>
      <w:r w:rsidR="00EB2BA8" w:rsidRPr="004E053C">
        <w:rPr>
          <w:rFonts w:cstheme="majorHAnsi"/>
          <w:sz w:val="22"/>
          <w:szCs w:val="22"/>
          <w:lang w:val="en-GB"/>
        </w:rPr>
        <w:t xml:space="preserve">, I discuss this in relation to translocality, </w:t>
      </w:r>
      <w:r w:rsidR="000A1CD0" w:rsidRPr="004E053C">
        <w:rPr>
          <w:rFonts w:cstheme="majorHAnsi"/>
          <w:sz w:val="22"/>
          <w:szCs w:val="22"/>
          <w:lang w:val="en-GB"/>
        </w:rPr>
        <w:t xml:space="preserve">with particular consideration given to the implications of migration </w:t>
      </w:r>
      <w:r w:rsidR="00277027">
        <w:rPr>
          <w:rFonts w:cstheme="majorHAnsi"/>
          <w:sz w:val="22"/>
          <w:szCs w:val="22"/>
          <w:lang w:val="en-GB"/>
        </w:rPr>
        <w:t xml:space="preserve">for place </w:t>
      </w:r>
      <w:r w:rsidR="00EB2BA8" w:rsidRPr="004E053C">
        <w:rPr>
          <w:rFonts w:cstheme="majorHAnsi"/>
          <w:sz w:val="22"/>
          <w:szCs w:val="22"/>
          <w:lang w:val="en-GB"/>
        </w:rPr>
        <w:t>identity. In doing so, I suggest the need for an extension of the concept of translocality t</w:t>
      </w:r>
      <w:r w:rsidRPr="004E053C">
        <w:rPr>
          <w:rFonts w:cstheme="majorHAnsi"/>
          <w:sz w:val="22"/>
          <w:szCs w:val="22"/>
          <w:lang w:val="en-GB"/>
        </w:rPr>
        <w:t>o include temporality. Chapter 4</w:t>
      </w:r>
      <w:r w:rsidR="00EB2BA8" w:rsidRPr="004E053C">
        <w:rPr>
          <w:rFonts w:cstheme="majorHAnsi"/>
          <w:sz w:val="22"/>
          <w:szCs w:val="22"/>
          <w:lang w:val="en-GB"/>
        </w:rPr>
        <w:t xml:space="preserve"> concludes </w:t>
      </w:r>
      <w:r w:rsidRPr="004E053C">
        <w:rPr>
          <w:rFonts w:cstheme="majorHAnsi"/>
          <w:sz w:val="22"/>
          <w:szCs w:val="22"/>
          <w:lang w:val="en-GB"/>
        </w:rPr>
        <w:t>by introducing notions of deviance as a means through which to understand the implications of the illicit nature of ASM for those within the social field.</w:t>
      </w:r>
      <w:r w:rsidRPr="004E053C">
        <w:rPr>
          <w:rFonts w:cstheme="majorHAnsi"/>
          <w:color w:val="FF0000"/>
          <w:sz w:val="22"/>
          <w:szCs w:val="22"/>
          <w:lang w:val="en-GB"/>
        </w:rPr>
        <w:t xml:space="preserve">  </w:t>
      </w:r>
      <w:r w:rsidR="00EB2BA8" w:rsidRPr="004E053C">
        <w:rPr>
          <w:rFonts w:cstheme="majorHAnsi"/>
          <w:color w:val="FF0000"/>
          <w:sz w:val="22"/>
          <w:szCs w:val="22"/>
          <w:lang w:val="en-GB"/>
        </w:rPr>
        <w:t xml:space="preserve"> </w:t>
      </w:r>
    </w:p>
    <w:p w14:paraId="5B9F7431" w14:textId="77777777" w:rsidR="00EB2BA8" w:rsidRPr="004E053C" w:rsidRDefault="00EB2BA8" w:rsidP="004E053C">
      <w:pPr>
        <w:spacing w:line="360" w:lineRule="auto"/>
        <w:jc w:val="both"/>
        <w:rPr>
          <w:rFonts w:cstheme="majorHAnsi"/>
          <w:sz w:val="22"/>
          <w:szCs w:val="22"/>
          <w:lang w:val="en-GB"/>
        </w:rPr>
      </w:pPr>
    </w:p>
    <w:p w14:paraId="0F3973FD" w14:textId="68C3F8DD" w:rsidR="00EB2BA8" w:rsidRPr="004E053C" w:rsidRDefault="00EB2BA8" w:rsidP="004E053C">
      <w:pPr>
        <w:spacing w:line="360" w:lineRule="auto"/>
        <w:jc w:val="both"/>
        <w:rPr>
          <w:rFonts w:eastAsiaTheme="minorHAnsi" w:cstheme="majorHAnsi"/>
          <w:bCs/>
          <w:sz w:val="22"/>
          <w:szCs w:val="22"/>
          <w:lang w:val="en-GB"/>
        </w:rPr>
      </w:pPr>
      <w:r w:rsidRPr="004E053C">
        <w:rPr>
          <w:rFonts w:cstheme="majorHAnsi"/>
          <w:sz w:val="22"/>
          <w:szCs w:val="22"/>
          <w:lang w:val="en-GB"/>
        </w:rPr>
        <w:t>The exact methodological approach used in a multi-sited research stu</w:t>
      </w:r>
      <w:r w:rsidR="00F16371" w:rsidRPr="004E053C">
        <w:rPr>
          <w:rFonts w:cstheme="majorHAnsi"/>
          <w:sz w:val="22"/>
          <w:szCs w:val="22"/>
          <w:lang w:val="en-GB"/>
        </w:rPr>
        <w:t>dy is elaborated on in chapter 5</w:t>
      </w:r>
      <w:r w:rsidRPr="004E053C">
        <w:rPr>
          <w:rFonts w:cstheme="majorHAnsi"/>
          <w:sz w:val="22"/>
          <w:szCs w:val="22"/>
          <w:lang w:val="en-GB"/>
        </w:rPr>
        <w:t xml:space="preserve">. </w:t>
      </w:r>
      <w:r w:rsidR="000F24C5" w:rsidRPr="004E053C">
        <w:rPr>
          <w:rFonts w:cstheme="majorHAnsi"/>
          <w:sz w:val="22"/>
          <w:szCs w:val="22"/>
          <w:lang w:val="en-GB"/>
        </w:rPr>
        <w:t xml:space="preserve">After presenting the overall objective and </w:t>
      </w:r>
      <w:r w:rsidR="000F24C5" w:rsidRPr="004E053C">
        <w:rPr>
          <w:rFonts w:eastAsiaTheme="minorHAnsi" w:cstheme="majorHAnsi"/>
          <w:bCs/>
          <w:sz w:val="22"/>
          <w:szCs w:val="22"/>
          <w:lang w:val="en-GB"/>
        </w:rPr>
        <w:t>four</w:t>
      </w:r>
      <w:r w:rsidRPr="004E053C">
        <w:rPr>
          <w:rFonts w:eastAsiaTheme="minorHAnsi" w:cstheme="majorHAnsi"/>
          <w:bCs/>
          <w:sz w:val="22"/>
          <w:szCs w:val="22"/>
          <w:lang w:val="en-GB"/>
        </w:rPr>
        <w:t xml:space="preserve"> research questions, </w:t>
      </w:r>
      <w:r w:rsidR="000F24C5" w:rsidRPr="004E053C">
        <w:rPr>
          <w:rFonts w:eastAsiaTheme="minorHAnsi" w:cstheme="majorHAnsi"/>
          <w:bCs/>
          <w:sz w:val="22"/>
          <w:szCs w:val="22"/>
          <w:lang w:val="en-GB"/>
        </w:rPr>
        <w:t>I then</w:t>
      </w:r>
      <w:r w:rsidRPr="004E053C">
        <w:rPr>
          <w:rFonts w:eastAsiaTheme="minorHAnsi" w:cstheme="majorHAnsi"/>
          <w:bCs/>
          <w:sz w:val="22"/>
          <w:szCs w:val="22"/>
          <w:lang w:val="en-GB"/>
        </w:rPr>
        <w:t xml:space="preserve"> </w:t>
      </w:r>
      <w:r w:rsidR="000F24C5" w:rsidRPr="004E053C">
        <w:rPr>
          <w:rFonts w:eastAsiaTheme="minorHAnsi" w:cstheme="majorHAnsi"/>
          <w:bCs/>
          <w:sz w:val="22"/>
          <w:szCs w:val="22"/>
          <w:lang w:val="en-GB"/>
        </w:rPr>
        <w:t xml:space="preserve">justify </w:t>
      </w:r>
      <w:r w:rsidR="00A9346A" w:rsidRPr="004E053C">
        <w:rPr>
          <w:rFonts w:eastAsiaTheme="minorHAnsi" w:cstheme="majorHAnsi"/>
          <w:bCs/>
          <w:sz w:val="22"/>
          <w:szCs w:val="22"/>
          <w:lang w:val="en-GB"/>
        </w:rPr>
        <w:t xml:space="preserve">the </w:t>
      </w:r>
      <w:r w:rsidR="000F24C5" w:rsidRPr="004E053C">
        <w:rPr>
          <w:rFonts w:eastAsiaTheme="minorHAnsi" w:cstheme="majorHAnsi"/>
          <w:bCs/>
          <w:sz w:val="22"/>
          <w:szCs w:val="22"/>
          <w:lang w:val="en-GB"/>
        </w:rPr>
        <w:t>use of qualitative</w:t>
      </w:r>
      <w:r w:rsidRPr="004E053C">
        <w:rPr>
          <w:rFonts w:eastAsiaTheme="minorHAnsi" w:cstheme="majorHAnsi"/>
          <w:bCs/>
          <w:sz w:val="22"/>
          <w:szCs w:val="22"/>
          <w:lang w:val="en-GB"/>
        </w:rPr>
        <w:t xml:space="preserve"> </w:t>
      </w:r>
      <w:r w:rsidR="000F24C5" w:rsidRPr="004E053C">
        <w:rPr>
          <w:rFonts w:eastAsiaTheme="minorHAnsi" w:cstheme="majorHAnsi"/>
          <w:bCs/>
          <w:sz w:val="22"/>
          <w:szCs w:val="22"/>
          <w:lang w:val="en-GB"/>
        </w:rPr>
        <w:t>methods as stemming from the</w:t>
      </w:r>
      <w:r w:rsidRPr="004E053C">
        <w:rPr>
          <w:rFonts w:eastAsiaTheme="minorHAnsi" w:cstheme="majorHAnsi"/>
          <w:sz w:val="22"/>
          <w:szCs w:val="22"/>
          <w:lang w:val="en-GB"/>
        </w:rPr>
        <w:t xml:space="preserve"> ontologically constructivist and epistemologically interpretivist </w:t>
      </w:r>
      <w:r w:rsidR="000F24C5" w:rsidRPr="004E053C">
        <w:rPr>
          <w:rFonts w:eastAsiaTheme="minorHAnsi" w:cstheme="majorHAnsi"/>
          <w:sz w:val="22"/>
          <w:szCs w:val="22"/>
          <w:lang w:val="en-GB"/>
        </w:rPr>
        <w:t>nature of the research</w:t>
      </w:r>
      <w:r w:rsidRPr="004E053C">
        <w:rPr>
          <w:rFonts w:eastAsiaTheme="minorHAnsi" w:cstheme="majorHAnsi"/>
          <w:sz w:val="22"/>
          <w:szCs w:val="22"/>
          <w:lang w:val="en-GB"/>
        </w:rPr>
        <w:t xml:space="preserve">. </w:t>
      </w:r>
      <w:r w:rsidR="000F24C5" w:rsidRPr="004E053C">
        <w:rPr>
          <w:rFonts w:eastAsiaTheme="minorHAnsi" w:cstheme="majorHAnsi"/>
          <w:sz w:val="22"/>
          <w:szCs w:val="22"/>
          <w:lang w:val="en-GB"/>
        </w:rPr>
        <w:t>I then move on to discuss the choice of a case study as a means of understanding and analysing the ASM sector in Peru and the people that operate within it. This requires some elaboration,</w:t>
      </w:r>
      <w:r w:rsidRPr="004E053C">
        <w:rPr>
          <w:rFonts w:eastAsiaTheme="minorHAnsi" w:cstheme="majorHAnsi"/>
          <w:sz w:val="22"/>
          <w:szCs w:val="22"/>
          <w:lang w:val="en-GB"/>
        </w:rPr>
        <w:t xml:space="preserve"> given that the case in question is a translocal social space, which </w:t>
      </w:r>
      <w:r w:rsidR="000F24C5" w:rsidRPr="004E053C">
        <w:rPr>
          <w:rFonts w:eastAsiaTheme="minorHAnsi" w:cstheme="majorHAnsi"/>
          <w:bCs/>
          <w:sz w:val="22"/>
          <w:szCs w:val="22"/>
          <w:lang w:val="en-GB"/>
        </w:rPr>
        <w:t>is not the</w:t>
      </w:r>
      <w:r w:rsidRPr="004E053C">
        <w:rPr>
          <w:rFonts w:eastAsiaTheme="minorHAnsi" w:cstheme="majorHAnsi"/>
          <w:bCs/>
          <w:sz w:val="22"/>
          <w:szCs w:val="22"/>
          <w:lang w:val="en-GB"/>
        </w:rPr>
        <w:t xml:space="preserve"> bounded system entity</w:t>
      </w:r>
      <w:r w:rsidR="000F24C5" w:rsidRPr="004E053C">
        <w:rPr>
          <w:rFonts w:eastAsiaTheme="minorHAnsi" w:cstheme="majorHAnsi"/>
          <w:bCs/>
          <w:sz w:val="22"/>
          <w:szCs w:val="22"/>
          <w:lang w:val="en-GB"/>
        </w:rPr>
        <w:t xml:space="preserve"> one would </w:t>
      </w:r>
      <w:r w:rsidR="00D3785B" w:rsidRPr="004E053C">
        <w:rPr>
          <w:rFonts w:eastAsiaTheme="minorHAnsi" w:cstheme="majorHAnsi"/>
          <w:bCs/>
          <w:sz w:val="22"/>
          <w:szCs w:val="22"/>
          <w:lang w:val="en-GB"/>
        </w:rPr>
        <w:t>normally</w:t>
      </w:r>
      <w:r w:rsidR="000F24C5" w:rsidRPr="004E053C">
        <w:rPr>
          <w:rFonts w:eastAsiaTheme="minorHAnsi" w:cstheme="majorHAnsi"/>
          <w:bCs/>
          <w:sz w:val="22"/>
          <w:szCs w:val="22"/>
          <w:lang w:val="en-GB"/>
        </w:rPr>
        <w:t xml:space="preserve"> associate with case study research</w:t>
      </w:r>
      <w:r w:rsidRPr="004E053C">
        <w:rPr>
          <w:rFonts w:eastAsiaTheme="minorHAnsi" w:cstheme="majorHAnsi"/>
          <w:bCs/>
          <w:sz w:val="22"/>
          <w:szCs w:val="22"/>
          <w:lang w:val="en-GB"/>
        </w:rPr>
        <w:t xml:space="preserve">. I </w:t>
      </w:r>
      <w:r w:rsidR="000F24C5" w:rsidRPr="004E053C">
        <w:rPr>
          <w:rFonts w:eastAsiaTheme="minorHAnsi" w:cstheme="majorHAnsi"/>
          <w:bCs/>
          <w:sz w:val="22"/>
          <w:szCs w:val="22"/>
          <w:lang w:val="en-GB"/>
        </w:rPr>
        <w:t>stress the importance of</w:t>
      </w:r>
      <w:r w:rsidRPr="004E053C">
        <w:rPr>
          <w:rFonts w:eastAsiaTheme="minorHAnsi" w:cstheme="majorHAnsi"/>
          <w:bCs/>
          <w:sz w:val="22"/>
          <w:szCs w:val="22"/>
          <w:lang w:val="en-GB"/>
        </w:rPr>
        <w:t xml:space="preserve"> multi-sited data collection, and introduce the two key field sites of Laberinto and Ocongate. The chapter then goes on to discuss </w:t>
      </w:r>
      <w:r w:rsidR="000F24C5" w:rsidRPr="004E053C">
        <w:rPr>
          <w:rFonts w:eastAsiaTheme="minorHAnsi" w:cstheme="majorHAnsi"/>
          <w:bCs/>
          <w:sz w:val="22"/>
          <w:szCs w:val="22"/>
          <w:lang w:val="en-GB"/>
        </w:rPr>
        <w:t>the use of in-depth interviews. Finally, I provide</w:t>
      </w:r>
      <w:r w:rsidRPr="004E053C">
        <w:rPr>
          <w:rFonts w:eastAsiaTheme="minorHAnsi" w:cstheme="majorHAnsi"/>
          <w:bCs/>
          <w:sz w:val="22"/>
          <w:szCs w:val="22"/>
          <w:lang w:val="en-GB"/>
        </w:rPr>
        <w:t xml:space="preserve"> a descriptive account of the multiple challenges that I experienced in the field. </w:t>
      </w:r>
    </w:p>
    <w:p w14:paraId="2A2371E0" w14:textId="77777777" w:rsidR="00EB2BA8" w:rsidRPr="004E053C" w:rsidRDefault="00EB2BA8" w:rsidP="004E053C">
      <w:pPr>
        <w:spacing w:line="360" w:lineRule="auto"/>
        <w:jc w:val="both"/>
        <w:rPr>
          <w:rFonts w:eastAsiaTheme="minorHAnsi" w:cstheme="majorHAnsi"/>
          <w:bCs/>
          <w:sz w:val="22"/>
          <w:szCs w:val="22"/>
          <w:lang w:val="en-GB"/>
        </w:rPr>
      </w:pPr>
    </w:p>
    <w:p w14:paraId="2CD4645C" w14:textId="5C817159" w:rsidR="00EB2BA8" w:rsidRPr="004E053C" w:rsidRDefault="00F16371" w:rsidP="004E053C">
      <w:pPr>
        <w:spacing w:line="360" w:lineRule="auto"/>
        <w:jc w:val="both"/>
        <w:rPr>
          <w:rFonts w:cstheme="majorHAnsi"/>
          <w:sz w:val="22"/>
          <w:szCs w:val="22"/>
          <w:lang w:val="en-GB" w:eastAsia="zh-CN"/>
        </w:rPr>
      </w:pPr>
      <w:r w:rsidRPr="004E053C">
        <w:rPr>
          <w:rFonts w:eastAsiaTheme="minorHAnsi" w:cstheme="majorHAnsi"/>
          <w:bCs/>
          <w:sz w:val="22"/>
          <w:szCs w:val="22"/>
          <w:lang w:val="en-GB"/>
        </w:rPr>
        <w:t>Section 6</w:t>
      </w:r>
      <w:r w:rsidR="00EB2BA8" w:rsidRPr="004E053C">
        <w:rPr>
          <w:rFonts w:eastAsiaTheme="minorHAnsi" w:cstheme="majorHAnsi"/>
          <w:bCs/>
          <w:sz w:val="22"/>
          <w:szCs w:val="22"/>
          <w:lang w:val="en-GB"/>
        </w:rPr>
        <w:t xml:space="preserve"> is the first empirical chapter and directly relates to the first research question, which is concerned with people’s motivations for engaging in ASM and their livelihood trajectories. In this chapter, I demonstrate the divergent nature of ASM livelihoods in order to illustrate the need for a conceptualisation of translocality that accounts for both spatial and temporal variations. The chapter begins </w:t>
      </w:r>
      <w:r w:rsidR="000F24C5" w:rsidRPr="004E053C">
        <w:rPr>
          <w:rFonts w:eastAsiaTheme="minorHAnsi" w:cstheme="majorHAnsi"/>
          <w:bCs/>
          <w:sz w:val="22"/>
          <w:szCs w:val="22"/>
          <w:lang w:val="en-GB"/>
        </w:rPr>
        <w:t>with a discussion of the myriad reasons for which</w:t>
      </w:r>
      <w:r w:rsidR="00EB2BA8" w:rsidRPr="004E053C">
        <w:rPr>
          <w:rFonts w:eastAsiaTheme="minorHAnsi" w:cstheme="majorHAnsi"/>
          <w:bCs/>
          <w:sz w:val="22"/>
          <w:szCs w:val="22"/>
          <w:lang w:val="en-GB"/>
        </w:rPr>
        <w:t xml:space="preserve"> households embark o</w:t>
      </w:r>
      <w:r w:rsidR="000F24C5" w:rsidRPr="004E053C">
        <w:rPr>
          <w:rFonts w:eastAsiaTheme="minorHAnsi" w:cstheme="majorHAnsi"/>
          <w:bCs/>
          <w:sz w:val="22"/>
          <w:szCs w:val="22"/>
          <w:lang w:val="en-GB"/>
        </w:rPr>
        <w:t>n mig</w:t>
      </w:r>
      <w:r w:rsidR="00991ECF" w:rsidRPr="004E053C">
        <w:rPr>
          <w:rFonts w:eastAsiaTheme="minorHAnsi" w:cstheme="majorHAnsi"/>
          <w:bCs/>
          <w:sz w:val="22"/>
          <w:szCs w:val="22"/>
          <w:lang w:val="en-GB"/>
        </w:rPr>
        <w:t xml:space="preserve">ration to ASM settlements. In Madre de </w:t>
      </w:r>
      <w:r w:rsidR="00C66190">
        <w:rPr>
          <w:rFonts w:eastAsiaTheme="minorHAnsi" w:cstheme="majorHAnsi"/>
          <w:bCs/>
          <w:sz w:val="22"/>
          <w:szCs w:val="22"/>
          <w:lang w:val="en-GB"/>
        </w:rPr>
        <w:t>D</w:t>
      </w:r>
      <w:r w:rsidR="00C66190" w:rsidRPr="004E053C">
        <w:rPr>
          <w:rFonts w:eastAsiaTheme="minorHAnsi" w:cstheme="majorHAnsi"/>
          <w:bCs/>
          <w:sz w:val="22"/>
          <w:szCs w:val="22"/>
          <w:lang w:val="en-GB"/>
        </w:rPr>
        <w:t>ios</w:t>
      </w:r>
      <w:r w:rsidR="00991ECF" w:rsidRPr="004E053C">
        <w:rPr>
          <w:rFonts w:eastAsiaTheme="minorHAnsi" w:cstheme="majorHAnsi"/>
          <w:bCs/>
          <w:sz w:val="22"/>
          <w:szCs w:val="22"/>
          <w:lang w:val="en-GB"/>
        </w:rPr>
        <w:t xml:space="preserve"> these</w:t>
      </w:r>
      <w:r w:rsidR="000F24C5" w:rsidRPr="004E053C">
        <w:rPr>
          <w:rFonts w:eastAsiaTheme="minorHAnsi" w:cstheme="majorHAnsi"/>
          <w:bCs/>
          <w:sz w:val="22"/>
          <w:szCs w:val="22"/>
          <w:lang w:val="en-GB"/>
        </w:rPr>
        <w:t xml:space="preserve"> are often poverty-driven motivations, and </w:t>
      </w:r>
      <w:r w:rsidR="00EB2BA8" w:rsidRPr="004E053C">
        <w:rPr>
          <w:rFonts w:eastAsiaTheme="minorHAnsi" w:cstheme="majorHAnsi"/>
          <w:bCs/>
          <w:sz w:val="22"/>
          <w:szCs w:val="22"/>
          <w:lang w:val="en-GB"/>
        </w:rPr>
        <w:t xml:space="preserve">I </w:t>
      </w:r>
      <w:r w:rsidR="000F24C5" w:rsidRPr="004E053C">
        <w:rPr>
          <w:rFonts w:eastAsiaTheme="minorHAnsi" w:cstheme="majorHAnsi"/>
          <w:bCs/>
          <w:sz w:val="22"/>
          <w:szCs w:val="22"/>
          <w:lang w:val="en-GB"/>
        </w:rPr>
        <w:t>particularly not</w:t>
      </w:r>
      <w:r w:rsidR="00A9346A" w:rsidRPr="004E053C">
        <w:rPr>
          <w:rFonts w:eastAsiaTheme="minorHAnsi" w:cstheme="majorHAnsi"/>
          <w:bCs/>
          <w:sz w:val="22"/>
          <w:szCs w:val="22"/>
          <w:lang w:val="en-GB"/>
        </w:rPr>
        <w:t>e</w:t>
      </w:r>
      <w:r w:rsidR="000F24C5" w:rsidRPr="004E053C">
        <w:rPr>
          <w:rFonts w:eastAsiaTheme="minorHAnsi" w:cstheme="majorHAnsi"/>
          <w:bCs/>
          <w:sz w:val="22"/>
          <w:szCs w:val="22"/>
          <w:lang w:val="en-GB"/>
        </w:rPr>
        <w:t xml:space="preserve"> the</w:t>
      </w:r>
      <w:r w:rsidR="00EB2BA8" w:rsidRPr="004E053C">
        <w:rPr>
          <w:rFonts w:eastAsiaTheme="minorHAnsi" w:cstheme="majorHAnsi"/>
          <w:bCs/>
          <w:sz w:val="22"/>
          <w:szCs w:val="22"/>
          <w:lang w:val="en-GB"/>
        </w:rPr>
        <w:t xml:space="preserve"> tendency for people to </w:t>
      </w:r>
      <w:r w:rsidR="000F24C5" w:rsidRPr="004E053C">
        <w:rPr>
          <w:rFonts w:eastAsiaTheme="minorHAnsi" w:cstheme="majorHAnsi"/>
          <w:bCs/>
          <w:sz w:val="22"/>
          <w:szCs w:val="22"/>
          <w:lang w:val="en-GB"/>
        </w:rPr>
        <w:t>turn to ASM</w:t>
      </w:r>
      <w:r w:rsidR="00EB2BA8" w:rsidRPr="004E053C">
        <w:rPr>
          <w:rFonts w:eastAsiaTheme="minorHAnsi" w:cstheme="majorHAnsi"/>
          <w:bCs/>
          <w:sz w:val="22"/>
          <w:szCs w:val="22"/>
          <w:lang w:val="en-GB"/>
        </w:rPr>
        <w:t xml:space="preserve"> </w:t>
      </w:r>
      <w:r w:rsidR="00D57942" w:rsidRPr="004E053C">
        <w:rPr>
          <w:rFonts w:eastAsiaTheme="minorHAnsi" w:cstheme="majorHAnsi"/>
          <w:bCs/>
          <w:sz w:val="22"/>
          <w:szCs w:val="22"/>
          <w:lang w:val="en-GB"/>
        </w:rPr>
        <w:t xml:space="preserve">in </w:t>
      </w:r>
      <w:r w:rsidR="00EB2BA8" w:rsidRPr="004E053C">
        <w:rPr>
          <w:rFonts w:eastAsiaTheme="minorHAnsi" w:cstheme="majorHAnsi"/>
          <w:bCs/>
          <w:sz w:val="22"/>
          <w:szCs w:val="22"/>
          <w:lang w:val="en-GB"/>
        </w:rPr>
        <w:t xml:space="preserve">order to recover from a previous failed migration. </w:t>
      </w:r>
      <w:r w:rsidR="00EB2BA8" w:rsidRPr="004E053C">
        <w:rPr>
          <w:rFonts w:cstheme="majorHAnsi"/>
          <w:sz w:val="22"/>
          <w:szCs w:val="22"/>
          <w:lang w:val="en-GB" w:eastAsia="zh-CN"/>
        </w:rPr>
        <w:t xml:space="preserve">The chapter then builds a typology of mining migrants, distinguishing between </w:t>
      </w:r>
      <w:r w:rsidR="00D3785B" w:rsidRPr="004E053C">
        <w:rPr>
          <w:rFonts w:cstheme="majorHAnsi"/>
          <w:sz w:val="22"/>
          <w:szCs w:val="22"/>
          <w:lang w:val="en-GB" w:eastAsia="zh-CN"/>
        </w:rPr>
        <w:t>permanent</w:t>
      </w:r>
      <w:r w:rsidR="00EB2BA8" w:rsidRPr="004E053C">
        <w:rPr>
          <w:rFonts w:cstheme="majorHAnsi"/>
          <w:sz w:val="22"/>
          <w:szCs w:val="22"/>
          <w:lang w:val="en-GB" w:eastAsia="zh-CN"/>
        </w:rPr>
        <w:t xml:space="preserve">, </w:t>
      </w:r>
      <w:r w:rsidR="000F24C5" w:rsidRPr="004E053C">
        <w:rPr>
          <w:rFonts w:cstheme="majorHAnsi"/>
          <w:sz w:val="22"/>
          <w:szCs w:val="22"/>
          <w:lang w:val="en-GB" w:eastAsia="zh-CN"/>
        </w:rPr>
        <w:t xml:space="preserve">temporary, </w:t>
      </w:r>
      <w:r w:rsidR="00EB2BA8" w:rsidRPr="004E053C">
        <w:rPr>
          <w:rFonts w:cstheme="majorHAnsi"/>
          <w:sz w:val="22"/>
          <w:szCs w:val="22"/>
          <w:lang w:val="en-GB" w:eastAsia="zh-CN"/>
        </w:rPr>
        <w:t>floating and non-migrants. The key point is th</w:t>
      </w:r>
      <w:r w:rsidR="00D57942" w:rsidRPr="004E053C">
        <w:rPr>
          <w:rFonts w:cstheme="majorHAnsi"/>
          <w:sz w:val="22"/>
          <w:szCs w:val="22"/>
          <w:lang w:val="en-GB" w:eastAsia="zh-CN"/>
        </w:rPr>
        <w:t xml:space="preserve">at while all these migrants are </w:t>
      </w:r>
      <w:r w:rsidR="00EB2BA8" w:rsidRPr="004E053C">
        <w:rPr>
          <w:rFonts w:cstheme="majorHAnsi"/>
          <w:sz w:val="22"/>
          <w:szCs w:val="22"/>
          <w:lang w:val="en-GB" w:eastAsia="zh-CN"/>
        </w:rPr>
        <w:t>linked together within the translocal space created by ASM, they all have different degrees of translocality and these are subject to change over time. I apply this typology and theori</w:t>
      </w:r>
      <w:r w:rsidR="002D6E5D" w:rsidRPr="004E053C">
        <w:rPr>
          <w:rFonts w:cstheme="majorHAnsi"/>
          <w:sz w:val="22"/>
          <w:szCs w:val="22"/>
          <w:lang w:val="en-GB" w:eastAsia="zh-CN"/>
        </w:rPr>
        <w:t>s</w:t>
      </w:r>
      <w:r w:rsidR="00EB2BA8" w:rsidRPr="004E053C">
        <w:rPr>
          <w:rFonts w:cstheme="majorHAnsi"/>
          <w:sz w:val="22"/>
          <w:szCs w:val="22"/>
          <w:lang w:val="en-GB" w:eastAsia="zh-CN"/>
        </w:rPr>
        <w:t>ation to the analysis of the subsequent empirical chapters.</w:t>
      </w:r>
    </w:p>
    <w:p w14:paraId="1E756CE7" w14:textId="77777777" w:rsidR="00ED3EA5" w:rsidRPr="004E053C" w:rsidRDefault="00ED3EA5" w:rsidP="004E053C">
      <w:pPr>
        <w:spacing w:line="360" w:lineRule="auto"/>
        <w:jc w:val="both"/>
        <w:rPr>
          <w:rFonts w:cstheme="majorHAnsi"/>
          <w:sz w:val="22"/>
          <w:szCs w:val="22"/>
          <w:lang w:val="en-GB" w:eastAsia="zh-CN"/>
        </w:rPr>
      </w:pPr>
    </w:p>
    <w:p w14:paraId="6B1AE9EC" w14:textId="7010DEE4" w:rsidR="00EB2BA8" w:rsidRPr="004E053C" w:rsidRDefault="00EB2BA8" w:rsidP="004E053C">
      <w:pPr>
        <w:spacing w:line="360" w:lineRule="auto"/>
        <w:jc w:val="both"/>
        <w:rPr>
          <w:rFonts w:cstheme="majorHAnsi"/>
          <w:sz w:val="22"/>
          <w:szCs w:val="22"/>
          <w:lang w:val="en-GB" w:eastAsia="zh-CN"/>
        </w:rPr>
      </w:pPr>
      <w:r w:rsidRPr="004E053C">
        <w:rPr>
          <w:rFonts w:cstheme="majorHAnsi"/>
          <w:sz w:val="22"/>
          <w:szCs w:val="22"/>
          <w:lang w:val="en-GB" w:eastAsia="zh-CN"/>
        </w:rPr>
        <w:lastRenderedPageBreak/>
        <w:t xml:space="preserve">In </w:t>
      </w:r>
      <w:r w:rsidR="00872FFE" w:rsidRPr="004E053C">
        <w:rPr>
          <w:rFonts w:cstheme="majorHAnsi"/>
          <w:sz w:val="22"/>
          <w:szCs w:val="22"/>
          <w:lang w:val="en-GB" w:eastAsia="zh-CN"/>
        </w:rPr>
        <w:t>chapter</w:t>
      </w:r>
      <w:r w:rsidR="00F16371" w:rsidRPr="004E053C">
        <w:rPr>
          <w:rFonts w:cstheme="majorHAnsi"/>
          <w:sz w:val="22"/>
          <w:szCs w:val="22"/>
          <w:lang w:val="en-GB" w:eastAsia="zh-CN"/>
        </w:rPr>
        <w:t xml:space="preserve"> 7</w:t>
      </w:r>
      <w:r w:rsidRPr="004E053C">
        <w:rPr>
          <w:rFonts w:cstheme="majorHAnsi"/>
          <w:sz w:val="22"/>
          <w:szCs w:val="22"/>
          <w:lang w:val="en-GB" w:eastAsia="zh-CN"/>
        </w:rPr>
        <w:t xml:space="preserve">, I focus exclusively on the role of women in ASM communities, </w:t>
      </w:r>
      <w:r w:rsidR="002B7BE8" w:rsidRPr="004E053C">
        <w:rPr>
          <w:rFonts w:cstheme="majorHAnsi"/>
          <w:sz w:val="22"/>
          <w:szCs w:val="22"/>
          <w:lang w:val="en-GB" w:eastAsia="zh-CN"/>
        </w:rPr>
        <w:t>which until recently had been rather</w:t>
      </w:r>
      <w:r w:rsidRPr="004E053C">
        <w:rPr>
          <w:rFonts w:cstheme="majorHAnsi"/>
          <w:sz w:val="22"/>
          <w:szCs w:val="22"/>
          <w:lang w:val="en-GB" w:eastAsia="zh-CN"/>
        </w:rPr>
        <w:t xml:space="preserve"> neglected in the literature. </w:t>
      </w:r>
      <w:r w:rsidR="00872FFE" w:rsidRPr="004E053C">
        <w:rPr>
          <w:rFonts w:cstheme="majorHAnsi"/>
          <w:sz w:val="22"/>
          <w:szCs w:val="22"/>
          <w:lang w:val="en-GB" w:eastAsia="zh-CN"/>
        </w:rPr>
        <w:t xml:space="preserve">In this chapter the analysis of ASM livelihoods is broadened to cover indirect engagement in ASM as well as direct engagement. This gives a more holistic account of ASM settlements and also emphasises the various roles that women play in these local </w:t>
      </w:r>
      <w:r w:rsidR="00D3785B" w:rsidRPr="004E053C">
        <w:rPr>
          <w:rFonts w:cstheme="majorHAnsi"/>
          <w:sz w:val="22"/>
          <w:szCs w:val="22"/>
          <w:lang w:val="en-GB" w:eastAsia="zh-CN"/>
        </w:rPr>
        <w:t>communities</w:t>
      </w:r>
      <w:r w:rsidR="00872FFE" w:rsidRPr="004E053C">
        <w:rPr>
          <w:rFonts w:cstheme="majorHAnsi"/>
          <w:sz w:val="22"/>
          <w:szCs w:val="22"/>
          <w:lang w:val="en-GB" w:eastAsia="zh-CN"/>
        </w:rPr>
        <w:t>. However, through the translocal approach to the analysis I also highlight the important contributions that women in origin locations make towards the continuation of ASM livelihoods. This included an examination of</w:t>
      </w:r>
      <w:r w:rsidRPr="004E053C">
        <w:rPr>
          <w:rFonts w:cstheme="majorHAnsi"/>
          <w:sz w:val="22"/>
          <w:szCs w:val="22"/>
          <w:lang w:val="en-GB" w:eastAsia="zh-CN"/>
        </w:rPr>
        <w:t xml:space="preserve"> the gendered dimensions of mobility and the implications</w:t>
      </w:r>
      <w:r w:rsidR="00872FFE" w:rsidRPr="004E053C">
        <w:rPr>
          <w:rFonts w:cstheme="majorHAnsi"/>
          <w:sz w:val="22"/>
          <w:szCs w:val="22"/>
          <w:lang w:val="en-GB" w:eastAsia="zh-CN"/>
        </w:rPr>
        <w:t xml:space="preserve"> for individuals, households and community dynamics</w:t>
      </w:r>
      <w:r w:rsidRPr="004E053C">
        <w:rPr>
          <w:rFonts w:cstheme="majorHAnsi"/>
          <w:sz w:val="22"/>
          <w:szCs w:val="22"/>
          <w:lang w:val="en-GB" w:eastAsia="zh-CN"/>
        </w:rPr>
        <w:t xml:space="preserve">. I show that women’s mobility is restricted in relation to men’s, yet they can and do migrate to mining sites independently. A key contribution of this chapter is the understanding of women’s active role in maintaining social relationships and the household’s place attachment in origin communities, and their expressions of agency within household livelihood strategies. </w:t>
      </w:r>
    </w:p>
    <w:p w14:paraId="5CA4198F" w14:textId="77777777" w:rsidR="00ED3EA5" w:rsidRPr="004E053C" w:rsidRDefault="00ED3EA5" w:rsidP="004E053C">
      <w:pPr>
        <w:spacing w:line="360" w:lineRule="auto"/>
        <w:jc w:val="both"/>
        <w:rPr>
          <w:rFonts w:cstheme="majorHAnsi"/>
          <w:sz w:val="22"/>
          <w:szCs w:val="22"/>
          <w:lang w:val="en-GB" w:eastAsia="zh-CN"/>
        </w:rPr>
      </w:pPr>
    </w:p>
    <w:p w14:paraId="028CEE09" w14:textId="2CC8508C" w:rsidR="00EB2BA8" w:rsidRPr="004E053C" w:rsidRDefault="00EB2BA8"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After the consideration of the implications of translocal ASM livelihoods at </w:t>
      </w:r>
      <w:r w:rsidR="00F16371" w:rsidRPr="004E053C">
        <w:rPr>
          <w:rFonts w:cstheme="majorHAnsi"/>
          <w:sz w:val="22"/>
          <w:szCs w:val="22"/>
          <w:lang w:val="en-GB" w:eastAsia="zh-CN"/>
        </w:rPr>
        <w:t>the household level in chapter 7, chapter 8</w:t>
      </w:r>
      <w:r w:rsidRPr="004E053C">
        <w:rPr>
          <w:rFonts w:cstheme="majorHAnsi"/>
          <w:sz w:val="22"/>
          <w:szCs w:val="22"/>
          <w:lang w:val="en-GB" w:eastAsia="zh-CN"/>
        </w:rPr>
        <w:t xml:space="preserve"> then goes on to broaden this analysis to the community level. </w:t>
      </w:r>
      <w:r w:rsidR="00790EC3" w:rsidRPr="004E053C">
        <w:rPr>
          <w:rFonts w:cstheme="majorHAnsi"/>
          <w:sz w:val="22"/>
          <w:szCs w:val="22"/>
          <w:lang w:val="en-GB" w:eastAsia="zh-CN"/>
        </w:rPr>
        <w:t>The conceptualisation of</w:t>
      </w:r>
      <w:r w:rsidR="0058777A" w:rsidRPr="004E053C">
        <w:rPr>
          <w:rFonts w:cstheme="majorHAnsi"/>
          <w:sz w:val="22"/>
          <w:szCs w:val="22"/>
          <w:lang w:val="en-GB" w:eastAsia="zh-CN"/>
        </w:rPr>
        <w:t xml:space="preserve"> the translocal ASM community as a social field is particularly useful here, as it allows for the </w:t>
      </w:r>
      <w:r w:rsidR="00992057" w:rsidRPr="004E053C">
        <w:rPr>
          <w:rFonts w:cstheme="majorHAnsi"/>
          <w:sz w:val="22"/>
          <w:szCs w:val="22"/>
          <w:lang w:val="en-GB" w:eastAsia="zh-CN"/>
        </w:rPr>
        <w:t>analysis of</w:t>
      </w:r>
      <w:r w:rsidR="0058777A" w:rsidRPr="004E053C">
        <w:rPr>
          <w:rFonts w:cstheme="majorHAnsi"/>
          <w:sz w:val="22"/>
          <w:szCs w:val="22"/>
          <w:lang w:val="en-GB" w:eastAsia="zh-CN"/>
        </w:rPr>
        <w:t xml:space="preserve"> contestations between the community members. </w:t>
      </w:r>
      <w:r w:rsidR="00790EC3" w:rsidRPr="004E053C">
        <w:rPr>
          <w:rFonts w:cstheme="majorHAnsi"/>
          <w:sz w:val="22"/>
          <w:szCs w:val="22"/>
          <w:lang w:val="en-GB" w:eastAsia="zh-CN"/>
        </w:rPr>
        <w:t>A key point is</w:t>
      </w:r>
      <w:r w:rsidR="0058777A" w:rsidRPr="004E053C">
        <w:rPr>
          <w:rFonts w:cstheme="majorHAnsi"/>
          <w:sz w:val="22"/>
          <w:szCs w:val="22"/>
          <w:lang w:val="en-GB" w:eastAsia="zh-CN"/>
        </w:rPr>
        <w:t xml:space="preserve"> that these individuals occupy different positions within the field, which is in part due to their relative mobility</w:t>
      </w:r>
      <w:r w:rsidR="00992057" w:rsidRPr="004E053C">
        <w:rPr>
          <w:rFonts w:cstheme="majorHAnsi"/>
          <w:sz w:val="22"/>
          <w:szCs w:val="22"/>
          <w:lang w:val="en-GB" w:eastAsia="zh-CN"/>
        </w:rPr>
        <w:t xml:space="preserve">. </w:t>
      </w:r>
      <w:r w:rsidR="0058777A" w:rsidRPr="004E053C">
        <w:rPr>
          <w:rFonts w:cstheme="majorHAnsi"/>
          <w:sz w:val="22"/>
          <w:szCs w:val="22"/>
          <w:lang w:val="en-GB" w:eastAsia="zh-CN"/>
        </w:rPr>
        <w:t xml:space="preserve">I draw on the </w:t>
      </w:r>
      <w:r w:rsidRPr="004E053C">
        <w:rPr>
          <w:rFonts w:cstheme="majorHAnsi"/>
          <w:sz w:val="22"/>
          <w:szCs w:val="22"/>
          <w:lang w:val="en-GB" w:eastAsia="zh-CN"/>
        </w:rPr>
        <w:t>typologies</w:t>
      </w:r>
      <w:r w:rsidR="00F16371" w:rsidRPr="004E053C">
        <w:rPr>
          <w:rFonts w:cstheme="majorHAnsi"/>
          <w:sz w:val="22"/>
          <w:szCs w:val="22"/>
          <w:lang w:val="en-GB" w:eastAsia="zh-CN"/>
        </w:rPr>
        <w:t xml:space="preserve"> identified in chapter 6</w:t>
      </w:r>
      <w:r w:rsidR="0058777A" w:rsidRPr="004E053C">
        <w:rPr>
          <w:rFonts w:cstheme="majorHAnsi"/>
          <w:sz w:val="22"/>
          <w:szCs w:val="22"/>
          <w:lang w:val="en-GB" w:eastAsia="zh-CN"/>
        </w:rPr>
        <w:t xml:space="preserve"> to</w:t>
      </w:r>
      <w:r w:rsidRPr="004E053C">
        <w:rPr>
          <w:rFonts w:cstheme="majorHAnsi"/>
          <w:sz w:val="22"/>
          <w:szCs w:val="22"/>
          <w:lang w:val="en-GB" w:eastAsia="zh-CN"/>
        </w:rPr>
        <w:t xml:space="preserve"> highlight</w:t>
      </w:r>
      <w:r w:rsidR="0058777A" w:rsidRPr="004E053C">
        <w:rPr>
          <w:rFonts w:cstheme="majorHAnsi"/>
          <w:sz w:val="22"/>
          <w:szCs w:val="22"/>
          <w:lang w:val="en-GB" w:eastAsia="zh-CN"/>
        </w:rPr>
        <w:t xml:space="preserve"> the key</w:t>
      </w:r>
      <w:r w:rsidRPr="004E053C">
        <w:rPr>
          <w:rFonts w:cstheme="majorHAnsi"/>
          <w:sz w:val="22"/>
          <w:szCs w:val="22"/>
          <w:lang w:val="en-GB" w:eastAsia="zh-CN"/>
        </w:rPr>
        <w:t xml:space="preserve"> sources of </w:t>
      </w:r>
      <w:r w:rsidR="00C87950" w:rsidRPr="004E053C">
        <w:rPr>
          <w:rFonts w:cstheme="majorHAnsi"/>
          <w:sz w:val="22"/>
          <w:szCs w:val="22"/>
          <w:lang w:val="en-GB" w:eastAsia="zh-CN"/>
        </w:rPr>
        <w:t>tension in the community</w:t>
      </w:r>
      <w:r w:rsidR="0058777A" w:rsidRPr="004E053C">
        <w:rPr>
          <w:rFonts w:cstheme="majorHAnsi"/>
          <w:sz w:val="22"/>
          <w:szCs w:val="22"/>
          <w:lang w:val="en-GB" w:eastAsia="zh-CN"/>
        </w:rPr>
        <w:t>.</w:t>
      </w:r>
      <w:r w:rsidR="00790EC3" w:rsidRPr="004E053C">
        <w:rPr>
          <w:rFonts w:cstheme="majorHAnsi"/>
          <w:sz w:val="22"/>
          <w:szCs w:val="22"/>
          <w:lang w:val="en-GB" w:eastAsia="zh-CN"/>
        </w:rPr>
        <w:t xml:space="preserve"> </w:t>
      </w:r>
      <w:r w:rsidR="00992057" w:rsidRPr="004E053C">
        <w:rPr>
          <w:rFonts w:cstheme="majorHAnsi"/>
          <w:sz w:val="22"/>
          <w:szCs w:val="22"/>
          <w:lang w:val="en-GB"/>
        </w:rPr>
        <w:t xml:space="preserve">I then argue that these tensions represent forms of contestation that can be characterised as temporal frictions, emerging as they do from divergent livelihood trajectories and competing long-term interests. </w:t>
      </w:r>
      <w:r w:rsidR="00790EC3" w:rsidRPr="004E053C">
        <w:rPr>
          <w:rFonts w:cstheme="majorHAnsi"/>
          <w:sz w:val="22"/>
          <w:szCs w:val="22"/>
          <w:lang w:val="en-GB" w:eastAsia="zh-CN"/>
        </w:rPr>
        <w:t>In the second half of the chapter</w:t>
      </w:r>
      <w:r w:rsidR="00AF0258" w:rsidRPr="004E053C">
        <w:rPr>
          <w:rFonts w:cstheme="majorHAnsi"/>
          <w:sz w:val="22"/>
          <w:szCs w:val="22"/>
          <w:lang w:val="en-GB" w:eastAsia="zh-CN"/>
        </w:rPr>
        <w:t>,</w:t>
      </w:r>
      <w:r w:rsidR="00790EC3" w:rsidRPr="004E053C">
        <w:rPr>
          <w:rFonts w:cstheme="majorHAnsi"/>
          <w:sz w:val="22"/>
          <w:szCs w:val="22"/>
          <w:lang w:val="en-GB" w:eastAsia="zh-CN"/>
        </w:rPr>
        <w:t xml:space="preserve"> I discuss</w:t>
      </w:r>
      <w:r w:rsidRPr="004E053C">
        <w:rPr>
          <w:rFonts w:cstheme="majorHAnsi"/>
          <w:sz w:val="22"/>
          <w:szCs w:val="22"/>
          <w:lang w:val="en-GB" w:eastAsia="zh-CN"/>
        </w:rPr>
        <w:t xml:space="preserve"> the problems of crime, violence and government clampdowns, and their impact on insecurity. More specifically, I use these is</w:t>
      </w:r>
      <w:r w:rsidR="00B470D1" w:rsidRPr="004E053C">
        <w:rPr>
          <w:rFonts w:cstheme="majorHAnsi"/>
          <w:sz w:val="22"/>
          <w:szCs w:val="22"/>
          <w:lang w:val="en-GB" w:eastAsia="zh-CN"/>
        </w:rPr>
        <w:t>sues to illustrate how permanent and temporary</w:t>
      </w:r>
      <w:r w:rsidRPr="004E053C">
        <w:rPr>
          <w:rFonts w:cstheme="majorHAnsi"/>
          <w:sz w:val="22"/>
          <w:szCs w:val="22"/>
          <w:lang w:val="en-GB" w:eastAsia="zh-CN"/>
        </w:rPr>
        <w:t>/floating miners react to these insecurities in very different ways, and begin to demonstrate the e</w:t>
      </w:r>
      <w:r w:rsidR="00D57942" w:rsidRPr="004E053C">
        <w:rPr>
          <w:rFonts w:cstheme="majorHAnsi"/>
          <w:sz w:val="22"/>
          <w:szCs w:val="22"/>
          <w:lang w:val="en-GB" w:eastAsia="zh-CN"/>
        </w:rPr>
        <w:t xml:space="preserve">xistence of a shared collective </w:t>
      </w:r>
      <w:r w:rsidRPr="004E053C">
        <w:rPr>
          <w:rFonts w:cstheme="majorHAnsi"/>
          <w:sz w:val="22"/>
          <w:szCs w:val="22"/>
          <w:lang w:val="en-GB" w:eastAsia="zh-CN"/>
        </w:rPr>
        <w:t xml:space="preserve">identity forming between the </w:t>
      </w:r>
      <w:r w:rsidR="00B470D1" w:rsidRPr="004E053C">
        <w:rPr>
          <w:rFonts w:cstheme="majorHAnsi"/>
          <w:sz w:val="22"/>
          <w:szCs w:val="22"/>
          <w:lang w:val="en-GB" w:eastAsia="zh-CN"/>
        </w:rPr>
        <w:t>permanent</w:t>
      </w:r>
      <w:r w:rsidRPr="004E053C">
        <w:rPr>
          <w:rFonts w:cstheme="majorHAnsi"/>
          <w:sz w:val="22"/>
          <w:szCs w:val="22"/>
          <w:lang w:val="en-GB" w:eastAsia="zh-CN"/>
        </w:rPr>
        <w:t xml:space="preserve"> residents. </w:t>
      </w:r>
    </w:p>
    <w:p w14:paraId="018EC18E" w14:textId="77777777" w:rsidR="00ED3EA5" w:rsidRPr="004E053C" w:rsidRDefault="00ED3EA5" w:rsidP="004E053C">
      <w:pPr>
        <w:spacing w:line="360" w:lineRule="auto"/>
        <w:jc w:val="both"/>
        <w:rPr>
          <w:rFonts w:cstheme="majorHAnsi"/>
          <w:sz w:val="22"/>
          <w:szCs w:val="22"/>
          <w:lang w:val="en-GB" w:eastAsia="zh-CN"/>
        </w:rPr>
      </w:pPr>
    </w:p>
    <w:p w14:paraId="739486F0" w14:textId="397D3F3A" w:rsidR="00EB2BA8" w:rsidRPr="004E053C" w:rsidRDefault="00F16371" w:rsidP="004E053C">
      <w:pPr>
        <w:spacing w:line="360" w:lineRule="auto"/>
        <w:jc w:val="both"/>
        <w:rPr>
          <w:rFonts w:cstheme="majorHAnsi"/>
          <w:sz w:val="22"/>
          <w:szCs w:val="22"/>
          <w:lang w:val="en-GB"/>
        </w:rPr>
      </w:pPr>
      <w:r w:rsidRPr="004E053C">
        <w:rPr>
          <w:rFonts w:cstheme="majorHAnsi"/>
          <w:sz w:val="22"/>
          <w:szCs w:val="22"/>
          <w:lang w:val="en-GB" w:eastAsia="zh-CN"/>
        </w:rPr>
        <w:t>Chapter 9</w:t>
      </w:r>
      <w:r w:rsidR="00EB2BA8" w:rsidRPr="004E053C">
        <w:rPr>
          <w:rFonts w:cstheme="majorHAnsi"/>
          <w:sz w:val="22"/>
          <w:szCs w:val="22"/>
          <w:lang w:val="en-GB" w:eastAsia="zh-CN"/>
        </w:rPr>
        <w:t xml:space="preserve"> is the final empirical chapter, and it builds on the identification of a </w:t>
      </w:r>
      <w:r w:rsidR="00D57942" w:rsidRPr="004E053C">
        <w:rPr>
          <w:rFonts w:cstheme="majorHAnsi"/>
          <w:sz w:val="22"/>
          <w:szCs w:val="22"/>
          <w:lang w:val="en-GB" w:eastAsia="zh-CN"/>
        </w:rPr>
        <w:t xml:space="preserve">collective </w:t>
      </w:r>
      <w:r w:rsidRPr="004E053C">
        <w:rPr>
          <w:rFonts w:cstheme="majorHAnsi"/>
          <w:sz w:val="22"/>
          <w:szCs w:val="22"/>
          <w:lang w:val="en-GB" w:eastAsia="zh-CN"/>
        </w:rPr>
        <w:t>identity in chapter 8</w:t>
      </w:r>
      <w:r w:rsidR="00EB2BA8" w:rsidRPr="004E053C">
        <w:rPr>
          <w:rFonts w:cstheme="majorHAnsi"/>
          <w:sz w:val="22"/>
          <w:szCs w:val="22"/>
          <w:lang w:val="en-GB" w:eastAsia="zh-CN"/>
        </w:rPr>
        <w:t xml:space="preserve"> and considers it in relation to the continuation of illicit livelihoods activities and other forms of resistance against the government. After illustrating the process through which the Peruvian state has criminalised miners in Madre de Dios, and particularly their lack of differentiation between </w:t>
      </w:r>
      <w:r w:rsidR="00D57942" w:rsidRPr="004E053C">
        <w:rPr>
          <w:rFonts w:cstheme="majorHAnsi"/>
          <w:sz w:val="22"/>
          <w:szCs w:val="22"/>
          <w:lang w:val="en-GB" w:eastAsia="zh-CN"/>
        </w:rPr>
        <w:t xml:space="preserve">illegal and informal miners, </w:t>
      </w:r>
      <w:r w:rsidR="00EB2BA8" w:rsidRPr="004E053C">
        <w:rPr>
          <w:rFonts w:cstheme="majorHAnsi"/>
          <w:sz w:val="22"/>
          <w:szCs w:val="22"/>
          <w:lang w:val="en-GB" w:eastAsia="zh-CN"/>
        </w:rPr>
        <w:t xml:space="preserve">I will argue that this creates a place-based identity within the mining community, which is reflected in their adoption of discourses </w:t>
      </w:r>
      <w:r w:rsidR="00EB2BA8" w:rsidRPr="004E053C">
        <w:rPr>
          <w:rFonts w:cstheme="majorHAnsi"/>
          <w:sz w:val="22"/>
          <w:szCs w:val="22"/>
          <w:lang w:val="en-GB"/>
        </w:rPr>
        <w:t>that</w:t>
      </w:r>
      <w:r w:rsidR="002D6E5D" w:rsidRPr="004E053C">
        <w:rPr>
          <w:rFonts w:cstheme="majorHAnsi"/>
          <w:sz w:val="22"/>
          <w:szCs w:val="22"/>
          <w:lang w:val="en-GB"/>
        </w:rPr>
        <w:t xml:space="preserve"> neutralis</w:t>
      </w:r>
      <w:r w:rsidR="00EB2BA8" w:rsidRPr="004E053C">
        <w:rPr>
          <w:rFonts w:cstheme="majorHAnsi"/>
          <w:sz w:val="22"/>
          <w:szCs w:val="22"/>
          <w:lang w:val="en-GB"/>
        </w:rPr>
        <w:t xml:space="preserve">e the deviant </w:t>
      </w:r>
      <w:r w:rsidR="008C68C5" w:rsidRPr="004E053C">
        <w:rPr>
          <w:rFonts w:cstheme="majorHAnsi"/>
          <w:sz w:val="22"/>
          <w:szCs w:val="22"/>
          <w:lang w:val="en-GB"/>
        </w:rPr>
        <w:t>behaviour</w:t>
      </w:r>
      <w:r w:rsidR="00EB2BA8" w:rsidRPr="004E053C">
        <w:rPr>
          <w:rFonts w:cstheme="majorHAnsi"/>
          <w:sz w:val="22"/>
          <w:szCs w:val="22"/>
          <w:lang w:val="en-GB"/>
        </w:rPr>
        <w:t xml:space="preserve"> of the</w:t>
      </w:r>
      <w:r w:rsidR="00A8604F" w:rsidRPr="004E053C">
        <w:rPr>
          <w:rFonts w:cstheme="majorHAnsi"/>
          <w:sz w:val="22"/>
          <w:szCs w:val="22"/>
          <w:lang w:val="en-GB"/>
        </w:rPr>
        <w:t xml:space="preserve">ir community. This is done both by </w:t>
      </w:r>
      <w:r w:rsidR="00EB2BA8" w:rsidRPr="004E053C">
        <w:rPr>
          <w:rFonts w:cstheme="majorHAnsi"/>
          <w:sz w:val="22"/>
          <w:szCs w:val="22"/>
          <w:lang w:val="en-GB"/>
        </w:rPr>
        <w:t xml:space="preserve">positioning themselves against </w:t>
      </w:r>
      <w:r w:rsidR="00A8604F" w:rsidRPr="004E053C">
        <w:rPr>
          <w:rFonts w:cstheme="majorHAnsi"/>
          <w:sz w:val="22"/>
          <w:szCs w:val="22"/>
          <w:lang w:val="en-GB"/>
        </w:rPr>
        <w:t xml:space="preserve">a </w:t>
      </w:r>
      <w:r w:rsidR="00EB2BA8" w:rsidRPr="004E053C">
        <w:rPr>
          <w:rFonts w:cstheme="majorHAnsi"/>
          <w:sz w:val="22"/>
          <w:szCs w:val="22"/>
          <w:lang w:val="en-GB"/>
        </w:rPr>
        <w:t xml:space="preserve">more deviant </w:t>
      </w:r>
      <w:r w:rsidR="00A8604F" w:rsidRPr="004E053C">
        <w:rPr>
          <w:rFonts w:cstheme="majorHAnsi"/>
          <w:sz w:val="22"/>
          <w:szCs w:val="22"/>
          <w:lang w:val="en-GB"/>
        </w:rPr>
        <w:t>out-group elsewhere</w:t>
      </w:r>
      <w:r w:rsidR="00EB2BA8" w:rsidRPr="004E053C">
        <w:rPr>
          <w:rFonts w:cstheme="majorHAnsi"/>
          <w:sz w:val="22"/>
          <w:szCs w:val="22"/>
          <w:lang w:val="en-GB"/>
        </w:rPr>
        <w:t xml:space="preserve"> wh</w:t>
      </w:r>
      <w:r w:rsidR="002D6E5D" w:rsidRPr="004E053C">
        <w:rPr>
          <w:rFonts w:cstheme="majorHAnsi"/>
          <w:sz w:val="22"/>
          <w:szCs w:val="22"/>
          <w:lang w:val="en-GB"/>
        </w:rPr>
        <w:t>ilst also seeking to delegitimis</w:t>
      </w:r>
      <w:r w:rsidR="00EB2BA8" w:rsidRPr="004E053C">
        <w:rPr>
          <w:rFonts w:cstheme="majorHAnsi"/>
          <w:sz w:val="22"/>
          <w:szCs w:val="22"/>
          <w:lang w:val="en-GB"/>
        </w:rPr>
        <w:t xml:space="preserve">e the dominant society that has </w:t>
      </w:r>
      <w:r w:rsidR="008C68C5" w:rsidRPr="004E053C">
        <w:rPr>
          <w:rFonts w:cstheme="majorHAnsi"/>
          <w:sz w:val="22"/>
          <w:szCs w:val="22"/>
          <w:lang w:val="en-GB"/>
        </w:rPr>
        <w:t>labelled</w:t>
      </w:r>
      <w:r w:rsidR="00EB2BA8" w:rsidRPr="004E053C">
        <w:rPr>
          <w:rFonts w:cstheme="majorHAnsi"/>
          <w:sz w:val="22"/>
          <w:szCs w:val="22"/>
          <w:lang w:val="en-GB"/>
        </w:rPr>
        <w:t xml:space="preserve"> them </w:t>
      </w:r>
      <w:r w:rsidR="00EB2BA8" w:rsidRPr="004E053C">
        <w:rPr>
          <w:rFonts w:cstheme="majorHAnsi"/>
          <w:sz w:val="22"/>
          <w:szCs w:val="22"/>
          <w:lang w:val="en-GB"/>
        </w:rPr>
        <w:lastRenderedPageBreak/>
        <w:t xml:space="preserve">as deviant. </w:t>
      </w:r>
      <w:r w:rsidR="00B8227A" w:rsidRPr="004E053C">
        <w:rPr>
          <w:rFonts w:cstheme="majorHAnsi"/>
          <w:sz w:val="22"/>
          <w:szCs w:val="22"/>
          <w:lang w:val="en-GB"/>
        </w:rPr>
        <w:t xml:space="preserve">In </w:t>
      </w:r>
      <w:r w:rsidR="008C68C5" w:rsidRPr="004E053C">
        <w:rPr>
          <w:rFonts w:cstheme="majorHAnsi"/>
          <w:sz w:val="22"/>
          <w:szCs w:val="22"/>
          <w:lang w:val="en-GB"/>
        </w:rPr>
        <w:t>Bourdieusian</w:t>
      </w:r>
      <w:r w:rsidR="00B8227A" w:rsidRPr="004E053C">
        <w:rPr>
          <w:rFonts w:cstheme="majorHAnsi"/>
          <w:sz w:val="22"/>
          <w:szCs w:val="22"/>
          <w:lang w:val="en-GB"/>
        </w:rPr>
        <w:t xml:space="preserve"> terms, such narratives reflect the contestations that occur both within the social field and with external forces and powers.</w:t>
      </w:r>
    </w:p>
    <w:p w14:paraId="2409A3D2" w14:textId="77777777" w:rsidR="00EB2BA8" w:rsidRPr="004E053C" w:rsidRDefault="00EB2BA8" w:rsidP="004E053C">
      <w:pPr>
        <w:spacing w:line="360" w:lineRule="auto"/>
        <w:jc w:val="both"/>
        <w:rPr>
          <w:rFonts w:cstheme="majorHAnsi"/>
          <w:sz w:val="22"/>
          <w:szCs w:val="22"/>
          <w:lang w:val="en-GB"/>
        </w:rPr>
      </w:pPr>
    </w:p>
    <w:p w14:paraId="20DE78CC" w14:textId="54127C58" w:rsidR="00EB2BA8" w:rsidRPr="004E053C" w:rsidRDefault="00EB2BA8" w:rsidP="004E053C">
      <w:pPr>
        <w:spacing w:line="360" w:lineRule="auto"/>
        <w:jc w:val="both"/>
        <w:rPr>
          <w:rFonts w:cstheme="majorHAnsi"/>
          <w:sz w:val="22"/>
          <w:szCs w:val="22"/>
          <w:lang w:val="en-GB"/>
        </w:rPr>
      </w:pPr>
      <w:r w:rsidRPr="004E053C">
        <w:rPr>
          <w:rFonts w:cstheme="majorHAnsi"/>
          <w:sz w:val="22"/>
          <w:szCs w:val="22"/>
          <w:lang w:val="en-GB"/>
        </w:rPr>
        <w:t>The thesis concludes b</w:t>
      </w:r>
      <w:r w:rsidR="00A8604F" w:rsidRPr="004E053C">
        <w:rPr>
          <w:rFonts w:cstheme="majorHAnsi"/>
          <w:sz w:val="22"/>
          <w:szCs w:val="22"/>
          <w:lang w:val="en-GB"/>
        </w:rPr>
        <w:t xml:space="preserve">y highlighting the key contributions to knowledge made during this thesis and draws them together, reiterating the links between collective identity and translocality. </w:t>
      </w:r>
      <w:r w:rsidR="00AF4627" w:rsidRPr="004E053C">
        <w:rPr>
          <w:rFonts w:cstheme="majorHAnsi"/>
          <w:sz w:val="22"/>
          <w:szCs w:val="22"/>
          <w:lang w:val="en-GB"/>
        </w:rPr>
        <w:t xml:space="preserve">I start by reviewing the empirical contributions this thesis made, which have strengthened our understanding of migrant livelihoods in ASM using Madre de Dios as a case study. I </w:t>
      </w:r>
      <w:r w:rsidR="00ED7C2C" w:rsidRPr="004E053C">
        <w:rPr>
          <w:rFonts w:cstheme="majorHAnsi"/>
          <w:sz w:val="22"/>
          <w:szCs w:val="22"/>
          <w:lang w:val="en-GB"/>
        </w:rPr>
        <w:t xml:space="preserve">then use these empirical findings to draw out theoretical </w:t>
      </w:r>
      <w:r w:rsidR="002D6A2F" w:rsidRPr="004E053C">
        <w:rPr>
          <w:rFonts w:cstheme="majorHAnsi"/>
          <w:sz w:val="22"/>
          <w:szCs w:val="22"/>
          <w:lang w:val="en-GB"/>
        </w:rPr>
        <w:t>contributions</w:t>
      </w:r>
      <w:r w:rsidR="00ED7C2C" w:rsidRPr="004E053C">
        <w:rPr>
          <w:rFonts w:cstheme="majorHAnsi"/>
          <w:sz w:val="22"/>
          <w:szCs w:val="22"/>
          <w:lang w:val="en-GB"/>
        </w:rPr>
        <w:t xml:space="preserve"> to the understanding of translocality and translocal livelihoods. I </w:t>
      </w:r>
      <w:r w:rsidR="00AF4627" w:rsidRPr="004E053C">
        <w:rPr>
          <w:rFonts w:cstheme="majorHAnsi"/>
          <w:sz w:val="22"/>
          <w:szCs w:val="22"/>
          <w:lang w:val="en-GB"/>
        </w:rPr>
        <w:t>reflect back on the diagram of translocal social fields introduced in chapter 4 and map different groups and livelihood trajectories on to it, emphasising the temporal dimensions of translocality.</w:t>
      </w:r>
      <w:r w:rsidR="00ED7C2C" w:rsidRPr="004E053C">
        <w:rPr>
          <w:rFonts w:cstheme="majorHAnsi"/>
          <w:sz w:val="22"/>
          <w:szCs w:val="22"/>
          <w:lang w:val="en-GB"/>
        </w:rPr>
        <w:t xml:space="preserve"> Three broad types of translocality can be identified; </w:t>
      </w:r>
      <w:r w:rsidR="00ED7C2C" w:rsidRPr="004E053C">
        <w:rPr>
          <w:rFonts w:cstheme="majorHAnsi"/>
          <w:i/>
          <w:sz w:val="22"/>
          <w:szCs w:val="22"/>
          <w:lang w:val="en-GB"/>
        </w:rPr>
        <w:t>diminishing-settled, diminishing-returning</w:t>
      </w:r>
      <w:r w:rsidR="00ED7C2C" w:rsidRPr="004E053C">
        <w:rPr>
          <w:rFonts w:cstheme="majorHAnsi"/>
          <w:sz w:val="22"/>
          <w:szCs w:val="22"/>
          <w:lang w:val="en-GB"/>
        </w:rPr>
        <w:t xml:space="preserve"> and </w:t>
      </w:r>
      <w:r w:rsidR="00ED7C2C" w:rsidRPr="004E053C">
        <w:rPr>
          <w:rFonts w:cstheme="majorHAnsi"/>
          <w:i/>
          <w:sz w:val="22"/>
          <w:szCs w:val="22"/>
          <w:lang w:val="en-GB"/>
        </w:rPr>
        <w:t xml:space="preserve">reorientated </w:t>
      </w:r>
      <w:r w:rsidR="00ED7C2C" w:rsidRPr="004E053C">
        <w:rPr>
          <w:rFonts w:cstheme="majorHAnsi"/>
          <w:sz w:val="22"/>
          <w:szCs w:val="22"/>
          <w:lang w:val="en-GB"/>
        </w:rPr>
        <w:t xml:space="preserve">translocality. </w:t>
      </w:r>
      <w:r w:rsidR="00B8227A" w:rsidRPr="004E053C">
        <w:rPr>
          <w:rFonts w:cstheme="majorHAnsi"/>
          <w:sz w:val="22"/>
          <w:szCs w:val="22"/>
          <w:lang w:val="en-GB"/>
        </w:rPr>
        <w:t xml:space="preserve">I also take time to reflect on recent developments in the ASM sector in Peru, particularly the Government’s new </w:t>
      </w:r>
      <w:r w:rsidR="00B8227A" w:rsidRPr="004E053C">
        <w:rPr>
          <w:rFonts w:eastAsia="Times New Roman" w:cstheme="majorHAnsi"/>
          <w:sz w:val="22"/>
          <w:szCs w:val="22"/>
          <w:shd w:val="clear" w:color="auto" w:fill="FFFFFF"/>
          <w:lang w:val="en-GB"/>
        </w:rPr>
        <w:t xml:space="preserve">Operación Mercurio that aims to remove mining activity from La Pampa and formalise it elsewhere. This new intervention is likely to have implications for all the people within the social field of ASM, albeit in different ways. I therefore suggest several future avenues of research that build on the findings presented here whilst also exploring the impact that Operación Mercurio has had on people in the various locations within the translocal community and their responses to it. </w:t>
      </w:r>
      <w:r w:rsidR="00ED7C2C" w:rsidRPr="004E053C">
        <w:rPr>
          <w:rFonts w:eastAsia="Times New Roman" w:cstheme="majorHAnsi"/>
          <w:sz w:val="22"/>
          <w:szCs w:val="22"/>
          <w:shd w:val="clear" w:color="auto" w:fill="FFFFFF"/>
          <w:lang w:val="en-GB"/>
        </w:rPr>
        <w:t xml:space="preserve">I also suggest there is scope to explore the relevance </w:t>
      </w:r>
      <w:r w:rsidR="00992057" w:rsidRPr="004E053C">
        <w:rPr>
          <w:rFonts w:eastAsia="Times New Roman" w:cstheme="majorHAnsi"/>
          <w:sz w:val="22"/>
          <w:szCs w:val="22"/>
          <w:shd w:val="clear" w:color="auto" w:fill="FFFFFF"/>
          <w:lang w:val="en-GB"/>
        </w:rPr>
        <w:t xml:space="preserve">of the notion of </w:t>
      </w:r>
      <w:r w:rsidR="00911D45" w:rsidRPr="004E053C">
        <w:rPr>
          <w:rFonts w:eastAsia="Times New Roman" w:cstheme="majorHAnsi"/>
          <w:sz w:val="22"/>
          <w:szCs w:val="22"/>
          <w:shd w:val="clear" w:color="auto" w:fill="FFFFFF"/>
          <w:lang w:val="en-GB"/>
        </w:rPr>
        <w:t xml:space="preserve">temporal frictions and long-term patterns of translocality in urban settings. </w:t>
      </w:r>
    </w:p>
    <w:p w14:paraId="11CCE4DB" w14:textId="77777777" w:rsidR="00FB49B2" w:rsidRPr="004E053C" w:rsidRDefault="00FB49B2" w:rsidP="004E053C">
      <w:pPr>
        <w:pStyle w:val="NoSpacing"/>
        <w:spacing w:line="360" w:lineRule="auto"/>
        <w:jc w:val="both"/>
        <w:rPr>
          <w:rFonts w:cstheme="majorHAnsi"/>
          <w:lang w:val="en-GB"/>
        </w:rPr>
      </w:pPr>
    </w:p>
    <w:p w14:paraId="7C74689E" w14:textId="77777777" w:rsidR="00FB49B2" w:rsidRPr="004E053C" w:rsidRDefault="00FB49B2" w:rsidP="004E053C">
      <w:pPr>
        <w:pStyle w:val="NoSpacing"/>
        <w:spacing w:line="360" w:lineRule="auto"/>
        <w:jc w:val="both"/>
        <w:rPr>
          <w:rFonts w:cstheme="majorHAnsi"/>
          <w:lang w:val="en-GB"/>
        </w:rPr>
      </w:pPr>
    </w:p>
    <w:p w14:paraId="18DE650B" w14:textId="77777777" w:rsidR="00713CC4" w:rsidRPr="004E053C" w:rsidRDefault="00713CC4" w:rsidP="004E053C">
      <w:pPr>
        <w:pStyle w:val="NoSpacing"/>
        <w:spacing w:line="360" w:lineRule="auto"/>
        <w:jc w:val="both"/>
        <w:rPr>
          <w:rFonts w:cstheme="majorHAnsi"/>
          <w:lang w:val="en-GB"/>
        </w:rPr>
      </w:pPr>
      <w:r w:rsidRPr="004E053C">
        <w:rPr>
          <w:rFonts w:cstheme="majorHAnsi"/>
          <w:lang w:val="en-GB"/>
        </w:rPr>
        <w:br w:type="page"/>
      </w:r>
    </w:p>
    <w:p w14:paraId="2673EAB2" w14:textId="4596018B" w:rsidR="00713CC4" w:rsidRPr="004E053C" w:rsidRDefault="00220995" w:rsidP="004E053C">
      <w:pPr>
        <w:pStyle w:val="Heading1"/>
        <w:spacing w:line="360" w:lineRule="auto"/>
        <w:jc w:val="both"/>
        <w:rPr>
          <w:rFonts w:asciiTheme="minorHAnsi" w:hAnsiTheme="minorHAnsi" w:cstheme="majorHAnsi"/>
          <w:b w:val="0"/>
          <w:lang w:val="en-GB"/>
        </w:rPr>
      </w:pPr>
      <w:bookmarkStart w:id="10" w:name="_Toc33293074"/>
      <w:r w:rsidRPr="004E053C">
        <w:rPr>
          <w:rFonts w:asciiTheme="minorHAnsi" w:hAnsiTheme="minorHAnsi" w:cstheme="majorHAnsi"/>
          <w:b w:val="0"/>
          <w:lang w:val="en-GB"/>
        </w:rPr>
        <w:lastRenderedPageBreak/>
        <w:t>2.</w:t>
      </w:r>
      <w:r w:rsidR="00713CC4" w:rsidRPr="004E053C">
        <w:rPr>
          <w:rFonts w:asciiTheme="minorHAnsi" w:hAnsiTheme="minorHAnsi" w:cstheme="majorHAnsi"/>
          <w:b w:val="0"/>
          <w:lang w:val="en-GB"/>
        </w:rPr>
        <w:t xml:space="preserve"> Artisanal and Small-Scale Mining</w:t>
      </w:r>
      <w:bookmarkEnd w:id="10"/>
    </w:p>
    <w:p w14:paraId="435F32A6" w14:textId="77777777" w:rsidR="00713CC4" w:rsidRPr="004E053C" w:rsidRDefault="00713CC4" w:rsidP="004E053C">
      <w:pPr>
        <w:spacing w:line="360" w:lineRule="auto"/>
        <w:jc w:val="both"/>
        <w:rPr>
          <w:rFonts w:cstheme="majorHAnsi"/>
          <w:color w:val="000000"/>
          <w:sz w:val="22"/>
          <w:szCs w:val="22"/>
          <w:lang w:val="en-GB"/>
        </w:rPr>
      </w:pPr>
    </w:p>
    <w:p w14:paraId="6596FB94" w14:textId="77777777" w:rsidR="00091107" w:rsidRPr="004E053C" w:rsidRDefault="00091107" w:rsidP="004E053C">
      <w:pPr>
        <w:pStyle w:val="Heading2"/>
        <w:spacing w:before="0" w:line="360" w:lineRule="auto"/>
        <w:jc w:val="both"/>
        <w:rPr>
          <w:rFonts w:cstheme="majorHAnsi"/>
          <w:lang w:val="en-GB"/>
        </w:rPr>
      </w:pPr>
      <w:bookmarkStart w:id="11" w:name="_Toc424671871"/>
      <w:bookmarkStart w:id="12" w:name="_Toc33293075"/>
      <w:r w:rsidRPr="004E053C">
        <w:rPr>
          <w:rFonts w:cstheme="majorHAnsi"/>
          <w:lang w:val="en-GB"/>
        </w:rPr>
        <w:t>2.1. Introduction</w:t>
      </w:r>
      <w:bookmarkEnd w:id="11"/>
      <w:bookmarkEnd w:id="12"/>
    </w:p>
    <w:p w14:paraId="762829E4" w14:textId="77777777" w:rsidR="00D36963" w:rsidRPr="004E053C" w:rsidRDefault="00D36963" w:rsidP="004E053C">
      <w:pPr>
        <w:spacing w:line="360" w:lineRule="auto"/>
        <w:jc w:val="both"/>
        <w:rPr>
          <w:rFonts w:cstheme="majorHAnsi"/>
          <w:b/>
          <w:bCs/>
          <w:sz w:val="22"/>
          <w:szCs w:val="22"/>
          <w:lang w:val="en-GB"/>
        </w:rPr>
      </w:pPr>
    </w:p>
    <w:p w14:paraId="7DDBFBCC" w14:textId="355589B4" w:rsidR="00D36963" w:rsidRPr="004E053C" w:rsidRDefault="00D36963" w:rsidP="004E053C">
      <w:pPr>
        <w:spacing w:line="360" w:lineRule="auto"/>
        <w:jc w:val="both"/>
        <w:rPr>
          <w:rFonts w:cstheme="majorHAnsi"/>
          <w:sz w:val="22"/>
          <w:szCs w:val="22"/>
          <w:lang w:val="en-GB"/>
        </w:rPr>
      </w:pPr>
      <w:r w:rsidRPr="004E053C">
        <w:rPr>
          <w:rFonts w:cstheme="majorHAnsi"/>
          <w:sz w:val="22"/>
          <w:szCs w:val="22"/>
          <w:lang w:val="en-GB"/>
        </w:rPr>
        <w:t>As outlined in the introduction, this thesis explores artisanal a</w:t>
      </w:r>
      <w:r w:rsidR="00030E91">
        <w:rPr>
          <w:rFonts w:cstheme="majorHAnsi"/>
          <w:sz w:val="22"/>
          <w:szCs w:val="22"/>
          <w:lang w:val="en-GB"/>
        </w:rPr>
        <w:t>nd small-scale gold mining</w:t>
      </w:r>
      <w:r w:rsidRPr="004E053C">
        <w:rPr>
          <w:rFonts w:cstheme="majorHAnsi"/>
          <w:sz w:val="22"/>
          <w:szCs w:val="22"/>
          <w:lang w:val="en-GB"/>
        </w:rPr>
        <w:t xml:space="preserve"> from a translocal perspective. In doing so, it intends to provide a deeper understanding of the communities that are involved in the sector and the implications of their high mobility. Before this, it is important to situate the research within the existing literature on ASM, in particular to highlight the gaps in knowledge that are being addressed. This chapter provides a contextual understanding of the sector and introduces the key debates to which this thesis intends to add clarity. </w:t>
      </w:r>
    </w:p>
    <w:p w14:paraId="7B57B791" w14:textId="77777777" w:rsidR="00D36963" w:rsidRPr="004E053C" w:rsidRDefault="00D36963" w:rsidP="004E053C">
      <w:pPr>
        <w:spacing w:line="360" w:lineRule="auto"/>
        <w:jc w:val="both"/>
        <w:rPr>
          <w:rFonts w:cstheme="majorHAnsi"/>
          <w:sz w:val="22"/>
          <w:szCs w:val="22"/>
          <w:lang w:val="en-GB"/>
        </w:rPr>
      </w:pPr>
    </w:p>
    <w:p w14:paraId="6F2A3C9E" w14:textId="58F4E530" w:rsidR="00D36963" w:rsidRPr="004E053C" w:rsidRDefault="00D36963" w:rsidP="004E053C">
      <w:pPr>
        <w:spacing w:line="360" w:lineRule="auto"/>
        <w:jc w:val="both"/>
        <w:rPr>
          <w:rFonts w:cstheme="majorHAnsi"/>
          <w:sz w:val="22"/>
          <w:szCs w:val="22"/>
          <w:lang w:val="en-GB"/>
        </w:rPr>
      </w:pPr>
      <w:r w:rsidRPr="004E053C">
        <w:rPr>
          <w:rFonts w:cstheme="majorHAnsi"/>
          <w:sz w:val="22"/>
          <w:szCs w:val="22"/>
          <w:lang w:val="en-GB"/>
        </w:rPr>
        <w:t xml:space="preserve">I start this chapter by introducing the extractives sector and its inherent inequalities, before moving on to give a broad overview of ASM. The first section highlights the potential for poverty reduction alongside the myriad social and environmental problems that are associated with it. I then move on to focus specifically on the role of migration in ASM, highlighting how high mobility is characteristic of ASM livelihoods and thus warrants further investigation. The next section then discusses the existing knowledge on the formation of mining communities. This has often focused on the importance of social networking and the various ways, most notably male, miners do this when arriving in a new mine site. However, I also highlight the tendency for the literature to treat these miners as a homogenous group. The chapter then points to the lack of a multi-sited analysis of ASM, and the tendency until very recently for the role of women, both in mine sites and in origin-communities to be obscured from the analysis. There is then some discussion on the little that is known about miner identities, </w:t>
      </w:r>
      <w:r w:rsidR="00525C87" w:rsidRPr="004E053C">
        <w:rPr>
          <w:rFonts w:cstheme="majorHAnsi"/>
          <w:sz w:val="22"/>
          <w:szCs w:val="22"/>
          <w:lang w:val="en-GB"/>
        </w:rPr>
        <w:t>which has focused more on a shared professional identity than exploring the implications of high mobility between transient communities. F</w:t>
      </w:r>
      <w:r w:rsidR="00D57942" w:rsidRPr="004E053C">
        <w:rPr>
          <w:rFonts w:cstheme="majorHAnsi"/>
          <w:sz w:val="22"/>
          <w:szCs w:val="22"/>
          <w:lang w:val="en-GB"/>
        </w:rPr>
        <w:t xml:space="preserve">inally, I concluded the chapter </w:t>
      </w:r>
      <w:r w:rsidR="00525C87" w:rsidRPr="004E053C">
        <w:rPr>
          <w:rFonts w:cstheme="majorHAnsi"/>
          <w:sz w:val="22"/>
          <w:szCs w:val="22"/>
          <w:lang w:val="en-GB"/>
        </w:rPr>
        <w:t>by</w:t>
      </w:r>
      <w:r w:rsidRPr="004E053C">
        <w:rPr>
          <w:rFonts w:cstheme="majorHAnsi"/>
          <w:sz w:val="22"/>
          <w:szCs w:val="22"/>
          <w:lang w:val="en-GB"/>
        </w:rPr>
        <w:t xml:space="preserve"> looking at the criminalisation of ASM and the portraya</w:t>
      </w:r>
      <w:r w:rsidR="00911D45" w:rsidRPr="004E053C">
        <w:rPr>
          <w:rFonts w:cstheme="majorHAnsi"/>
          <w:sz w:val="22"/>
          <w:szCs w:val="22"/>
          <w:lang w:val="en-GB"/>
        </w:rPr>
        <w:t>l of miners in public discourse. I also look in depth at</w:t>
      </w:r>
      <w:r w:rsidRPr="004E053C">
        <w:rPr>
          <w:rFonts w:cstheme="majorHAnsi"/>
          <w:sz w:val="22"/>
          <w:szCs w:val="22"/>
          <w:lang w:val="en-GB"/>
        </w:rPr>
        <w:t xml:space="preserve"> the forms of conflic</w:t>
      </w:r>
      <w:r w:rsidR="00911D45" w:rsidRPr="004E053C">
        <w:rPr>
          <w:rFonts w:cstheme="majorHAnsi"/>
          <w:sz w:val="22"/>
          <w:szCs w:val="22"/>
          <w:lang w:val="en-GB"/>
        </w:rPr>
        <w:t>t and resistance that emerge within mining communities, with a particular focus on the Latin American context.</w:t>
      </w:r>
    </w:p>
    <w:p w14:paraId="42647ED9" w14:textId="77777777" w:rsidR="00D36963" w:rsidRPr="004E053C" w:rsidRDefault="00D36963" w:rsidP="004E053C">
      <w:pPr>
        <w:spacing w:line="360" w:lineRule="auto"/>
        <w:jc w:val="both"/>
        <w:rPr>
          <w:rFonts w:cstheme="majorHAnsi"/>
          <w:sz w:val="22"/>
          <w:szCs w:val="22"/>
          <w:lang w:val="en-GB"/>
        </w:rPr>
      </w:pPr>
    </w:p>
    <w:p w14:paraId="246311A4" w14:textId="77777777" w:rsidR="00D36963" w:rsidRPr="004E053C" w:rsidRDefault="00D36963" w:rsidP="004E053C">
      <w:pPr>
        <w:pStyle w:val="Heading2"/>
        <w:spacing w:before="0" w:line="360" w:lineRule="auto"/>
        <w:jc w:val="both"/>
      </w:pPr>
      <w:bookmarkStart w:id="13" w:name="_Toc424671872"/>
      <w:bookmarkStart w:id="14" w:name="_Toc428636322"/>
      <w:bookmarkStart w:id="15" w:name="_Toc33293076"/>
      <w:r w:rsidRPr="004E053C">
        <w:t>2.2. Global mining trends</w:t>
      </w:r>
      <w:bookmarkEnd w:id="13"/>
      <w:bookmarkEnd w:id="14"/>
      <w:bookmarkEnd w:id="15"/>
    </w:p>
    <w:p w14:paraId="07A88D02" w14:textId="77777777" w:rsidR="00D36963" w:rsidRPr="004E053C" w:rsidRDefault="00D36963" w:rsidP="004E053C">
      <w:pPr>
        <w:widowControl w:val="0"/>
        <w:autoSpaceDE w:val="0"/>
        <w:autoSpaceDN w:val="0"/>
        <w:adjustRightInd w:val="0"/>
        <w:spacing w:line="360" w:lineRule="auto"/>
        <w:jc w:val="both"/>
        <w:rPr>
          <w:rFonts w:cstheme="majorHAnsi"/>
          <w:color w:val="FF0000"/>
          <w:sz w:val="22"/>
          <w:szCs w:val="22"/>
          <w:lang w:val="en-GB"/>
        </w:rPr>
      </w:pPr>
    </w:p>
    <w:p w14:paraId="683643B1" w14:textId="29B8FE6F" w:rsidR="00D36963" w:rsidRPr="004E053C" w:rsidRDefault="00D36963" w:rsidP="004E053C">
      <w:pPr>
        <w:widowControl w:val="0"/>
        <w:autoSpaceDE w:val="0"/>
        <w:autoSpaceDN w:val="0"/>
        <w:adjustRightInd w:val="0"/>
        <w:spacing w:line="360" w:lineRule="auto"/>
        <w:jc w:val="both"/>
        <w:rPr>
          <w:rFonts w:cstheme="majorHAnsi"/>
          <w:sz w:val="22"/>
          <w:szCs w:val="22"/>
          <w:lang w:val="en-GB"/>
        </w:rPr>
      </w:pPr>
      <w:r w:rsidRPr="004E053C">
        <w:rPr>
          <w:rFonts w:cstheme="majorHAnsi"/>
          <w:sz w:val="22"/>
          <w:szCs w:val="22"/>
          <w:lang w:val="en-GB"/>
        </w:rPr>
        <w:t xml:space="preserve">Mining and other forms of natural resource extraction have played a fundamental role in capitalist production and have thus been linked to economic growth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{"citationItems":[{"id":"ITEM-1","itemData":{"abstract":"In this paper, I present a theoretical argument that fossil fuel represents a historically specific and internally necessary aspect of the capitalist mode of production. Despite sustained attention to distributional conflicts between international capital and energy rich nation–states, few historical-materialists have paid attention to the relations between fossil fuel and capital accumulation in industrial capitalist societies. In opposition to ecological economic notions of fixed thermodynamic “laws”, I first propose a dialectical conception of energy as embedded in dynamic social processes and power relations. Second, I review the historical importance of the energy shift from solar or biological sources of energy (muscles, wind, and water) to fossilized sources of energy (coal, oil, and gas). I then demonstrate how attention to fossil fuel energy forces a reexamination of the core insights of ecological Marxism and the political economy of nature. In the core argument of the paper, I reconsider the shift from biological to fossil energy as internal to the generalization and extension of capitalist social relations from two basic vantage points – (1) capitalist production based on wage labor; (2) the spatial conditions of capitalist circulation. I conclude by asking whether it is accurate to conceptualize capitalism as a “fossil fuel mode of production” and highlight the political urgency of a historical materialist perspective that takes seriously the importance of energy to the reproduction of capitalist social relations.","author":[{"dropping-particle":"","family":"Huber","given":"Matthew T.","non-dropping-particle":"","parse-names":false,"suffix":""}],"container-title":"Geoforum","id":"ITEM-1","issue":"1","issued":{"date-parts":[["2009"]]},"page":"105-115","title":"Energizing historical materialism: fossil fuels, space and the capitalist mode of production","type":"article-journal","volume":"40"},"uris":["http://www.mendeley.com/documents/?uuid=04eb3829-7074-4451-a2e3-15c148c0cbc0"]}],"mendeley":{"formattedCitation":"(Huber, 2009)","plainTextFormattedCitation":"(Huber, 2009)","previouslyFormattedCitation":"(Huber,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(Huber, 2009)</w:t>
      </w:r>
      <w:r w:rsidRPr="004E053C">
        <w:rPr>
          <w:rFonts w:cstheme="majorHAnsi"/>
          <w:sz w:val="22"/>
          <w:szCs w:val="22"/>
          <w:lang w:val="en-GB"/>
        </w:rPr>
        <w:fldChar w:fldCharType="end"/>
      </w:r>
      <w:r w:rsidRPr="004E053C">
        <w:rPr>
          <w:rFonts w:cstheme="majorHAnsi"/>
          <w:sz w:val="22"/>
          <w:szCs w:val="22"/>
          <w:lang w:val="en-GB"/>
        </w:rPr>
        <w:t xml:space="preserve">. However, the actual performance of mineral-dependent economies has been extremely uneven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{"citationItems":[{"id":"ITEM-1","itemData":{"author":[{"dropping-particle":"","family":"Ross","given":"Michael","non-dropping-particle":"","parse-names":false,"suffix":""}],"id":"ITEM-1","issued":{"date-parts":[["2001"]]},"number-of-pages":"25","publisher-place":"Boston, MA.","title":"Extractive Sectors and the Poor: An Oxfam Report","type":"report"},"uris":["http://www.mendeley.com/documents/?uuid=3bc29dfc-ade6-4a7c-a93c-11285178ae7c"]},{"id":"ITEM-2","itemData":{"abstract":"The authors examine the assumption that mining activities in mineral rich countries directly contribute to economic development. They note however that over the past two decades, a more negative view of mining has emerged that questions the positive relationship between mineral extraction and economic development. The impetus for the alternative view came from empirical studies suggesting that countries where mining is important have not grown as rapidly as other countries. They explored more recent studies which have considered the possible reasons behind the disappointing performance of many mineral producing countries and find that while the central point of contention between the conventional and alternative views — namely, whether or not mining usually promotes economic development — remains unresolved, there is widespread agreement that rich mineral deposits provide developing countries with development opportunities. These opportunities have in some instances been used wisely to promote development; and in other instances, have been misused, hurting development. The authors note in this regard that a consensus on this issue is not the solution to the mining problems in developing countries. They conclude that the appropriate public policy question is not - should we or should we not promote mining in developing countries, but rather where should we encourage it and how can we ensure that it contributes as much as possible to economic development and poverty alleviation.","author":[{"dropping-particle":"","family":"Davis","given":"G.A.","non-dropping-particle":"","parse-names":false,"suffix":""},{"dropping-particle":"","family":"Tilton","given":"J.E.","non-dropping-particle":"","parse-names":false,"suffix":""}],"container-title":"Natural Resources Forum","id":"ITEM-2","issued":{"date-parts":[["2005"]]},"page":"233-242","title":"The resource curse","type":"article-journal","volume":"29"},"uris":["http://www.mendeley.com/documents/?uuid=3c012768-d257-4d5a-a139-0218d4a467d3"]}],"mendeley":{"formattedCitation":"(Davis &amp; Tilton, 2005; Ross, 2001)","manualFormatting":"(Davis &amp; Tilton, 2005; Ross, 2001)","plainTextFormattedCitation":"(Davis &amp; Tilton, 2005; Ross, 2001)","previouslyFormattedCitation":"(Davis &amp; Tilton, 2005; Ross, 2001)"},"properties":{"noteIndex":0},"schema":"https://github.com/citation-style-language/schema/raw/master/csl-citation.json"}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(Davis &amp; Tilton, 2005; Ross, 2001)</w:t>
      </w:r>
      <w:r w:rsidRPr="004E053C">
        <w:rPr>
          <w:rFonts w:cstheme="majorHAnsi"/>
          <w:sz w:val="22"/>
          <w:szCs w:val="22"/>
          <w:lang w:val="en-GB"/>
        </w:rPr>
        <w:fldChar w:fldCharType="end"/>
      </w:r>
      <w:r w:rsidRPr="004E053C">
        <w:rPr>
          <w:rFonts w:cstheme="majorHAnsi"/>
          <w:sz w:val="22"/>
          <w:szCs w:val="22"/>
          <w:lang w:val="en-GB"/>
        </w:rPr>
        <w:t xml:space="preserve">. Not only has an over-reliance on minerals such as gold been shown to have adverse </w:t>
      </w:r>
      <w:r w:rsidRPr="004E053C">
        <w:rPr>
          <w:rFonts w:cstheme="majorHAnsi"/>
          <w:sz w:val="22"/>
          <w:szCs w:val="22"/>
          <w:lang w:val="en-GB"/>
        </w:rPr>
        <w:lastRenderedPageBreak/>
        <w:t xml:space="preserve">consequences for economic growth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{"citationItems":[{"id":"ITEM-1","itemData":{"abstract":"One of the surprising features of modern economic growth is that economies with abundant natural resources have tended to grow less rapidly than natural-resource-scarce economies. In this paper we show that economies with a high ratio of natural resource exports to GDP in 1971 (the base year) tended to have low growth rates during the subsequent period 1971-89. This negative relationship holds true even after controlling for variables found to be important for economic growth, such as initial per capita income, trade policy, government efficiency, investment rates, and other variables. We explore the possible pathways for this negative relationship by studying the cross-country effects of resource endowments on trade policy, bureaucratic efficiency, and other determinants of growth. We also provide a simple theoretical model of endogenous growth that might help to explain the observed negative relationship.","author":[{"dropping-particle":"","family":"Sachs","given":"Jeffrey","non-dropping-particle":"","parse-names":false,"suffix":""},{"dropping-particle":"","family":"Warner","given":"Andrew","non-dropping-particle":"","parse-names":false,"suffix":""}],"container-title":"Journal of Development Economics","id":"ITEM-1","issue":"1","issued":{"date-parts":[["1999"]]},"page":"43-76","title":"The big push, natural resource booms and growth","type":"article-journal","volume":"59"},"uris":["http://www.mendeley.com/documents/?uuid=11ab3ff9-01f9-48b9-a86e-23bb128ce644"]}],"mendeley":{"formattedCitation":"(Sachs &amp; Warner, 1999)","plainTextFormattedCitation":"(Sachs &amp; Warner, 1999)","previouslyFormattedCitation":"(Sachs &amp; Warner, 1999)"},"properties":{"noteIndex":0},"schema":"https://github.com/citation-style-language/schema/raw/master/csl-citation.json"}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(Sachs &amp; Warner, 1999)</w:t>
      </w:r>
      <w:r w:rsidRPr="004E053C">
        <w:rPr>
          <w:rFonts w:cstheme="majorHAnsi"/>
          <w:sz w:val="22"/>
          <w:szCs w:val="22"/>
          <w:lang w:val="en-GB"/>
        </w:rPr>
        <w:fldChar w:fldCharType="end"/>
      </w:r>
      <w:r w:rsidRPr="004E053C">
        <w:rPr>
          <w:rFonts w:cstheme="majorHAnsi"/>
          <w:sz w:val="22"/>
          <w:szCs w:val="22"/>
          <w:lang w:val="en-GB"/>
        </w:rPr>
        <w:t xml:space="preserve">, but it has also been linked to a wide variety of social issues, including corruption, political instability and civil war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{"citationItems":[{"id":"ITEM-1","itemData":{"abstract":"We investigate the causes of civil war, using a new data set of wars during 1960–99. Rebellion may be explained by atypically severe grievances, such as high inequality, a lack of political rights, or ethnic and religious divisions in society. Alternatively, it might be explained by atypical opportunities for building a rebel organization. While it is difficult to find proxies for grievances and opportunities, we find that political and social variables that are most obviously related to grievances have little explanatory power. By contrast, economic variables, which could proxy some grievances but are perhaps more obviously related to the viability of rebellion, provide considerably more explanatory power.","author":[{"dropping-particle":"","family":"Collier","given":"P","non-dropping-particle":"","parse-names":false,"suffix":""},{"dropping-particle":"","family":"Hoeffler","given":"A","non-dropping-particle":"","parse-names":false,"suffix":""}],"container-title":"Oxford Economic Papers","id":"ITEM-1","issue":"4","issued":{"date-parts":[["2004"]]},"page":"563-395","title":"Greed and grievance in civil war","type":"article-journal","volume":"56"},"uris":["http://www.mendeley.com/documents/?uuid=a6f88275-e20a-4ef4-b17e-b696fca97943"]},{"id":"ITEM-2","itemData":{"author":[{"dropping-particle":"","family":"Collier","given":"P.","non-dropping-particle":"","parse-names":false,"suffix":""},{"dropping-particle":"","family":"Hoeffler","given":"A","non-dropping-particle":"","parse-names":false,"suffix":""}],"container-title":"Journal of Conflict Resolution","id":"ITEM-2","issue":"4","issued":{"date-parts":[["2005"]]},"page":"625-633","title":"Resource rents, governance and conflict","type":"article-journal","volume":"49"},"uris":["http://www.mendeley.com/documents/?uuid=561d4cfd-5577-4c72-a9a0-b1907877713a"]},{"id":"ITEM-3","itemData":{"abstract":"The extraction of minerals, oil and gas has a long and ambiguous history in development processes – in North America, Europe, Latin America and Australasia. Extraction has yielded wealth, regional identities and in some cases capital for industrialization. In other cases its main heritages have been social conflict, environmental damage and underperforming national economies. As the extractive economy has entered another boom period over the last decade, not least in Latin America, the countries in which this boom is occurring are challenged to interpret this ambiguity. Will the extractive industry yield, for them, economic development, or will its main gifts be ones of conflict, degradation and unequal forms of growth.","author":[{"dropping-particle":"","family":"Bebbington","given":"Anthony","non-dropping-particle":"","parse-names":false,"suffix":""}],"id":"ITEM-3","issued":{"date-parts":[["2011"]]},"number-of-pages":"258","title":"Social Conflict, Economic Development and Extractive Industry: Evidence from South America","type":"book"},"uris":["http://www.mendeley.com/documents/?uuid=81fa501e-2549-4623-908e-76e796de9056"]}],"mendeley":{"formattedCitation":"(Bebbington, 2011; Collier &amp; Hoeffler, 2004, 2005)","manualFormatting":"(Bebbington, 2011; Collier &amp; Hoeffler, 2005; 2004)","plainTextFormattedCitation":"(Bebbington, 2011; Collier &amp; Hoeffler, 2004, 2005)","previouslyFormattedCitation":"(Bebbington, 2011; Collier &amp; Hoeffler, 2004, 2005)"},"properties":{"noteIndex":0},"schema":"https://github.com/citation-style-language/schema/raw/master/csl-citation.json"}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(Bebbington, 2011; Collier &amp; Hoeffler, 2005; 2004)</w:t>
      </w:r>
      <w:r w:rsidRPr="004E053C">
        <w:rPr>
          <w:rFonts w:cstheme="majorHAnsi"/>
          <w:sz w:val="22"/>
          <w:szCs w:val="22"/>
          <w:lang w:val="en-GB"/>
        </w:rPr>
        <w:fldChar w:fldCharType="end"/>
      </w:r>
      <w:r w:rsidRPr="004E053C">
        <w:rPr>
          <w:rFonts w:cstheme="majorHAnsi"/>
          <w:color w:val="505050"/>
          <w:sz w:val="22"/>
          <w:szCs w:val="22"/>
          <w:lang w:val="en-GB"/>
        </w:rPr>
        <w:t xml:space="preserve">. </w:t>
      </w:r>
      <w:bookmarkStart w:id="16" w:name="bbib45"/>
      <w:r w:rsidRPr="004E053C">
        <w:rPr>
          <w:rFonts w:cstheme="majorHAnsi"/>
          <w:sz w:val="22"/>
          <w:szCs w:val="22"/>
          <w:lang w:val="en-GB"/>
        </w:rPr>
        <w:t>This is at least in part due to the legacy of colonialism</w:t>
      </w:r>
      <w:bookmarkEnd w:id="16"/>
      <w:r w:rsidRPr="004E053C">
        <w:rPr>
          <w:rFonts w:cstheme="majorHAnsi"/>
          <w:sz w:val="22"/>
          <w:szCs w:val="22"/>
          <w:lang w:val="en-GB"/>
        </w:rPr>
        <w:t>, which ensured the extraction of vast amounts of mineral wealth, as well as other commodities, from the Global South in order to power economic devel</w:t>
      </w:r>
      <w:r w:rsidR="00911D45" w:rsidRPr="004E053C">
        <w:rPr>
          <w:rFonts w:cstheme="majorHAnsi"/>
          <w:sz w:val="22"/>
          <w:szCs w:val="22"/>
          <w:lang w:val="en-GB"/>
        </w:rPr>
        <w:t xml:space="preserve">opment in Europe </w:t>
      </w:r>
      <w:r w:rsidR="00911D45" w:rsidRPr="004E053C">
        <w:rPr>
          <w:rFonts w:cstheme="majorHAnsi"/>
          <w:sz w:val="22"/>
          <w:szCs w:val="22"/>
          <w:lang w:val="en-GB"/>
        </w:rPr>
        <w:fldChar w:fldCharType="begin" w:fldLock="1"/>
      </w:r>
      <w:r w:rsidR="00911D45" w:rsidRPr="004E053C">
        <w:rPr>
          <w:rFonts w:cstheme="majorHAnsi"/>
          <w:sz w:val="22"/>
          <w:szCs w:val="22"/>
          <w:lang w:val="en-GB"/>
        </w:rPr>
        <w:instrText>ADDIN CSL_CITATION {"citationItems":[{"id":"ITEM-1","itemData":{"author":[{"dropping-particle":"","family":"Galeano","given":"Eduardo","non-dropping-particle":"","parse-names":false,"suffix":""}],"id":"ITEM-1","issued":{"date-parts":[["1971"]]},"publisher":"Monthly Review Press","publisher-place":"New York, NY","title":"Open Veins of Latin America: Five Centuries of the Pillage of a Continent","type":"book"},"uris":["http://www.mendeley.com/documents/?uuid=41746be1-4da2-4607-88d4-915b5d8aa604"]}],"mendeley":{"formattedCitation":"(Galeano, 1971)","plainTextFormattedCitation":"(Galeano, 1971)","previouslyFormattedCitation":"(Galeano, 1971)"},"properties":{"noteIndex":0},"schema":"https://github.com/citation-style-language/schema/raw/master/csl-citation.json"}</w:instrText>
      </w:r>
      <w:r w:rsidR="00911D45" w:rsidRPr="004E053C">
        <w:rPr>
          <w:rFonts w:cstheme="majorHAnsi"/>
          <w:sz w:val="22"/>
          <w:szCs w:val="22"/>
          <w:lang w:val="en-GB"/>
        </w:rPr>
        <w:fldChar w:fldCharType="separate"/>
      </w:r>
      <w:r w:rsidR="00911D45" w:rsidRPr="004E053C">
        <w:rPr>
          <w:rFonts w:cstheme="majorHAnsi"/>
          <w:noProof/>
          <w:sz w:val="22"/>
          <w:szCs w:val="22"/>
          <w:lang w:val="en-GB"/>
        </w:rPr>
        <w:t>(Galeano, 1971)</w:t>
      </w:r>
      <w:r w:rsidR="00911D45" w:rsidRPr="004E053C">
        <w:rPr>
          <w:rFonts w:cstheme="majorHAnsi"/>
          <w:sz w:val="22"/>
          <w:szCs w:val="22"/>
          <w:lang w:val="en-GB"/>
        </w:rPr>
        <w:fldChar w:fldCharType="end"/>
      </w:r>
      <w:r w:rsidRPr="004E053C">
        <w:rPr>
          <w:rFonts w:cstheme="majorHAnsi"/>
          <w:sz w:val="22"/>
          <w:szCs w:val="22"/>
          <w:lang w:val="en-GB"/>
        </w:rPr>
        <w:t xml:space="preserve">. This was most notable in African and Latin American countries, and effectively entrenched an unequal relationship between the ‘core’ of Europe and the ‘periphery’, which has endured far beyond the end of colonialism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{"citationItems":[{"id":"ITEM-1","itemData":{"author":[{"dropping-particle":"","family":"Frank","given":"Andre Gunder","non-dropping-particle":"","parse-names":false,"suffix":""}],"container-title":"Monthly Review","id":"ITEM-1","issue":"4","issued":{"date-parts":[["1966"]]},"page":"17-31","title":"The development of underdevelopment","type":"article-journal","volume":"18"},"uris":["http://www.mendeley.com/documents/?uuid=8be80feb-7d61-45b3-8203-ac3c2afc151a"]},{"id":"ITEM-2","itemData":{"author":[{"dropping-particle":"","family":"Galeano","given":"Eduardo","non-dropping-particle":"","parse-names":false,"suffix":""}],"id":"ITEM-2","issued":{"date-parts":[["1971"]]},"publisher":"Monthly Review Press","publisher-place":"New York, NY","title":"Open Veins of Latin America: Five Centuries of the Pillage of a Continent","type":"book"},"uris":["http://www.mendeley.com/documents/?uuid=41746be1-4da2-4607-88d4-915b5d8aa604"]},{"id":"ITEM-3","itemData":{"author":[{"dropping-particle":"","family":"Wallerstein","given":"Immanuel","non-dropping-particle":"","parse-names":false,"suffix":""}],"id":"ITEM-3","issued":{"date-parts":[["1974"]]},"publisher":"Academic Press","publisher-place":"New York, NY","title":"The Modern World System","type":"book"},"uris":["http://www.mendeley.com/documents/?uuid=ef532f8d-4c5f-4db7-aec3-bcfcf8a1308c"]}],"mendeley":{"formattedCitation":"(Frank, 1966; Galeano, 1971; Wallerstein, 1974)","plainTextFormattedCitation":"(Frank, 1966; Galeano, 1971; Wallerstein, 1974)","previouslyFormattedCitation":"(Frank, 1966; Galeano, 1971; Wallerstein, 1974)"},"properties":{"noteIndex":0},"schema":"https://github.com/citation-style-language/schema/raw/master/csl-citation.json"}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(Frank, 1966; Galeano, 1971; Wallerstein, 1974)</w:t>
      </w:r>
      <w:r w:rsidRPr="004E053C">
        <w:rPr>
          <w:rFonts w:cstheme="majorHAnsi"/>
          <w:sz w:val="22"/>
          <w:szCs w:val="22"/>
          <w:lang w:val="en-GB"/>
        </w:rPr>
        <w:fldChar w:fldCharType="end"/>
      </w:r>
      <w:r w:rsidRPr="004E053C">
        <w:rPr>
          <w:rFonts w:cstheme="majorHAnsi"/>
          <w:sz w:val="22"/>
          <w:szCs w:val="22"/>
          <w:lang w:val="en-GB"/>
        </w:rPr>
        <w:t xml:space="preserve">. </w:t>
      </w:r>
    </w:p>
    <w:p w14:paraId="04CFBF76" w14:textId="77777777" w:rsidR="00D36963" w:rsidRPr="004E053C" w:rsidRDefault="00D36963" w:rsidP="004E053C">
      <w:pPr>
        <w:widowControl w:val="0"/>
        <w:autoSpaceDE w:val="0"/>
        <w:autoSpaceDN w:val="0"/>
        <w:adjustRightInd w:val="0"/>
        <w:spacing w:line="360" w:lineRule="auto"/>
        <w:jc w:val="both"/>
        <w:rPr>
          <w:rFonts w:cstheme="majorHAnsi"/>
          <w:sz w:val="22"/>
          <w:szCs w:val="22"/>
          <w:lang w:val="en-GB"/>
        </w:rPr>
      </w:pPr>
    </w:p>
    <w:p w14:paraId="30F0C365" w14:textId="46DEEC08" w:rsidR="00D36963" w:rsidRPr="004E053C" w:rsidRDefault="00D36963" w:rsidP="004E053C">
      <w:pPr>
        <w:widowControl w:val="0"/>
        <w:autoSpaceDE w:val="0"/>
        <w:autoSpaceDN w:val="0"/>
        <w:adjustRightInd w:val="0"/>
        <w:spacing w:line="360" w:lineRule="auto"/>
        <w:jc w:val="both"/>
        <w:rPr>
          <w:rFonts w:cstheme="majorHAnsi"/>
          <w:b/>
          <w:bCs/>
          <w:color w:val="262626"/>
          <w:sz w:val="22"/>
          <w:szCs w:val="22"/>
          <w:lang w:val="en-GB"/>
        </w:rPr>
      </w:pPr>
      <w:r w:rsidRPr="004E053C">
        <w:rPr>
          <w:rFonts w:cstheme="majorHAnsi"/>
          <w:sz w:val="22"/>
          <w:szCs w:val="22"/>
          <w:lang w:val="en-GB"/>
        </w:rPr>
        <w:t xml:space="preserve">Contemporary debates have pointed to the increasingly asymmetrical power relations between global mining corporations and peripheral nation states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{"citationItems":[{"id":"ITEM-1","itemData":{"abstract":"The impacts that increased transnational extractive industry investments are having on local populations in natural resource-rich regions of sub-Saharan Africa are diverse, far-reaching and complex. A surge of recent investment has been variously met by resistance and rejection, by acquiescence combined with demands for better labour conditions, and outright acceptance in anticipation of gainful employment. Drawing on recent field-based research carried out in diamondiferous Kono District in Sierra Leone, this paper critically explores these contrasting responses to mining activities, by focusing on how youth perceive and respond to extractive industry expansion. The analysis is particularly salient in the case of Sierra Leone, as Kono's prime alluvial diamond areas are becoming ‘mined out’, and artisanal and small-scale operations are being replaced by more capital intensive modes of mechanized extraction. In an environment where the demand for unskilled labour is diminishing, and young people are facing pressing livelihood needs in an employment-constrained economy, youth are playing important roles in rights-based mobilizations around mining. The paper aims to broaden understanding of youth perceptions of mining investment, and illuminate the various factors underlying a diverse range of responses to the expansion of extractive industries. It concludes by reflecting on how youth perceptions of extractive industry expansion may also be influencing the ways in which mining companies understand and fashion their business and social responsibility strategies.","author":[{"dropping-particle":"","family":"Maconachie","given":"Roy","non-dropping-particle":"","parse-names":false,"suffix":""}],"container-title":"Futures","id":"ITEM-1","issue":"Part A","issued":{"date-parts":[["2014"]]},"page":"75-82","title":"Dispossession, exploitation or employment? youth livelihoods and extractive industry investment in Sierra Leone","type":"article-journal","volume":"62"},"uris":["http://www.mendeley.com/documents/?uuid=307857ed-9dc2-4808-bd81-10d67d3c6237"]},{"id":"ITEM-2","itemData":{"author":[{"dropping-particle":"","family":"Ferguson","given":"James","non-dropping-particle":"","parse-names":false,"suffix":""}],"container-title":"American Anthropologist","id":"ITEM-2","issue":"3","issued":{"date-parts":[["2005"]]},"page":"377-382","title":"Seeing like an oil company: space, security and global capital in neoliberal Africa","type":"article-journal","volume":"107"},"uris":["http://www.mendeley.com/documents/?uuid=fcc432b1-1779-4b89-bc01-0c4aa6074f69"]}],"mendeley":{"formattedCitation":"(Ferguson, 2005; Maconachie, 2014)","plainTextFormattedCitation":"(Ferguson, 2005; Maconachie, 2014)","previouslyFormattedCitation":"(Ferguson, 2005; Maconachie,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(Ferguson, 2005; Maconachie, 2014)</w:t>
      </w:r>
      <w:r w:rsidRPr="004E053C">
        <w:rPr>
          <w:rFonts w:cstheme="majorHAnsi"/>
          <w:sz w:val="22"/>
          <w:szCs w:val="22"/>
          <w:lang w:val="en-GB"/>
        </w:rPr>
        <w:fldChar w:fldCharType="end"/>
      </w:r>
      <w:r w:rsidRPr="004E053C">
        <w:rPr>
          <w:rFonts w:cstheme="majorHAnsi"/>
          <w:sz w:val="22"/>
          <w:szCs w:val="22"/>
          <w:lang w:val="en-GB"/>
        </w:rPr>
        <w:t xml:space="preserve">, as the mineral-rich countries of the Global South have implemented reforms to attract foreign direct </w:t>
      </w:r>
      <w:r w:rsidR="00D57942" w:rsidRPr="004E053C">
        <w:rPr>
          <w:rFonts w:cstheme="majorHAnsi"/>
          <w:sz w:val="22"/>
          <w:szCs w:val="22"/>
          <w:lang w:val="en-GB"/>
        </w:rPr>
        <w:t>investment (FDI) in a bid to</w:t>
      </w:r>
      <w:r w:rsidRPr="004E053C">
        <w:rPr>
          <w:rFonts w:cstheme="majorHAnsi"/>
          <w:sz w:val="22"/>
          <w:szCs w:val="22"/>
          <w:lang w:val="en-GB"/>
        </w:rPr>
        <w:t xml:space="preserve"> secure economic growth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{"citationItems":[{"id":"ITEM-1","itemData":{"abstract":"This article critically examines the nature and quality of governance in community representation and civil society engagement in the context of trans-national large-scale mining, drawing on experiences in the Anosy Region of south-east Madagascar. An exploration of functional relationships between government, mining business and civil society stakeholders reveals an equivocal legitimacy of certain civil society representatives, created by state manipulation, which contributes to community disempowerment. The appointment of local government officials, rather than election, creates a hierarchy of upward dependencies and a culture where the majority of officials express similar views and political alliances. As a consequence, community resistance is suppressed.Voluntary mechanisms such as Corporate Social Responsibility (CSR) and the Extractive Industries Transparency Initiative (EITI) advocate community stakeholder engagement in decision making processes as a measure to achieve public accountability. In many developing countries, where there is a lack of transparency and high levels of corruption, the value of this engagement, however, is debatable. Findings from this study indicate that the power relationships which exist between stakeholders in the highly lucrative mining industry override efforts to achieve \"good governance\" through voluntary community engagement. The continuing challenge lies in identifying where the responsibility sits in order to address this power struggle to achieve fair representation. © 2011 Elsevier Ltd.","author":[{"dropping-particle":"","family":"Smith","given":"Shirley M.","non-dropping-particle":"","parse-names":false,"suffix":""},{"dropping-particle":"","family":"Shepherd","given":"Derek D.","non-dropping-particle":"","parse-names":false,"suffix":""},{"dropping-particle":"","family":"Dorward","given":"Peter T.","non-dropping-particle":"","parse-names":false,"suffix":""}],"container-title":"Resources Policy","id":"ITEM-1","issue":"2","issued":{"date-parts":[["2012"]]},"page":"241-250","publisher":"Elsevier","title":"Perspectives on community representation within the Extractive Industries Transparency Initiative: Experiences from south-east Madagascar","type":"article-journal","volume":"37"},"uris":["http://www.mendeley.com/documents/?uuid=7182deea-a182-4c75-9601-c91ea28f7c2f"]},{"id":"ITEM-2","itemData":{"abstract":"This review reflects critically on why, despite its growing economic importance, artisanal and small-scale (ASM) - low-tech, labour-intensive mineral extraction and processing - occupies such a peripheral position on the economic development agenda of sub-Saharan Africa. A poor understanding of the sector's role in the region's liberalized economies has certainly contributed to this oversight; as has the strong influence, at the policymaking level, of unfounded ideas and generalizations about the sector's activities. After providing a brief overview of ASM in sub-Saharan Africa, the paper explores why the sector has yet to make a mark on the region's local economic development agenda and feature prominently in its poverty alleviation strategies. © 2014 Elsevier Ltd.","author":[{"dropping-particle":"","family":"Hilson","given":"G","non-dropping-particle":"","parse-names":false,"suffix":""},{"dropping-particle":"","family":"McQuilken","given":"James","non-dropping-particle":"","parse-names":false,"suffix":""}],"container-title":"Extractive Industries and Society","id":"ITEM-2","issue":"1","issued":{"date-parts":[["2014"]]},"page":"104-118","publisher":"Elsevier Ltd","title":"Four decades of support for artisanal and small-scale mining in sub-Saharan Africa: A critical review","type":"article-journal","volume":"1"},"uris":["http://www.mendeley.com/documents/?uuid=4f1e22db-6dff-45db-9d1f-97fdbb7e9487"]},{"id":"ITEM-3","itemData":{"abstract":"As gold prices rose between 2002 and 2012, Afro-descendant gold miners confronted illegal outsider-owned gold mines on their land in Colombia’s northwest Chocó department. This article examines why these Afro-descendant miners, who used hand tools and techniques, often invited the outsiders, who used heavy machinery and mercury, to work their mines. Their reasons included: familial pressure over land, profit sharing, high prices, access to gold, and dangerous working conditions. The decision to invite in the outsiders complicates the conventional narrative of a coercive relationship between outsiders and Afro-descendant communities, even as the relationship produced worse than expected outcomes for both sides.","author":[{"dropping-particle":"","family":"Tubb","given":"Daniel","non-dropping-particle":"","parse-names":false,"suffix":""}],"container-title":"The Extractive Industries and Society","id":"ITEM-3","issue":"4","issued":{"date-parts":[["2015"]]},"page":"722-733","title":"Muddy decisions: Gold in the Choco, Colombia","type":"article-journal","volume":"2"},"uris":["http://www.mendeley.com/documents/?uuid=0a37e678-351f-4105-81a4-df99fce7704c"]}],"mendeley":{"formattedCitation":"(G Hilson &amp; McQuilken, 2014; S. M. Smith, Shepherd, &amp; Dorward, 2012; Tubb, 2015)","manualFormatting":"(Hilson &amp; McQuilken, 2014; Smith et al, 2012; Tubb, 2015)","plainTextFormattedCitation":"(G Hilson &amp; McQuilken, 2014; S. M. Smith, Shepherd, &amp; Dorward, 2012; Tubb, 2015)","previouslyFormattedCitation":"(G Hilson &amp; McQuilken, 2014; S. M. Smith, Shepherd, &amp; Dorward, 2012; Tubb, 2015)"},"properties":{"noteIndex":0},"schema":"https://github.com/citation-style-language/schema/raw/master/csl-citation.json"}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(Hilson &amp; McQuilken, 2014; Smith et al, 2012; Tubb, 2015)</w:t>
      </w:r>
      <w:r w:rsidRPr="004E053C">
        <w:rPr>
          <w:rFonts w:cstheme="majorHAnsi"/>
          <w:sz w:val="22"/>
          <w:szCs w:val="22"/>
          <w:lang w:val="en-GB"/>
        </w:rPr>
        <w:fldChar w:fldCharType="end"/>
      </w:r>
      <w:r w:rsidRPr="004E053C">
        <w:rPr>
          <w:rFonts w:eastAsia="Times New Roman" w:cstheme="majorHAnsi"/>
          <w:sz w:val="22"/>
          <w:szCs w:val="22"/>
          <w:lang w:val="en-GB"/>
        </w:rPr>
        <w:t xml:space="preserve">. </w:t>
      </w:r>
      <w:r w:rsidRPr="004E053C">
        <w:rPr>
          <w:rFonts w:cstheme="majorHAnsi"/>
          <w:sz w:val="22"/>
          <w:szCs w:val="22"/>
          <w:lang w:val="en-GB"/>
        </w:rPr>
        <w:t xml:space="preserve">However, mineral dependence is strongly correlated with income inequality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{"citationItems":[{"id":"ITEM-1","itemData":{"author":[{"dropping-particle":"","family":"Ross","given":"Michael","non-dropping-particle":"","parse-names":false,"suffix":""}],"id":"ITEM-1","issued":{"date-parts":[["2001"]]},"number-of-pages":"25","publisher-place":"Boston, MA.","title":"Extractive Sectors and the Poor: An Oxfam Report","type":"report"},"uris":["http://www.mendeley.com/documents/?uuid=3bc29dfc-ade6-4a7c-a93c-11285178ae7c"]}],"mendeley":{"formattedCitation":"(Ross, 2001)","plainTextFormattedCitation":"(Ross, 2001)","previouslyFormattedCitation":"(Ross, 2001)"},"properties":{"noteIndex":0},"schema":"https://github.com/citation-style-language/schema/raw/master/csl-citation.json"}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(Ross, 2001)</w:t>
      </w:r>
      <w:r w:rsidRPr="004E053C">
        <w:rPr>
          <w:rFonts w:cstheme="majorHAnsi"/>
          <w:sz w:val="22"/>
          <w:szCs w:val="22"/>
          <w:lang w:val="en-GB"/>
        </w:rPr>
        <w:fldChar w:fldCharType="end"/>
      </w:r>
      <w:r w:rsidRPr="004E053C">
        <w:rPr>
          <w:rFonts w:cstheme="majorHAnsi"/>
          <w:sz w:val="22"/>
          <w:szCs w:val="22"/>
          <w:lang w:val="en-GB"/>
        </w:rPr>
        <w:t xml:space="preserve"> and the power of mining companies has often resulted in the emergence of enclave economies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{"citationItems":[{"id":"ITEM-1","itemData":{"author":[{"dropping-particle":"","family":"Heeks","given":"R.","non-dropping-particle":"","parse-names":false,"suffix":""}],"collection-title":"Discussion Paper","id":"ITEM-1","issued":{"date-parts":[["1998"]]},"number":"56","publisher-place":"Manchester, UK","title":"Small Enterprise Development and the ‘Dutch Disease’ in a Small Economy: The Case of Brunei","type":"report"},"uris":["http://www.mendeley.com/documents/?uuid=ec8b6bde-f5d4-4016-be0d-bf7295161855"]},{"id":"ITEM-2","itemData":{"abstract":"By 2009, Ghana was the second-ranked African producer after South Africa, and had become the world's ninth largest producer of gold, at some 3.8% of global production, up from 2.6% five years earlier. Gold production volumes and revenues rose significantly over the decade from 2000. Yet gold mining tends to be perceived negatively in Ghana, and is seen as providing far less than it should in terms of public revenue, employment, skills development and spillovers, and localised economic development. Gold mining is often depicted as having an enclave status, disconnected and isolated from the rest of the economy. In contrast, the research findings here demonstrate that after a period of strong investment and growth, gold mining can no longer be viewed as an enclave activity: it is in fact more deeply linked into the Ghanaian economy than hitherto understood, through a set of as yet under-researched but promising economic linkages, notably backward linkages, which can potentially be strengthened by policy and support measures. © 2012 Elsevier Ltd.","author":[{"dropping-particle":"","family":"Bloch","given":"Robin","non-dropping-particle":"","parse-names":false,"suffix":""},{"dropping-particle":"","family":"Owusu","given":"George","non-dropping-particle":"","parse-names":false,"suffix":""}],"container-title":"Resources Policy","id":"ITEM-2","issue":"4","issued":{"date-parts":[["2012"]]},"page":"434-442","publisher":"Elsevier","title":"Linkages in Ghana's gold mining industry: challenging the enclave thesis","type":"article-journal","volume":"37"},"uris":["http://www.mendeley.com/documents/?uuid=6d9dbbba-9674-46e7-a9c9-052ada2c1fb4"]},{"id":"ITEM-3","itemData":{"abstract":"The impacts that increased transnational extractive industry investments are having on local populations in natural resource-rich regions of sub-Saharan Africa are diverse, far-reaching and complex. A surge of recent investment has been variously met by resistance and rejection, by acquiescence combined with demands for better labour conditions, and outright acceptance in anticipation of gainful employment. Drawing on recent field-based research carried out in diamondiferous Kono District in Sierra Leone, this paper critically explores these contrasting responses to mining activities, by focusing on how youth perceive and respond to extractive industry expansion. The analysis is particularly salient in the case of Sierra Leone, as Kono's prime alluvial diamond areas are becoming ‘mined out’, and artisanal and small-scale operations are being replaced by more capital intensive modes of mechanized extraction. In an environment where the demand for unskilled labour is diminishing, and young people are facing pressing livelihood needs in an employment-constrained economy, youth are playing important roles in rights-based mobilizations around mining. The paper aims to broaden understanding of youth perceptions of mining investment, and illuminate the various factors underlying a diverse range of responses to the expansion of extractive industries. It concludes by reflecting on how youth perceptions of extractive industry expansion may also be influencing the ways in which mining companies understand and fashion their business and social responsibility strategies.","author":[{"dropping-particle":"","family":"Maconachie","given":"Roy","non-dropping-particle":"","parse-names":false,"suffix":""}],"container-title":"Futures","id":"ITEM-3","issue":"Part A","issued":{"date-parts":[["2014"]]},"page":"75-82","title":"Dispossession, exploitation or employment? youth livelihoods and extractive industry investment in Sierra Leone","type":"article-journal","volume":"62"},"uris":["http://www.mendeley.com/documents/?uuid=307857ed-9dc2-4808-bd81-10d67d3c6237"]}],"mendeley":{"formattedCitation":"(Bloch &amp; Owusu, 2012; Heeks, 1998; Maconachie, 2014)","plainTextFormattedCitation":"(Bloch &amp; Owusu, 2012; Heeks, 1998; Maconachie, 2014)","previouslyFormattedCitation":"(Bloch &amp; Owusu, 2012; Heeks, 1998; Maconachie,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(Bloch &amp; Owusu, 2012; Heeks, 1998; Maconachie, 2014)</w:t>
      </w:r>
      <w:r w:rsidRPr="004E053C">
        <w:rPr>
          <w:rFonts w:cstheme="majorHAnsi"/>
          <w:sz w:val="22"/>
          <w:szCs w:val="22"/>
          <w:lang w:val="en-GB"/>
        </w:rPr>
        <w:fldChar w:fldCharType="end"/>
      </w:r>
      <w:r w:rsidRPr="004E053C">
        <w:rPr>
          <w:rFonts w:cstheme="majorHAnsi"/>
          <w:sz w:val="22"/>
          <w:szCs w:val="22"/>
          <w:lang w:val="en-GB"/>
        </w:rPr>
        <w:t xml:space="preserve">. As a result, large-scale mining is often thought to damage social cohesion and produce social unrest, particularly in the Latin American context </w:t>
      </w:r>
      <w:r w:rsidRPr="004E053C">
        <w:rPr>
          <w:rFonts w:cstheme="majorHAnsi"/>
          <w:sz w:val="22"/>
          <w:szCs w:val="22"/>
          <w:lang w:val="en-GB"/>
        </w:rPr>
        <w:fldChar w:fldCharType="begin" w:fldLock="1"/>
      </w:r>
      <w:r w:rsidR="000D3B60" w:rsidRPr="004E053C">
        <w:rPr>
          <w:rFonts w:cstheme="majorHAnsi"/>
          <w:sz w:val="22"/>
          <w:szCs w:val="22"/>
          <w:lang w:val="en-GB"/>
        </w:rPr>
        <w:instrText>ADDIN CSL_CITATION {"citationItems":[{"id":"ITEM-1","itemData":{"abstract":"Investments in extractive industries, predominantly mining, have catalyzed significant economic growth at the national level in Latin America. However, they have also been met with opposition and resistance from many local communities. This paper argues that global extractive industries have not only introduced radical changes and territorial pressures across many local communities but have also introduced important changes in the “dynamics of contention.” The paper analyzes the ‘glocalization’ of mining conflict, examining, on one hand, the globalization of communities' mobilization against mining, and on the other, the localization and fragmentation of these protests domestically. It argues that the combination of three conditions has provoked these simultaneous and paradoxical characteristics. First, technological changes within the mining industry have led to an increasing geographical extension of mining operations, reaching small localities where the industry had never arrived before. Second, the centrality of the industry in the economy of the country has resulted in a direct institutional nexus and in a contentious ‘counterpoint' between scattered mining communities and agencies of the central government. Third, rural communities opposing transnational mining companies have become allied to transnational networks of activism injecting mobilization resources and facilitating international media coverage.","author":[{"dropping-particle":"","family":"Paredes","given":"Maritza","non-dropping-particle":"","parse-names":false,"suffix":""}],"container-title":"Extractive Industries and Society","id":"ITEM-1","issue":"4","issued":{"date-parts":[["2016"]]},"page":"1046-1057","publisher":"Elsevier Ltd.","title":"The glocalization of mining conflict: Cases from Peru","type":"article-journal","volume":"3"},"uris":["http://www.mendeley.com/documents/?uuid=831f9331-b401-490e-addc-04b5e3c4fb6e"]},{"id":"ITEM-2","itemData":{"abstract":"The last decade and a half has witnessed a dramatic growth in mining activity in many developing countries. This paper reviews these recent trends and describes the debates and conflicts they have triggered. We review evidence regarding debates on the resource curse and the possibility of an extraction-led pathway to development. We then describe the different types of resistance and social mobilisation that have greeted mineral expansion at a range of geographical scales, and consider how far these protests have changed the relationships between mining and political economic change. The conclusions address how far such protest might contribute to an 'escape' from the resource curse, and consider implications for research and policy agendas.","author":[{"dropping-particle":"","family":"Bebbington","given":"Anthony","non-dropping-particle":"","parse-names":false,"suffix":""},{"dropping-particle":"","family":"Hinojosa","given":"Leonith","non-dropping-particle":"","parse-names":false,"suffix":""},{"dropping-particle":"","family":"Bebbington","given":"Denise Humphreys","non-dropping-particle":"","parse-names":false,"suffix":""},{"dropping-particle":"","family":"Burneo","given":"Maria Luisa","non-dropping-particle":"","parse-names":false,"suffix":""},{"dropping-particle":"","family":"Warnaars","given":"Ximena","non-dropping-particle":"","parse-names":false,"suffix":""}],"container-title":"Development and Change","id":"ITEM-2","issue":"6","issued":{"date-parts":[["2008"]]},"page":"887-914","title":"Contention and ambiguity: mining and the possibilities of development","type":"article-journal","volume":"39"},"uris":["http://www.mendeley.com/documents/?uuid=476414f1-dc93-4cfe-b0b1-e66b3dbe3e1a"]},{"id":"ITEM-3","itemData":{"author":[{"dropping-particle":"","family":"Arce","given":"Moises","non-dropping-particle":"","parse-names":false,"suffix":""}],"edition":"First","id":"ITEM-3","issued":{"date-parts":[["2014"]]},"number-of-pages":"160","publisher":"University of Pittsburgh Press","publisher-place":"Pittsburgh, PA.","title":"Resource Extraction and Protest in Peru","type":"book"},"uris":["http://www.mendeley.com/documents/?uuid=3b7d0c3b-4299-435a-bd91-683f23f998ba"]},{"id":"ITEM-4","itemData":{"abstract":"Despite violent protests across Latin America, policies to make mining more environmentally sound and socially acceptable remain elusive. This essay explores the factors that hinder progress in resolving mining conflicts. It describes the fiscal incentives that drive governments to promote mining, the environmental risks inherent in open pit mining, and the divisive property rights that contribute to conflict. While no mining is environmentally benign, more can be done to protect the health and livelihoods of local communities. Progress requires not only improving the technical capacity of institutions tasked with environmental monitoring but also resolving the deeply rooted social divisions in the region. Affirming the rights of local communities - nonindigenous as well as indigenous - to control zoning, water supplies and the financial benefits of mining would both better link governance to those most affected and, in many cases, reduce poverty.","author":[{"dropping-particle":"","family":"Helwege","given":"Ann","non-dropping-particle":"","parse-names":false,"suffix":""}],"container-title":"Extractive Industries and Society","id":"ITEM-4","issue":"1","issued":{"date-parts":[["2015"]]},"page":"73-84","publisher":"Elsevier Ltd","title":"Challenges with resolving mining conflicts in Latin America","type":"article-journal","volume":"2"},"uris":["http://www.mendeley.com/documents/?uuid=90d97209-2390-479c-8391-bd46dadc69ac"]},{"id":"ITEM-5","itemData":{"abstract":"In the early part of this decade, at the beginning of the recent international commodity price boom, Peru adopted major components of the new ‘localist’ policy paradigm for the management of natural resources. A large fraction of revenues were transferred to the subnational governments in the mining areas. Additionally, the government encouraged mining companies to assume a more active role locally. The results have been disappointing. Statistical and fieldwork evidence shows that these policies have exacerbated local political conflicts. The new ‘localist’ policy paradigm is unlikely to be effective when, as in contemporary Peru, national political institutions are not supportive.","author":[{"dropping-particle":"","family":"Arellano-Yanguas","given":"Javier","non-dropping-particle":"","parse-names":false,"suffix":""}],"container-title":"Journal of Development Studies","id":"ITEM-5","issue":"4","issued":{"date-parts":[["2011"]]},"page":"617-638","title":"Aggravating the resource curse: Decentralisation, mining and conflict in Peru","type":"article-journal","volume":"47"},"uris":["http://www.mendeley.com/documents/?uuid=58da3e71-abdf-4d9e-9e05-8f12a00c49d6"]}],"mendeley":{"formattedCitation":"(Arce, 2014; Arellano-Yanguas, 2011; Bebbington, Hinojosa, Bebbington, Burneo, &amp; Warnaars, 2008; Helwege, 2015; M. Paredes, 2016)","manualFormatting":"(Arce, 2014; Arellano-Yanguas, 2011; Bebbington et al, 2008; Helwege, 2015; Paredes, 2016)","plainTextFormattedCitation":"(Arce, 2014; Arellano-Yanguas, 2011; Bebbington, Hinojosa, Bebbington, Burneo, &amp; Warnaars, 2008; Helwege, 2015; M. Paredes, 2016)","previouslyFormattedCitation":"(Arce, 2014; Arellano-Yanguas, 2011; Bebbington, Hinojosa, Bebbington, Burneo, &amp; Warnaars, 2008; Helwege, 2015; M. Paredes, 2016)"},"properties":{"noteIndex":0},"schema":"https://github.com/citation-style-language/schema/raw/master/csl-citation.json"}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(Arce, 2014; Arellano-Yanguas, 2011; Bebbington et al, 2008; Helwege, 2015; Paredes, 2016)</w:t>
      </w:r>
      <w:r w:rsidRPr="004E053C">
        <w:rPr>
          <w:rFonts w:cstheme="majorHAnsi"/>
          <w:sz w:val="22"/>
          <w:szCs w:val="22"/>
          <w:lang w:val="en-GB"/>
        </w:rPr>
        <w:fldChar w:fldCharType="end"/>
      </w:r>
      <w:r w:rsidRPr="004E053C">
        <w:rPr>
          <w:rFonts w:cstheme="majorHAnsi"/>
          <w:sz w:val="22"/>
          <w:szCs w:val="22"/>
          <w:lang w:val="en-GB"/>
        </w:rPr>
        <w:t>.</w:t>
      </w:r>
    </w:p>
    <w:p w14:paraId="1F84D601" w14:textId="77777777" w:rsidR="00D36963" w:rsidRPr="004E053C" w:rsidRDefault="00D36963" w:rsidP="004E053C">
      <w:pPr>
        <w:widowControl w:val="0"/>
        <w:autoSpaceDE w:val="0"/>
        <w:autoSpaceDN w:val="0"/>
        <w:adjustRightInd w:val="0"/>
        <w:spacing w:line="360" w:lineRule="auto"/>
        <w:jc w:val="both"/>
        <w:rPr>
          <w:rFonts w:cstheme="majorHAnsi"/>
          <w:color w:val="FF0000"/>
          <w:sz w:val="22"/>
          <w:szCs w:val="22"/>
          <w:highlight w:val="yellow"/>
          <w:lang w:val="en-GB"/>
        </w:rPr>
      </w:pPr>
    </w:p>
    <w:p w14:paraId="778B77C3" w14:textId="1BFF4685" w:rsidR="00E05EEF" w:rsidRPr="009F11B8" w:rsidRDefault="00D36963" w:rsidP="00E05EEF">
      <w:pPr>
        <w:widowControl w:val="0"/>
        <w:autoSpaceDE w:val="0"/>
        <w:autoSpaceDN w:val="0"/>
        <w:adjustRightInd w:val="0"/>
        <w:spacing w:line="360" w:lineRule="auto"/>
        <w:jc w:val="both"/>
        <w:rPr>
          <w:rFonts w:cstheme="minorHAnsi"/>
          <w:sz w:val="22"/>
          <w:szCs w:val="22"/>
          <w:lang w:val="en-GB"/>
        </w:rPr>
      </w:pPr>
      <w:r w:rsidRPr="004E053C">
        <w:rPr>
          <w:rFonts w:cstheme="majorHAnsi"/>
          <w:sz w:val="22"/>
          <w:szCs w:val="22"/>
          <w:lang w:val="en-GB"/>
        </w:rPr>
        <w:t>In most gold producing developing nations, large-scale mining is not the complete picture. Instead, as in other mineral sectors, there are also thousands of miners trying to earn an income from artisanal and small-scale gold mining (ASM), which generates approximately 20% of the world's gold productio</w:t>
      </w:r>
      <w:r w:rsidR="00C4366D" w:rsidRPr="004E053C">
        <w:rPr>
          <w:rFonts w:cstheme="majorHAnsi"/>
          <w:sz w:val="22"/>
          <w:szCs w:val="22"/>
          <w:lang w:val="en-GB"/>
        </w:rPr>
        <w:t xml:space="preserve">n </w:t>
      </w:r>
      <w:r w:rsidR="00C4366D" w:rsidRPr="004E053C">
        <w:rPr>
          <w:rFonts w:cstheme="majorHAnsi"/>
          <w:sz w:val="22"/>
          <w:szCs w:val="22"/>
          <w:lang w:val="en-GB"/>
        </w:rPr>
        <w:fldChar w:fldCharType="begin" w:fldLock="1"/>
      </w:r>
      <w:r w:rsidR="00E65D31" w:rsidRPr="004E053C">
        <w:rPr>
          <w:rFonts w:cstheme="majorHAnsi"/>
          <w:sz w:val="22"/>
          <w:szCs w:val="22"/>
          <w:lang w:val="en-GB"/>
        </w:rPr>
        <w:instrText>ADDIN CSL_CITATION {"citationItems":[{"id":"ITEM-1","itemData":{"author":[{"dropping-particle":"","family":"IGF","given":"","non-dropping-particle":"","parse-names":false,"suffix":""}],"id":"ITEM-1","issued":{"date-parts":[["2017"]]},"publisher-place":"Winnipeg","title":"Global Trends in Artisanal and Small-Scale Mining (ASM): A Review of Key Numbers and Issues","type":"report"},"uris":["http://www.mendeley.com/documents/?uuid=638bfdcd-c164-4e83-9b40-1a994eb606c8"]}],"mendeley":{"formattedCitation":"(IGF, 2017)","plainTextFormattedCitation":"(IGF, 2017)","previouslyFormattedCitation":"(IGF, 2017)"},"properties":{"noteIndex":0},"schema":"https://github.com/citation-style-language/schema/raw/master/csl-citation.json"}</w:instrText>
      </w:r>
      <w:r w:rsidR="00C4366D" w:rsidRPr="004E053C">
        <w:rPr>
          <w:rFonts w:cstheme="majorHAnsi"/>
          <w:sz w:val="22"/>
          <w:szCs w:val="22"/>
          <w:lang w:val="en-GB"/>
        </w:rPr>
        <w:fldChar w:fldCharType="separate"/>
      </w:r>
      <w:r w:rsidR="00C4366D" w:rsidRPr="004E053C">
        <w:rPr>
          <w:rFonts w:cstheme="majorHAnsi"/>
          <w:noProof/>
          <w:sz w:val="22"/>
          <w:szCs w:val="22"/>
          <w:lang w:val="en-GB"/>
        </w:rPr>
        <w:t>(IGF, 2017)</w:t>
      </w:r>
      <w:r w:rsidR="00C4366D" w:rsidRPr="004E053C">
        <w:rPr>
          <w:rFonts w:cstheme="majorHAnsi"/>
          <w:sz w:val="22"/>
          <w:szCs w:val="22"/>
          <w:lang w:val="en-GB"/>
        </w:rPr>
        <w:fldChar w:fldCharType="end"/>
      </w:r>
      <w:r w:rsidRPr="004E053C">
        <w:rPr>
          <w:rFonts w:cstheme="minorHAnsi"/>
          <w:sz w:val="22"/>
          <w:szCs w:val="22"/>
          <w:lang w:val="en-GB"/>
        </w:rPr>
        <w:t xml:space="preserve">. </w:t>
      </w:r>
      <w:r w:rsidRPr="004E053C">
        <w:rPr>
          <w:rFonts w:eastAsia="Times New Roman" w:cstheme="minorHAnsi"/>
          <w:sz w:val="22"/>
          <w:szCs w:val="22"/>
          <w:lang w:val="en-GB"/>
        </w:rPr>
        <w:t xml:space="preserve">The price of gold increased fourfold from 2002 to 2012, which increased investment in large-scale gold projects across Latin America </w:t>
      </w:r>
      <w:r w:rsidRPr="004E053C">
        <w:rPr>
          <w:rFonts w:eastAsia="Times New Roman" w:cstheme="minorHAnsi"/>
          <w:sz w:val="22"/>
          <w:szCs w:val="22"/>
          <w:lang w:val="en-GB"/>
        </w:rPr>
        <w:fldChar w:fldCharType="begin" w:fldLock="1"/>
      </w:r>
      <w:r w:rsidR="00680892" w:rsidRPr="004E053C">
        <w:rPr>
          <w:rFonts w:eastAsia="Times New Roman" w:cstheme="minorHAnsi"/>
          <w:sz w:val="22"/>
          <w:szCs w:val="22"/>
          <w:lang w:val="en-GB"/>
        </w:rPr>
        <w:instrText>ADDIN CSL_CITATION {"citationItems":[{"id":"ITEM-1","itemData":{"abstract":"As gold prices rose between 2002 and 2012, Afro-descendant gold miners confronted illegal outsider-owned gold mines on their land in Colombia’s northwest Chocó department. This article examines why these Afro-descendant miners, who used hand tools and techniques, often invited the outsiders, who used heavy machinery and mercury, to work their mines. Their reasons included: familial pressure over land, profit sharing, high prices, access to gold, and dangerous working conditions. The decision to invite in the outsiders complicates the conventional narrative of a coercive relationship between outsiders and Afro-descendant communities, even as the relationship produced worse than expected outcomes for both sides.","author":[{"dropping-particle":"","family":"Tubb","given":"Daniel","non-dropping-particle":"","parse-names":false,"suffix":""}],"container-title":"The Extractive Industries and Society","id":"ITEM-1","issue":"4","issued":{"date-parts":[["2015"]]},"page":"722-733","title":"Muddy decisions: Gold in the Choco, Colombia","type":"article-journal","volume":"2"},"uris":["http://www.mendeley.com/documents/?uuid=0a37e678-351f-4105-81a4-df99fce7704c"]}],"mendeley":{"formattedCitation":"(Tubb, 2015)","plainTextFormattedCitation":"(Tubb, 2015)","previouslyFormattedCitation":"(Tubb, 2015)"},"properties":{"noteIndex":0},"schema":"https://github.com/citation-style-language/schema/raw/master/csl-citation.json"}</w:instrText>
      </w:r>
      <w:r w:rsidRPr="004E053C">
        <w:rPr>
          <w:rFonts w:eastAsia="Times New Roman" w:cstheme="minorHAnsi"/>
          <w:sz w:val="22"/>
          <w:szCs w:val="22"/>
          <w:lang w:val="en-GB"/>
        </w:rPr>
        <w:fldChar w:fldCharType="separate"/>
      </w:r>
      <w:r w:rsidR="009220E9" w:rsidRPr="004E053C">
        <w:rPr>
          <w:rFonts w:eastAsia="Times New Roman" w:cstheme="minorHAnsi"/>
          <w:noProof/>
          <w:sz w:val="22"/>
          <w:szCs w:val="22"/>
          <w:lang w:val="en-GB"/>
        </w:rPr>
        <w:t>(Tubb, 2015)</w:t>
      </w:r>
      <w:r w:rsidRPr="004E053C">
        <w:rPr>
          <w:rFonts w:eastAsia="Times New Roman" w:cstheme="minorHAnsi"/>
          <w:sz w:val="22"/>
          <w:szCs w:val="22"/>
          <w:lang w:val="en-GB"/>
        </w:rPr>
        <w:fldChar w:fldCharType="end"/>
      </w:r>
      <w:r w:rsidRPr="004E053C">
        <w:rPr>
          <w:rFonts w:eastAsia="Times New Roman" w:cstheme="minorHAnsi"/>
          <w:sz w:val="22"/>
          <w:szCs w:val="22"/>
          <w:lang w:val="en-GB"/>
        </w:rPr>
        <w:t xml:space="preserve">, but also led to a sharp increase in ASM gold production and the number of people employed in the sector </w:t>
      </w:r>
      <w:r w:rsidRPr="004E053C">
        <w:rPr>
          <w:rFonts w:cstheme="minorHAnsi"/>
          <w:sz w:val="22"/>
          <w:szCs w:val="22"/>
          <w:lang w:val="en-GB"/>
        </w:rPr>
        <w:fldChar w:fldCharType="begin" w:fldLock="1"/>
      </w:r>
      <w:r w:rsidR="005D0B08">
        <w:rPr>
          <w:rFonts w:cstheme="minorHAnsi"/>
          <w:sz w:val="22"/>
          <w:szCs w:val="22"/>
          <w:lang w:val="en-GB"/>
        </w:rPr>
        <w:instrText>ADDIN CSL_CITATION {"citationItems":[{"id":"ITEM-1","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-1","issued":{"date-parts":[["2013"]]},"page":"1-17","publisher":"Cuadernos del CEDLA no.26","publisher-place":"Amsterdam","title":"Small-scale gold mining in the Amazon","type":"chapter"},"uris":["http://www.mendeley.com/documents/?uuid=92fc2d78-55d0-4473-a651-4b870d4fb876"]}],"mendeley":{"formattedCitation":"(L. Cremers &amp; de Theije, 2013)","manualFormatting":"(Cremers &amp; de Theije, 2013)","plainTextFormattedCitation":"(L. Cremers &amp; de Theije, 2013)","previouslyFormattedCitation":"(L. Cremers &amp; de Theije, 2013)"},"properties":{"noteIndex":0},"schema":"https://github.com/citation-style-language/schema/raw/master/csl-citation.json"}</w:instrText>
      </w:r>
      <w:r w:rsidRPr="004E053C">
        <w:rPr>
          <w:rFonts w:cstheme="minorHAnsi"/>
          <w:sz w:val="22"/>
          <w:szCs w:val="22"/>
          <w:lang w:val="en-GB"/>
        </w:rPr>
        <w:fldChar w:fldCharType="separate"/>
      </w:r>
      <w:r w:rsidR="00F52DF1" w:rsidRPr="004E053C">
        <w:rPr>
          <w:rFonts w:cstheme="minorHAnsi"/>
          <w:noProof/>
          <w:sz w:val="22"/>
          <w:szCs w:val="22"/>
          <w:lang w:val="en-GB"/>
        </w:rPr>
        <w:t>(</w:t>
      </w:r>
      <w:r w:rsidR="00EB10C1" w:rsidRPr="004E053C">
        <w:rPr>
          <w:rFonts w:cstheme="minorHAnsi"/>
          <w:noProof/>
          <w:sz w:val="22"/>
          <w:szCs w:val="22"/>
          <w:lang w:val="en-GB"/>
        </w:rPr>
        <w:t>Cremers &amp; de Theije, 2013)</w:t>
      </w:r>
      <w:r w:rsidRPr="004E053C">
        <w:rPr>
          <w:rFonts w:cstheme="minorHAnsi"/>
          <w:sz w:val="22"/>
          <w:szCs w:val="22"/>
          <w:lang w:val="en-GB"/>
        </w:rPr>
        <w:fldChar w:fldCharType="end"/>
      </w:r>
      <w:r w:rsidRPr="004E053C">
        <w:rPr>
          <w:rFonts w:cstheme="minorHAnsi"/>
          <w:sz w:val="22"/>
          <w:szCs w:val="22"/>
          <w:lang w:val="en-GB"/>
        </w:rPr>
        <w:t xml:space="preserve">. Although ASM labour intensive and makes use of simple technology </w:t>
      </w:r>
      <w:r w:rsidRPr="004E053C">
        <w:rPr>
          <w:rFonts w:cstheme="minorHAnsi"/>
          <w:sz w:val="22"/>
          <w:szCs w:val="22"/>
          <w:lang w:val="en-GB"/>
        </w:rPr>
        <w:fldChar w:fldCharType="begin" w:fldLock="1"/>
      </w:r>
      <w:r w:rsidR="005D0B08">
        <w:rPr>
          <w:rFonts w:cstheme="minorHAnsi"/>
          <w:sz w:val="22"/>
          <w:szCs w:val="22"/>
          <w:lang w:val="en-GB"/>
        </w:rPr>
        <w:instrText>ADDIN CSL_CITATION {"citationItems":[{"id":"ITEM-1","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-1","issued":{"date-parts":[["2013"]]},"page":"1-17","publisher":"Cuadernos del CEDLA no.26","publisher-place":"Amsterdam","title":"Small-scale gold mining in the Amazon","type":"chapter"},"uris":["http://www.mendeley.com/documents/?uuid=92fc2d78-55d0-4473-a651-4b870d4fb876"]}],"mendeley":{"formattedCitation":"(L. Cremers &amp; de Theije, 2013)","manualFormatting":"(Ibid.)","plainTextFormattedCitation":"(L. Cremers &amp; de Theije, 2013)","previouslyFormattedCitation":"(L. Cremers &amp; de Theije, 2013)"},"properties":{"noteIndex":0},"schema":"https://github.com/citation-style-language/schema/raw/master/csl-citation.json"}</w:instrText>
      </w:r>
      <w:r w:rsidRPr="004E053C">
        <w:rPr>
          <w:rFonts w:cstheme="minorHAnsi"/>
          <w:sz w:val="22"/>
          <w:szCs w:val="22"/>
          <w:lang w:val="en-GB"/>
        </w:rPr>
        <w:fldChar w:fldCharType="separate"/>
      </w:r>
      <w:r w:rsidR="00F52DF1" w:rsidRPr="004E053C">
        <w:rPr>
          <w:rFonts w:cstheme="minorHAnsi"/>
          <w:noProof/>
          <w:sz w:val="22"/>
          <w:szCs w:val="22"/>
          <w:lang w:val="en-GB"/>
        </w:rPr>
        <w:t>(</w:t>
      </w:r>
      <w:r w:rsidR="00C4366D" w:rsidRPr="004E053C">
        <w:rPr>
          <w:rFonts w:cstheme="minorHAnsi"/>
          <w:noProof/>
          <w:sz w:val="22"/>
          <w:szCs w:val="22"/>
          <w:lang w:val="en-GB"/>
        </w:rPr>
        <w:t>Ibid.</w:t>
      </w:r>
      <w:r w:rsidR="00EB10C1" w:rsidRPr="004E053C">
        <w:rPr>
          <w:rFonts w:cstheme="minorHAnsi"/>
          <w:noProof/>
          <w:sz w:val="22"/>
          <w:szCs w:val="22"/>
          <w:lang w:val="en-GB"/>
        </w:rPr>
        <w:t>)</w:t>
      </w:r>
      <w:r w:rsidRPr="004E053C">
        <w:rPr>
          <w:rFonts w:cstheme="minorHAnsi"/>
          <w:sz w:val="22"/>
          <w:szCs w:val="22"/>
          <w:lang w:val="en-GB"/>
        </w:rPr>
        <w:fldChar w:fldCharType="end"/>
      </w:r>
      <w:r w:rsidRPr="004E053C">
        <w:rPr>
          <w:rFonts w:cstheme="minorHAnsi"/>
          <w:color w:val="000000"/>
          <w:sz w:val="22"/>
          <w:szCs w:val="22"/>
          <w:lang w:val="en-GB" w:eastAsia="zh-CN"/>
        </w:rPr>
        <w:t xml:space="preserve">, more elaborate mechanics and highly sophisticated divisions of labour and revenues have been developed in some areas </w:t>
      </w:r>
      <w:r w:rsidRPr="004E053C">
        <w:rPr>
          <w:rFonts w:cstheme="minorHAnsi"/>
          <w:color w:val="000000"/>
          <w:sz w:val="22"/>
          <w:szCs w:val="22"/>
          <w:lang w:val="en-GB" w:eastAsia="zh-CN"/>
        </w:rPr>
        <w:fldChar w:fldCharType="begin" w:fldLock="1"/>
      </w:r>
      <w:r w:rsidR="00517F61" w:rsidRPr="004E053C">
        <w:rPr>
          <w:rFonts w:cstheme="minorHAnsi"/>
          <w:color w:val="000000"/>
          <w:sz w:val="22"/>
          <w:szCs w:val="22"/>
          <w:lang w:val="en-GB" w:eastAsia="zh-CN"/>
        </w:rPr>
        <w:instrText>ADDIN CSL_CITATION {"citationItems":[{"id":"ITEM-1","itemData":{"author":[{"dropping-particle":"","family":"Butler","given":"P","non-dropping-particle":"","parse-names":false,"suffix":""}],"id":"ITEM-1","issued":{"date-parts":[["2015"]]},"publisher":"University of Toronto Press","publisher-place":"Toronto","title":"Colonial Extractions: Race and Canadian Mining in Contemporary Africa","type":"book"},"uris":["http://www.mendeley.com/documents/?uuid=be0f6391-899d-46b0-be71-1ae8b8d9679f","http://www.mendeley.com/documents/?uuid=b3e5f18c-752b-4179-a844-ba158c6b8512"]},{"id":"ITEM-2","itemData":{"author":[{"dropping-particle":"","family":"Huggins","given":"C","non-dropping-particle":"","parse-names":false,"suffix":""},{"dropping-particle":"","family":"Buss","given":"D","non-dropping-particle":"","parse-names":false,"suffix":""},{"dropping-particle":"","family":"Rutherford","given":"B","non-dropping-particle":"","parse-names":false,"suffix":""}],"container-title":"Geoforum","id":"ITEM-2","issued":{"date-parts":[["2017"]]},"page":"142-152","title":"A 'cartography of concern': place-making practices and gender in the artisanal mining sector in Africa","type":"article-journal","volume":"83"},"uris":["http://www.mendeley.com/documents/?uuid=e50729d3-9142-4ed7-ae1f-c0ab01abedf3"]}],"mendeley":{"formattedCitation":"(Butler, 2015; Huggins, Buss, &amp; Rutherford, 2017)","plainTextFormattedCitation":"(Butler, 2015; Huggins, Buss, &amp; Rutherford, 2017)","previouslyFormattedCitation":"(Butler, 2015; Huggins, Buss, &amp; Rutherford, 2017)"},"properties":{"noteIndex":0},"schema":"https://github.com/citation-style-language/schema/raw/master/csl-citation.json"}</w:instrText>
      </w:r>
      <w:r w:rsidRPr="004E053C">
        <w:rPr>
          <w:rFonts w:cstheme="minorHAnsi"/>
          <w:color w:val="000000"/>
          <w:sz w:val="22"/>
          <w:szCs w:val="22"/>
          <w:lang w:val="en-GB" w:eastAsia="zh-CN"/>
        </w:rPr>
        <w:fldChar w:fldCharType="separate"/>
      </w:r>
      <w:r w:rsidR="0004146F" w:rsidRPr="004E053C">
        <w:rPr>
          <w:rFonts w:cstheme="minorHAnsi"/>
          <w:noProof/>
          <w:color w:val="000000"/>
          <w:sz w:val="22"/>
          <w:szCs w:val="22"/>
          <w:lang w:val="en-GB" w:eastAsia="zh-CN"/>
        </w:rPr>
        <w:t>(Butler, 2015; Huggins, Buss, &amp; Rutherford, 2017)</w:t>
      </w:r>
      <w:r w:rsidRPr="004E053C">
        <w:rPr>
          <w:rFonts w:cstheme="minorHAnsi"/>
          <w:color w:val="000000"/>
          <w:sz w:val="22"/>
          <w:szCs w:val="22"/>
          <w:lang w:val="en-GB" w:eastAsia="zh-CN"/>
        </w:rPr>
        <w:fldChar w:fldCharType="end"/>
      </w:r>
      <w:r w:rsidRPr="004E053C">
        <w:rPr>
          <w:rFonts w:cstheme="minorHAnsi"/>
          <w:sz w:val="22"/>
          <w:szCs w:val="22"/>
          <w:lang w:val="en-GB"/>
        </w:rPr>
        <w:t xml:space="preserve">. </w:t>
      </w:r>
      <w:r w:rsidR="00E05EEF">
        <w:rPr>
          <w:rFonts w:cstheme="minorHAnsi"/>
          <w:sz w:val="22"/>
          <w:szCs w:val="22"/>
          <w:lang w:val="en-GB"/>
        </w:rPr>
        <w:t>As g</w:t>
      </w:r>
      <w:r w:rsidR="00E05EEF" w:rsidRPr="009F11B8">
        <w:rPr>
          <w:rFonts w:cstheme="minorHAnsi"/>
          <w:sz w:val="22"/>
          <w:szCs w:val="22"/>
          <w:lang w:val="en-GB"/>
        </w:rPr>
        <w:t>old deposits can become quickly</w:t>
      </w:r>
      <w:r w:rsidR="00E05EEF" w:rsidRPr="009F11B8">
        <w:rPr>
          <w:rFonts w:cstheme="majorHAnsi"/>
          <w:sz w:val="22"/>
          <w:szCs w:val="22"/>
          <w:lang w:val="en-GB"/>
        </w:rPr>
        <w:t xml:space="preserve"> exhausted, ASM is more commonly associated with migration than large-scale mining </w:t>
      </w:r>
      <w:r w:rsidR="00E05EEF" w:rsidRPr="009F11B8">
        <w:rPr>
          <w:rFonts w:cstheme="majorHAnsi"/>
          <w:sz w:val="22"/>
          <w:szCs w:val="22"/>
          <w:lang w:val="en-GB"/>
        </w:rPr>
        <w:fldChar w:fldCharType="begin" w:fldLock="1"/>
      </w:r>
      <w:r w:rsidR="00E05EEF" w:rsidRPr="009F11B8">
        <w:rPr>
          <w:rFonts w:cstheme="majorHAnsi"/>
          <w:sz w:val="22"/>
          <w:szCs w:val="22"/>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2014)","manualFormatting":"(Ibid.)","plainTextFormattedCitation":"(F. K. Nyame &amp; Grant, 2014)","previouslyFormattedCitation":"(F. K. Nyame &amp; Grant, 2014)"},"properties":{"noteIndex":0},"schema":"https://github.com/citation-style-language/schema/raw/master/csl-citation.json"}</w:instrText>
      </w:r>
      <w:r w:rsidR="00E05EEF" w:rsidRPr="009F11B8">
        <w:rPr>
          <w:rFonts w:cstheme="majorHAnsi"/>
          <w:sz w:val="22"/>
          <w:szCs w:val="22"/>
          <w:lang w:val="en-GB"/>
        </w:rPr>
        <w:fldChar w:fldCharType="separate"/>
      </w:r>
      <w:r w:rsidR="00E05EEF" w:rsidRPr="009F11B8">
        <w:rPr>
          <w:rFonts w:cstheme="majorHAnsi"/>
          <w:noProof/>
          <w:sz w:val="22"/>
          <w:szCs w:val="22"/>
          <w:lang w:val="en-GB"/>
        </w:rPr>
        <w:t>(Nyame and Grant, 2014)</w:t>
      </w:r>
      <w:r w:rsidR="00E05EEF" w:rsidRPr="009F11B8">
        <w:rPr>
          <w:rFonts w:cstheme="majorHAnsi"/>
          <w:sz w:val="22"/>
          <w:szCs w:val="22"/>
          <w:lang w:val="en-GB"/>
        </w:rPr>
        <w:fldChar w:fldCharType="end"/>
      </w:r>
      <w:r w:rsidR="00E05EEF">
        <w:rPr>
          <w:rFonts w:cstheme="majorHAnsi"/>
          <w:sz w:val="22"/>
          <w:szCs w:val="22"/>
          <w:lang w:val="en-GB"/>
        </w:rPr>
        <w:t xml:space="preserve">. </w:t>
      </w:r>
    </w:p>
    <w:p w14:paraId="4D6EC799" w14:textId="77777777" w:rsidR="009F11B8" w:rsidRDefault="009F11B8" w:rsidP="009F11B8">
      <w:pPr>
        <w:widowControl w:val="0"/>
        <w:autoSpaceDE w:val="0"/>
        <w:autoSpaceDN w:val="0"/>
        <w:adjustRightInd w:val="0"/>
        <w:spacing w:line="360" w:lineRule="auto"/>
        <w:jc w:val="both"/>
        <w:rPr>
          <w:rFonts w:cstheme="minorHAnsi"/>
          <w:sz w:val="22"/>
          <w:szCs w:val="22"/>
          <w:lang w:val="en-GB"/>
        </w:rPr>
      </w:pPr>
    </w:p>
    <w:p w14:paraId="443A9DCE" w14:textId="4C1393A2" w:rsidR="00E05EEF" w:rsidRDefault="00732FB9" w:rsidP="00FC5612">
      <w:pPr>
        <w:widowControl w:val="0"/>
        <w:autoSpaceDE w:val="0"/>
        <w:autoSpaceDN w:val="0"/>
        <w:adjustRightInd w:val="0"/>
        <w:spacing w:line="360" w:lineRule="auto"/>
        <w:jc w:val="both"/>
        <w:rPr>
          <w:rFonts w:cstheme="minorHAnsi"/>
          <w:sz w:val="22"/>
          <w:szCs w:val="22"/>
          <w:lang w:val="en-GB"/>
        </w:rPr>
      </w:pPr>
      <w:r>
        <w:rPr>
          <w:rFonts w:cstheme="minorHAnsi"/>
          <w:sz w:val="22"/>
          <w:szCs w:val="22"/>
          <w:lang w:val="en-GB"/>
        </w:rPr>
        <w:t xml:space="preserve">Artisanal </w:t>
      </w:r>
      <w:r w:rsidR="00D36963" w:rsidRPr="004E053C">
        <w:rPr>
          <w:rFonts w:cstheme="minorHAnsi"/>
          <w:sz w:val="22"/>
          <w:szCs w:val="22"/>
          <w:lang w:val="en-GB"/>
        </w:rPr>
        <w:t>gold miners often exploit alluvial mineral deposits</w:t>
      </w:r>
      <w:r w:rsidR="009F11B8">
        <w:rPr>
          <w:rFonts w:cstheme="minorHAnsi"/>
          <w:sz w:val="22"/>
          <w:szCs w:val="22"/>
          <w:lang w:val="en-GB"/>
        </w:rPr>
        <w:t>, which are found at the bottom of rivers or lakes, through a process known as placer mining.</w:t>
      </w:r>
      <w:r w:rsidR="00D36963" w:rsidRPr="004E053C">
        <w:rPr>
          <w:rFonts w:cstheme="minorHAnsi"/>
          <w:sz w:val="22"/>
          <w:szCs w:val="22"/>
          <w:lang w:val="en-GB"/>
        </w:rPr>
        <w:t xml:space="preserve"> </w:t>
      </w:r>
      <w:r w:rsidR="004F6B89">
        <w:rPr>
          <w:rFonts w:cstheme="minorHAnsi"/>
          <w:sz w:val="22"/>
          <w:szCs w:val="22"/>
          <w:lang w:val="en-GB"/>
        </w:rPr>
        <w:t xml:space="preserve">These </w:t>
      </w:r>
      <w:r w:rsidR="009F11B8">
        <w:rPr>
          <w:rFonts w:cstheme="minorHAnsi"/>
          <w:sz w:val="22"/>
          <w:szCs w:val="22"/>
          <w:lang w:val="en-GB"/>
        </w:rPr>
        <w:t xml:space="preserve">alluvial </w:t>
      </w:r>
      <w:r w:rsidR="004F6B89" w:rsidRPr="004E053C">
        <w:rPr>
          <w:rFonts w:cstheme="minorHAnsi"/>
          <w:sz w:val="22"/>
          <w:szCs w:val="22"/>
          <w:lang w:val="en-GB"/>
        </w:rPr>
        <w:t xml:space="preserve">deposits are </w:t>
      </w:r>
      <w:r w:rsidR="004F6B89">
        <w:rPr>
          <w:rFonts w:cstheme="minorHAnsi"/>
          <w:sz w:val="22"/>
          <w:szCs w:val="22"/>
          <w:lang w:val="en-GB"/>
        </w:rPr>
        <w:t xml:space="preserve">far </w:t>
      </w:r>
      <w:r w:rsidR="004F6B89" w:rsidRPr="004E053C">
        <w:rPr>
          <w:rFonts w:cstheme="minorHAnsi"/>
          <w:sz w:val="22"/>
          <w:szCs w:val="22"/>
          <w:lang w:val="en-GB"/>
        </w:rPr>
        <w:t xml:space="preserve">easier to detect </w:t>
      </w:r>
      <w:r w:rsidR="004F6B89">
        <w:rPr>
          <w:rFonts w:cstheme="minorHAnsi"/>
          <w:sz w:val="22"/>
          <w:szCs w:val="22"/>
          <w:lang w:val="en-GB"/>
        </w:rPr>
        <w:t xml:space="preserve">than hard-rock deposits </w:t>
      </w:r>
      <w:r w:rsidR="004F6B89" w:rsidRPr="004E053C">
        <w:rPr>
          <w:rFonts w:cstheme="minorHAnsi"/>
          <w:sz w:val="22"/>
          <w:szCs w:val="22"/>
          <w:lang w:val="en-GB"/>
        </w:rPr>
        <w:t xml:space="preserve">and do not require extensive economic and technical feasibility studies </w:t>
      </w:r>
      <w:r w:rsidR="004F6B89" w:rsidRPr="004E053C">
        <w:rPr>
          <w:rFonts w:cstheme="minorHAnsi"/>
          <w:sz w:val="22"/>
          <w:szCs w:val="22"/>
          <w:lang w:val="en-GB"/>
        </w:rPr>
        <w:lastRenderedPageBreak/>
        <w:fldChar w:fldCharType="begin" w:fldLock="1"/>
      </w:r>
      <w:r w:rsidR="004F6B89" w:rsidRPr="004E053C">
        <w:rPr>
          <w:rFonts w:cstheme="minorHAnsi"/>
          <w:sz w:val="22"/>
          <w:szCs w:val="22"/>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2014)","manualFormatting":"(Nyame &amp; Grant, 2014)","plainTextFormattedCitation":"(F. K. Nyame &amp; Grant, 2014)","previouslyFormattedCitation":"(F. K. Nyame &amp; Grant, 2014)"},"properties":{"noteIndex":0},"schema":"https://github.com/citation-style-language/schema/raw/master/csl-citation.json"}</w:instrText>
      </w:r>
      <w:r w:rsidR="004F6B89" w:rsidRPr="004E053C">
        <w:rPr>
          <w:rFonts w:cstheme="minorHAnsi"/>
          <w:sz w:val="22"/>
          <w:szCs w:val="22"/>
          <w:lang w:val="en-GB"/>
        </w:rPr>
        <w:fldChar w:fldCharType="separate"/>
      </w:r>
      <w:r w:rsidR="004F6B89" w:rsidRPr="004E053C">
        <w:rPr>
          <w:rFonts w:cstheme="minorHAnsi"/>
          <w:noProof/>
          <w:sz w:val="22"/>
          <w:szCs w:val="22"/>
          <w:lang w:val="en-GB"/>
        </w:rPr>
        <w:t>(Nyame &amp; Grant, 2014)</w:t>
      </w:r>
      <w:r w:rsidR="004F6B89" w:rsidRPr="004E053C">
        <w:rPr>
          <w:rFonts w:cstheme="minorHAnsi"/>
          <w:sz w:val="22"/>
          <w:szCs w:val="22"/>
          <w:lang w:val="en-GB"/>
        </w:rPr>
        <w:fldChar w:fldCharType="end"/>
      </w:r>
      <w:r w:rsidR="004F6B89" w:rsidRPr="004E053C">
        <w:rPr>
          <w:rFonts w:cstheme="minorHAnsi"/>
          <w:sz w:val="22"/>
          <w:szCs w:val="22"/>
          <w:lang w:val="en-GB"/>
        </w:rPr>
        <w:t xml:space="preserve">. </w:t>
      </w:r>
      <w:r w:rsidR="00AA55FE">
        <w:rPr>
          <w:rFonts w:cstheme="minorHAnsi"/>
          <w:sz w:val="22"/>
          <w:szCs w:val="22"/>
          <w:lang w:val="en-GB"/>
        </w:rPr>
        <w:t xml:space="preserve">While </w:t>
      </w:r>
      <w:r w:rsidR="000807A5">
        <w:rPr>
          <w:rFonts w:cstheme="minorHAnsi"/>
          <w:sz w:val="22"/>
          <w:szCs w:val="22"/>
          <w:lang w:val="en-GB"/>
        </w:rPr>
        <w:t>placer mining</w:t>
      </w:r>
      <w:r w:rsidR="00AA55FE">
        <w:rPr>
          <w:rFonts w:cstheme="minorHAnsi"/>
          <w:sz w:val="22"/>
          <w:szCs w:val="22"/>
          <w:lang w:val="en-GB"/>
        </w:rPr>
        <w:t xml:space="preserve"> may be done without </w:t>
      </w:r>
      <w:r w:rsidR="009F11B8">
        <w:rPr>
          <w:rFonts w:cstheme="minorHAnsi"/>
          <w:sz w:val="22"/>
          <w:szCs w:val="22"/>
          <w:lang w:val="en-GB"/>
        </w:rPr>
        <w:t xml:space="preserve">mechanised </w:t>
      </w:r>
      <w:r w:rsidR="00AA55FE">
        <w:rPr>
          <w:rFonts w:cstheme="minorHAnsi"/>
          <w:sz w:val="22"/>
          <w:szCs w:val="22"/>
          <w:lang w:val="en-GB"/>
        </w:rPr>
        <w:t xml:space="preserve">technology, </w:t>
      </w:r>
      <w:r w:rsidR="000807A5">
        <w:rPr>
          <w:rFonts w:cstheme="minorHAnsi"/>
          <w:sz w:val="22"/>
          <w:szCs w:val="22"/>
          <w:lang w:val="en-GB"/>
        </w:rPr>
        <w:t xml:space="preserve">such as through </w:t>
      </w:r>
      <w:r w:rsidR="000807A5" w:rsidRPr="009F11B8">
        <w:rPr>
          <w:rFonts w:cstheme="minorHAnsi"/>
          <w:sz w:val="22"/>
          <w:szCs w:val="22"/>
          <w:lang w:val="en-GB"/>
        </w:rPr>
        <w:t xml:space="preserve">panning for gold in rivers, </w:t>
      </w:r>
      <w:r w:rsidR="00AA55FE" w:rsidRPr="009F11B8">
        <w:rPr>
          <w:rFonts w:cstheme="minorHAnsi"/>
          <w:sz w:val="22"/>
          <w:szCs w:val="22"/>
          <w:lang w:val="en-GB"/>
        </w:rPr>
        <w:t xml:space="preserve">most artisanal miners do use some form of mechanization. </w:t>
      </w:r>
      <w:r w:rsidR="00FC5612" w:rsidRPr="00FC5612">
        <w:rPr>
          <w:rFonts w:cstheme="minorHAnsi"/>
          <w:sz w:val="22"/>
          <w:szCs w:val="22"/>
          <w:lang w:val="en-GB"/>
        </w:rPr>
        <w:t xml:space="preserve">In </w:t>
      </w:r>
      <w:r w:rsidR="00FC5612">
        <w:rPr>
          <w:rFonts w:cstheme="minorHAnsi"/>
          <w:sz w:val="22"/>
          <w:szCs w:val="22"/>
          <w:lang w:val="en-GB"/>
        </w:rPr>
        <w:t xml:space="preserve">the Peruvian region of </w:t>
      </w:r>
      <w:r w:rsidR="00FC5612" w:rsidRPr="00FC5612">
        <w:rPr>
          <w:rFonts w:cstheme="minorHAnsi"/>
          <w:sz w:val="22"/>
          <w:szCs w:val="22"/>
          <w:lang w:val="en-GB"/>
        </w:rPr>
        <w:t>Madre de Dios</w:t>
      </w:r>
      <w:r w:rsidR="00FC5612">
        <w:rPr>
          <w:rFonts w:cstheme="minorHAnsi"/>
          <w:sz w:val="22"/>
          <w:szCs w:val="22"/>
          <w:lang w:val="en-GB"/>
        </w:rPr>
        <w:t xml:space="preserve"> for example, mechanized equipment includes water-pumps,</w:t>
      </w:r>
      <w:r w:rsidR="00FC5612" w:rsidRPr="00FC5612">
        <w:rPr>
          <w:rFonts w:cstheme="minorHAnsi"/>
          <w:sz w:val="22"/>
          <w:szCs w:val="22"/>
          <w:lang w:val="en-GB"/>
        </w:rPr>
        <w:t xml:space="preserve"> </w:t>
      </w:r>
      <w:r w:rsidR="00E05EEF">
        <w:rPr>
          <w:rFonts w:cstheme="minorHAnsi"/>
          <w:sz w:val="22"/>
          <w:szCs w:val="22"/>
          <w:lang w:val="en-GB"/>
        </w:rPr>
        <w:t xml:space="preserve">dredges, </w:t>
      </w:r>
      <w:r w:rsidR="00FC5612">
        <w:rPr>
          <w:rFonts w:cstheme="minorHAnsi"/>
          <w:sz w:val="22"/>
          <w:szCs w:val="22"/>
          <w:lang w:val="en-GB"/>
        </w:rPr>
        <w:t>sweepers</w:t>
      </w:r>
      <w:r w:rsidR="00E05EEF">
        <w:rPr>
          <w:rFonts w:cstheme="minorHAnsi"/>
          <w:sz w:val="22"/>
          <w:szCs w:val="22"/>
          <w:lang w:val="en-GB"/>
        </w:rPr>
        <w:t xml:space="preserve"> and </w:t>
      </w:r>
      <w:r w:rsidR="00AA55FE" w:rsidRPr="009F11B8">
        <w:rPr>
          <w:rFonts w:cstheme="minorHAnsi"/>
          <w:sz w:val="22"/>
          <w:szCs w:val="22"/>
          <w:lang w:val="en-GB"/>
        </w:rPr>
        <w:t>hydraulic excavators (</w:t>
      </w:r>
      <w:r w:rsidR="009F11B8" w:rsidRPr="009F11B8">
        <w:rPr>
          <w:rFonts w:cstheme="minorHAnsi"/>
          <w:sz w:val="22"/>
          <w:szCs w:val="22"/>
          <w:lang w:val="en-GB"/>
        </w:rPr>
        <w:t>Damonte et al, 2012</w:t>
      </w:r>
      <w:r w:rsidR="009F11B8">
        <w:rPr>
          <w:rFonts w:cstheme="minorHAnsi"/>
          <w:sz w:val="22"/>
          <w:szCs w:val="22"/>
          <w:lang w:val="en-GB"/>
        </w:rPr>
        <w:t>).</w:t>
      </w:r>
      <w:r w:rsidR="00315C21">
        <w:rPr>
          <w:rFonts w:cstheme="minorHAnsi"/>
          <w:sz w:val="22"/>
          <w:szCs w:val="22"/>
          <w:lang w:val="en-GB"/>
        </w:rPr>
        <w:t xml:space="preserve"> </w:t>
      </w:r>
      <w:r w:rsidR="00E05EEF">
        <w:rPr>
          <w:rFonts w:cstheme="minorHAnsi"/>
          <w:sz w:val="22"/>
          <w:szCs w:val="22"/>
          <w:lang w:val="en-GB"/>
        </w:rPr>
        <w:t xml:space="preserve">If the alluvial deposits are on land, as they are in some parts of Madre de Dios, bulldozers may even be a common sight (Cremers and de Theije, 2012). </w:t>
      </w:r>
      <w:r w:rsidR="00287185">
        <w:rPr>
          <w:rFonts w:cstheme="minorHAnsi"/>
          <w:sz w:val="22"/>
          <w:szCs w:val="22"/>
          <w:lang w:val="en-GB"/>
        </w:rPr>
        <w:t xml:space="preserve">Once miners have saved enough money, they may </w:t>
      </w:r>
      <w:r w:rsidR="00287185" w:rsidRPr="00287185">
        <w:rPr>
          <w:rFonts w:cstheme="minorHAnsi"/>
          <w:sz w:val="22"/>
          <w:szCs w:val="22"/>
          <w:lang w:val="en-GB"/>
        </w:rPr>
        <w:t xml:space="preserve">consider buying </w:t>
      </w:r>
      <w:r w:rsidR="00287185">
        <w:rPr>
          <w:rFonts w:cstheme="minorHAnsi"/>
          <w:sz w:val="22"/>
          <w:szCs w:val="22"/>
          <w:lang w:val="en-GB"/>
        </w:rPr>
        <w:t xml:space="preserve">such </w:t>
      </w:r>
      <w:r w:rsidR="00315C21">
        <w:rPr>
          <w:rFonts w:cstheme="minorHAnsi"/>
          <w:sz w:val="22"/>
          <w:szCs w:val="22"/>
          <w:lang w:val="en-GB"/>
        </w:rPr>
        <w:t xml:space="preserve">equipment, as this </w:t>
      </w:r>
      <w:r w:rsidR="00E05EEF">
        <w:rPr>
          <w:rFonts w:cstheme="minorHAnsi"/>
          <w:sz w:val="22"/>
          <w:szCs w:val="22"/>
          <w:lang w:val="en-GB"/>
        </w:rPr>
        <w:t>makes it easier to</w:t>
      </w:r>
      <w:r w:rsidR="00287185">
        <w:rPr>
          <w:rFonts w:cstheme="minorHAnsi"/>
          <w:sz w:val="22"/>
          <w:szCs w:val="22"/>
          <w:lang w:val="en-GB"/>
        </w:rPr>
        <w:t xml:space="preserve"> </w:t>
      </w:r>
      <w:r w:rsidR="00287185" w:rsidRPr="00287185">
        <w:rPr>
          <w:rFonts w:cstheme="minorHAnsi"/>
          <w:sz w:val="22"/>
          <w:szCs w:val="22"/>
          <w:lang w:val="en-GB"/>
        </w:rPr>
        <w:t>mine larger quantities of material in</w:t>
      </w:r>
      <w:r w:rsidR="00E05EEF">
        <w:rPr>
          <w:rFonts w:cstheme="minorHAnsi"/>
          <w:sz w:val="22"/>
          <w:szCs w:val="22"/>
          <w:lang w:val="en-GB"/>
        </w:rPr>
        <w:t xml:space="preserve"> less time and with less effort (Ibid, 2012). There is s</w:t>
      </w:r>
      <w:r w:rsidR="009F11B8">
        <w:rPr>
          <w:rFonts w:cstheme="minorHAnsi"/>
          <w:sz w:val="22"/>
          <w:szCs w:val="22"/>
          <w:lang w:val="en-GB"/>
        </w:rPr>
        <w:t xml:space="preserve">ome </w:t>
      </w:r>
      <w:r w:rsidR="00287185">
        <w:rPr>
          <w:rFonts w:cstheme="minorHAnsi"/>
          <w:sz w:val="22"/>
          <w:szCs w:val="22"/>
          <w:lang w:val="en-GB"/>
        </w:rPr>
        <w:t xml:space="preserve">artisanal and small-scale mining </w:t>
      </w:r>
      <w:r w:rsidR="00E05EEF">
        <w:rPr>
          <w:rFonts w:cstheme="minorHAnsi"/>
          <w:sz w:val="22"/>
          <w:szCs w:val="22"/>
          <w:lang w:val="en-GB"/>
        </w:rPr>
        <w:t xml:space="preserve">that exploits </w:t>
      </w:r>
      <w:r w:rsidR="00287185">
        <w:rPr>
          <w:rFonts w:cstheme="minorHAnsi"/>
          <w:sz w:val="22"/>
          <w:szCs w:val="22"/>
          <w:lang w:val="en-GB"/>
        </w:rPr>
        <w:t>hard rock and</w:t>
      </w:r>
      <w:r w:rsidR="009F11B8" w:rsidRPr="009F11B8">
        <w:rPr>
          <w:rFonts w:cstheme="minorHAnsi"/>
          <w:sz w:val="22"/>
          <w:szCs w:val="22"/>
          <w:lang w:val="en-GB"/>
        </w:rPr>
        <w:t xml:space="preserve"> primary material deposits</w:t>
      </w:r>
      <w:r w:rsidR="009F11B8">
        <w:rPr>
          <w:rFonts w:cstheme="minorHAnsi"/>
          <w:sz w:val="22"/>
          <w:szCs w:val="22"/>
          <w:lang w:val="en-GB"/>
        </w:rPr>
        <w:t>,</w:t>
      </w:r>
      <w:r w:rsidR="009F11B8" w:rsidRPr="009F11B8">
        <w:rPr>
          <w:rFonts w:cstheme="minorHAnsi"/>
          <w:sz w:val="22"/>
          <w:szCs w:val="22"/>
          <w:lang w:val="en-GB"/>
        </w:rPr>
        <w:t xml:space="preserve"> </w:t>
      </w:r>
      <w:r w:rsidR="009F11B8">
        <w:rPr>
          <w:rFonts w:cstheme="minorHAnsi"/>
          <w:sz w:val="22"/>
          <w:szCs w:val="22"/>
          <w:lang w:val="en-GB"/>
        </w:rPr>
        <w:t>such as in the Andean Department of Puno in Peru</w:t>
      </w:r>
      <w:r w:rsidR="009F11B8" w:rsidRPr="009F11B8">
        <w:rPr>
          <w:rFonts w:cstheme="minorHAnsi"/>
          <w:sz w:val="22"/>
          <w:szCs w:val="22"/>
          <w:vertAlign w:val="superscript"/>
          <w:lang w:val="en-GB"/>
        </w:rPr>
        <w:footnoteReference w:id="1"/>
      </w:r>
      <w:r w:rsidR="009F11B8">
        <w:rPr>
          <w:rFonts w:cstheme="minorHAnsi"/>
          <w:sz w:val="22"/>
          <w:szCs w:val="22"/>
          <w:lang w:val="en-GB"/>
        </w:rPr>
        <w:t>. In order</w:t>
      </w:r>
      <w:r w:rsidR="00E05EEF">
        <w:rPr>
          <w:rFonts w:cstheme="minorHAnsi"/>
          <w:sz w:val="22"/>
          <w:szCs w:val="22"/>
          <w:lang w:val="en-GB"/>
        </w:rPr>
        <w:t xml:space="preserve"> to reach these</w:t>
      </w:r>
      <w:r w:rsidR="009F11B8">
        <w:rPr>
          <w:rFonts w:cstheme="minorHAnsi"/>
          <w:sz w:val="22"/>
          <w:szCs w:val="22"/>
          <w:lang w:val="en-GB"/>
        </w:rPr>
        <w:t xml:space="preserve"> deposits, miners must</w:t>
      </w:r>
      <w:r w:rsidR="009F11B8" w:rsidRPr="009F11B8">
        <w:rPr>
          <w:rFonts w:cstheme="minorHAnsi"/>
          <w:sz w:val="22"/>
          <w:szCs w:val="22"/>
          <w:lang w:val="en-GB"/>
        </w:rPr>
        <w:t xml:space="preserve"> </w:t>
      </w:r>
      <w:r w:rsidR="009F11B8">
        <w:rPr>
          <w:rFonts w:cstheme="minorHAnsi"/>
          <w:sz w:val="22"/>
          <w:szCs w:val="22"/>
          <w:lang w:val="en-GB"/>
        </w:rPr>
        <w:t>dig narrow tunnels along the gold seam that they then fill with explosives, before using machines to crush the ore (Damonte et al, 2012)</w:t>
      </w:r>
      <w:r w:rsidR="009F11B8" w:rsidRPr="009F11B8">
        <w:rPr>
          <w:rFonts w:cstheme="minorHAnsi"/>
          <w:sz w:val="22"/>
          <w:szCs w:val="22"/>
          <w:lang w:val="en-GB"/>
        </w:rPr>
        <w:t xml:space="preserve">. </w:t>
      </w:r>
      <w:r w:rsidR="00E05EEF">
        <w:rPr>
          <w:rFonts w:cstheme="minorHAnsi"/>
          <w:sz w:val="22"/>
          <w:szCs w:val="22"/>
          <w:lang w:val="en-GB"/>
        </w:rPr>
        <w:t>Whichever way the gold is extracted, afterwards the miners clean it with mercury or cyanide. It is the unregulated use of these chemicals that has led to some of the environment</w:t>
      </w:r>
      <w:r w:rsidR="003363E5">
        <w:rPr>
          <w:rFonts w:cstheme="minorHAnsi"/>
          <w:sz w:val="22"/>
          <w:szCs w:val="22"/>
          <w:lang w:val="en-GB"/>
        </w:rPr>
        <w:t xml:space="preserve">al and health problems </w:t>
      </w:r>
      <w:r w:rsidR="00E05EEF">
        <w:rPr>
          <w:rFonts w:cstheme="minorHAnsi"/>
          <w:sz w:val="22"/>
          <w:szCs w:val="22"/>
          <w:lang w:val="en-GB"/>
        </w:rPr>
        <w:t>heavily associated with ASM.</w:t>
      </w:r>
    </w:p>
    <w:p w14:paraId="6F0844A9" w14:textId="77777777" w:rsidR="00912ED8" w:rsidRPr="004E053C" w:rsidRDefault="00912ED8" w:rsidP="004E053C">
      <w:pPr>
        <w:widowControl w:val="0"/>
        <w:autoSpaceDE w:val="0"/>
        <w:autoSpaceDN w:val="0"/>
        <w:adjustRightInd w:val="0"/>
        <w:spacing w:line="360" w:lineRule="auto"/>
        <w:jc w:val="both"/>
        <w:rPr>
          <w:rFonts w:cstheme="majorHAnsi"/>
          <w:sz w:val="22"/>
          <w:szCs w:val="22"/>
          <w:lang w:val="en-GB"/>
        </w:rPr>
      </w:pPr>
    </w:p>
    <w:p w14:paraId="5EF5F3F2" w14:textId="77777777" w:rsidR="00D36963" w:rsidRPr="004E053C" w:rsidRDefault="00D36963" w:rsidP="004E053C">
      <w:pPr>
        <w:pStyle w:val="Heading2"/>
        <w:spacing w:before="0" w:line="360" w:lineRule="auto"/>
        <w:jc w:val="both"/>
      </w:pPr>
      <w:bookmarkStart w:id="17" w:name="_Toc33293077"/>
      <w:bookmarkStart w:id="18" w:name="_Toc424671873"/>
      <w:bookmarkStart w:id="19" w:name="_Toc428636323"/>
      <w:r w:rsidRPr="004E053C">
        <w:t>2.3. Key debates in artisanal and small-scale gold mining</w:t>
      </w:r>
      <w:bookmarkEnd w:id="17"/>
      <w:r w:rsidRPr="004E053C">
        <w:t xml:space="preserve"> </w:t>
      </w:r>
      <w:bookmarkEnd w:id="18"/>
      <w:bookmarkEnd w:id="19"/>
    </w:p>
    <w:p w14:paraId="1C9C7BE9" w14:textId="77777777" w:rsidR="00D36963" w:rsidRPr="004E053C" w:rsidRDefault="00D36963" w:rsidP="004E053C">
      <w:pPr>
        <w:widowControl w:val="0"/>
        <w:autoSpaceDE w:val="0"/>
        <w:autoSpaceDN w:val="0"/>
        <w:adjustRightInd w:val="0"/>
        <w:spacing w:line="360" w:lineRule="auto"/>
        <w:jc w:val="both"/>
        <w:rPr>
          <w:rFonts w:cstheme="majorHAnsi"/>
          <w:color w:val="000000"/>
          <w:sz w:val="22"/>
          <w:szCs w:val="22"/>
          <w:lang w:val="en-GB"/>
        </w:rPr>
      </w:pPr>
    </w:p>
    <w:p w14:paraId="289272AE" w14:textId="159ED335" w:rsidR="00912ED8" w:rsidRPr="004E053C" w:rsidRDefault="004E5F90" w:rsidP="004E053C">
      <w:pPr>
        <w:pStyle w:val="Heading3"/>
        <w:rPr>
          <w:rFonts w:asciiTheme="minorHAnsi" w:hAnsiTheme="minorHAnsi"/>
        </w:rPr>
      </w:pPr>
      <w:r w:rsidRPr="004E053C">
        <w:rPr>
          <w:rFonts w:asciiTheme="minorHAnsi" w:hAnsiTheme="minorHAnsi"/>
        </w:rPr>
        <w:t>2.3.1. The evolution of “greed v n</w:t>
      </w:r>
      <w:r w:rsidR="00D36963" w:rsidRPr="004E053C">
        <w:rPr>
          <w:rFonts w:asciiTheme="minorHAnsi" w:hAnsiTheme="minorHAnsi"/>
        </w:rPr>
        <w:t>eed”</w:t>
      </w:r>
    </w:p>
    <w:p w14:paraId="44B79437" w14:textId="77777777" w:rsidR="00912ED8" w:rsidRPr="004E053C" w:rsidRDefault="00912ED8" w:rsidP="004E053C">
      <w:pPr>
        <w:spacing w:line="360" w:lineRule="auto"/>
        <w:jc w:val="both"/>
        <w:rPr>
          <w:rFonts w:cstheme="majorHAnsi"/>
          <w:color w:val="000000"/>
          <w:sz w:val="22"/>
          <w:szCs w:val="22"/>
          <w:lang w:val="en-GB"/>
        </w:rPr>
      </w:pPr>
    </w:p>
    <w:p w14:paraId="4EFEF5A0" w14:textId="4364EE90" w:rsidR="00D36963" w:rsidRPr="004E053C" w:rsidRDefault="00D36963" w:rsidP="004E053C">
      <w:pPr>
        <w:spacing w:line="360" w:lineRule="auto"/>
        <w:jc w:val="both"/>
        <w:rPr>
          <w:rFonts w:cstheme="majorHAnsi"/>
          <w:sz w:val="22"/>
          <w:szCs w:val="22"/>
          <w:lang w:val="en-GB"/>
        </w:rPr>
      </w:pPr>
      <w:r w:rsidRPr="004E053C">
        <w:rPr>
          <w:rFonts w:cstheme="majorHAnsi"/>
          <w:color w:val="000000"/>
          <w:sz w:val="22"/>
          <w:szCs w:val="22"/>
          <w:lang w:val="en-GB"/>
        </w:rPr>
        <w:t xml:space="preserve">The literature contains much discussion on the precise role of ASM in rural livelihoods. </w:t>
      </w:r>
      <w:r w:rsidRPr="004E053C">
        <w:rPr>
          <w:rFonts w:cstheme="majorHAnsi"/>
          <w:sz w:val="22"/>
          <w:szCs w:val="22"/>
          <w:lang w:val="en-GB"/>
        </w:rPr>
        <w:t xml:space="preserve">For many years this was dominated by a ‘need versus greed’ debate, with some authors arguing that as mining offered a ‘get rich quick’ scheme it was greed, rather than poverty, that attracted people to the sector </w:t>
      </w:r>
      <w:r w:rsidRPr="004E053C">
        <w:rPr>
          <w:rFonts w:cstheme="majorHAnsi"/>
          <w:sz w:val="22"/>
          <w:szCs w:val="22"/>
          <w:lang w:val="en-GB"/>
        </w:rPr>
        <w:fldChar w:fldCharType="begin" w:fldLock="1"/>
      </w:r>
      <w:r w:rsidR="00517F61" w:rsidRPr="004E053C">
        <w:rPr>
          <w:rFonts w:cstheme="majorHAnsi"/>
          <w:sz w:val="22"/>
          <w:szCs w:val="22"/>
          <w:lang w:val="en-GB"/>
        </w:rPr>
        <w:instrText>ADDIN CSL_CITATION {"citationItems":[{"id":"ITEM-1","itemData":{"author":[{"dropping-particle":"","family":"Havnevik","given":"K","non-dropping-particle":"","parse-names":false,"suffix":""},{"dropping-particle":"","family":"Bryceson","given":"D","non-dropping-particle":"","parse-names":false,"suffix":""},{"dropping-particle":"","family":"Birgega°rd","given":"L","non-dropping-particle":"","parse-names":false,"suffix":""},{"dropping-particle":"","family":"Matondi","given":"P","non-dropping-particle":"","parse-names":false,"suffix":""},{"dropping-particle":"","family":"Beyene","given":"A.","non-dropping-particle":"","parse-names":false,"suffix":""}],"id":"ITEM-1","issued":{"date-parts":[["2007"]]},"publisher-place":"Stockholm","title":"African agriculture and the World Bank development or impoverishment?","type":"report"},"uris":["http://www.mendeley.com/documents/?uuid=4e821b33-dd1c-4118-badb-8465542ba20f"]},{"id":"ITEM-2","itemData":{"author":[{"dropping-particle":"","family":"Hinton","given":"Jennifer J","non-dropping-particle":"","parse-names":false,"suffix":""}],"id":"ITEM-2","issued":{"date-parts":[["2005"]]},"publisher":"World Bank","publisher-place":"Washington D.C.","title":"Communities and small-scale mining: An integrated review for development planning","type":"book"},"uris":["http://www.mendeley.com/documents/?uuid=d4b45e1c-9c13-4b20-a132-902598e8d1cd"]},{"id":"ITEM-3","itemData":{"author":[{"dropping-particle":"","family":"USAID","given":"","non-dropping-particle":"","parse-names":false,"suffix":""}],"id":"ITEM-3","issued":{"date-parts":[["2005"]]},"publisher-place":"Washington, DC","title":"Minerals and conflict: A toolkit for intervention. Office of Conflict Management and Mitigation","type":"report"},"uris":["http://www.mendeley.com/documents/?uuid=4e4698cb-90d4-4fee-9fde-301b884b7044"]}],"mendeley":{"formattedCitation":"(Havnevik, Bryceson, Birgega°rd, Matondi, &amp; Beyene, 2007; Jennifer J Hinton, 2005; USAID, 2005)","manualFormatting":"(Havnevik et al, 2007; Hinton, 2005; USAID, 2005, Hirons, 2014)","plainTextFormattedCitation":"(Havnevik, Bryceson, Birgega°rd, Matondi, &amp; Beyene, 2007; Jennifer J Hinton, 2005; USAID, 2005)","previouslyFormattedCitation":"(Havnevik, Bryceson, Birgega°rd, Matondi, &amp; Beyene, 2007; Jennifer J Hinton, 2005; USAID, 2005)"},"properties":{"noteIndex":0},"schema":"https://github.com/citation-style-language/schema/raw/master/csl-citation.json"}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(Havnevik et al, 2007; Hinton, 2005; USAID, 2005, Hirons, 2014)</w:t>
      </w:r>
      <w:r w:rsidRPr="004E053C">
        <w:rPr>
          <w:rFonts w:cstheme="majorHAnsi"/>
          <w:sz w:val="22"/>
          <w:szCs w:val="22"/>
          <w:lang w:val="en-GB"/>
        </w:rPr>
        <w:fldChar w:fldCharType="end"/>
      </w:r>
      <w:r w:rsidRPr="004E053C">
        <w:rPr>
          <w:rFonts w:cstheme="majorHAnsi"/>
          <w:sz w:val="22"/>
          <w:szCs w:val="22"/>
          <w:lang w:val="en-GB"/>
        </w:rPr>
        <w:t>. Over time however, ASM incr</w:t>
      </w:r>
      <w:r w:rsidR="00D57942" w:rsidRPr="004E053C">
        <w:rPr>
          <w:rFonts w:cstheme="majorHAnsi"/>
          <w:sz w:val="22"/>
          <w:szCs w:val="22"/>
          <w:lang w:val="en-GB"/>
        </w:rPr>
        <w:t xml:space="preserve">easingly became seen as poverty </w:t>
      </w:r>
      <w:r w:rsidRPr="004E053C">
        <w:rPr>
          <w:rFonts w:cstheme="majorHAnsi"/>
          <w:sz w:val="22"/>
          <w:szCs w:val="22"/>
          <w:lang w:val="en-GB"/>
        </w:rPr>
        <w:t xml:space="preserve">driven, and it was recognised that a lack of viable alternatives led miners to accept the poor working conditions and other risks associated with ASM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{"citationItems":[{"id":"ITEM-1","itemData":{"abstract":"This review reflects critically on why, despite its growing economic importance, artisanal and small-scale (ASM) - low-tech, labour-intensive mineral extraction and processing - occupies such a peripheral position on the economic development agenda of sub-Saharan Africa. A poor understanding of the sector's role in the region's liberalized economies has certainly contributed to this oversight; as has the strong influence, at the policymaking level, of unfounded ideas and generalizations about the sector's activities. After providing a brief overview of ASM in sub-Saharan Africa, the paper explores why the sector has yet to make a mark on the region's local economic development agenda and feature prominently in its poverty alleviation strategies. © 2014 Elsevier Ltd.","author":[{"dropping-particle":"","family":"Hilson","given":"G","non-dropping-particle":"","parse-names":false,"suffix":""},{"dropping-particle":"","family":"McQuilken","given":"James","non-dropping-particle":"","parse-names":false,"suffix":""}],"container-title":"Extractive Industries and Society","id":"ITEM-1","issue":"1","issued":{"date-parts":[["2014"]]},"page":"104-118","publisher":"Elsevier Ltd","title":"Four decades of support for artisanal and small-scale mining in sub-Saharan Africa: A critical review","type":"article-journal","volume":"1"},"uris":["http://www.mendeley.com/documents/?uuid=4f1e22db-6dff-45db-9d1f-97fdbb7e9487"]},{"id":"ITEM-2","itemData":{"author":[{"dropping-particle":"","family":"Hentschel","given":"Thomas","non-dropping-particle":"","parse-names":false,"suffix":""},{"dropping-particle":"","family":"Hruschka","given":"Felix","non-dropping-particle":"","parse-names":false,"suffix":""},{"dropping-particle":"","family":"Priester","given":"Michael","non-dropping-particle":"","parse-names":false,"suffix":""}],"id":"ITEM-2","issued":{"date-parts":[["2002"]]},"publisher-place":"London","title":"Global Report on Artisanal and Small-Scale Mining","type":"report"},"uris":["http://www.mendeley.com/documents/?uuid=e0135a32-651f-3a94-9bc5-5c79c798e40e"]},{"id":"ITEM-3","itemData":{"abstract":"This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Policy","id":"ITEM-3","issue":"1-2","issued":{"date-parts":[["2009"]]},"page":"51-56","title":"Artisanal and small-scale mining as an extralegal economy: De Soto and the redefinition of 'formalization'","type":"article-journal","volume":"34"},"uris":["http://www.mendeley.com/documents/?uuid=0cd7f80e-58cc-4421-9a78-f30864db4d69"]},{"id":"ITEM-4","itemData":{"abstract":"This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-4","issue":"6","issued":{"date-parts":[["2007"]]},"page":"1304-1321","title":"Contaminated identities: mercury and marginalization in Ghana's artisanal mining sector","type":"article-journal","volume":"38"},"uris":["http://www.mendeley.com/documents/?uuid=bb6c3eb8-5f3a-408f-89eb-506be52b9a46"]},{"id":"ITEM-5","itemData":{"abstract":"This paper argues that artisanal mining communities are somewhat bound to their operations, and helps explain why formalisation, alternative livelihood projects and military intervention-the traditional strategies employed by governments to tackle illegal mining-have proved ineffective. Findings from recent research carried out in Noyem (Eastern Region of Ghana) are used to illustrate why illegal artisanal mining is such a deeply rooted activity in sub-Saharan Africa. The analysis provides four explanations in support of this: a heavy involvement of traditional leaders in operations; the mindsets of many operators toward alternative income-earning activities; the numerous and diverse range of employment opportunities provided by the sector; and the level of investment in operations. © 2007 Elsevier Ltd. All rights reserved.","author":[{"dropping-particle":"","family":"Banchirigah","given":"Sadia Mohammed","non-dropping-particle":"","parse-names":false,"suffix":""}],"container-title":"Resources Policy","id":"ITEM-5","issue":"1","issued":{"date-parts":[["2008"]]},"page":"29-38","title":"Challenges with eradicating illegal mining in Ghana: a perspective from the grassroots","type":"article-journal","volume":"33"},"uris":["http://www.mendeley.com/documents/?uuid=2da23185-b489-444d-82dd-fb3c99389883"]},{"id":"ITEM-6","itemData":{"abstract":"Much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Policy","id":"ITEM-6","issue":"1-2","issued":{"date-parts":[["2009"]]},"page":"24-31","title":"Recognizing and nurturing artisanal mining as a viable livelihood","type":"article-journal","volume":"34"},"uris":["http://www.mendeley.com/documents/?uuid=5831bb71-6055-493f-9a5a-64dcd06bad59"]},{"id":"ITEM-7","itemData":{"abstract":"This article explores the contribution that artisanal and small-scale mining (ASM) makes to poverty reduction in Tanzania, drawing on findings from research on gold and diamond mining in Mwanza Region. The evidence suggests that people working in mining or related services are less likely to be in poverty than those with other occupations. However, the picture is complex; while mining income can help reduce poverty and provide a buffer from livelihood shocks, people's inability, to obtain a formal mineral claim or to effectively exploit their claims, contributes to insecurity. This is reinforced by a context in which ASM is peripheral to large-scale mining interests, is only gradually being addressed within national poverty reduction policies, and is segregated from district-level planning. © 2009 Elsevier Ltd. All rights reserved.","author":[{"dropping-particle":"","family":"Fisher","given":"Eleanor","non-dropping-particle":"","parse-names":false,"suffix":""},{"dropping-particle":"","family":"Mwaipopo","given":"Rosemarie","non-dropping-particle":"","parse-names":false,"suffix":""},{"dropping-particle":"","family":"Mutagwaba","given":"Wilson","non-dropping-particle":"","parse-names":false,"suffix":""},{"dropping-particle":"","family":"Nyange","given":"David","non-dropping-particle":"","parse-names":false,"suffix":""},{"dropping-particle":"","family":"Yaron","given":"Gil","non-dropping-particle":"","parse-names":false,"suffix":""}],"container-title":"Resources Policy","id":"ITEM-7","issue":"1-2","issued":{"date-parts":[["2009"]]},"page":"32-38","title":"'The ladder that sends us to wealth': artisanal mining and poverty reduction in Tanzania","type":"article-journal","volume":"34"},"uris":["http://www.mendeley.com/documents/?uuid=483936ae-6fbd-4a7e-973d-31df00c70bf3"]},{"id":"ITEM-8","itemData":{"abstract":"This article is one of three synthesis reports resulting from an integrated assessment (IA) of artisanal and small-scale gold mining (ASGM) in Ghana. Given the complexities that involve multiple drivers and diverse disciplines influencing ASGM, an IA framework was used to analyze economic, social, health, and environmental data and to co-develop evidence-based responses in collaboration with pertinent stakeholders. We look at both micro- and macro-economic processes surrounding ASGM, including causes, challenges, and consequences. At the micro-level, social and economic evidence suggests that the principal reasons whereby most people engage in ASGM involve “push” factors aimed at meeting livelihood goals. ASGM provides an important source of income for both proximate and distant communities, representing a means of survival for impoverished farmers as well as an engine for small business growth. However, miners and their families often end up in a “poverty trap” of low productivity and indebtedness, which reduce even further their economic options. At a macro level, Ghana’s ASGM activities contribute significantly to the national economy even though they are sometimes operating illegally and at a disadvantage compared to large-scale industrial mining companies. Nevertheless, complex issues of land tenure, social stability, mining regulation and taxation, and environmental degradation undermine the viability and sustainability of ASGM as a livelihood strategy. Although more research is needed to understand these complex relationships, we point to key findings and insights from social science and economics research that can guide policies and actions aimed to address the unique challenges of ASGM in Ghana and elsewhere.","author":[{"dropping-particle":"","family":"Wilson","given":"Mark L.","non-dropping-particle":"","parse-names":false,"suffix":""},{"dropping-particle":"","family":"Renne","given":"Elisha","non-dropping-particle":"","parse-names":false,"suffix":""},{"dropping-particle":"","family":"Roncoli","given":"Carla","non-dropping-particle":"","parse-names":false,"suffix":""},{"dropping-particle":"","family":"Agyei-Baffour","given":"Peter","non-dropping-particle":"","parse-names":false,"suffix":""},{"dropping-particle":"","family":"Tenkorang","given":"Emmanuel Yamoah","non-dropping-particle":"","parse-names":false,"suffix":""}],"container-title":"International Journal of Environmental Research and Public Health","id":"ITEM-8","issue":"7","issued":{"date-parts":[["2015"]]},"page":"8133–8156","title":"Integrated Assessment of Artisanal and Small-Scale gold mining in Ghana – Part 3: Social Sciences and Economics","type":"article-journal","volume":"27"},"uris":["http://www.mendeley.com/documents/?uuid=1bc895b5-8895-4a70-8044-6ee95aceb669"]}],"mendeley":{"formattedCitation":"(Banchirigah, 2008; Fisher, Mwaipopo, Mutagwaba, Nyange, &amp; Yaron, 2009; Hentschel et al., 2002; G Hilson &amp; McQuilken, 2014; Siegel &amp; Veiga, 2009; Tschakert, 2009; Tschakert &amp; Singha, 2007; Wilson, Renne, Roncoli, Agyei-Baffour, &amp; Tenkorang, 2015)","manualFormatting":"(Banchirigah, 2008; Fisher et al, 2009; Hentschel et al., 2002; Hilson &amp; McQuilken, 2014; Siegel &amp; Veiga, 2009; Tschakert, 2009; Tschakert &amp; Singha, 2007; Wilson et al, 2015)","plainTextFormattedCitation":"(Banchirigah, 2008; Fisher, Mwaipopo, Mutagwaba, Nyange, &amp; Yaron, 2009; Hentschel et al., 2002; G Hilson &amp; McQuilken, 2014; Siegel &amp; Veiga, 2009; Tschakert, 2009; Tschakert &amp; Singha, 2007; Wilson, Renne, Roncoli, Agyei-Baffour, &amp; Tenkorang, 2015)","previouslyFormattedCitation":"(Banchirigah, 2008; Fisher, Mwaipopo, Mutagwaba, Nyange, &amp; Yaron, 2009; Hentschel et al., 2002; G Hilson &amp; McQuilken, 2014; Siegel &amp; Veiga, 2009; Tschakert, 2009; Tschakert &amp; Singha, 2007; Wilson, Renne, Roncoli, Agyei-Baffour, &amp; Tenkorang, 2015)"},"properties":{"noteIndex":0},"schema":"https://github.com/citation-style-language/schema/raw/master/csl-citation.json"}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(Banchirigah, 2008; Fisher et al, 2009; Hentschel et al., 2002; Hilson &amp; McQuilken, 2014; Siegel &amp; Veiga, 2009; Tschakert, 2009; Tschakert &amp; Singha, 2007; Wilson et al, 2015)</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sz w:val="22"/>
          <w:szCs w:val="22"/>
          <w:lang w:val="en-GB"/>
        </w:rPr>
        <w:t xml:space="preserve">ASM certainly creates a range of jobs for unskilled and semi-skilled workers </w:t>
      </w:r>
      <w:r w:rsidRPr="004E053C">
        <w:rPr>
          <w:rFonts w:cstheme="majorHAnsi"/>
          <w:color w:val="000000"/>
          <w:sz w:val="22"/>
          <w:szCs w:val="22"/>
          <w:lang w:val="en-GB"/>
        </w:rPr>
        <w:fldChar w:fldCharType="begin" w:fldLock="1"/>
      </w:r>
      <w:r w:rsidR="002F0CEA">
        <w:rPr>
          <w:rFonts w:cstheme="majorHAnsi"/>
          <w:color w:val="000000"/>
          <w:sz w:val="22"/>
          <w:szCs w:val="22"/>
          <w:lang w:val="en-GB"/>
        </w:rPr>
        <w:instrText>ADDIN CSL_CITATION {"citationItems":[{"id":"ITEM-1","itemData":{"abstract":"This article explores the contribution that artisanal and small-scale mining (ASM) makes to poverty reduction in Tanzania, drawing on findings from research on gold and diamond mining in Mwanza Region. The evidence suggests that people working in mining or related services are less likely to be in poverty than those with other occupations. However, the picture is complex; while mining income can help reduce poverty and provide a buffer from livelihood shocks, people's inability, to obtain a formal mineral claim or to effectively exploit their claims, contributes to insecurity. This is reinforced by a context in which ASM is peripheral to large-scale mining interests, is only gradually being addressed within national poverty reduction policies, and is segregated from district-level planning. © 2009 Elsevier Ltd. All rights reserved.","author":[{"dropping-particle":"","family":"Fisher","given":"Eleanor","non-dropping-particle":"","parse-names":false,"suffix":""},{"dropping-particle":"","family":"Mwaipopo","given":"Rosemarie","non-dropping-particle":"","parse-names":false,"suffix":""},{"dropping-particle":"","family":"Mutagwaba","given":"Wilson","non-dropping-particle":"","parse-names":false,"suffix":""},{"dropping-particle":"","family":"Nyange","given":"David","non-dropping-particle":"","parse-names":false,"suffix":""},{"dropping-particle":"","family":"Yaron","given":"Gil","non-dropping-particle":"","parse-names":false,"suffix":""}],"container-title":"Resources Policy","id":"ITEM-1","issue":"1-2","issued":{"date-parts":[["2009"]]},"page":"32-38","title":"'The ladder that sends us to wealth': artisanal mining and poverty reduction in Tanzania","type":"article-journal","volume":"34"},"uris":["http://www.mendeley.com/documents/?uuid=483936ae-6fbd-4a7e-973d-31df00c70bf3"]},{"id":"ITEM-2","itemData":{"abstract":"This paper argues that a formalized and supported artisanal and small-scale mining (ASM) sector could assist immeasurably with reducing the intensity of the youth unemployment crisis which now plagues sub-Saharan Africa. Over the past decade, hundreds of thousands of the region's youth have pursued work in the ASM economy in various capacities, decisions which have brought much-needed stability in a landscape devoid of formal sector job opportunities. Host governments and donors, however, have often condemned these moves, failing to fully appreciate why youth have pursued work in ASM in the first place and the impact it has had on their livelihoods. Whilst by no means the solution to the youth unemployment problem in sub-Saharan Africa, heightened emphasis on formalizing and supporting ASM could certainly buy policymakers and donors some valuable time - at least in the short term - to sufficiently 're-think' their ineffective approaches to tackling the crisis. © 2014 Elsevier Ltd.","author":[{"dropping-particle":"","family":"Hilson","given":"G","non-dropping-particle":"","parse-names":false,"suffix":""},{"dropping-particle":"","family":"Osei","given":"L","non-dropping-particle":"","parse-names":false,"suffix":""}],"container-title":"Futures","id":"ITEM-2","issue":"2014","issued":{"date-parts":[["2014"]]},"page":"83-94","publisher":"Elsevier Ltd","title":"Tackling youth unemployment in sub-Saharan Africa: Is there a role for artisanal and small-scale mining?","type":"article-journal","volume":"62"},"uris":["http://www.mendeley.com/documents/?uuid=6a2ab234-bc06-4c78-aa0f-b114aff5cf85"]},{"id":"ITEM-3","itemData":{"abstract":"Combining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Studies","id":"ITEM-3","issue":"Part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transformation","type":"article-journal","volume":"47"},"uris":["http://www.mendeley.com/documents/?uuid=fb82d0a5-64cc-4673-b8d8-4ea22e3fb839"]}],"mendeley":{"formattedCitation":"(Fisher et al., 2009; G Hilson &amp; Osei, 2014; Verbrugge, 2016)","manualFormatting":"(Fisher et al., 2009; Hilson &amp; Osei, 2014; Verbrugge, 2016)","plainTextFormattedCitation":"(Fisher et al., 2009; G Hilson &amp; Osei, 2014; Verbrugge, 2016)","previouslyFormattedCitation":"(Fisher et al., 2009; G Hilson &amp; Osei, 2014; Verbrugge, 2016)"},"properties":{"noteIndex":0},"schema":"https://github.com/citation-style-language/schema/raw/master/csl-citation.json"}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(Fisher et al., 2009; Hilson &amp; Osei, 2014; Verbrugge, 2016)</w:t>
      </w:r>
      <w:r w:rsidRPr="004E053C">
        <w:rPr>
          <w:rFonts w:cstheme="majorHAnsi"/>
          <w:color w:val="000000"/>
          <w:sz w:val="22"/>
          <w:szCs w:val="22"/>
          <w:lang w:val="en-GB"/>
        </w:rPr>
        <w:fldChar w:fldCharType="end"/>
      </w:r>
      <w:r w:rsidRPr="004E053C">
        <w:rPr>
          <w:rFonts w:cstheme="majorHAnsi"/>
          <w:sz w:val="22"/>
          <w:szCs w:val="22"/>
          <w:lang w:val="en-GB"/>
        </w:rPr>
        <w:t xml:space="preserve">, as well as providing economic opportunities for millions more in downstream industries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{"citationItems":[{"id":"ITEM-1","itemData":{"abstract":"Sierra Leone is currently emerging from a brutal civil war that lasted most of the 1990s, and now has the dubious distinction of being ranked among the world's poorest countries. As thousands of displaced people move back to their villages, a large proportion of the predominantly farm-based rural population are growing food crops for the first time in a decade. Alluvial diamond mining makes an important contribution to the national economy, though some would argue that Sierra Leone's diamonds are a 'resource curse'. Drawing upon research undertaken in the 1970s and also in the post-conflict period, the paper provides a longitudinal perspective on the complex links between the farming and mining sectors. Recent field research in Sierra Leone's Eastern Province, indicates that many links between farming and diamond mining have actually been maintained despite severe dislocation. These links could play a key role in rejuvenating market-oriented food production, providing the much-needed impetus for post-war rural development. In charting a future development trajectory, the paper recognizes the urgent need for an effective management scheme for both mining and marketing diamonds, given the potentially destabilizing effect on the country of the uncontrolled exploitation of this valuable resource. In this context, a recent community-based. integrated management initiative adopted by one local NGO, the Peace Diamond Alliance, is examined. If meaningful rural development is to be achieved among desperately poor communities, development strategies must be based on a detailed understanding of the nature of inter-locking livelihoods in the agricultural and mining sectors.","author":[{"dropping-particle":"","family":"Maconachie","given":"Roy","non-dropping-particle":"","parse-names":false,"suffix":""},{"dropping-particle":"","family":"Binns","given":"Tony","non-dropping-particle":"","parse-names":false,"suffix":""}],"container-title":"Journal of Rural Studies","id":"ITEM-1","issue":"3","issued":{"date-parts":[["2007"]]},"page":"367-380.","title":"’Farming miners’ or ‘mining farmers’? diamond mining and rural development in post-conflict Sierra Leone","type":"article-journal","volume":"23"},"uris":["http://www.mendeley.com/documents/?uuid=b8a19ddb-3ae9-4cb8-93f9-ed515d59f23f"]},{"id":"ITEM-2","itemData":{"abstract":"This paper examines migration patterns in Ghana's mining sector, and briefly highlights linkages between stages of mine development and migration flows. The growth, stagnation and closure phases of mine development may each be characterised by distinct migration patterns. The paper concludes with policy-relevant implications of the dynamics of migration patterns in the mining sector, arguing in particular that Ghana is, in addition to traditionally being a country of destination, becoming a transit area for prospective migrant miners.","author":[{"dropping-particle":"","family":"Nyame","given":"Frank","non-dropping-particle":"","parse-names":false,"suffix":""},{"dropping-particle":"","family":"Grant","given":"J Andrew","non-dropping-particle":"","parse-names":false,"suffix":""},{"dropping-particle":"","family":"Yakovleva","given":"Natalia","non-dropping-particle":"","parse-names":false,"suffix":""}],"container-title":"Resources Policy","id":"ITEM-2","issue":"1-2","issued":{"date-parts":[["2009"]]},"page":"6-11","title":"Perspectives on migration patterns in Ghana's mining industry","type":"article-journal","volume":"34"},"uris":["http://www.mendeley.com/documents/?uuid=60f01a24-abd9-46a9-918d-106be0bab38f"]},{"id":"ITEM-3","itemData":{"abstract":"This review reflects critically on why, despite its growing economic importance, artisanal and small-scale (ASM) - low-tech, labour-intensive mineral extraction and processing - occupies such a peripheral position on the economic development agenda of sub-Saharan Africa. A poor understanding of the sector's role in the region's liberalized economies has certainly contributed to this oversight; as has the strong influence, at the policymaking level, of unfounded ideas and generalizations about the sector's activities. After providing a brief overview of ASM in sub-Saharan Africa, the paper explores why the sector has yet to make a mark on the region's local economic development agenda and feature prominently in its poverty alleviation strategies. © 2014 Elsevier Ltd.","author":[{"dropping-particle":"","family":"Hilson","given":"G","non-dropping-particle":"","parse-names":false,"suffix":""},{"dropping-particle":"","family":"McQuilken","given":"James","non-dropping-particle":"","parse-names":false,"suffix":""}],"container-title":"Extractive Industries and Society","id":"ITEM-3","issue":"1","issued":{"date-parts":[["2014"]]},"page":"104-118","publisher":"Elsevier Ltd","title":"Four decades of support for artisanal and small-scale mining in sub-Saharan Africa: A critical review","type":"article-journal","volume":"1"},"uris":["http://www.mendeley.com/documents/?uuid=4f1e22db-6dff-45db-9d1f-97fdbb7e9487"]},{"id":"ITEM-4","itemData":{"abstract":"By 2009, Ghana was the second-ranked African producer after South Africa, and had become the world's ninth largest producer of gold, at some 3.8% of global production, up from 2.6% five years earlier. Gold production volumes and revenues rose significantly over the decade from 2000. Yet gold mining tends to be perceived negatively in Ghana, and is seen as providing far less than it should in terms of public revenue, employment, skills development and spillovers, and localised economic development. Gold mining is often depicted as having an enclave status, disconnected and isolated from the rest of the economy. In contrast, the research findings here demonstrate that after a period of strong investment and growth, gold mining can no longer be viewed as an enclave activity: it is in fact more deeply linked into the Ghanaian economy than hitherto understood, through a set of as yet under-researched but promising economic linkages, notably backward linkages, which can potentially be strengthened by policy and support measures. © 2012 Elsevier Ltd.","author":[{"dropping-particle":"","family":"Bloch","given":"Robin","non-dropping-particle":"","parse-names":false,"suffix":""},{"dropping-particle":"","family":"Owusu","given":"George","non-dropping-particle":"","parse-names":false,"suffix":""}],"container-title":"Resources Policy","id":"ITEM-4","issue":"4","issued":{"date-parts":[["2012"]]},"page":"434-442","publisher":"Elsevier","title":"Linkages in Ghana's gold mining industry: challenging the enclave thesis","type":"article-journal","volume":"37"},"uris":["http://www.mendeley.com/documents/?uuid=6d9dbbba-9674-46e7-a9c9-052ada2c1fb4"]},{"id":"ITEM-5","itemData":{"abstract":"This paper argues that during the period after the March 2012 coup d'etat in Mali, rural institutions in gold-rich areas of country shifted their revenue dependence away from the state and instead drew upon a local, evolving artisanal and small-scale mining (ASM) sector. The paper discusses the effects of the March 2012 coup and its aftermath on the state and how these changes trickled down to local institutions in the rural commune of Yallankoro-Soloba. During that same period, technological advances in the commune's ASM sector increased local investment and improved profitability in ASM activities. As the state withdrew financial support from the commune government and social services, local government officials, medical services, educational institutions and local populations were able to capitalize on these ASM-generated revenues. The research finds that Mali suffers from the same ASM formalization problems as other mineral rich countries in the region. What makes Mali's situation unique is that ASM has become a critical rural industry which is not only supplying much needed income to rural people, but also serving to informally fund social institutions from the bottom up during a time of national crisis. Local government officials are stuck in limbo between the state which provides them with legitimacy and ASM which supports their communes' population and institutions. The paper concludes that even as Mali begins its recovery, there are urgent needs to formalize rural ASM. If formalization actions are delayed, technological advances will make formalization even more difficult and enable institutions and local officials to become increasingly detached from the fragile central government. © 2014 Elsevier Ltd.","author":[{"dropping-particle":"","family":"Teschner","given":"Benjamin A.","non-dropping-particle":"","parse-names":false,"suffix":""}],"container-title":"Futures","id":"ITEM-5","issue":"Part A","issued":{"date-parts":[["2014"]]},"page":"140-150","publisher":"Elsevier Ltd","title":"\"Orpaillage pays for everything\": How artisanal mining supported rural institutions following Mali's coup d'état","type":"article-journal","volume":"62"},"uris":["http://www.mendeley.com/documents/?uuid=33f18ac7-7876-404a-892a-e082cb6f91e2"]}],"mendeley":{"formattedCitation":"(Bloch &amp; Owusu, 2012; G Hilson &amp; McQuilken, 2014; Maconachie &amp; Binns, 2007; F. Nyame, Grant, &amp; Yakovleva, 2009; Teschner, 2014)","manualFormatting":"(Bloch &amp; Owusu, 2012; Hilson &amp; McQuilken, 2014; Maconachie &amp; Binns, 2007; Nyame et al, 2009; Teschner, 2014)","plainTextFormattedCitation":"(Bloch &amp; Owusu, 2012; G Hilson &amp; McQuilken, 2014; Maconachie &amp; Binns, 2007; F. Nyame, Grant, &amp; Yakovleva, 2009; Teschner, 2014)","previouslyFormattedCitation":"(Bloch &amp; Owusu, 2012; G Hilson &amp; McQuilken, 2014; Maconachie &amp; Binns, 2007; F. Nyame, Grant, &amp; Yakovleva, 2009; Teschner,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(Bloch &amp; Owusu, 2012; Hilson &amp; McQuilken, 2014; Maconachie &amp; Binns, 2007; Nyame et al, 2009; Teschner, 2014)</w:t>
      </w:r>
      <w:r w:rsidRPr="004E053C">
        <w:rPr>
          <w:rFonts w:cstheme="majorHAnsi"/>
          <w:sz w:val="22"/>
          <w:szCs w:val="22"/>
          <w:lang w:val="en-GB"/>
        </w:rPr>
        <w:fldChar w:fldCharType="end"/>
      </w:r>
      <w:r w:rsidRPr="004E053C">
        <w:rPr>
          <w:rFonts w:cstheme="majorHAnsi"/>
          <w:sz w:val="22"/>
          <w:szCs w:val="22"/>
          <w:lang w:val="en-GB"/>
        </w:rPr>
        <w:t xml:space="preserve">. Furthermore, the sector’s resilience in times of economic hardship has enabled it to contribute to rural poverty reduction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{"citationItems":[{"id":"ITEM-1","itemData":{"abstract":"Sierra Leone is currently emerging from a brutal civil war that lasted most of the 1990s, and now has the dubious distinction of being ranked among the world's poorest countries. As thousands of displaced people move back to their villages, a large proportion of the predominantly farm-based rural population are growing food crops for the first time in a decade. Alluvial diamond mining makes an important contribution to the national economy, though some would argue that Sierra Leone's diamonds are a 'resource curse'. Drawing upon research undertaken in the 1970s and also in the post-conflict period, the paper provides a longitudinal perspective on the complex links between the farming and mining sectors. Recent field research in Sierra Leone's Eastern Province, indicates that many links between farming and diamond mining have actually been maintained despite severe dislocation. These links could play a key role in rejuvenating market-oriented food production, providing the much-needed impetus for post-war rural development. In charting a future development trajectory, the paper recognizes the urgent need for an effective management scheme for both mining and marketing diamonds, given the potentially destabilizing effect on the country of the uncontrolled exploitation of this valuable resource. In this context, a recent community-based. integrated management initiative adopted by one local NGO, the Peace Diamond Alliance, is examined. If meaningful rural development is to be achieved among desperately poor communities, development strategies must be based on a detailed understanding of the nature of inter-locking livelihoods in the agricultural and mining sectors.","author":[{"dropping-particle":"","family":"Maconachie","given":"Roy","non-dropping-particle":"","parse-names":false,"suffix":""},{"dropping-particle":"","family":"Binns","given":"Tony","non-dropping-particle":"","parse-names":false,"suffix":""}],"container-title":"Journal of Rural Studies","id":"ITEM-1","issue":"3","issued":{"date-parts":[["2007"]]},"page":"367-380.","title":"’Farming miners’ or ‘mining farmers’? diamond mining and rural development in post-conflict Sierra Leone","type":"article-journal","volume":"23"},"uris":["http://www.mendeley.com/documents/?uuid=b8a19ddb-3ae9-4cb8-93f9-ed515d59f23f"]},{"id":"ITEM-2","itemData":{"abstract":"This paper argues that a formalized and supported artisanal and small-scale mining (ASM) sector could assist immeasurably with reducing the intensity of the youth unemployment crisis which now plagues sub-Saharan Africa. Over the past decade, hundreds of thousands of the region's youth have pursued work in the ASM economy in various capacities, decisions which have brought much-needed stability in a landscape devoid of formal sector job opportunities. Host governments and donors, however, have often condemned these moves, failing to fully appreciate why youth have pursued work in ASM in the first place and the impact it has had on their livelihoods. Whilst by no means the solution to the youth unemployment problem in sub-Saharan Africa, heightened emphasis on formalizing and supporting ASM could certainly buy policymakers and donors some valuable time - at least in the short term - to sufficiently 're-think' their ineffective approaches to tackling the crisis. © 2014 Elsevier Ltd.","author":[{"dropping-particle":"","family":"Hilson","given":"G","non-dropping-particle":"","parse-names":false,"suffix":""},{"dropping-particle":"","family":"Osei","given":"L","non-dropping-particle":"","parse-names":false,"suffix":""}],"container-title":"Futures","id":"ITEM-2","issue":"2014","issued":{"date-parts":[["2014"]]},"page":"83-94","publisher":"Elsevier Ltd","title":"Tackling youth unemployment in sub-Saharan Africa: Is there a role for artisanal and small-scale mining?","type":"article-journal","volume":"62"},"uris":["http://www.mendeley.com/documents/?uuid=6a2ab234-bc06-4c78-aa0f-b114aff5cf85"]},{"id":"ITEM-3","itemData":{"abstract":"This review reflects critically on why, despite its growing economic importance, artisanal and small-scale (ASM) - low-tech, labour-intensive mineral extraction and processing - occupies such a peripheral position on the economic development agenda of sub-Saharan Africa. A poor understanding of the sector's role in the region's liberalized economies has certainly contributed to this oversight; as has the strong influence, at the policymaking level, of unfounded ideas and generalizations about the sector's activities. After providing a brief overview of ASM in sub-Saharan Africa, the paper explores why the sector has yet to make a mark on the region's local economic development agenda and feature prominently in its poverty alleviation strategies. © 2014 Elsevier Ltd.","author":[{"dropping-particle":"","family":"Hilson","given":"G","non-dropping-particle":"","parse-names":false,"suffix":""},{"dropping-particle":"","family":"McQuilken","given":"James","non-dropping-particle":"","parse-names":false,"suffix":""}],"container-title":"Extractive Industries and Society","id":"ITEM-3","issue":"1","issued":{"date-parts":[["2014"]]},"page":"104-118","publisher":"Elsevier Ltd","title":"Four decades of support for artisanal and small-scale mining in sub-Saharan Africa: A critical review","type":"article-journal","volume":"1"},"uris":["http://www.mendeley.com/documents/?uuid=4f1e22db-6dff-45db-9d1f-97fdbb7e9487"]},{"id":"ITEM-4","itemData":{"abstract":"This comment follows Hilson and McQuilken (2014), who express frustration with how \"ASM despite its economic importance occupies such a marginal position in the economic agenda sub-Saharan Africa\". Ten years ago when the author retired from the United Nations, the mood was upbeat: many ASM experts believed that policy makers had finally grasped the economic importance of the sector for rural poverty reduction. But in 2014, the world over, it is evident that ASM, despite having since expanded considerably, regrettably remains outside of the poverty reduction policy mainstream. There is a gap between the flurry of actions promoted by the international community and the laissez-faire status quo position of many developing country governments.This author is now pessimistic. Ultimately, ASM formalization will result not from direct assistance but on the contrary, from a government success in combating poverty in the non-mining rural communities. The improvement of the rural economy will reduce population pressure and lower the cost of living in ASM communities, enabling them to retain more earnings and invest in up-scaling or sector diversification. Only then will ASM become a viable agent of growth.","author":[{"dropping-particle":"","family":"Labonne","given":"Beatrice","non-dropping-particle":"","parse-names":false,"suffix":""}],"container-title":"Extractive Industries and Society","id":"ITEM-4","issue":"2","issued":{"date-parts":[["2014"]]},"page":"121-123","publisher":"Elsevier Ltd","title":"Who is afraid of artisanal and small-scale mining (ASM)?","type":"article-journal","volume":"1"},"uris":["http://www.mendeley.com/documents/?uuid=6f4cdc62-be1d-49c4-a0d6-f09927ed6241"]}],"mendeley":{"formattedCitation":"(G Hilson &amp; McQuilken, 2014; G Hilson &amp; Osei, 2014; Labonne, 2014; Maconachie &amp; Binns, 2007)","manualFormatting":"(Hilson &amp; McQuilken, 2014; Hilson &amp; Osei, 2014; Labonne, 2014; Maconachie &amp; Binns, 2007)","plainTextFormattedCitation":"(G Hilson &amp; McQuilken, 2014; G Hilson &amp; Osei, 2014; Labonne, 2014; Maconachie &amp; Binns, 2007)","previouslyFormattedCitation":"(G Hilson &amp; McQuilken, 2014; G Hilson &amp; Osei, 2014; Labonne, 2014; Maconachie &amp; Binns,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(Hilson &amp; McQuilken, 2014; Hilson &amp; Osei, 2014; Labonne, 2014; Maconachie &amp; Binns, 2007)</w:t>
      </w:r>
      <w:r w:rsidRPr="004E053C">
        <w:rPr>
          <w:rFonts w:cstheme="majorHAnsi"/>
          <w:sz w:val="22"/>
          <w:szCs w:val="22"/>
          <w:lang w:val="en-GB"/>
        </w:rPr>
        <w:fldChar w:fldCharType="end"/>
      </w:r>
      <w:r w:rsidRPr="004E053C">
        <w:rPr>
          <w:rFonts w:cstheme="majorHAnsi"/>
          <w:sz w:val="22"/>
          <w:szCs w:val="22"/>
          <w:lang w:val="en-GB"/>
        </w:rPr>
        <w:t xml:space="preserve">. </w:t>
      </w:r>
    </w:p>
    <w:p w14:paraId="2621CA07" w14:textId="77777777" w:rsidR="00D36963" w:rsidRPr="004E053C" w:rsidRDefault="00D36963" w:rsidP="004E053C">
      <w:pPr>
        <w:spacing w:line="360" w:lineRule="auto"/>
        <w:jc w:val="both"/>
        <w:rPr>
          <w:rFonts w:cstheme="majorHAnsi"/>
          <w:sz w:val="22"/>
          <w:szCs w:val="22"/>
          <w:lang w:val="en-GB"/>
        </w:rPr>
      </w:pPr>
    </w:p>
    <w:p w14:paraId="79502C48" w14:textId="69F43FC5" w:rsidR="00D36963" w:rsidRPr="004E053C" w:rsidRDefault="00D36963" w:rsidP="004E053C">
      <w:pPr>
        <w:spacing w:line="360" w:lineRule="auto"/>
        <w:jc w:val="both"/>
        <w:rPr>
          <w:rFonts w:cstheme="minorHAnsi"/>
          <w:sz w:val="22"/>
          <w:szCs w:val="22"/>
          <w:lang w:val="en-GB" w:eastAsia="zh-CN"/>
        </w:rPr>
      </w:pPr>
      <w:r w:rsidRPr="004E053C">
        <w:rPr>
          <w:rFonts w:cstheme="majorHAnsi"/>
          <w:sz w:val="22"/>
          <w:szCs w:val="22"/>
          <w:lang w:val="en-GB" w:eastAsia="zh-CN"/>
        </w:rPr>
        <w:t xml:space="preserve">More recently, academics have further interrogated the nuances of the sector and have challenged the idea that all ASM operatives are living in persistent poverty. While there </w:t>
      </w:r>
      <w:r w:rsidRPr="004E053C">
        <w:rPr>
          <w:rFonts w:cstheme="minorHAnsi"/>
          <w:sz w:val="22"/>
          <w:szCs w:val="22"/>
          <w:lang w:val="en-GB" w:eastAsia="zh-CN"/>
        </w:rPr>
        <w:t xml:space="preserve">continue to be many individuals and households that engage in ASM out of necessity, the sector can, and does, provide strong opportunity for capital accumulation. While Verbrugge </w:t>
      </w:r>
      <w:r w:rsidRPr="004E053C">
        <w:rPr>
          <w:rFonts w:cstheme="minorHAnsi"/>
          <w:sz w:val="22"/>
          <w:szCs w:val="22"/>
          <w:lang w:val="en-GB" w:eastAsia="zh-CN"/>
        </w:rPr>
        <w:fldChar w:fldCharType="begin" w:fldLock="1"/>
      </w:r>
      <w:r w:rsidRPr="004E053C">
        <w:rPr>
          <w:rFonts w:cstheme="minorHAnsi"/>
          <w:sz w:val="22"/>
          <w:szCs w:val="22"/>
          <w:lang w:val="en-GB" w:eastAsia="zh-CN"/>
        </w:rPr>
        <w:instrText>ADDIN CSL_CITATION {"citationItems":[{"id":"ITEM-1","itemData":{"abstract":"Combining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Studies","id":"ITEM-1","issue":"Part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transformation","type":"article-journal","volume":"47"},"uris":["http://www.mendeley.com/documents/?uuid=fb82d0a5-64cc-4673-b8d8-4ea22e3fb839"]}],"mendeley":{"formattedCitation":"(Verbrugge, 2016)","manualFormatting":"(2016)","plainTextFormattedCitation":"(Verbrugge, 2016)","previouslyFormattedCitation":"(Verbrugge, 2016)"},"properties":{"noteIndex":0},"schema":"https://github.com/citation-style-language/schema/raw/master/csl-citation.json"}</w:instrText>
      </w:r>
      <w:r w:rsidRPr="004E053C">
        <w:rPr>
          <w:rFonts w:cstheme="minorHAnsi"/>
          <w:sz w:val="22"/>
          <w:szCs w:val="22"/>
          <w:lang w:val="en-GB" w:eastAsia="zh-CN"/>
        </w:rPr>
        <w:fldChar w:fldCharType="separate"/>
      </w:r>
      <w:r w:rsidRPr="004E053C">
        <w:rPr>
          <w:rFonts w:cstheme="minorHAnsi"/>
          <w:noProof/>
          <w:sz w:val="22"/>
          <w:szCs w:val="22"/>
          <w:lang w:val="en-GB" w:eastAsia="zh-CN"/>
        </w:rPr>
        <w:t>(2016)</w:t>
      </w:r>
      <w:r w:rsidRPr="004E053C">
        <w:rPr>
          <w:rFonts w:cstheme="minorHAnsi"/>
          <w:sz w:val="22"/>
          <w:szCs w:val="22"/>
          <w:lang w:val="en-GB" w:eastAsia="zh-CN"/>
        </w:rPr>
        <w:fldChar w:fldCharType="end"/>
      </w:r>
      <w:r w:rsidRPr="004E053C">
        <w:rPr>
          <w:rFonts w:cstheme="minorHAnsi"/>
          <w:sz w:val="22"/>
          <w:szCs w:val="22"/>
          <w:lang w:val="en-GB" w:eastAsia="zh-CN"/>
        </w:rPr>
        <w:t xml:space="preserve"> acknowledges that </w:t>
      </w:r>
      <w:r w:rsidRPr="004E053C">
        <w:rPr>
          <w:rFonts w:cstheme="minorHAnsi"/>
          <w:color w:val="2E2E2E"/>
          <w:sz w:val="22"/>
          <w:szCs w:val="22"/>
          <w:lang w:val="en-GB" w:eastAsia="zh-CN"/>
        </w:rPr>
        <w:t xml:space="preserve">poverty is likely behind the constant supply of ASM </w:t>
      </w:r>
      <w:r w:rsidRPr="004E053C">
        <w:rPr>
          <w:rFonts w:cstheme="minorHAnsi"/>
          <w:sz w:val="22"/>
          <w:szCs w:val="22"/>
          <w:lang w:val="en-GB" w:eastAsia="zh-CN"/>
        </w:rPr>
        <w:t>workers, he also argued that the one-dimensional focus on poverty risks obscuring the socially segmented nature of diversification into the sector. Using the example of the southern Philippines, he highlights both the mechan</w:t>
      </w:r>
      <w:r w:rsidR="00277027">
        <w:rPr>
          <w:rFonts w:cstheme="minorHAnsi"/>
          <w:sz w:val="22"/>
          <w:szCs w:val="22"/>
          <w:lang w:val="en-GB" w:eastAsia="zh-CN"/>
        </w:rPr>
        <w:t>is</w:t>
      </w:r>
      <w:r w:rsidRPr="004E053C">
        <w:rPr>
          <w:rFonts w:cstheme="minorHAnsi"/>
          <w:sz w:val="22"/>
          <w:szCs w:val="22"/>
          <w:lang w:val="en-GB" w:eastAsia="zh-CN"/>
        </w:rPr>
        <w:t xml:space="preserve">ation of the sector and the emergence of </w:t>
      </w:r>
      <w:r w:rsidR="00390E36" w:rsidRPr="004E053C">
        <w:rPr>
          <w:rFonts w:cstheme="minorHAnsi"/>
          <w:sz w:val="22"/>
          <w:szCs w:val="22"/>
          <w:lang w:val="en-GB" w:eastAsia="zh-CN"/>
        </w:rPr>
        <w:t xml:space="preserve">a </w:t>
      </w:r>
      <w:r w:rsidRPr="004E053C">
        <w:rPr>
          <w:rFonts w:cstheme="minorHAnsi"/>
          <w:sz w:val="22"/>
          <w:szCs w:val="22"/>
          <w:lang w:val="en-GB" w:eastAsia="zh-CN"/>
        </w:rPr>
        <w:t>dominant stra</w:t>
      </w:r>
      <w:r w:rsidR="00390E36" w:rsidRPr="004E053C">
        <w:rPr>
          <w:rFonts w:cstheme="minorHAnsi"/>
          <w:sz w:val="22"/>
          <w:szCs w:val="22"/>
          <w:lang w:val="en-GB" w:eastAsia="zh-CN"/>
        </w:rPr>
        <w:t>tum of ASM entrepreneurs. This elite</w:t>
      </w:r>
      <w:r w:rsidRPr="004E053C">
        <w:rPr>
          <w:rFonts w:cstheme="minorHAnsi"/>
          <w:sz w:val="22"/>
          <w:szCs w:val="22"/>
          <w:lang w:val="en-GB" w:eastAsia="zh-CN"/>
        </w:rPr>
        <w:t xml:space="preserve"> group are no longer pushed into mining by poverty but are driven by a desire for capital accumulation </w:t>
      </w:r>
      <w:r w:rsidRPr="004E053C">
        <w:rPr>
          <w:rFonts w:cstheme="minorHAnsi"/>
          <w:sz w:val="22"/>
          <w:szCs w:val="22"/>
          <w:lang w:val="en-GB" w:eastAsia="zh-CN"/>
        </w:rPr>
        <w:fldChar w:fldCharType="begin" w:fldLock="1"/>
      </w:r>
      <w:r w:rsidRPr="004E053C">
        <w:rPr>
          <w:rFonts w:cstheme="minorHAnsi"/>
          <w:sz w:val="22"/>
          <w:szCs w:val="22"/>
          <w:lang w:val="en-GB" w:eastAsia="zh-CN"/>
        </w:rPr>
        <w:instrText>ADDIN CSL_CITATION {"citationItems":[{"id":"ITEM-1","itemData":{"abstract":"In line with trends observed in several other countries, small-scale gold mining in Compostela Valley (ComVal) province has expanded immensely, and now boasts a high number of more advanced i.e. more capitalized and mechanized operations that push the edge of what is usually considered artisanal and small-scale mining (ASM). A historical, fieldwork-based analysis is presented of the diverse factors underlying the current situation. It is argued that existing accounts of ASM-expansion, by focusing disproportionately on the role of poverty in pushing people into ASM, fail to satisfactorily account for the state of gold mining in ComVal. Whereas this poverty-driven narrative may well explain the constant supply of mining recruits, it risks obscuring how for certain groups, ASM harbors important opportunities for capital accumulation. More specifically, the increased engagement in gold mining on the part of a heterogeneous class of mining financiers enabled ASM to evolve from rudimentary into relatively mechanized operations with highly complex working practices and revenue sharing arrangements. The nascent gold mining elite has entrenched itself in a regulatory environment amenable to the further expansion of gold mining. These observations suggest that more critical attention should be paid to the 'capital interests' driving similar transformations of ASM elsewhere. © 2014 Elsevier Ltd.","author":[{"dropping-particle":"","family":"Verbrugge","given":"Boris","non-dropping-particle":"","parse-names":false,"suffix":""}],"container-title":"Extractive Industries and Society","id":"ITEM-1","issue":"1","issued":{"date-parts":[["2014"]]},"page":"86-95","publisher":"Elsevier Ltd","title":"Capital interests: a historical analysis of the transformation of small-scale gold mining in Compostela Valley province, Southern Philippines","type":"article-journal","volume":"1"},"uris":["http://www.mendeley.com/documents/?uuid=7900df1e-3ca3-4f89-b985-69d57f5c9473"]},{"id":"ITEM-2","itemData":{"abstract":"Combining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Studies","id":"ITEM-2","issue":"Part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transformation","type":"article-journal","volume":"47"},"uris":["http://www.mendeley.com/documents/?uuid=fb82d0a5-64cc-4673-b8d8-4ea22e3fb839"]}],"mendeley":{"formattedCitation":"(Verbrugge, 2014, 2016)","manualFormatting":"(Verbrugge, 2014)","plainTextFormattedCitation":"(Verbrugge, 2014, 2016)","previouslyFormattedCitation":"(Verbrugge, 2014, 2016)"},"properties":{"noteIndex":0},"schema":"https://github.com/citation-style-language/schema/raw/master/csl-citation.json"}</w:instrText>
      </w:r>
      <w:r w:rsidRPr="004E053C">
        <w:rPr>
          <w:rFonts w:cstheme="minorHAnsi"/>
          <w:sz w:val="22"/>
          <w:szCs w:val="22"/>
          <w:lang w:val="en-GB" w:eastAsia="zh-CN"/>
        </w:rPr>
        <w:fldChar w:fldCharType="separate"/>
      </w:r>
      <w:r w:rsidRPr="004E053C">
        <w:rPr>
          <w:rFonts w:cstheme="minorHAnsi"/>
          <w:noProof/>
          <w:sz w:val="22"/>
          <w:szCs w:val="22"/>
          <w:lang w:val="en-GB" w:eastAsia="zh-CN"/>
        </w:rPr>
        <w:t>(Verbrugge, 2014)</w:t>
      </w:r>
      <w:r w:rsidRPr="004E053C">
        <w:rPr>
          <w:rFonts w:cstheme="minorHAnsi"/>
          <w:sz w:val="22"/>
          <w:szCs w:val="22"/>
          <w:lang w:val="en-GB" w:eastAsia="zh-CN"/>
        </w:rPr>
        <w:fldChar w:fldCharType="end"/>
      </w:r>
      <w:r w:rsidRPr="004E053C">
        <w:rPr>
          <w:rFonts w:cstheme="minorHAnsi"/>
          <w:sz w:val="22"/>
          <w:szCs w:val="22"/>
          <w:lang w:val="en-GB" w:eastAsia="zh-CN"/>
        </w:rPr>
        <w:t>. Crucially, they occupy a position of command within the</w:t>
      </w:r>
      <w:r w:rsidR="00390E36" w:rsidRPr="004E053C">
        <w:rPr>
          <w:rFonts w:cstheme="minorHAnsi"/>
          <w:sz w:val="22"/>
          <w:szCs w:val="22"/>
          <w:lang w:val="en-GB" w:eastAsia="zh-CN"/>
        </w:rPr>
        <w:t xml:space="preserve"> sector</w:t>
      </w:r>
      <w:r w:rsidRPr="004E053C">
        <w:rPr>
          <w:rFonts w:cstheme="minorHAnsi"/>
          <w:sz w:val="22"/>
          <w:szCs w:val="22"/>
          <w:lang w:val="en-GB" w:eastAsia="zh-CN"/>
        </w:rPr>
        <w:t xml:space="preserve"> and are therefore able to benefit from the exploitation of the vulnerable labour force </w:t>
      </w:r>
      <w:r w:rsidRPr="004E053C">
        <w:rPr>
          <w:rFonts w:cstheme="minorHAnsi"/>
          <w:sz w:val="22"/>
          <w:szCs w:val="22"/>
          <w:lang w:val="en-GB" w:eastAsia="zh-CN"/>
        </w:rPr>
        <w:fldChar w:fldCharType="begin" w:fldLock="1"/>
      </w:r>
      <w:r w:rsidRPr="004E053C">
        <w:rPr>
          <w:rFonts w:cstheme="minorHAnsi"/>
          <w:sz w:val="22"/>
          <w:szCs w:val="22"/>
          <w:lang w:val="en-GB" w:eastAsia="zh-CN"/>
        </w:rPr>
        <w:instrText>ADDIN CSL_CITATION {"citationItems":[{"id":"ITEM-1","itemData":{"abstract":"This article critically evaluates existing causal explanations for the persistence of informality in artisanal and small-scale mining (ASM). These explanations share a legalistic focus on entry barriers and political impediments that prevent or discourage the formalization of poverty-driven ASM operators: however, they fail to fully explain cases such as that of the Philippines, where ASM is characterized by differentiation between a poverty-driven workforce and a dominant stratum of ASM entrepreneurs. Even where limited formalization frameworks provide ASM with a degree of legal recognition, this recognition is usually restricted to these more powerful ASM interests, while excluding the workforce at large. This article therefore proposes an integrative approach to analysing informality in ASM, which complements the existing legalistic focus on entry barriers with a structuralist concern over the exploitation of informal labour. Seen from this perspective, the massive expansion of ASM in the Philippines can be seen as the product of a transition away from capital-intensive large-scale mining to a flexible regime of accumulation built around the exploitation of informal ASM labour. This observation highlights the need to pay more critical attention to the economic logic and the vested interests underlying the (selective) persistence of informality in the workforce.","author":[{"dropping-particle":"","family":"Verbrugge","given":"Boris","non-dropping-particle":"","parse-names":false,"suffix":""}],"container-title":"Development and Change","id":"ITEM-1","issue":"5","issued":{"date-parts":[["2015"]]},"page":"1023-1046","title":"The economic logic of persistent informality: artisanal and small-scale mining in the Southern Philippines","type":"article-journal","volume":"46"},"uris":["http://www.mendeley.com/documents/?uuid=ea2a3549-433b-4412-ba6d-6c99ae5ab0c8"]},{"id":"ITEM-2","itemData":{"abstract":"Combining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Studies","id":"ITEM-2","issue":"Part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transformation","type":"article-journal","volume":"47"},"uris":["http://www.mendeley.com/documents/?uuid=fb82d0a5-64cc-4673-b8d8-4ea22e3fb839"]}],"mendeley":{"formattedCitation":"(Verbrugge, 2015, 2016)","plainTextFormattedCitation":"(Verbrugge, 2015, 2016)","previouslyFormattedCitation":"(Verbrugge, 2015, 2016)"},"properties":{"noteIndex":0},"schema":"https://github.com/citation-style-language/schema/raw/master/csl-citation.json"}</w:instrText>
      </w:r>
      <w:r w:rsidRPr="004E053C">
        <w:rPr>
          <w:rFonts w:cstheme="minorHAnsi"/>
          <w:sz w:val="22"/>
          <w:szCs w:val="22"/>
          <w:lang w:val="en-GB" w:eastAsia="zh-CN"/>
        </w:rPr>
        <w:fldChar w:fldCharType="separate"/>
      </w:r>
      <w:r w:rsidRPr="004E053C">
        <w:rPr>
          <w:rFonts w:cstheme="minorHAnsi"/>
          <w:noProof/>
          <w:sz w:val="22"/>
          <w:szCs w:val="22"/>
          <w:lang w:val="en-GB" w:eastAsia="zh-CN"/>
        </w:rPr>
        <w:t>(Verbrugge, 2015, 2016)</w:t>
      </w:r>
      <w:r w:rsidRPr="004E053C">
        <w:rPr>
          <w:rFonts w:cstheme="minorHAnsi"/>
          <w:sz w:val="22"/>
          <w:szCs w:val="22"/>
          <w:lang w:val="en-GB" w:eastAsia="zh-CN"/>
        </w:rPr>
        <w:fldChar w:fldCharType="end"/>
      </w:r>
      <w:r w:rsidRPr="004E053C">
        <w:rPr>
          <w:rFonts w:cstheme="minorHAnsi"/>
          <w:sz w:val="22"/>
          <w:szCs w:val="22"/>
          <w:lang w:val="en-GB" w:eastAsia="zh-CN"/>
        </w:rPr>
        <w:t>.</w:t>
      </w:r>
      <w:r w:rsidRPr="004E053C">
        <w:rPr>
          <w:sz w:val="22"/>
          <w:szCs w:val="22"/>
          <w:lang w:val="en-GB" w:eastAsia="zh-CN"/>
        </w:rPr>
        <w:t xml:space="preserve"> Support for these arguments can be found in</w:t>
      </w:r>
      <w:r w:rsidRPr="004E053C">
        <w:rPr>
          <w:rFonts w:cstheme="minorHAnsi"/>
          <w:sz w:val="22"/>
          <w:szCs w:val="22"/>
          <w:lang w:val="en-GB" w:eastAsia="zh-CN"/>
        </w:rPr>
        <w:t xml:space="preserve"> several Latin American countries, where there are high levels of mechanisation and profitability and a clear distinction between the mining proletariat and the elite </w:t>
      </w:r>
      <w:r w:rsidRPr="004E053C">
        <w:rPr>
          <w:rFonts w:cstheme="minorHAnsi"/>
          <w:sz w:val="22"/>
          <w:szCs w:val="22"/>
          <w:lang w:val="en-GB" w:eastAsia="zh-CN"/>
        </w:rPr>
        <w:fldChar w:fldCharType="begin" w:fldLock="1"/>
      </w:r>
      <w:r w:rsidR="002F0CEA">
        <w:rPr>
          <w:rFonts w:cstheme="minorHAnsi"/>
          <w:sz w:val="22"/>
          <w:szCs w:val="22"/>
          <w:lang w:val="en-GB" w:eastAsia="zh-CN"/>
        </w:rPr>
        <w:instrText>ADDIN CSL_CITATION {"citationItems":[{"id":"ITEM-1","itemData":{"abstract":"This article on small-scale alluvial gold mining in Bolivia shows how cultural practices, social patterns, and institutions, policies and politics are connected to technologies, physical environments, infrastructure, and landscapes. It presents a detailed description of the techniques, material makeup, work organization, social organization, and the regional and national political setting of alluvial small-scale gold mining in northern Bolivia, and argues for an analytical approach that acknowledges the interlinking of sociocultural and physical dimensions. To do so, the article is built of scale-ascending sections: Starting with a detailed description of the micro-operations on the pontoons on which the work takes place, followed by a theoretical exploration of the idea of sociomaterial entanglements, the argument proceeds to address the relations between the “inhabitants” of the pontoons and the nearby village that is their home, the miners’ organization (a cooperative), and the more macro setting in which this cooperative developed. The titles of the sections therefore allude to increasingly large scales. The closing section merges the various scales and summarizes the argument.","author":[{"dropping-particle":"","family":"Salman","given":"T","non-dropping-particle":"","parse-names":false,"suffix":""}],"container-title":"Society and Natural Resources","id":"ITEM-1","issue":"9","issued":{"date-parts":[["2016"]]},"page":"1124-1138","title":"The intricacies of “being able to work undisturbed”: the organization of alluvial gold mining in Bolivia","type":"article-journal","volume":"29"},"uris":["http://www.mendeley.com/documents/?uuid=e9ce4cf9-e45d-4428-aaa9-4305d8fa4d73"]},{"id":"ITEM-2","itemData":{"author":[{"dropping-particle":"","family":"Cortés-McPherson","given":"Dolores","non-dropping-particle":"","parse-names":false,"suffix":""}],"container-title":"The Extractive Industries and Society","id":"ITEM-2","issue":"2","issued":{"date-parts":[["2019"]]},"page":"382-389","title":"Expansion of small-scale gold mining in Madre de Dios: ‘capital interests’ and the emergence of a new elite of entrepreneurs in the Peruvian Amazon","type":"article-journal","volume":"6"},"uris":["http://www.mendeley.com/documents/?uuid=402f7023-8f80-4150-99dd-21c5e92f9a63"]}],"mendeley":{"formattedCitation":"(Cortés-McPherson, 2019; Salman, 2016)","manualFormatting":"(Cortés-McPherson, 2019; Salman, 2016)","plainTextFormattedCitation":"(Cortés-McPherson, 2019; Salman, 2016)","previouslyFormattedCitation":"(Cortés-McPherson, 2019; Salman, 2016)"},"properties":{"noteIndex":0},"schema":"https://github.com/citation-style-language/schema/raw/master/csl-citation.json"}</w:instrText>
      </w:r>
      <w:r w:rsidRPr="004E053C">
        <w:rPr>
          <w:rFonts w:cstheme="minorHAnsi"/>
          <w:sz w:val="22"/>
          <w:szCs w:val="22"/>
          <w:lang w:val="en-GB" w:eastAsia="zh-CN"/>
        </w:rPr>
        <w:fldChar w:fldCharType="separate"/>
      </w:r>
      <w:r w:rsidR="00E65D31" w:rsidRPr="004E053C">
        <w:rPr>
          <w:rFonts w:cstheme="minorHAnsi"/>
          <w:noProof/>
          <w:sz w:val="22"/>
          <w:szCs w:val="22"/>
          <w:lang w:val="en-GB" w:eastAsia="zh-CN"/>
        </w:rPr>
        <w:t xml:space="preserve">(Cortés-McPherson, 2019; </w:t>
      </w:r>
      <w:r w:rsidR="00A95A06" w:rsidRPr="004E053C">
        <w:rPr>
          <w:rFonts w:cstheme="minorHAnsi"/>
          <w:noProof/>
          <w:sz w:val="22"/>
          <w:szCs w:val="22"/>
          <w:lang w:val="en-GB" w:eastAsia="zh-CN"/>
        </w:rPr>
        <w:t>Salman, 2016)</w:t>
      </w:r>
      <w:r w:rsidRPr="004E053C">
        <w:rPr>
          <w:rFonts w:cstheme="minorHAnsi"/>
          <w:sz w:val="22"/>
          <w:szCs w:val="22"/>
          <w:lang w:val="en-GB" w:eastAsia="zh-CN"/>
        </w:rPr>
        <w:fldChar w:fldCharType="end"/>
      </w:r>
      <w:r w:rsidRPr="004E053C">
        <w:rPr>
          <w:rFonts w:cstheme="minorHAnsi"/>
          <w:sz w:val="22"/>
          <w:szCs w:val="22"/>
          <w:lang w:val="en-GB" w:eastAsia="zh-CN"/>
        </w:rPr>
        <w:t xml:space="preserve">. </w:t>
      </w:r>
    </w:p>
    <w:p w14:paraId="13BFB9C6" w14:textId="77777777" w:rsidR="00D36963" w:rsidRPr="004E053C" w:rsidRDefault="00D36963" w:rsidP="004E053C">
      <w:pPr>
        <w:spacing w:line="360" w:lineRule="auto"/>
        <w:jc w:val="both"/>
        <w:rPr>
          <w:rFonts w:cstheme="majorHAnsi"/>
          <w:sz w:val="22"/>
          <w:szCs w:val="22"/>
          <w:lang w:val="en-GB"/>
        </w:rPr>
      </w:pPr>
      <w:r w:rsidRPr="004E053C">
        <w:rPr>
          <w:rFonts w:cstheme="majorHAnsi"/>
          <w:sz w:val="22"/>
          <w:szCs w:val="22"/>
          <w:lang w:val="en-GB"/>
        </w:rPr>
        <w:t xml:space="preserve"> </w:t>
      </w:r>
    </w:p>
    <w:p w14:paraId="17D4362F" w14:textId="51BDE6AF" w:rsidR="00D57942" w:rsidRPr="004E053C" w:rsidRDefault="00D36963" w:rsidP="004E053C">
      <w:pPr>
        <w:pStyle w:val="Heading3"/>
        <w:rPr>
          <w:rFonts w:asciiTheme="minorHAnsi" w:hAnsiTheme="minorHAnsi"/>
        </w:rPr>
      </w:pPr>
      <w:r w:rsidRPr="004E053C">
        <w:rPr>
          <w:rFonts w:asciiTheme="minorHAnsi" w:hAnsiTheme="minorHAnsi"/>
        </w:rPr>
        <w:t>2.3.2. Women in mining settlements</w:t>
      </w:r>
    </w:p>
    <w:p w14:paraId="7D47A635" w14:textId="77777777" w:rsidR="00912ED8" w:rsidRPr="004E053C" w:rsidRDefault="00912ED8" w:rsidP="004E053C">
      <w:pPr>
        <w:spacing w:line="360" w:lineRule="auto"/>
        <w:jc w:val="both"/>
        <w:rPr>
          <w:rFonts w:cstheme="majorHAnsi"/>
          <w:sz w:val="22"/>
          <w:szCs w:val="22"/>
          <w:lang w:val="en-GB"/>
        </w:rPr>
      </w:pPr>
    </w:p>
    <w:p w14:paraId="594A9959" w14:textId="02734B20" w:rsidR="00D36963" w:rsidRPr="00636641" w:rsidRDefault="00D36963" w:rsidP="004E053C">
      <w:pPr>
        <w:spacing w:line="360" w:lineRule="auto"/>
        <w:jc w:val="both"/>
        <w:rPr>
          <w:rFonts w:eastAsia="Times New Roman" w:cstheme="minorHAnsi"/>
          <w:sz w:val="22"/>
          <w:szCs w:val="22"/>
          <w:lang w:val="fr-FR" w:eastAsia="zh-CN"/>
        </w:rPr>
      </w:pPr>
      <w:r w:rsidRPr="004E053C">
        <w:rPr>
          <w:rFonts w:cstheme="majorHAnsi"/>
          <w:sz w:val="22"/>
          <w:szCs w:val="22"/>
          <w:lang w:val="en-GB"/>
        </w:rPr>
        <w:t xml:space="preserve">ASM </w:t>
      </w:r>
      <w:r w:rsidRPr="004E053C">
        <w:rPr>
          <w:rFonts w:cstheme="majorHAnsi"/>
          <w:color w:val="000000"/>
          <w:sz w:val="22"/>
          <w:szCs w:val="22"/>
          <w:lang w:val="en-GB"/>
        </w:rPr>
        <w:t>has often been viewed as a male-dominated livelihood, and as a result the experience of women in ASM has traditionally received</w:t>
      </w:r>
      <w:r w:rsidRPr="004E053C">
        <w:rPr>
          <w:rFonts w:cstheme="majorHAnsi"/>
          <w:sz w:val="22"/>
          <w:szCs w:val="22"/>
          <w:lang w:val="en-GB"/>
        </w:rPr>
        <w:t xml:space="preserve"> little attention </w:t>
      </w:r>
      <w:r w:rsidRPr="004E053C">
        <w:rPr>
          <w:rFonts w:cstheme="majorHAnsi"/>
          <w:color w:val="000000"/>
          <w:sz w:val="22"/>
          <w:szCs w:val="22"/>
          <w:lang w:val="en-GB"/>
        </w:rPr>
        <w:t xml:space="preserve">from researchers, donors and governments </w:t>
      </w:r>
      <w:r w:rsidRPr="004E053C">
        <w:rPr>
          <w:rFonts w:cstheme="majorHAnsi"/>
          <w:color w:val="000000"/>
          <w:sz w:val="22"/>
          <w:szCs w:val="22"/>
          <w:lang w:val="en-GB"/>
        </w:rPr>
        <w:fldChar w:fldCharType="begin" w:fldLock="1"/>
      </w:r>
      <w:r w:rsidR="00517F61" w:rsidRPr="004E053C">
        <w:rPr>
          <w:rFonts w:cstheme="majorHAnsi"/>
          <w:color w:val="000000"/>
          <w:sz w:val="22"/>
          <w:szCs w:val="22"/>
          <w:lang w:val="en-GB"/>
        </w:rPr>
        <w:instrText>ADDIN CSL_CITATION {"citationItems":[{"id":"ITEM-1","itemData":{"author":[{"dropping-particle":"","family":"Hinton","given":"Jennifer Jean","non-dropping-particle":"","parse-names":false,"suffix":""},{"dropping-particle":"","family":"Veiga","given":"Marcello M","non-dropping-particle":"","parse-names":false,"suffix":""},{"dropping-particle":"","family":"Beinhoff","given":"Christian","non-dropping-particle":"","parse-names":false,"suffix":""}],"chapter-number":"11","container-title":"Socio-economic Impacts of Artisanal and Small-scale Mining in Developing Countries","editor":[{"dropping-particle":"","family":"Hilson","given":"Gavin","non-dropping-particle":"","parse-names":false,"suffix":""}],"id":"ITEM-1","issued":{"date-parts":[["2003"]]},"publisher":"CRC Press","publisher-place":"Boca Raton, FL","title":"Women and artisanal mining: gender roles and the road ahead","type":"chapter"},"uris":["http://www.mendeley.com/documents/?uuid=f9b78383-9b62-4509-a8a9-d75f9d188391"]},{"id":"ITEM-2","itemData":{"abstract":"Artisanal and small scale mining (ASM) continues to proliferate in almost all provinces of the country and a large number of rural poor primarily depends on this mining sub-sector. With the dearth of literatures and official baseline data, this study aims to provide a broad understanding, albeit preliminary, on this economic activity by highlighting gender roles, child labor, and other related issues. Significant findings are presented to demystify the conventional wisdom and existing knowledge on the role of women and the participation of child laborers in this “male-dominated” economic pursuit. With mining seriously considered by the current administration to be among the primary drivers of the Philippine economy, ASM is expected to further expand in scope and volume of productions. The results of this study may be considered in crafting policies and decisions within the broader context of mining governance in the country.","author":[{"dropping-particle":"","family":"Huesca","given":"Eliseo F.","non-dropping-particle":"","parse-names":false,"suffix":""}],"container-title":"Procedia - Social and Behavioural Sciences","id":"ITEM-2","issued":{"date-parts":[["2013"]]},"page":"150-157","title":"Gender and child labor issues in mining: a preliminary study on the artisanal and small-scale mining industry in Davao Oriental, Philippined","type":"article-journal","volume":"91"},"uris":["http://www.mendeley.com/documents/?uuid=baf3e374-8eb9-40c9-a684-a323dbcaf461"]}],"mendeley":{"formattedCitation":"(Jennifer Jean Hinton, Veiga, &amp; Beinhoff, 2003; Huesca, 2013)","manualFormatting":"(Hinton et al., 2003; Huesca, 2013)","plainTextFormattedCitation":"(Jennifer Jean Hinton, Veiga, &amp; Beinhoff, 2003; Huesca, 2013)","previouslyFormattedCitation":"(Jennifer Jean Hinton, Veiga, &amp; Beinhoff, 2003; Huesca, 2013)"},"properties":{"noteIndex":0},"schema":"https://github.com/citation-style-language/schema/raw/master/csl-citation.json"}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(Hinton et al., 2003; Huesca, 2013)</w:t>
      </w:r>
      <w:r w:rsidRPr="004E053C">
        <w:rPr>
          <w:rFonts w:cstheme="majorHAnsi"/>
          <w:color w:val="000000"/>
          <w:sz w:val="22"/>
          <w:szCs w:val="22"/>
          <w:lang w:val="en-GB"/>
        </w:rPr>
        <w:fldChar w:fldCharType="end"/>
      </w:r>
      <w:r w:rsidRPr="004E053C">
        <w:rPr>
          <w:rFonts w:eastAsia="DengXian" w:cstheme="majorHAnsi"/>
          <w:sz w:val="22"/>
          <w:szCs w:val="22"/>
          <w:lang w:val="en-GB" w:eastAsia="zh-CN"/>
        </w:rPr>
        <w:t xml:space="preserve">. </w:t>
      </w:r>
      <w:r w:rsidRPr="004E053C">
        <w:rPr>
          <w:rFonts w:eastAsia="Times New Roman" w:cstheme="majorHAnsi"/>
          <w:kern w:val="36"/>
          <w:sz w:val="22"/>
          <w:szCs w:val="22"/>
          <w:lang w:val="en-GB"/>
        </w:rPr>
        <w:t xml:space="preserve">Research that involved women often focused on prostitution and human trafficking </w:t>
      </w:r>
      <w:r w:rsidRPr="004E053C">
        <w:rPr>
          <w:rFonts w:eastAsia="Times New Roman" w:cstheme="majorHAnsi"/>
          <w:kern w:val="36"/>
          <w:sz w:val="22"/>
          <w:szCs w:val="22"/>
          <w:lang w:val="en-GB"/>
        </w:rPr>
        <w:fldChar w:fldCharType="begin" w:fldLock="1"/>
      </w:r>
      <w:r w:rsidR="002F0CEA">
        <w:rPr>
          <w:rFonts w:eastAsia="Times New Roman" w:cstheme="majorHAnsi"/>
          <w:kern w:val="36"/>
          <w:sz w:val="22"/>
          <w:szCs w:val="22"/>
          <w:lang w:val="en-GB"/>
        </w:rPr>
        <w:instrText>ADDIN CSL_CITATION {"citationItems":[{"id":"ITEM-1","itemData":{"abstract":"This article on small-scale alluvial gold mining in Bolivia shows how cultural practices, social patterns, and institutions, policies and politics are connected to technologies, physical environments, infrastructure, and landscapes. It presents a detailed description of the techniques, material makeup, work organization, social organization, and the regional and national political setting of alluvial small-scale gold mining in northern Bolivia, and argues for an analytical approach that acknowledges the interlinking of sociocultural and physical dimensions. To do so, the article is built of scale-ascending sections: Starting with a detailed description of the micro-operations on the pontoons on which the work takes place, followed by a theoretical exploration of the idea of sociomaterial entanglements, the argument proceeds to address the relations between the “inhabitants” of the pontoons and the nearby village that is their home, the miners’ organization (a cooperative), and the more macro setting in which this cooperative developed. The titles of the sections therefore allude to increasingly large scales. The closing section merges the various scales and summarizes the argument.","author":[{"dropping-particle":"","family":"Salman","given":"T","non-dropping-particle":"","parse-names":false,"suffix":""}],"container-title":"Society and Natural Resources","id":"ITEM-1","issue":"9","issued":{"date-parts":[["2016"]]},"page":"1124-1138","title":"The intricacies of “being able to work undisturbed”: the organization of alluvial gold mining in Bolivia","type":"article-journal","volume":"29"},"uris":["http://www.mendeley.com/documents/?uuid=e9ce4cf9-e45d-4428-aaa9-4305d8fa4d73"]}],"mendeley":{"formattedCitation":"(Salman, 2016)","manualFormatting":"(Salman, 2016)","plainTextFormattedCitation":"(Salman, 2016)","previouslyFormattedCitation":"(Salman, 2016)"},"properties":{"noteIndex":0},"schema":"https://github.com/citation-style-language/schema/raw/master/csl-citation.json"}</w:instrText>
      </w:r>
      <w:r w:rsidRPr="004E053C">
        <w:rPr>
          <w:rFonts w:eastAsia="Times New Roman" w:cstheme="majorHAnsi"/>
          <w:kern w:val="36"/>
          <w:sz w:val="22"/>
          <w:szCs w:val="22"/>
          <w:lang w:val="en-GB"/>
        </w:rPr>
        <w:fldChar w:fldCharType="separate"/>
      </w:r>
      <w:r w:rsidR="00C4366D" w:rsidRPr="004E053C">
        <w:rPr>
          <w:rFonts w:eastAsia="Times New Roman" w:cstheme="majorHAnsi"/>
          <w:noProof/>
          <w:kern w:val="36"/>
          <w:sz w:val="22"/>
          <w:szCs w:val="22"/>
          <w:lang w:val="en-GB"/>
        </w:rPr>
        <w:t>(</w:t>
      </w:r>
      <w:r w:rsidR="00A95A06" w:rsidRPr="004E053C">
        <w:rPr>
          <w:rFonts w:eastAsia="Times New Roman" w:cstheme="majorHAnsi"/>
          <w:noProof/>
          <w:kern w:val="36"/>
          <w:sz w:val="22"/>
          <w:szCs w:val="22"/>
          <w:lang w:val="en-GB"/>
        </w:rPr>
        <w:t>Salman, 2016)</w:t>
      </w:r>
      <w:r w:rsidRPr="004E053C">
        <w:rPr>
          <w:rFonts w:eastAsia="Times New Roman" w:cstheme="majorHAnsi"/>
          <w:kern w:val="36"/>
          <w:sz w:val="22"/>
          <w:szCs w:val="22"/>
          <w:lang w:val="en-GB"/>
        </w:rPr>
        <w:fldChar w:fldCharType="end"/>
      </w:r>
      <w:r w:rsidRPr="004E053C">
        <w:rPr>
          <w:rFonts w:eastAsia="Times New Roman" w:cstheme="majorHAnsi"/>
          <w:kern w:val="36"/>
          <w:sz w:val="22"/>
          <w:szCs w:val="22"/>
          <w:lang w:val="en-GB"/>
        </w:rPr>
        <w:t xml:space="preserve">, but often with men </w:t>
      </w:r>
      <w:r w:rsidRPr="004E053C">
        <w:rPr>
          <w:rFonts w:eastAsia="Times New Roman" w:cstheme="minorHAnsi"/>
          <w:kern w:val="36"/>
          <w:sz w:val="22"/>
          <w:szCs w:val="22"/>
          <w:lang w:val="en-GB"/>
        </w:rPr>
        <w:t xml:space="preserve">remaining as the primary focus of investigation. </w:t>
      </w:r>
      <w:r w:rsidRPr="004E053C">
        <w:rPr>
          <w:rFonts w:eastAsia="Times New Roman" w:cstheme="minorHAnsi"/>
          <w:sz w:val="22"/>
          <w:szCs w:val="22"/>
          <w:lang w:val="en-GB" w:eastAsia="zh-CN"/>
        </w:rPr>
        <w:t xml:space="preserve">Research on women in mine sites has also been criticised for having a rather one-dimensional focus on sexual violence, particularly in the context of conflict minerals in African countries </w:t>
      </w:r>
      <w:r w:rsidRPr="004E053C">
        <w:rPr>
          <w:rFonts w:eastAsia="Times New Roman" w:cstheme="minorHAnsi"/>
          <w:sz w:val="22"/>
          <w:szCs w:val="22"/>
          <w:lang w:val="en-GB" w:eastAsia="zh-CN"/>
        </w:rPr>
        <w:fldChar w:fldCharType="begin" w:fldLock="1"/>
      </w:r>
      <w:r w:rsidR="002F0CEA">
        <w:rPr>
          <w:rFonts w:eastAsia="Times New Roman" w:cstheme="minorHAnsi"/>
          <w:sz w:val="22"/>
          <w:szCs w:val="22"/>
          <w:lang w:val="en-GB" w:eastAsia="zh-CN"/>
        </w:rPr>
        <w:instrText>ADDIN CSL_CITATION {"citationItems":[{"id":"ITEM-1","itemData":{"abstract":"This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Society","id":"ITEM-1","issue":"4","issued":{"date-parts":[["2019"]]},"page":"1101-1112","publisher":"Elsevier","title":"Gender and artisanal and small-scale mining: implications for formalization","type":"article-journal","volume":"6"},"uris":["http://www.mendeley.com/documents/?uuid=d3c6389f-147a-4a38-80bb-ad6e7ea88a8e"]},{"id":"ITEM-2","itemData":{"abstract":"Artisanal mining is a key source of livelihood in the eastern part of the Democratic Republic of Congo, an area mostly known for its chronic instability and violent conflict. Although men make up the majority of the artisanal mining population, mining is also central in the livelihoods of many girls and women. In this paper, we take issue with the fact that the current emphasis on conflict-related sexual violence to women has obscured the role of women in artisanal mining. Furthermore, we criticize the tendency to promote women's departure from the mining sector, which has been presented as the best strategy to protect them against the threats of sexual violence, exploitation and oppression. We argue that, given the lack of viable alternative livelihoods in eastern DRC, policymakers should invest more time, energy and resources in trying to understand and to strengthen women's positions in the mining sector itself. © 2013.","author":[{"dropping-particle":"","family":"Bashwira","given":"Marie Rose","non-dropping-particle":"","parse-names":false,"suffix":""},{"dropping-particle":"","family":"Cuvelier","given":"Jeroen","non-dropping-particle":"","parse-names":false,"suffix":""},{"dropping-particle":"","family":"Hilhorst","given":"Dorothea","non-dropping-particle":"","parse-names":false,"suffix":""},{"dropping-particle":"","family":"Haar","given":"Gemma","non-dropping-particle":"van der","parse-names":false,"suffix":""}],"container-title":"Resources Policy","id":"ITEM-2","issue":"1","issued":{"date-parts":[["2014"]]},"page":"109-116","publisher":"Elsevier","title":"Not only a man's world: women's involvement in artisanal mining in eastern DRC","type":"article-journal","volume":"41"},"uris":["http://www.mendeley.com/documents/?uuid=a5a0883f-bc72-45cf-af9a-026c29f31825"]}],"mendeley":{"formattedCitation":"(Bashwira, Cuvelier, Hilhorst, &amp; van der Haar, 2014; Buss et al., 2019)","manualFormatting":"(Bashwira et al., 2014; Buss et al., 2019)","plainTextFormattedCitation":"(Bashwira, Cuvelier, Hilhorst, &amp; van der Haar, 2014; Buss et al., 2019)","previouslyFormattedCitation":"(Bashwira, Cuvelier, Hilhorst, &amp; van der Haar, 2014; Buss et al., 2019)"},"properties":{"noteIndex":0},"schema":"https://github.com/citation-style-language/schema/raw/master/csl-citation.json"}</w:instrText>
      </w:r>
      <w:r w:rsidRPr="004E053C">
        <w:rPr>
          <w:rFonts w:eastAsia="Times New Roman" w:cstheme="minorHAnsi"/>
          <w:sz w:val="22"/>
          <w:szCs w:val="22"/>
          <w:lang w:val="en-GB" w:eastAsia="zh-CN"/>
        </w:rPr>
        <w:fldChar w:fldCharType="separate"/>
      </w:r>
      <w:r w:rsidRPr="004E053C">
        <w:rPr>
          <w:rFonts w:eastAsia="Times New Roman" w:cstheme="minorHAnsi"/>
          <w:noProof/>
          <w:sz w:val="22"/>
          <w:szCs w:val="22"/>
          <w:lang w:val="en-GB" w:eastAsia="zh-CN"/>
        </w:rPr>
        <w:t>(Bashwira et al., 2014; Buss et al., 2019)</w:t>
      </w:r>
      <w:r w:rsidRPr="004E053C">
        <w:rPr>
          <w:rFonts w:eastAsia="Times New Roman" w:cstheme="minorHAnsi"/>
          <w:sz w:val="22"/>
          <w:szCs w:val="22"/>
          <w:lang w:val="en-GB" w:eastAsia="zh-CN"/>
        </w:rPr>
        <w:fldChar w:fldCharType="end"/>
      </w:r>
      <w:r w:rsidRPr="004E053C">
        <w:rPr>
          <w:rFonts w:eastAsia="Times New Roman" w:cstheme="minorHAnsi"/>
          <w:sz w:val="22"/>
          <w:szCs w:val="22"/>
          <w:lang w:val="en-GB" w:eastAsia="zh-CN"/>
        </w:rPr>
        <w:t xml:space="preserve">. In general, the literature has painted ASM as a place of risk and economic and sexual exploitation for women, which has been reflected in policy making in the DRC for example </w:t>
      </w:r>
      <w:r w:rsidRPr="004E053C">
        <w:rPr>
          <w:rFonts w:eastAsia="Times New Roman" w:cstheme="minorHAnsi"/>
          <w:sz w:val="22"/>
          <w:szCs w:val="22"/>
          <w:lang w:val="en-GB" w:eastAsia="zh-CN"/>
        </w:rPr>
        <w:fldChar w:fldCharType="begin" w:fldLock="1"/>
      </w:r>
      <w:r w:rsidR="007A757C" w:rsidRPr="004E053C">
        <w:rPr>
          <w:rFonts w:eastAsia="Times New Roman" w:cstheme="minorHAnsi"/>
          <w:sz w:val="22"/>
          <w:szCs w:val="22"/>
          <w:lang w:val="en-GB" w:eastAsia="zh-CN"/>
        </w:rPr>
        <w:instrText>ADDIN CSL_CITATION {"citationItems":[{"id":"ITEM-1","itemData":{"abstract":"Artisanal mining is a key source of livelihood in the eastern part of the Democratic Republic of Congo, an area mostly known for its chronic instability and violent conflict. Although men make up the majority of the artisanal mining population, mining is also central in the livelihoods of many girls and women. In this paper, we take issue with the fact that the current emphasis on conflict-related sexual violence to women has obscured the role of women in artisanal mining. Furthermore, we criticize the tendency to promote women's departure from the mining sector, which has been presented as the best strategy to protect them against the threats of sexual violence, exploitation and oppression. We argue that, given the lack of viable alternative livelihoods in eastern DRC, policymakers should invest more time, energy and resources in trying to understand and to strengthen women's positions in the mining sector itself. © 2013.","author":[{"dropping-particle":"","family":"Bashwira","given":"Marie Rose","non-dropping-particle":"","parse-names":false,"suffix":""},{"dropping-particle":"","family":"Cuvelier","given":"Jeroen","non-dropping-particle":"","parse-names":false,"suffix":""},{"dropping-particle":"","family":"Hilhorst","given":"Dorothea","non-dropping-particle":"","parse-names":false,"suffix":""},{"dropping-particle":"","family":"Haar","given":"Gemma","non-dropping-particle":"van der","parse-names":false,"suffix":""}],"container-title":"Resources Policy","id":"ITEM-1","issue":"1","issued":{"date-parts":[["2014"]]},"page":"109-116","publisher":"Elsevier","title":"Not only a man's world: women's involvement in artisanal mining in eastern DRC","type":"article-journal","volume":"41"},"uris":["http://www.mendeley.com/documents/?uuid=a5a0883f-bc72-45cf-af9a-026c29f31825"]}],"mendeley":{"formattedCitation":"(Bashwira et al., 2014)","plainTextFormattedCitation":"(Bashwira et al., 2014)","previouslyFormattedCitation":"(Bashwira et al., 2014)"},"properties":{"noteIndex":0},"schema":"https://github.com/citation-style-language/schema/raw/master/csl-citation.json"}</w:instrText>
      </w:r>
      <w:r w:rsidRPr="004E053C">
        <w:rPr>
          <w:rFonts w:eastAsia="Times New Roman" w:cstheme="minorHAnsi"/>
          <w:sz w:val="22"/>
          <w:szCs w:val="22"/>
          <w:lang w:val="en-GB" w:eastAsia="zh-CN"/>
        </w:rPr>
        <w:fldChar w:fldCharType="separate"/>
      </w:r>
      <w:r w:rsidRPr="004E053C">
        <w:rPr>
          <w:rFonts w:eastAsia="Times New Roman" w:cstheme="minorHAnsi"/>
          <w:noProof/>
          <w:sz w:val="22"/>
          <w:szCs w:val="22"/>
          <w:lang w:val="en-GB" w:eastAsia="zh-CN"/>
        </w:rPr>
        <w:t>(Bashwira et al., 2014)</w:t>
      </w:r>
      <w:r w:rsidRPr="004E053C">
        <w:rPr>
          <w:rFonts w:eastAsia="Times New Roman" w:cstheme="minorHAnsi"/>
          <w:sz w:val="22"/>
          <w:szCs w:val="22"/>
          <w:lang w:val="en-GB" w:eastAsia="zh-CN"/>
        </w:rPr>
        <w:fldChar w:fldCharType="end"/>
      </w:r>
      <w:r w:rsidRPr="004E053C">
        <w:rPr>
          <w:rFonts w:eastAsia="Times New Roman" w:cstheme="minorHAnsi"/>
          <w:sz w:val="22"/>
          <w:szCs w:val="22"/>
          <w:lang w:val="en-GB" w:eastAsia="zh-CN"/>
        </w:rPr>
        <w:t>. Recently however, academics have started to pay more attention to the role that women play in the ASM sector</w:t>
      </w:r>
      <w:r w:rsidR="0041449D">
        <w:rPr>
          <w:rFonts w:eastAsia="Times New Roman" w:cstheme="minorHAnsi"/>
          <w:sz w:val="22"/>
          <w:szCs w:val="22"/>
          <w:lang w:val="en-GB" w:eastAsia="zh-CN"/>
        </w:rPr>
        <w:t>, albeit with a focus on African countries</w:t>
      </w:r>
      <w:r w:rsidRPr="004E053C">
        <w:rPr>
          <w:rFonts w:eastAsia="Times New Roman" w:cstheme="minorHAnsi"/>
          <w:sz w:val="22"/>
          <w:szCs w:val="22"/>
          <w:lang w:val="en-GB" w:eastAsia="zh-CN"/>
        </w:rPr>
        <w:t xml:space="preserve"> </w:t>
      </w:r>
      <w:r w:rsidRPr="004E053C">
        <w:rPr>
          <w:rFonts w:eastAsia="Times New Roman" w:cstheme="minorHAnsi"/>
          <w:sz w:val="22"/>
          <w:szCs w:val="22"/>
          <w:lang w:val="en-GB" w:eastAsia="zh-CN"/>
        </w:rPr>
        <w:fldChar w:fldCharType="begin" w:fldLock="1"/>
      </w:r>
      <w:r w:rsidR="002F0CEA">
        <w:rPr>
          <w:rFonts w:eastAsia="Times New Roman" w:cstheme="minorHAnsi"/>
          <w:sz w:val="22"/>
          <w:szCs w:val="22"/>
          <w:lang w:val="en-GB" w:eastAsia="zh-CN"/>
        </w:rPr>
        <w:instrText>ADDIN CSL_CITATION {"citationItems":[{"id":"ITEM-1","itemData":{"abstract":"Artisanal mining is a key source of livelihood in the eastern part of the Democratic Republic of Congo, an area mostly known for its chronic instability and violent conflict. Although men make up the majority of the artisanal mining population, mining is also central in the livelihoods of many girls and women. In this paper, we take issue with the fact that the current emphasis on conflict-related sexual violence to women has obscured the role of women in artisanal mining. Furthermore, we criticize the tendency to promote women's departure from the mining sector, which has been presented as the best strategy to protect them against the threats of sexual violence, exploitation and oppression. We argue that, given the lack of viable alternative livelihoods in eastern DRC, policymakers should invest more time, energy and resources in trying to understand and to strengthen women's positions in the mining sector itself. © 2013.","author":[{"dropping-particle":"","family":"Bashwira","given":"Marie Rose","non-dropping-particle":"","parse-names":false,"suffix":""},{"dropping-particle":"","family":"Cuvelier","given":"Jeroen","non-dropping-particle":"","parse-names":false,"suffix":""},{"dropping-particle":"","family":"Hilhorst","given":"Dorothea","non-dropping-particle":"","parse-names":false,"suffix":""},{"dropping-particle":"","family":"Haar","given":"Gemma","non-dropping-particle":"van der","parse-names":false,"suffix":""}],"container-title":"Resources Policy","id":"ITEM-1","issue":"1","issued":{"date-parts":[["2014"]]},"page":"109-116","publisher":"Elsevier","title":"Not only a man's world: women's involvement in artisanal mining in eastern DRC","type":"article-journal","volume":"41"},"uris":["http://www.mendeley.com/documents/?uuid=a5a0883f-bc72-45cf-af9a-026c29f31825"]},{"id":"ITEM-2","itemData":{"author":[{"dropping-particle":"","family":"Huggins","given":"C","non-dropping-particle":"","parse-names":false,"suffix":""},{"dropping-particle":"","family":"Buss","given":"D","non-dropping-particle":"","parse-names":false,"suffix":""},{"dropping-particle":"","family":"Rutherford","given":"B","non-dropping-particle":"","parse-names":false,"suffix":""}],"container-title":"Geoforum","id":"ITEM-2","issued":{"date-parts":[["2017"]]},"page":"142-152","title":"A 'cartography of concern': place-making practices and gender in the artisanal mining sector in Africa","type":"article-journal","volume":"83"},"uris":["http://www.mendeley.com/documents/?uuid=e50729d3-9142-4ed7-ae1f-c0ab01abedf3"]},{"id":"ITEM-3","itemData":{"abstract":"This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Society","id":"ITEM-3","issue":"4","issued":{"date-parts":[["2019"]]},"page":"1101-1112","publisher":"Elsevier","title":"Gender and artisanal and small-scale mining: implications for formalization","type":"article-journal","volume":"6"},"uris":["http://www.mendeley.com/documents/?uuid=d3c6389f-147a-4a38-80bb-ad6e7ea88a8e"]},{"id":"ITEM-4","itemData":{"author":[{"dropping-particle":"","family":"Buss","given":"D","non-dropping-particle":"","parse-names":false,"suffix":""},{"dropping-particle":"","family":"Rutherford","given":"B","non-dropping-particle":"","parse-names":false,"suffix":""},{"dropping-particle":"","family":"Hinton","given":"J","non-dropping-particle":"","parse-names":false,"suffix":""},{"dropping-particle":"","family":"Stewart","given":"J"</w:instrText>
      </w:r>
      <w:r w:rsidR="002F0CEA" w:rsidRPr="00636641">
        <w:rPr>
          <w:rFonts w:eastAsia="Times New Roman" w:cstheme="minorHAnsi"/>
          <w:sz w:val="22"/>
          <w:szCs w:val="22"/>
          <w:lang w:val="fr-FR" w:eastAsia="zh-CN"/>
        </w:rPr>
        <w:instrText>,"non-dropping-particle":"","parse-names":false,"suffix":""},{"dropping-particle":"","family":"Lebert","given":"J","non-dropping-particle":"","parse-names":false,"suffix":""},{"dropping-particle":"","family":"Cote","given":"G.E","non-dropping-particle":"","parse-names":false,"suffix":""},{"dropping-particle":"","family":"Sebina-Zziwa","given":"A","non-dropping-particle":"","parse-names":false,"suffix":""},{"dropping-particle":"","family":"Kibombo","given":"R","non-dropping-particle":"","parse-names":false,"suffix":""},{"dropping-particle":"","family":"Kisekka","given":"F.","non-dropping-particle":"","parse-names":false,"suffix":""}],"id":"ITEM-4","issued":{"date-parts":[["2017"]]},"number":"Working Paper GWP-2017-2","publisher-place":"Ottawa","title":"Gender and artisanal and small-scale mining in Central and East Africa: barriers and benefits","type":"report"},"uris":["http://www.mendeley.com/documents/?uuid=fc2c33b3-ea68-425b-97cc-ad7705b6f1ae"]}],"mendeley":{"formattedCitation":"(Bashwira et al., 2014; Buss et al., 2017, 2019; Huggins et al., 2017)","manualFormatting":"(Bashwira et al., 2014; Buss et al., 2017; Buss et al., 2019; Huggins et al., 2017)","plainTextFormattedCitation":"(Bashwira et al., 2014; Buss et al., 2017, 2019; Huggins et al., 2017)","previouslyFormattedCitation":"(Bashwira et al., 2014; Buss et al., 2017, 2019; Huggins et al., 2017)"},"properties":{"noteIndex":0},"schema":"https://github.com/citation-style-language/schema/raw/master/csl-citation.json"}</w:instrText>
      </w:r>
      <w:r w:rsidRPr="004E053C">
        <w:rPr>
          <w:rFonts w:eastAsia="Times New Roman" w:cstheme="minorHAnsi"/>
          <w:sz w:val="22"/>
          <w:szCs w:val="22"/>
          <w:lang w:val="en-GB" w:eastAsia="zh-CN"/>
        </w:rPr>
        <w:fldChar w:fldCharType="separate"/>
      </w:r>
      <w:r w:rsidRPr="00636641">
        <w:rPr>
          <w:rFonts w:eastAsia="Times New Roman" w:cstheme="minorHAnsi"/>
          <w:noProof/>
          <w:sz w:val="22"/>
          <w:szCs w:val="22"/>
          <w:lang w:val="fr-FR" w:eastAsia="zh-CN"/>
        </w:rPr>
        <w:t>(Bashwira et al., 2014; Buss et al., 2017; Buss et al., 2019; Huggins et al., 2017)</w:t>
      </w:r>
      <w:r w:rsidRPr="004E053C">
        <w:rPr>
          <w:rFonts w:eastAsia="Times New Roman" w:cstheme="minorHAnsi"/>
          <w:sz w:val="22"/>
          <w:szCs w:val="22"/>
          <w:lang w:val="en-GB" w:eastAsia="zh-CN"/>
        </w:rPr>
        <w:fldChar w:fldCharType="end"/>
      </w:r>
      <w:r w:rsidR="00C4366D" w:rsidRPr="00636641">
        <w:rPr>
          <w:rFonts w:eastAsia="Times New Roman" w:cstheme="minorHAnsi"/>
          <w:sz w:val="22"/>
          <w:szCs w:val="22"/>
          <w:lang w:val="fr-FR" w:eastAsia="zh-CN"/>
        </w:rPr>
        <w:t>.</w:t>
      </w:r>
    </w:p>
    <w:p w14:paraId="32209037" w14:textId="77777777" w:rsidR="00517F61" w:rsidRPr="00636641" w:rsidRDefault="00517F61" w:rsidP="004E053C">
      <w:pPr>
        <w:spacing w:line="360" w:lineRule="auto"/>
        <w:jc w:val="both"/>
        <w:rPr>
          <w:rFonts w:eastAsia="Times New Roman" w:cstheme="minorHAnsi"/>
          <w:color w:val="FF0000"/>
          <w:sz w:val="22"/>
          <w:szCs w:val="22"/>
          <w:lang w:val="fr-FR" w:eastAsia="zh-CN"/>
        </w:rPr>
      </w:pPr>
    </w:p>
    <w:p w14:paraId="2BF33E05" w14:textId="31D08033" w:rsidR="00D36963" w:rsidRPr="004E053C" w:rsidRDefault="00D36963" w:rsidP="004E053C">
      <w:pPr>
        <w:spacing w:line="360" w:lineRule="auto"/>
        <w:jc w:val="both"/>
        <w:rPr>
          <w:rFonts w:cstheme="minorHAnsi"/>
          <w:color w:val="000000"/>
          <w:sz w:val="22"/>
          <w:szCs w:val="22"/>
          <w:lang w:val="en-GB" w:eastAsia="zh-CN"/>
        </w:rPr>
      </w:pPr>
      <w:r w:rsidRPr="004E053C">
        <w:rPr>
          <w:rFonts w:cstheme="minorHAnsi"/>
          <w:sz w:val="22"/>
          <w:szCs w:val="22"/>
          <w:lang w:val="en-GB"/>
        </w:rPr>
        <w:t>Women are often engaged indirectly in ASM through the provision of ancillary goods and services,</w:t>
      </w:r>
      <w:r w:rsidR="00277027">
        <w:rPr>
          <w:rFonts w:cstheme="minorHAnsi"/>
          <w:sz w:val="22"/>
          <w:szCs w:val="22"/>
          <w:lang w:val="en-GB"/>
        </w:rPr>
        <w:t xml:space="preserve"> including prostitution and sex </w:t>
      </w:r>
      <w:r w:rsidRPr="004E053C">
        <w:rPr>
          <w:rFonts w:cstheme="minorHAnsi"/>
          <w:sz w:val="22"/>
          <w:szCs w:val="22"/>
          <w:lang w:val="en-GB"/>
        </w:rPr>
        <w:t xml:space="preserve">work, rather than directly in ASM activities </w:t>
      </w:r>
      <w:r w:rsidRPr="004E053C">
        <w:rPr>
          <w:rFonts w:cstheme="minorHAnsi"/>
          <w:sz w:val="22"/>
          <w:szCs w:val="22"/>
          <w:lang w:val="en-GB"/>
        </w:rPr>
        <w:fldChar w:fldCharType="begin" w:fldLock="1"/>
      </w:r>
      <w:r w:rsidR="002F0CEA">
        <w:rPr>
          <w:rFonts w:cstheme="minorHAnsi"/>
          <w:sz w:val="22"/>
          <w:szCs w:val="22"/>
          <w:lang w:val="en-GB"/>
        </w:rPr>
        <w:instrText>ADDIN CSL_CITATION {"citationItems":[{"id":"ITEM-1","itemData":{"abstract":"Two dominant narratives have characterized the conflict in eastern Democratic Republic of the Congo (DRC): (1) the horrific abuse of women through sexual violence and (2) the use of \"conflict minerals\" to fuel the fighting. These two advocacy narratives intersect uniquely in artisanal and small-scale mining (ASM) towns and can lead to flawed understandings of the true dynamics of women's experiences in these contexts. Mining areas are important centers of economic activity for women, but also pose distinct risks. A simplistic portrayal of women's victimization in mining towns suppress discussion of their participation in non-conflict political and social processes. Yet, these processes are among the most important to ensure that women secure opportunities for long-term, substantive engagement in mining activities. This paper draws on systematically collected qualitative data from two territories in South Kivu, Walungu and Kalehe, to examine how women negotiate these complex social and economic mining landscapes in eastern Democratic Republic of Congo. Their accounts compel a re-examination of development efforts to remove women from the mines altogether, and to look more closely at the measures available to help them realize their legal rights to work safely and fairly in these contexts. © 2014.","author":[{"dropping-particle":"","family":"Kelly","given":"Jocelyn T.D.","non-dropping-particle":"","parse-names":false,"suffix":""},{"dropping-particle":"","family":"King-Close","given":"Alexandria","non-dropping-particle":"","parse-names":false,"suffix":""},{"dropping-particle":"","family":"Perks","given":"Rachel","non-dropping-particle":"","parse-names":false,"suffix":""}],"container-title":"Futures","id":"ITEM-1","issued":{"date-parts":[["2014"]]},"page":"95-105","publisher":"Elsevier Ltd","title":"Resources and resourcefulness: Roles, opportunities and risks for women working at artisanal mines in South Kivu, Democratic Republic of the Congo","type":"article-journal","volume":"62"},"uris":["http://www.mendeley.com/documents/?uuid=5e01ac0f-7f54-4dc3-a3f2-adb1da7a2ae4"]},{"id":"ITEM-2","itemData":{"abstract":"This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Society","id":"ITEM-2","issue":"4","issued":{"date-parts":[["2019"]]},"page":"1101-1112","publisher":"Elsevier","title":"Gender and artisanal and small-scale mining: implications for formalization","type":"article-journal","volume":"6"},"uris":["http://www.mendeley.com/documents/?uuid=d3c6389f-147a-4a38-80bb-ad6e7ea88a8e"]},{"id":"ITEM-3","itemData":{"author":[{"dropping-particle":"","family":"Hoogbergen","given":"W","non-dropping-particle":"","parse-names":false,"suffix":""},{"dropping-particle":"","family":"Kruijt","given":"Dirk","non-dropping-particle":"","parse-names":false,"suffix":""}],"container-title":"Caribbean Studies","id":"ITEM-3","issue":"2","issued":{"date-parts":[["2004"]]},"page":"3-44","title":"Gold, Garimpeiros and Maroons: Brazilian migrants and ethnic relationship in postwar Surinam","type":"article-journal","volume":"32"},"uris":["http://www.mendeley.com/documents/?uuid=6ad817a4-12c6-49c1-88b6-dc63cfa7bffa","http://www.mendeley.com/documents/?uuid=a5585953-26f3-4d2a-81ef-46be10b49607"]}],"mendeley":{"formattedCitation":"(Buss et al., 2019; W Hoogbergen &amp; Kruijt, 2004; J. T. D. Kelly, King-Close, &amp; Perks, 2014)","manualFormatting":"(Buss et al., 2019; Hoogbergen &amp; Kruijt, 2004; Kelly et al., 2014)","plainTextFormattedCitation":"(Buss et al., 2019; W Hoogbergen &amp; Kruijt, 2004; J. T. D. Kelly, King-Close, &amp; Perks, 2014)","previouslyFormattedCitation":"(Buss et al., 2019; W Hoogbergen &amp; Kruijt, 2004; J. T. D. Kelly, King-Close, &amp; Perks, 2014)"},"properties":{"noteIndex":0},"schema":"https://github.com/citation-style-language/schema/raw/master/csl-citation.json"}</w:instrText>
      </w:r>
      <w:r w:rsidRPr="004E053C">
        <w:rPr>
          <w:rFonts w:cstheme="minorHAnsi"/>
          <w:sz w:val="22"/>
          <w:szCs w:val="22"/>
          <w:lang w:val="en-GB"/>
        </w:rPr>
        <w:fldChar w:fldCharType="separate"/>
      </w:r>
      <w:r w:rsidRPr="004E053C">
        <w:rPr>
          <w:rFonts w:cstheme="minorHAnsi"/>
          <w:noProof/>
          <w:sz w:val="22"/>
          <w:szCs w:val="22"/>
          <w:lang w:val="en-GB"/>
        </w:rPr>
        <w:t>(Buss et al., 2019; Hoogbergen &amp; Kruijt, 2004; Kelly et al., 2014)</w:t>
      </w:r>
      <w:r w:rsidRPr="004E053C">
        <w:rPr>
          <w:rFonts w:cstheme="minorHAnsi"/>
          <w:sz w:val="22"/>
          <w:szCs w:val="22"/>
          <w:lang w:val="en-GB"/>
        </w:rPr>
        <w:fldChar w:fldCharType="end"/>
      </w:r>
      <w:r w:rsidRPr="004E053C">
        <w:rPr>
          <w:rFonts w:cstheme="minorHAnsi"/>
          <w:sz w:val="22"/>
          <w:szCs w:val="22"/>
          <w:lang w:val="en-GB"/>
        </w:rPr>
        <w:t xml:space="preserve">. In some countries, this is because they are forbidden from entering the mineshaft </w:t>
      </w:r>
      <w:r w:rsidRPr="004E053C">
        <w:rPr>
          <w:rFonts w:cstheme="minorHAnsi"/>
          <w:sz w:val="22"/>
          <w:szCs w:val="22"/>
          <w:lang w:val="en-GB"/>
        </w:rPr>
        <w:fldChar w:fldCharType="begin" w:fldLock="1"/>
      </w:r>
      <w:r w:rsidR="002F0CEA">
        <w:rPr>
          <w:rFonts w:cstheme="minorHAnsi"/>
          <w:sz w:val="22"/>
          <w:szCs w:val="22"/>
          <w:lang w:val="en-GB"/>
        </w:rPr>
        <w:instrText>ADDIN CSL_CITATION {"citationItems":[{"id":"ITEM-1","itemData":{"abstract":"This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Society","id":"ITEM-1","issue":"4","issued":{"date-parts":[["2019"]]},"page":"1101-1112","publisher":"Elsevier","title":"Gender and artisanal and small-scale mining: implications for formalization","type":"article-journal","volume":"6"},"uris":["http://www.mendeley.com/documents/?uuid=d3c6389f-147a-4a38-80bb-ad6e7ea88a8e"]}],"mendeley":{"formattedCitation":"(Buss et al., 2019)","manualFormatting":"(Buss et al., 2019)","plainTextFormattedCitation":"(Buss et al., 2019)","previouslyFormattedCitation":"(Buss et al., 2019)"},"properties":{"noteIndex":0},"schema":"https://github.com/citation-style-language/schema/raw/master/csl-citation.json"}</w:instrText>
      </w:r>
      <w:r w:rsidRPr="004E053C">
        <w:rPr>
          <w:rFonts w:cstheme="minorHAnsi"/>
          <w:sz w:val="22"/>
          <w:szCs w:val="22"/>
          <w:lang w:val="en-GB"/>
        </w:rPr>
        <w:fldChar w:fldCharType="separate"/>
      </w:r>
      <w:r w:rsidRPr="004E053C">
        <w:rPr>
          <w:rFonts w:cstheme="minorHAnsi"/>
          <w:noProof/>
          <w:sz w:val="22"/>
          <w:szCs w:val="22"/>
          <w:lang w:val="en-GB"/>
        </w:rPr>
        <w:t>(Buss et al., 2019)</w:t>
      </w:r>
      <w:r w:rsidRPr="004E053C">
        <w:rPr>
          <w:rFonts w:cstheme="minorHAnsi"/>
          <w:sz w:val="22"/>
          <w:szCs w:val="22"/>
          <w:lang w:val="en-GB"/>
        </w:rPr>
        <w:fldChar w:fldCharType="end"/>
      </w:r>
      <w:r w:rsidRPr="004E053C">
        <w:rPr>
          <w:rFonts w:cstheme="minorHAnsi"/>
          <w:sz w:val="22"/>
          <w:szCs w:val="22"/>
          <w:lang w:val="en-GB"/>
        </w:rPr>
        <w:t xml:space="preserve">, either due to their perceived lack of strength </w:t>
      </w:r>
      <w:r w:rsidR="0004146F" w:rsidRPr="004E053C">
        <w:rPr>
          <w:rFonts w:cstheme="minorHAnsi"/>
          <w:sz w:val="22"/>
          <w:szCs w:val="22"/>
          <w:lang w:val="en-GB"/>
        </w:rPr>
        <w:lastRenderedPageBreak/>
        <w:fldChar w:fldCharType="begin" w:fldLock="1"/>
      </w:r>
      <w:r w:rsidR="00517F61" w:rsidRPr="004E053C">
        <w:rPr>
          <w:rFonts w:cstheme="minorHAnsi"/>
          <w:sz w:val="22"/>
          <w:szCs w:val="22"/>
          <w:lang w:val="en-GB"/>
        </w:rPr>
        <w:instrText>ADDIN CSL_CITATION {"citationItems":[{"id":"ITEM-1","itemData":{"author":[{"dropping-particle":"","family":"Heemskerk","given":"Marieke","non-dropping-particle":"","parse-names":false,"suffix":""},{"dropping-particle":"","family":"Duijves","given":"Celine","non-dropping-particle":"","parse-names":false,"suffix":""}],"chapter-number":"6","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arjo","non-dropping-particle":"de","parse-names":false,"suffix":""}],"id":"ITEM-1","issued":{"date-parts":[["2013"]]},"publisher":"CEDLA","publisher-place":"Amsterdam","title":"Small-scale gold mining and conflict in Suriname","type":"chapter"},"uris":["http://www.mendeley.com/documents/?uuid=0f55ec0b-cab7-414a-b00f-0994d7882ac3"]}],"mendeley":{"formattedCitation":"(Heemskerk &amp; Duijves, 2013)","plainTextFormattedCitation":"(Heemskerk &amp; Duijves, 2013)","previouslyFormattedCitation":"(Heemskerk &amp; Duijves, 2013)"},"properties":{"noteIndex":0},"schema":"https://github.com/citation-style-language/schema/raw/master/csl-citation.json"}</w:instrText>
      </w:r>
      <w:r w:rsidR="0004146F" w:rsidRPr="004E053C">
        <w:rPr>
          <w:rFonts w:cstheme="minorHAnsi"/>
          <w:sz w:val="22"/>
          <w:szCs w:val="22"/>
          <w:lang w:val="en-GB"/>
        </w:rPr>
        <w:fldChar w:fldCharType="separate"/>
      </w:r>
      <w:r w:rsidR="0004146F" w:rsidRPr="004E053C">
        <w:rPr>
          <w:rFonts w:cstheme="minorHAnsi"/>
          <w:noProof/>
          <w:sz w:val="22"/>
          <w:szCs w:val="22"/>
          <w:lang w:val="en-GB"/>
        </w:rPr>
        <w:t>(Heemskerk &amp; Duijves, 2013)</w:t>
      </w:r>
      <w:r w:rsidR="0004146F" w:rsidRPr="004E053C">
        <w:rPr>
          <w:rFonts w:cstheme="minorHAnsi"/>
          <w:sz w:val="22"/>
          <w:szCs w:val="22"/>
          <w:lang w:val="en-GB"/>
        </w:rPr>
        <w:fldChar w:fldCharType="end"/>
      </w:r>
      <w:r w:rsidRPr="004E053C">
        <w:rPr>
          <w:rFonts w:cstheme="minorHAnsi"/>
          <w:sz w:val="22"/>
          <w:szCs w:val="22"/>
          <w:lang w:val="en-GB"/>
        </w:rPr>
        <w:t xml:space="preserve"> or because they are believed to bring bad luck</w:t>
      </w:r>
      <w:r w:rsidR="00203623" w:rsidRPr="004E053C">
        <w:rPr>
          <w:rFonts w:cstheme="minorHAnsi"/>
          <w:sz w:val="22"/>
          <w:szCs w:val="22"/>
          <w:lang w:val="en-GB"/>
        </w:rPr>
        <w:t xml:space="preserve"> if they enter the mine</w:t>
      </w:r>
      <w:r w:rsidR="00390E36" w:rsidRPr="004E053C">
        <w:rPr>
          <w:rFonts w:cstheme="minorHAnsi"/>
          <w:sz w:val="22"/>
          <w:szCs w:val="22"/>
          <w:lang w:val="en-GB"/>
        </w:rPr>
        <w:t>,</w:t>
      </w:r>
      <w:r w:rsidRPr="004E053C">
        <w:rPr>
          <w:rFonts w:cstheme="minorHAnsi"/>
          <w:sz w:val="22"/>
          <w:szCs w:val="22"/>
          <w:lang w:val="en-GB"/>
        </w:rPr>
        <w:t xml:space="preserve"> </w:t>
      </w:r>
      <w:r w:rsidR="00203623" w:rsidRPr="004E053C">
        <w:rPr>
          <w:rFonts w:cstheme="minorHAnsi"/>
          <w:sz w:val="22"/>
          <w:szCs w:val="22"/>
          <w:lang w:val="en-GB"/>
        </w:rPr>
        <w:t xml:space="preserve">such as in Papua New Guinea </w:t>
      </w:r>
      <w:r w:rsidR="00E65D31" w:rsidRPr="004E053C">
        <w:rPr>
          <w:rFonts w:cstheme="minorHAnsi"/>
          <w:sz w:val="22"/>
          <w:szCs w:val="22"/>
          <w:lang w:val="en-GB"/>
        </w:rPr>
        <w:fldChar w:fldCharType="begin" w:fldLock="1"/>
      </w:r>
      <w:r w:rsidR="00E65D31" w:rsidRPr="004E053C">
        <w:rPr>
          <w:rFonts w:cstheme="minorHAnsi"/>
          <w:sz w:val="22"/>
          <w:szCs w:val="22"/>
          <w:lang w:val="en-GB"/>
        </w:rPr>
        <w:instrText>ADDIN CSL_CITATION {"citationItems":[{"id":"ITEM-1","itemData":{"author":[{"dropping-particle":"","family":"Moretti","given":"D","non-dropping-particle":"","parse-names":false,"suffix":""}],"container-title":"Oceania","id":"ITEM-1","issue":"2","issued":{"date-parts":[["2006"]]},"page":"133-149","title":"The gender of the gold: an ethnogaphic and historical account of women's involvement in artisanal and small-scale mining in Mount Kaindi, Papua New Guinea","type":"article-journal","volume":"76"},"uris":["http://www.mendeley.com/documents/?uuid=4ca77992-419d-4572-9ac1-321b8473d50b"]}],"mendeley":{"formattedCitation":"(Moretti, 2006)","plainTextFormattedCitation":"(Moretti, 2006)","previouslyFormattedCitation":"(Moretti, 2006)"},"properties":{"noteIndex":0},"schema":"https://github.com/citation-style-language/schema/raw/master/csl-citation.json"}</w:instrText>
      </w:r>
      <w:r w:rsidR="00E65D31" w:rsidRPr="004E053C">
        <w:rPr>
          <w:rFonts w:cstheme="minorHAnsi"/>
          <w:sz w:val="22"/>
          <w:szCs w:val="22"/>
          <w:lang w:val="en-GB"/>
        </w:rPr>
        <w:fldChar w:fldCharType="separate"/>
      </w:r>
      <w:r w:rsidR="00E65D31" w:rsidRPr="004E053C">
        <w:rPr>
          <w:rFonts w:cstheme="minorHAnsi"/>
          <w:noProof/>
          <w:sz w:val="22"/>
          <w:szCs w:val="22"/>
          <w:lang w:val="en-GB"/>
        </w:rPr>
        <w:t>(Moretti, 2006)</w:t>
      </w:r>
      <w:r w:rsidR="00E65D31" w:rsidRPr="004E053C">
        <w:rPr>
          <w:rFonts w:cstheme="minorHAnsi"/>
          <w:sz w:val="22"/>
          <w:szCs w:val="22"/>
          <w:lang w:val="en-GB"/>
        </w:rPr>
        <w:fldChar w:fldCharType="end"/>
      </w:r>
      <w:r w:rsidR="00203623" w:rsidRPr="004E053C">
        <w:rPr>
          <w:rFonts w:eastAsia="Times New Roman" w:cstheme="majorHAnsi"/>
          <w:kern w:val="36"/>
          <w:sz w:val="22"/>
          <w:szCs w:val="22"/>
          <w:lang w:val="en-GB"/>
        </w:rPr>
        <w:t xml:space="preserve"> </w:t>
      </w:r>
      <w:r w:rsidRPr="004E053C">
        <w:rPr>
          <w:rFonts w:eastAsia="Times New Roman" w:cstheme="majorHAnsi"/>
          <w:kern w:val="36"/>
          <w:sz w:val="22"/>
          <w:szCs w:val="22"/>
          <w:lang w:val="en-GB"/>
        </w:rPr>
        <w:t xml:space="preserve">However, in some areas </w:t>
      </w:r>
      <w:r w:rsidRPr="004E053C">
        <w:rPr>
          <w:rFonts w:eastAsia="Times New Roman" w:cstheme="minorHAnsi"/>
          <w:kern w:val="36"/>
          <w:sz w:val="22"/>
          <w:szCs w:val="22"/>
          <w:lang w:val="en-GB"/>
        </w:rPr>
        <w:t xml:space="preserve">women do work directly in ASM activity, despite the cultural barriers </w:t>
      </w:r>
      <w:r w:rsidRPr="004E053C">
        <w:rPr>
          <w:rFonts w:eastAsia="Times New Roman" w:cstheme="minorHAnsi"/>
          <w:kern w:val="36"/>
          <w:sz w:val="22"/>
          <w:szCs w:val="22"/>
          <w:lang w:val="en-GB"/>
        </w:rPr>
        <w:fldChar w:fldCharType="begin" w:fldLock="1"/>
      </w:r>
      <w:r w:rsidR="00517F61" w:rsidRPr="004E053C">
        <w:rPr>
          <w:rFonts w:eastAsia="Times New Roman" w:cstheme="minorHAnsi"/>
          <w:kern w:val="36"/>
          <w:sz w:val="22"/>
          <w:szCs w:val="22"/>
          <w:lang w:val="en-GB"/>
        </w:rPr>
        <w:instrText>ADDIN CSL_CITATION {"citationItems":[{"id":"ITEM-1","itemData":{"author":[{"dropping-particle":"","family":"ILO","given":"","non-dropping-particle":"","parse-names":false,"suffix":""}],"id":"ITEM-1","issued":{"date-parts":[["1999"]]},"publisher-place":"Geneva","title":"Social and Labour Issues in Small-Scale Mines: Report for Discussion at the Tripartite Meeting on Social and Labor Issues in Small-scale Mines","type":"report"},"uris":["http://www.mendeley.com/documents/?uuid=4d378b05-2ef3-381d-82d6-17920ffd108a"]},{"id":"ITEM-2","itemData":{"author":[{"dropping-particle":"","family":"Lahiri-Dutt","given":"Kuntala","non-dropping-particle":"","parse-names":false,"suffix":""},{"dropping-particle":"","family":"Alexander","given":"K","non-dropping-particle":"","parse-names":false,"suffix":""},{"dropping-particle":"","family":"Insouvanh","given":"C","non-dropping-particle":"","parse-names":false,"suffix":""}],"container-title":"South East Asia Research","id":"ITEM-2","issue":"1","issued":{"date-parts":[["2014"]]},"page":"103-122","title":"Informal mining in livelihoo diversification: mineral dependence and rural communities in Lao PDR","type":"article-journal","volume":"22"},"uris":["http://www.mendeley.com/documents/?uuid=4b8e6947-a283-4797-b8e1-f2b4ebdb331c"]},{"id":"ITEM-3","itemData":{"author":[{"dropping-particle":"","family":"Lahiri-Dutt","given":"K","non-dropping-particle":"","parse-names":false,"suffix":""}],"container-title":"Women Miners in Developing Countries: Pit Women and Others","editor":[{"dropping-particle":"","family":"Lahiri-Dutt","given":"Kuntala","non-dropping-particle":"","parse-names":false,"suffix":""},{"dropping-particle":"","family":"Macintyre","given":"Martha","non-dropping-particle":"","parse-names":false,"suffix":""}],"id":"ITEM-3","issued":{"date-parts":[["2006"]]},"page":"349-369","publisher":"Ashgate Publishing Limited","publisher-place":"London, UK","title":"Globalization and women's work in the mine pits in east Kalimantan, Indonesia","type":"chapter"},"uris":["http://www.mendeley.com/documents/?uuid=4b30b8fe-d513-453c-9d78-0ad106929273"]},{"id":"ITEM-4","itemData":{"author":[{"dropping-particle":"","family":"Moretti","given":"D","non-dropping-particle":"","parse-names":false,"suffix":""}],"container-title":"Oceania","id":"ITEM-4","issue":"2","issued":{"date-parts":[["2006"]]},"page":"133-149","title":"The gender of the gold: an ethnogaphic and historical account of women's involvement in artisanal and small-scale mining in Mount Kaindi, Papua New Guinea","type":"article-journal","volume":"76"},"uris":["http://www.mendeley.com/documents/?uuid=4ca77992-419d-4572-9ac1-321b8473d50b"]},{"id":"ITEM-5","itemData":{"author":[{"dropping-particle":"","family":"Hinton","given":"Jennifer Jean","non-dropping-particle":"","parse-names":false,"suffix":""},{"dropping-particle":"","family":"Veiga","given":"Marcello M","non-dropping-particle":"","parse-names":false,"suffix":""},{"dropping-particle":"","family":"Beinhoff","given":"Christian","non-dropping-particle":"","parse-names":false,"suffix":""}],"chapter-number":"11","container-title":"Socio-economic Impacts of Artisanal and Small-scale Mining in Developing Countries","editor":[{"dropping-particle":"","family":"Hilson","given":"Gavin","non-dropping-particle":"","parse-names":false,"suffix":""}],"id":"ITEM-5","issued":{"date-parts":[["2003"]]},"publisher":"CRC Press","publisher-place":"Boca Raton, FL","title":"Women and artisanal mining: gender roles and the road ahead","type":"chapter"},"uris":["http://www.mendeley.com/documents/?uuid=f9b78383-9b62-4509-a8a9-d75f9d188391"]},{"id":"ITEM-6","itemData":{"author":[{"dropping-particle":"","family":"Yakovleva","given":"Natalia","non-dropping-particle":"","parse-names":false,"suffix":""}],"container-title":"Resources Policy","id":"ITEM-6","issued":{"date-parts":[["2007"]]},"page":"29-41","title":"Perspectives on female participation in artisanal and small-scale mining: a case study of Birim North District of Ghana","type":"article-journal","volume":"32"},"uris":["http://www.mendeley.com/documents/?uuid=ba9c56f2-ed2c-4dfd-a968-42afb7711c46"]},{"id":"ITEM-7","itemData":{"author":[{"dropping-particle":"","family":"Perks","given":"Rachel","</w:instrText>
      </w:r>
      <w:r w:rsidR="00517F61" w:rsidRPr="00636641">
        <w:rPr>
          <w:rFonts w:eastAsia="Times New Roman" w:cstheme="minorHAnsi"/>
          <w:kern w:val="36"/>
          <w:sz w:val="22"/>
          <w:szCs w:val="22"/>
          <w:lang w:val="it-IT"/>
        </w:rPr>
        <w:instrText>non-dropping-particle":"","parse-names":false,"suffix":""}],"chapter-number":"10","container-title":"Gendering the Field: Towards Sustainable Livelihoods for Mining Communities","editor":[{"dropping-particle":"","family":"Lahiri-Dutt","given":"Kuntala","non-dropping-particle":"","parse-names":false,"suffix":""}],"id":"ITEM-7","issued":{"date-parts":[["2011"]]},"page":"177-196","publisher":"ANU Press","publisher-place":"Canberra","title":"Towards post-conflict transition: women and artisanal mining in the Democratic Republic of Congo","type":"chapter"},"uris":["http://www.mendeley.com/documents/?uuid=aebf62e3-9e32-497e-990b-e7aec01e66e3"]}],"mendeley":{"formattedCitation":"(Jennifer Jean Hinton et al., 2003; ILO, 1999; K Lahiri-Dutt, 2006; Kuntala Lahiri-Dutt, Alexander, &amp; Insouvanh, 2014; Moretti, 2006; Perks, 2011; Yakovleva, 2007)","manualFormatting":"(Hinton et al, 2003; ILO, 1999; Lahiri-Dutt, 2006; Lahiri-Dutt et al, 2014; Moretti, 2006; Perks, 2011; Yakovleva, 2007)","plainTextFormattedCitation":"(Jennifer Jean Hinton et al., 2003; ILO, 1999; K Lahiri-Dutt, 2006; Kuntala Lahiri-Dutt, Alexander, &amp; Insouvanh, 2014; Moretti, 2006; Perks, 2011; Yakovleva, 2007)","previouslyFormattedCitation":"(Jennifer Jean Hinton et al., 2003; ILO, 1999; K Lahiri-Dutt, 2006; Kuntala Lahiri-Dutt, Alexander, &amp; Insouvanh, 2014; Moretti, 2006; Perks, 2011; Yakovleva, 2007)"},"properties":{"noteIndex":0},"schema":"https://github.com/citation-style-language/schema/raw/master/csl-citation.json"}</w:instrText>
      </w:r>
      <w:r w:rsidRPr="004E053C">
        <w:rPr>
          <w:rFonts w:eastAsia="Times New Roman" w:cstheme="minorHAnsi"/>
          <w:kern w:val="36"/>
          <w:sz w:val="22"/>
          <w:szCs w:val="22"/>
          <w:lang w:val="en-GB"/>
        </w:rPr>
        <w:fldChar w:fldCharType="separate"/>
      </w:r>
      <w:r w:rsidRPr="004E053C">
        <w:rPr>
          <w:rFonts w:eastAsia="Times New Roman" w:cstheme="minorHAnsi"/>
          <w:noProof/>
          <w:kern w:val="36"/>
          <w:sz w:val="22"/>
          <w:szCs w:val="22"/>
          <w:lang w:val="it-IT"/>
        </w:rPr>
        <w:t>(Hinton et al, 2003; ILO, 1999; Lahiri-Dutt, 2006; Lahiri-Dutt et al, 2014; Moretti, 2006; Perks, 2011; Yakovleva, 2007)</w:t>
      </w:r>
      <w:r w:rsidRPr="004E053C">
        <w:rPr>
          <w:rFonts w:eastAsia="Times New Roman" w:cstheme="minorHAnsi"/>
          <w:kern w:val="36"/>
          <w:sz w:val="22"/>
          <w:szCs w:val="22"/>
          <w:lang w:val="en-GB"/>
        </w:rPr>
        <w:fldChar w:fldCharType="end"/>
      </w:r>
      <w:r w:rsidRPr="004E053C">
        <w:rPr>
          <w:rFonts w:eastAsia="Times New Roman" w:cstheme="minorHAnsi"/>
          <w:kern w:val="36"/>
          <w:sz w:val="22"/>
          <w:szCs w:val="22"/>
          <w:lang w:val="it-IT"/>
        </w:rPr>
        <w:t xml:space="preserve">. </w:t>
      </w:r>
      <w:r w:rsidRPr="004E053C">
        <w:rPr>
          <w:rFonts w:eastAsia="Times New Roman" w:cstheme="minorHAnsi"/>
          <w:kern w:val="36"/>
          <w:sz w:val="22"/>
          <w:szCs w:val="22"/>
          <w:lang w:val="en-GB"/>
        </w:rPr>
        <w:t xml:space="preserve">Evidence from several African countries shows women engaging in processing activities, such as </w:t>
      </w:r>
      <w:r w:rsidRPr="004E053C">
        <w:rPr>
          <w:rFonts w:eastAsia="CharisSIL" w:cstheme="minorHAnsi"/>
          <w:sz w:val="22"/>
          <w:szCs w:val="22"/>
          <w:lang w:val="en-GB" w:eastAsia="zh-CN"/>
        </w:rPr>
        <w:t>carrying water, crushing and grinding stones, and washing and sieving stones and tailings</w:t>
      </w:r>
      <w:r w:rsidRPr="004E053C">
        <w:rPr>
          <w:rFonts w:cstheme="minorHAnsi"/>
          <w:color w:val="000000"/>
          <w:sz w:val="22"/>
          <w:szCs w:val="22"/>
          <w:lang w:val="en-GB" w:eastAsia="zh-CN"/>
        </w:rPr>
        <w:t xml:space="preserve"> </w:t>
      </w:r>
      <w:r w:rsidRPr="004E053C">
        <w:rPr>
          <w:rFonts w:cstheme="minorHAnsi"/>
          <w:color w:val="000000"/>
          <w:sz w:val="22"/>
          <w:szCs w:val="22"/>
          <w:lang w:val="en-GB" w:eastAsia="zh-CN"/>
        </w:rPr>
        <w:fldChar w:fldCharType="begin" w:fldLock="1"/>
      </w:r>
      <w:r w:rsidR="002F0CEA">
        <w:rPr>
          <w:rFonts w:cstheme="minorHAnsi"/>
          <w:color w:val="000000"/>
          <w:sz w:val="22"/>
          <w:szCs w:val="22"/>
          <w:lang w:val="en-GB" w:eastAsia="zh-CN"/>
        </w:rPr>
        <w:instrText>ADDIN CSL_CITATION {"citationItems":[{"id":"ITEM-1","itemData":{"author":[{"dropping-particle":"","family":"Hinton","given":"Jennifer J","non-dropping-particle":"","parse-names":false,"suffix":""}],"id":"ITEM-1","issued":{"date-parts":[["2005"]]},"publisher":"World Bank","publisher-place":"Washington D.C.","title":"Communities and small-scale mining: An integrated review for development planning","type":"book"},"uris":["http://www.mendeley.com/documents/?uuid=d4b45e1c-9c13-4b20-a132-902598e8d1cd"]},{"id":"ITEM-2","itemData":{"author":[{"dropping-particle":"","family":"Werthmann","given":"Katja","non-dropping-particle":"","parse-names":false,"suffix":""}],"container-title":"Resources Policy","id":"ITEM-2","issued":{"date-parts":[["2009"]]},"page":"18-23","title":"Working in a boom-town: Female perspectives on gold-mining in Burkina Faso","type":"article-journal","volume":"34"},"uris":["http://www.mendeley.com/documents/?uuid=da98f8ff-10f1-45ed-adfd-29236ef7847f"]},{"id":"ITEM-3","itemData":{"author":[{"dropping-particle":"","family":"Huggins","given":"C","non-dropping-particle":"","parse-names":false,"suffix":""},{"dropping-particle":"","family":"Buss","given":"D","non-dropping-particle":"","parse-names":false,"suffix":""},{"dropping-particle":"","family":"Rutherford","given":"B","non-dropping-particle":"","parse-names":false,"suffix":""}],"container-title":"Geoforum","id":"ITEM-3","issued":{"date-parts":[["2017"]]},"page":"142-152","title":"A 'cartography of concern': place-making practices and gender in the artisanal mining sector in Africa","type":"article-journal","volume":"83"},"uris":["http://www.mendeley.com/documents/?uuid=e50729d3-9142-4ed7-ae1f-c0ab01abedf3"]},{"id":"ITEM-4","itemData":{"abstract":"This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Society","id":"ITEM-4","issue":"4","issued":{"date-parts":[["2019"]]},"page":"1101-1112","publisher":"Elsevier","title":"Gender and artisanal and small-scale mining: implications for formalization","type":"article-journal","volume":"6"},"uris":["http://www.mendeley.com/documents/?uuid=d3c6389f-147a-4a38-80bb-ad6e7ea88a8e"]}],"mendeley":{"formattedCitation":"(Buss et al., 2019; Jennifer J Hinton, 2005; Huggins et al., 2017; Werthmann, 2009)","manualFormatting":"(Buss et al., 2019; Hinton, 2005; Huggins et al., 2017; Werthmann, 2009)","plainTextFormattedCitation":"(Buss et al., 2019; Jennifer J Hinton, 2005; Huggins et al., 2017; Werthmann, 2009)","previouslyFormattedCitation":"(Buss et al., 2019; Jennifer J Hinton, 2005; Huggins et al., 2017; Werthmann, 2009)"},"properties":{"noteIndex":0},"schema":"https://github.com/citation-style-language/schema/raw/master/csl-citation.json"}</w:instrText>
      </w:r>
      <w:r w:rsidRPr="004E053C">
        <w:rPr>
          <w:rFonts w:cstheme="minorHAnsi"/>
          <w:color w:val="000000"/>
          <w:sz w:val="22"/>
          <w:szCs w:val="22"/>
          <w:lang w:val="en-GB" w:eastAsia="zh-CN"/>
        </w:rPr>
        <w:fldChar w:fldCharType="separate"/>
      </w:r>
      <w:r w:rsidRPr="004E053C">
        <w:rPr>
          <w:rFonts w:cstheme="minorHAnsi"/>
          <w:noProof/>
          <w:color w:val="000000"/>
          <w:sz w:val="22"/>
          <w:szCs w:val="22"/>
          <w:lang w:val="en-GB" w:eastAsia="zh-CN"/>
        </w:rPr>
        <w:t>(Buss et al., 2019; Hinton, 2005; Huggins et al., 2017; Werthmann, 2009)</w:t>
      </w:r>
      <w:r w:rsidRPr="004E053C">
        <w:rPr>
          <w:rFonts w:cstheme="minorHAnsi"/>
          <w:color w:val="000000"/>
          <w:sz w:val="22"/>
          <w:szCs w:val="22"/>
          <w:lang w:val="en-GB" w:eastAsia="zh-CN"/>
        </w:rPr>
        <w:fldChar w:fldCharType="end"/>
      </w:r>
      <w:r w:rsidRPr="004E053C">
        <w:rPr>
          <w:rFonts w:cstheme="minorHAnsi"/>
          <w:color w:val="000000"/>
          <w:sz w:val="22"/>
          <w:szCs w:val="22"/>
          <w:lang w:val="en-GB" w:eastAsia="zh-CN"/>
        </w:rPr>
        <w:t>.</w:t>
      </w:r>
      <w:r w:rsidRPr="004E053C">
        <w:rPr>
          <w:rFonts w:eastAsia="CharisSIL" w:cstheme="minorHAnsi"/>
          <w:sz w:val="22"/>
          <w:szCs w:val="22"/>
          <w:lang w:val="en-GB" w:eastAsia="zh-CN"/>
        </w:rPr>
        <w:t xml:space="preserve"> </w:t>
      </w:r>
      <w:r w:rsidRPr="004E053C">
        <w:rPr>
          <w:rFonts w:eastAsia="Times New Roman" w:cstheme="minorHAnsi"/>
          <w:kern w:val="36"/>
          <w:sz w:val="22"/>
          <w:szCs w:val="22"/>
          <w:lang w:val="en-GB" w:eastAsia="zh-CN"/>
        </w:rPr>
        <w:t xml:space="preserve">In Latin America, this is less widely observed </w:t>
      </w:r>
      <w:r w:rsidRPr="004E053C">
        <w:rPr>
          <w:rFonts w:eastAsia="Times New Roman" w:cstheme="minorHAnsi"/>
          <w:kern w:val="36"/>
          <w:sz w:val="22"/>
          <w:szCs w:val="22"/>
          <w:lang w:val="en-GB" w:eastAsia="zh-CN"/>
        </w:rPr>
        <w:fldChar w:fldCharType="begin" w:fldLock="1"/>
      </w:r>
      <w:r w:rsidR="00E65D31" w:rsidRPr="004E053C">
        <w:rPr>
          <w:rFonts w:eastAsia="Times New Roman" w:cstheme="minorHAnsi"/>
          <w:kern w:val="36"/>
          <w:sz w:val="22"/>
          <w:szCs w:val="22"/>
          <w:lang w:val="en-GB" w:eastAsia="zh-CN"/>
        </w:rPr>
        <w:instrText>ADDIN CSL_CITATION {"citationItems":[{"id":"ITEM-1","itemData":{"author":[{"dropping-particle":"","family":"Hoogbergen","given":"W","non-dropping-particle":"","parse-names":false,"suffix":""},{"dropping-particle":"","family":"Kruijt","given":"Dirk","non-dropping-particle":"","parse-names":false,"suffix":""}],"container-title":"Caribbean Studies","id":"ITEM-1","issue":"2","issued":{"date-parts":[["2004"]]},"page":"3-44","title":"Gold, Garimpeiros and Maroons: Brazilian migrants and ethnic relationship in postwar Surinam","type":"article-journal","volume":"32"},"uris":["http://www.mendeley.com/documents/?uuid=a5585953-26f3-4d2a-81ef-46be10b49607","http://www.mendeley.com/documents/?uuid=6ad817a4-12c6-49c1-88b6-dc63cfa7bffa"]}],"mendeley":{"formattedCitation":"(W Hoogbergen &amp; Kruijt, 2004)","manualFormatting":"(Hoogbergen &amp; Kruijt, 2004)","plainTextFormattedCitation":"(W Hoogbergen &amp; Kruijt, 2004)","previouslyFormattedCitation":"(W Hoogbergen &amp; Kruijt, 2004)"},"properties":{"noteIndex":0},"schema":"https://github.com/citation-style-language/schema/raw/master/csl-citation.json"}</w:instrText>
      </w:r>
      <w:r w:rsidRPr="004E053C">
        <w:rPr>
          <w:rFonts w:eastAsia="Times New Roman" w:cstheme="minorHAnsi"/>
          <w:kern w:val="36"/>
          <w:sz w:val="22"/>
          <w:szCs w:val="22"/>
          <w:lang w:val="en-GB" w:eastAsia="zh-CN"/>
        </w:rPr>
        <w:fldChar w:fldCharType="separate"/>
      </w:r>
      <w:r w:rsidR="00C4366D" w:rsidRPr="004E053C">
        <w:rPr>
          <w:rFonts w:eastAsia="Times New Roman" w:cstheme="minorHAnsi"/>
          <w:noProof/>
          <w:kern w:val="36"/>
          <w:sz w:val="22"/>
          <w:szCs w:val="22"/>
          <w:lang w:val="en-GB" w:eastAsia="zh-CN"/>
        </w:rPr>
        <w:t>(</w:t>
      </w:r>
      <w:r w:rsidR="00162C86" w:rsidRPr="004E053C">
        <w:rPr>
          <w:rFonts w:eastAsia="Times New Roman" w:cstheme="minorHAnsi"/>
          <w:noProof/>
          <w:kern w:val="36"/>
          <w:sz w:val="22"/>
          <w:szCs w:val="22"/>
          <w:lang w:val="en-GB" w:eastAsia="zh-CN"/>
        </w:rPr>
        <w:t>Hoogbergen &amp; Kruijt, 2004)</w:t>
      </w:r>
      <w:r w:rsidRPr="004E053C">
        <w:rPr>
          <w:rFonts w:eastAsia="Times New Roman" w:cstheme="minorHAnsi"/>
          <w:kern w:val="36"/>
          <w:sz w:val="22"/>
          <w:szCs w:val="22"/>
          <w:lang w:val="en-GB" w:eastAsia="zh-CN"/>
        </w:rPr>
        <w:fldChar w:fldCharType="end"/>
      </w:r>
      <w:r w:rsidRPr="004E053C">
        <w:rPr>
          <w:rFonts w:eastAsia="Times New Roman" w:cstheme="minorHAnsi"/>
          <w:kern w:val="36"/>
          <w:sz w:val="22"/>
          <w:szCs w:val="22"/>
          <w:lang w:val="en-GB" w:eastAsia="zh-CN"/>
        </w:rPr>
        <w:t xml:space="preserve">, although there is some evidence from the </w:t>
      </w:r>
      <w:r w:rsidRPr="004E053C">
        <w:rPr>
          <w:rFonts w:eastAsia="Times New Roman" w:cstheme="minorHAnsi"/>
          <w:sz w:val="22"/>
          <w:szCs w:val="20"/>
          <w:lang w:val="en-GB" w:eastAsia="zh-CN"/>
        </w:rPr>
        <w:t xml:space="preserve">Brazilian Amazon </w:t>
      </w:r>
      <w:r w:rsidR="00517F61" w:rsidRPr="004E053C">
        <w:rPr>
          <w:rFonts w:eastAsia="Times New Roman" w:cstheme="minorHAnsi"/>
          <w:sz w:val="22"/>
          <w:szCs w:val="20"/>
          <w:lang w:val="en-GB" w:eastAsia="zh-CN"/>
        </w:rPr>
        <w:fldChar w:fldCharType="begin" w:fldLock="1"/>
      </w:r>
      <w:r w:rsidR="00517F61" w:rsidRPr="004E053C">
        <w:rPr>
          <w:rFonts w:eastAsia="Times New Roman" w:cstheme="minorHAnsi"/>
          <w:sz w:val="22"/>
          <w:szCs w:val="20"/>
          <w:lang w:val="en-GB" w:eastAsia="zh-CN"/>
        </w:rPr>
        <w:instrText>ADDIN CSL_CITATION {"citationItems":[{"id":"ITEM-1","itemData":{"ISBN":"202011:46:07","author":[{"dropping-particle":"","family":"Graulau","given":"Jeannette","non-dropping-particle":"","parse-names":false,"suffix":""}],"container-title":"Estudios Latinoamericanos y del Caribe","id":"ITEM-1","issued":{"date-parts":[["2001"]]},"page":"71-106","title":"Peasant Mining Production as a Development Strategy: The Case of Women in Gold Mining in the Brazilian Amazon","type":"article-journal","volume":"71"},"uris":["http://www.mendeley.com/documents/?uuid=fc7be111-9fa1-3690-9ded-0aafc124ba48"]}],"mendeley":{"formattedCitation":"(Graulau, 2001)","plainTextFormattedCitation":"(Graulau, 2001)","previouslyFormattedCitation":"(Graulau, 2001)"},"properties":{"noteIndex":0},"schema":"https://github.com/citation-style-language/schema/raw/master/csl-citation.json"}</w:instrText>
      </w:r>
      <w:r w:rsidR="00517F61" w:rsidRPr="004E053C">
        <w:rPr>
          <w:rFonts w:eastAsia="Times New Roman" w:cstheme="minorHAnsi"/>
          <w:sz w:val="22"/>
          <w:szCs w:val="20"/>
          <w:lang w:val="en-GB" w:eastAsia="zh-CN"/>
        </w:rPr>
        <w:fldChar w:fldCharType="separate"/>
      </w:r>
      <w:r w:rsidR="00517F61" w:rsidRPr="004E053C">
        <w:rPr>
          <w:rFonts w:eastAsia="Times New Roman" w:cstheme="minorHAnsi"/>
          <w:noProof/>
          <w:sz w:val="22"/>
          <w:szCs w:val="20"/>
          <w:lang w:val="en-GB" w:eastAsia="zh-CN"/>
        </w:rPr>
        <w:t>(Graulau, 2001)</w:t>
      </w:r>
      <w:r w:rsidR="00517F61" w:rsidRPr="004E053C">
        <w:rPr>
          <w:rFonts w:eastAsia="Times New Roman" w:cstheme="minorHAnsi"/>
          <w:sz w:val="22"/>
          <w:szCs w:val="20"/>
          <w:lang w:val="en-GB" w:eastAsia="zh-CN"/>
        </w:rPr>
        <w:fldChar w:fldCharType="end"/>
      </w:r>
      <w:r w:rsidRPr="004E053C">
        <w:rPr>
          <w:rFonts w:eastAsia="Times New Roman" w:cstheme="minorHAnsi"/>
          <w:sz w:val="22"/>
          <w:szCs w:val="20"/>
          <w:lang w:val="en-GB" w:eastAsia="zh-CN"/>
        </w:rPr>
        <w:t>.</w:t>
      </w:r>
      <w:r w:rsidRPr="004E053C">
        <w:rPr>
          <w:rFonts w:eastAsia="Times New Roman" w:cstheme="minorHAnsi"/>
          <w:sz w:val="22"/>
          <w:szCs w:val="22"/>
          <w:lang w:val="en-GB" w:eastAsia="zh-CN"/>
        </w:rPr>
        <w:t xml:space="preserve"> However, this does not mean that women are unable to hold relatively elite positions within the mining community. In Suriname it was shown that women may be the owner of mining equipment or a concession </w:t>
      </w:r>
      <w:r w:rsidR="00517F61" w:rsidRPr="004E053C">
        <w:rPr>
          <w:rFonts w:eastAsia="Times New Roman" w:cstheme="minorHAnsi"/>
          <w:sz w:val="22"/>
          <w:szCs w:val="22"/>
          <w:lang w:val="en-GB" w:eastAsia="zh-CN"/>
        </w:rPr>
        <w:fldChar w:fldCharType="begin" w:fldLock="1"/>
      </w:r>
      <w:r w:rsidR="00517F61" w:rsidRPr="004E053C">
        <w:rPr>
          <w:rFonts w:eastAsia="Times New Roman" w:cstheme="minorHAnsi"/>
          <w:sz w:val="22"/>
          <w:szCs w:val="22"/>
          <w:lang w:val="en-GB" w:eastAsia="zh-CN"/>
        </w:rPr>
        <w:instrText>ADDIN CSL_CITATION {"citationItems":[{"id":"ITEM-1","itemData":{"author":[{"dropping-particle":"","family":"Heemskerk","given":"Marieke","non-dropping-particle":"","parse-names":false,"suffix":""},{"dropping-particle":"","family":"Duijves","given":"Celine","non-dropping-particle":"","parse-names":false,"suffix":""}],"chapter-number":"6","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arjo","non-dropping-particle":"de","parse-names":false,"suffix":""}],"id":"ITEM-1","issued":{"date-parts":[["2013"]]},"publisher":"CEDLA","publisher-place":"Amsterdam","title":"Small-scale gold mining and conflict in Suriname","type":"chapter"},"uris":["http://www.mendeley.com/documents/?uuid=0f55ec0b-cab7-414a-b00f-0994d7882ac3"]}],"mendeley":{"formattedCitation":"(Heemskerk &amp; Duijves, 2013)","plainTextFormattedCitation":"(Heemskerk &amp; Duijves, 2013)","previouslyFormattedCitation":"(Heemskerk &amp; Duijves, 2013)"},"properties":{"noteIndex":0},"schema":"https://github.com/citation-style-language/schema/raw/master/csl-citation.json"}</w:instrText>
      </w:r>
      <w:r w:rsidR="00517F61" w:rsidRPr="004E053C">
        <w:rPr>
          <w:rFonts w:eastAsia="Times New Roman" w:cstheme="minorHAnsi"/>
          <w:sz w:val="22"/>
          <w:szCs w:val="22"/>
          <w:lang w:val="en-GB" w:eastAsia="zh-CN"/>
        </w:rPr>
        <w:fldChar w:fldCharType="separate"/>
      </w:r>
      <w:r w:rsidR="00517F61" w:rsidRPr="004E053C">
        <w:rPr>
          <w:rFonts w:eastAsia="Times New Roman" w:cstheme="minorHAnsi"/>
          <w:noProof/>
          <w:sz w:val="22"/>
          <w:szCs w:val="22"/>
          <w:lang w:val="en-GB" w:eastAsia="zh-CN"/>
        </w:rPr>
        <w:t>(Heemskerk &amp; Duijves, 2013)</w:t>
      </w:r>
      <w:r w:rsidR="00517F61" w:rsidRPr="004E053C">
        <w:rPr>
          <w:rFonts w:eastAsia="Times New Roman" w:cstheme="minorHAnsi"/>
          <w:sz w:val="22"/>
          <w:szCs w:val="22"/>
          <w:lang w:val="en-GB" w:eastAsia="zh-CN"/>
        </w:rPr>
        <w:fldChar w:fldCharType="end"/>
      </w:r>
      <w:r w:rsidRPr="004E053C">
        <w:rPr>
          <w:rFonts w:eastAsia="Times New Roman" w:cstheme="minorHAnsi"/>
          <w:sz w:val="22"/>
          <w:szCs w:val="22"/>
          <w:lang w:val="en-GB" w:eastAsia="zh-CN"/>
        </w:rPr>
        <w:t xml:space="preserve">, whilst in the DRC </w:t>
      </w:r>
      <w:r w:rsidRPr="004E053C">
        <w:rPr>
          <w:rFonts w:cstheme="minorHAnsi"/>
          <w:sz w:val="22"/>
          <w:szCs w:val="22"/>
          <w:lang w:val="en-GB"/>
        </w:rPr>
        <w:t xml:space="preserve">women may find roles as </w:t>
      </w:r>
      <w:r w:rsidRPr="004E053C">
        <w:rPr>
          <w:rFonts w:cstheme="minorHAnsi"/>
          <w:color w:val="000000"/>
          <w:sz w:val="22"/>
          <w:szCs w:val="22"/>
          <w:lang w:val="en-GB" w:eastAsia="zh-CN"/>
        </w:rPr>
        <w:t xml:space="preserve">buyers, traders, transporters and negotiators of minerals </w:t>
      </w:r>
      <w:r w:rsidR="00517F61" w:rsidRPr="004E053C">
        <w:rPr>
          <w:rFonts w:cstheme="minorHAnsi"/>
          <w:color w:val="000000"/>
          <w:sz w:val="22"/>
          <w:szCs w:val="22"/>
          <w:lang w:val="en-GB" w:eastAsia="zh-CN"/>
        </w:rPr>
        <w:fldChar w:fldCharType="begin" w:fldLock="1"/>
      </w:r>
      <w:r w:rsidR="00517F61" w:rsidRPr="004E053C">
        <w:rPr>
          <w:rFonts w:cstheme="minorHAnsi"/>
          <w:color w:val="000000"/>
          <w:sz w:val="22"/>
          <w:szCs w:val="22"/>
          <w:lang w:val="en-GB" w:eastAsia="zh-CN"/>
        </w:rPr>
        <w:instrText>ADDIN CSL_CITATION {"citationItems":[{"id":"ITEM-1","itemData":{"author":[{"dropping-particle":"","family":"Alusala","given":"N","non-dropping-particle":"","parse-names":false,"suffix":""}],"id":"ITEM-1","issued":{"date-parts":[["2016"]]},"number-of-pages":"1-12","title":"Managing the Battle Space: Women on the Frontline in Eastern DRC","type":"report"},"uris":["http://www.mendeley.com/documents/?uuid=57a3bb46-9d66-3f6c-ae71-8ae47814a27c"]}],"mendeley":{"formattedCitation":"(Alusala, 2016)","plainTextFormattedCitation":"(Alusala, 2016)","previouslyFormattedCitation":"(Alusala, 2016)"},"properties":{"noteIndex":0},"schema":"https://github.com/citation-style-language/schema/raw/master/csl-citation.json"}</w:instrText>
      </w:r>
      <w:r w:rsidR="00517F61" w:rsidRPr="004E053C">
        <w:rPr>
          <w:rFonts w:cstheme="minorHAnsi"/>
          <w:color w:val="000000"/>
          <w:sz w:val="22"/>
          <w:szCs w:val="22"/>
          <w:lang w:val="en-GB" w:eastAsia="zh-CN"/>
        </w:rPr>
        <w:fldChar w:fldCharType="separate"/>
      </w:r>
      <w:r w:rsidR="00517F61" w:rsidRPr="004E053C">
        <w:rPr>
          <w:rFonts w:cstheme="minorHAnsi"/>
          <w:noProof/>
          <w:color w:val="000000"/>
          <w:sz w:val="22"/>
          <w:szCs w:val="22"/>
          <w:lang w:val="en-GB" w:eastAsia="zh-CN"/>
        </w:rPr>
        <w:t>(Alusala, 2016)</w:t>
      </w:r>
      <w:r w:rsidR="00517F61" w:rsidRPr="004E053C">
        <w:rPr>
          <w:rFonts w:cstheme="minorHAnsi"/>
          <w:color w:val="000000"/>
          <w:sz w:val="22"/>
          <w:szCs w:val="22"/>
          <w:lang w:val="en-GB" w:eastAsia="zh-CN"/>
        </w:rPr>
        <w:fldChar w:fldCharType="end"/>
      </w:r>
      <w:r w:rsidRPr="004E053C">
        <w:rPr>
          <w:rFonts w:cstheme="minorHAnsi"/>
          <w:color w:val="000000"/>
          <w:sz w:val="22"/>
          <w:szCs w:val="22"/>
          <w:lang w:val="en-GB" w:eastAsia="zh-CN"/>
        </w:rPr>
        <w:t xml:space="preserve">. </w:t>
      </w:r>
    </w:p>
    <w:p w14:paraId="2D9F1744" w14:textId="77777777" w:rsidR="00D36963" w:rsidRPr="004E053C" w:rsidRDefault="00D36963" w:rsidP="004E053C">
      <w:pPr>
        <w:spacing w:line="360" w:lineRule="auto"/>
        <w:jc w:val="both"/>
        <w:rPr>
          <w:rFonts w:cstheme="minorHAnsi"/>
          <w:color w:val="000000"/>
          <w:sz w:val="22"/>
          <w:szCs w:val="22"/>
          <w:lang w:val="en-GB" w:eastAsia="zh-CN"/>
        </w:rPr>
      </w:pPr>
    </w:p>
    <w:p w14:paraId="4B4C5030" w14:textId="3B8239A0" w:rsidR="00D36963" w:rsidRPr="004E053C" w:rsidRDefault="00D36963" w:rsidP="004E053C">
      <w:pPr>
        <w:autoSpaceDE w:val="0"/>
        <w:autoSpaceDN w:val="0"/>
        <w:adjustRightInd w:val="0"/>
        <w:spacing w:line="360" w:lineRule="auto"/>
        <w:jc w:val="both"/>
        <w:rPr>
          <w:rFonts w:eastAsia="CharisSIL" w:cstheme="minorHAnsi"/>
          <w:sz w:val="22"/>
          <w:szCs w:val="22"/>
          <w:lang w:val="en-GB" w:eastAsia="zh-CN"/>
        </w:rPr>
      </w:pPr>
      <w:r w:rsidRPr="004E053C">
        <w:rPr>
          <w:rFonts w:eastAsia="CharisSIL" w:cstheme="minorHAnsi"/>
          <w:sz w:val="22"/>
          <w:szCs w:val="22"/>
          <w:lang w:val="en-GB" w:eastAsia="zh-CN"/>
        </w:rPr>
        <w:t>In general, women in mining sites are still more likely to be caught in poverty traps than their mal</w:t>
      </w:r>
      <w:r w:rsidR="00517F61" w:rsidRPr="004E053C">
        <w:rPr>
          <w:rFonts w:eastAsia="CharisSIL" w:cstheme="minorHAnsi"/>
          <w:sz w:val="22"/>
          <w:szCs w:val="22"/>
          <w:lang w:val="en-GB" w:eastAsia="zh-CN"/>
        </w:rPr>
        <w:t xml:space="preserve">e counterparts </w:t>
      </w:r>
      <w:r w:rsidR="00517F61" w:rsidRPr="004E053C">
        <w:rPr>
          <w:rFonts w:eastAsia="CharisSIL" w:cstheme="minorHAnsi"/>
          <w:sz w:val="22"/>
          <w:szCs w:val="22"/>
          <w:lang w:val="en-GB" w:eastAsia="zh-CN"/>
        </w:rPr>
        <w:fldChar w:fldCharType="begin" w:fldLock="1"/>
      </w:r>
      <w:r w:rsidR="00517F61" w:rsidRPr="004E053C">
        <w:rPr>
          <w:rFonts w:eastAsia="CharisSIL" w:cstheme="minorHAnsi"/>
          <w:sz w:val="22"/>
          <w:szCs w:val="22"/>
          <w:lang w:val="en-GB" w:eastAsia="zh-CN"/>
        </w:rPr>
        <w:instrText>ADDIN CSL_CITATION {"citationItems":[{"id":"ITEM-1","itemData":{"author":[{"dropping-particle":"","family":"Yakovleva","given":"Natalia","non-dropping-particle":"","parse-names":false,"suffix":""}],"container-title":"Resources Policy","id":"ITEM-1","issued":{"date-parts":[["2007"]]},"page":"29-41","title":"Perspectives on female participation in artisanal and small-scale mining: a case study of Birim North District of Ghana","type":"article-journal","volume":"32"},"uris":["http://www.mendeley.com/documents/?uuid=ba9c56f2-ed2c-4dfd-a968-42afb7711c46"]}],"mendeley":{"formattedCitation":"(Yakovleva, 2007)","plainTextFormattedCitation":"(Yakovleva, 2007)","previouslyFormattedCitation":"(Yakovleva, 2007)"},"properties":{"noteIndex":0},"schema":"https://github.com/citation-style-language/schema/raw/master/csl-citation.json"}</w:instrText>
      </w:r>
      <w:r w:rsidR="00517F61" w:rsidRPr="004E053C">
        <w:rPr>
          <w:rFonts w:eastAsia="CharisSIL" w:cstheme="minorHAnsi"/>
          <w:sz w:val="22"/>
          <w:szCs w:val="22"/>
          <w:lang w:val="en-GB" w:eastAsia="zh-CN"/>
        </w:rPr>
        <w:fldChar w:fldCharType="separate"/>
      </w:r>
      <w:r w:rsidR="00517F61" w:rsidRPr="004E053C">
        <w:rPr>
          <w:rFonts w:eastAsia="CharisSIL" w:cstheme="minorHAnsi"/>
          <w:noProof/>
          <w:sz w:val="22"/>
          <w:szCs w:val="22"/>
          <w:lang w:val="en-GB" w:eastAsia="zh-CN"/>
        </w:rPr>
        <w:t>(Yakovleva, 2007)</w:t>
      </w:r>
      <w:r w:rsidR="00517F61" w:rsidRPr="004E053C">
        <w:rPr>
          <w:rFonts w:eastAsia="CharisSIL" w:cstheme="minorHAnsi"/>
          <w:sz w:val="22"/>
          <w:szCs w:val="22"/>
          <w:lang w:val="en-GB" w:eastAsia="zh-CN"/>
        </w:rPr>
        <w:fldChar w:fldCharType="end"/>
      </w:r>
      <w:r w:rsidRPr="004E053C">
        <w:rPr>
          <w:rFonts w:eastAsia="CharisSIL" w:cstheme="minorHAnsi"/>
          <w:sz w:val="22"/>
          <w:szCs w:val="22"/>
          <w:lang w:val="en-GB" w:eastAsia="zh-CN"/>
        </w:rPr>
        <w:t xml:space="preserve">. As they are thought to lack physical strength and are often busy with reproductive work, they earn considerably less than men </w:t>
      </w:r>
      <w:r w:rsidR="00517F61" w:rsidRPr="004E053C">
        <w:rPr>
          <w:rFonts w:eastAsia="CharisSIL" w:cstheme="minorHAnsi"/>
          <w:sz w:val="22"/>
          <w:szCs w:val="22"/>
          <w:lang w:val="en-GB" w:eastAsia="zh-CN"/>
        </w:rPr>
        <w:fldChar w:fldCharType="begin" w:fldLock="1"/>
      </w:r>
      <w:r w:rsidR="002F0CEA">
        <w:rPr>
          <w:rFonts w:eastAsia="CharisSIL" w:cstheme="minorHAnsi"/>
          <w:sz w:val="22"/>
          <w:szCs w:val="22"/>
          <w:lang w:val="en-GB" w:eastAsia="zh-CN"/>
        </w:rPr>
        <w:instrText>ADDIN CSL_CITATION {"citationItems":[{"id":"ITEM-1","itemData":{"abstract":"This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Society","id":"ITEM-1","issue":"4","issued":{"date-parts":[["2019"]]},"page":"1101-1112","publisher":"Elsevier","title":"Gender and artisanal and small-scale mining: implications for formalization","type":"article-journal","volume":"6"},"uris":["http://www.mendeley.com/documents/?uuid=d3c6389f-147a-4a38-80bb-ad6e7ea88a8e"]}],"mendeley":{"formattedCitation":"(Buss et al., 2019)","manualFormatting":"(Buss et al., 2019)","plainTextFormattedCitation":"(Buss et al., 2019)","previouslyFormattedCitation":"(Buss et al., 2019)"},"properties":{"noteIndex":0},"schema":"https://github.com/citation-style-language/schema/raw/master/csl-citation.json"}</w:instrText>
      </w:r>
      <w:r w:rsidR="00517F61" w:rsidRPr="004E053C">
        <w:rPr>
          <w:rFonts w:eastAsia="CharisSIL" w:cstheme="minorHAnsi"/>
          <w:sz w:val="22"/>
          <w:szCs w:val="22"/>
          <w:lang w:val="en-GB" w:eastAsia="zh-CN"/>
        </w:rPr>
        <w:fldChar w:fldCharType="separate"/>
      </w:r>
      <w:r w:rsidR="00517F61" w:rsidRPr="004E053C">
        <w:rPr>
          <w:rFonts w:eastAsia="CharisSIL" w:cstheme="minorHAnsi"/>
          <w:noProof/>
          <w:sz w:val="22"/>
          <w:szCs w:val="22"/>
          <w:lang w:val="en-GB" w:eastAsia="zh-CN"/>
        </w:rPr>
        <w:t>(Buss et al., 2019)</w:t>
      </w:r>
      <w:r w:rsidR="00517F61" w:rsidRPr="004E053C">
        <w:rPr>
          <w:rFonts w:eastAsia="CharisSIL" w:cstheme="minorHAnsi"/>
          <w:sz w:val="22"/>
          <w:szCs w:val="22"/>
          <w:lang w:val="en-GB" w:eastAsia="zh-CN"/>
        </w:rPr>
        <w:fldChar w:fldCharType="end"/>
      </w:r>
      <w:r w:rsidRPr="004E053C">
        <w:rPr>
          <w:rFonts w:eastAsia="CharisSIL" w:cstheme="minorHAnsi"/>
          <w:sz w:val="22"/>
          <w:szCs w:val="22"/>
          <w:lang w:val="en-GB" w:eastAsia="zh-CN"/>
        </w:rPr>
        <w:t xml:space="preserve">. </w:t>
      </w:r>
      <w:r w:rsidRPr="004E053C">
        <w:rPr>
          <w:rFonts w:eastAsia="Times New Roman" w:cstheme="minorHAnsi"/>
          <w:kern w:val="36"/>
          <w:sz w:val="22"/>
          <w:szCs w:val="22"/>
          <w:lang w:val="en-GB"/>
        </w:rPr>
        <w:t>This is despite the fact that their engagement in</w:t>
      </w:r>
      <w:r w:rsidRPr="004E053C">
        <w:rPr>
          <w:rFonts w:cstheme="minorHAnsi"/>
          <w:sz w:val="22"/>
          <w:szCs w:val="22"/>
          <w:lang w:val="en-GB"/>
        </w:rPr>
        <w:t xml:space="preserve"> ASM is likely to result in them being over-worked and over-burdened due to their competing household responsibilities </w:t>
      </w:r>
      <w:r w:rsidRPr="004E053C">
        <w:rPr>
          <w:rFonts w:cstheme="minorHAnsi"/>
          <w:sz w:val="22"/>
          <w:szCs w:val="22"/>
          <w:lang w:val="en-GB"/>
        </w:rPr>
        <w:fldChar w:fldCharType="begin" w:fldLock="1"/>
      </w:r>
      <w:r w:rsidRPr="004E053C">
        <w:rPr>
          <w:rFonts w:cstheme="minorHAnsi"/>
          <w:sz w:val="22"/>
          <w:szCs w:val="22"/>
          <w:lang w:val="en-GB"/>
        </w:rPr>
        <w:instrText>ADDIN CSL_CITATION {"citationItems":[{"id":"ITEM-1","itemData":{"author":[{"dropping-particle":"","family":"Lahiri-Dutt","given":"K","non-dropping-particle":"","parse-names":false,"suffix":""}],"container-title":"Women Miners in Developing Countries: Pit Women and Others","editor":[{"dropping-particle":"","family":"Lahiri-Dutt","given":"Kuntala","non-dropping-particle":"","parse-names":false,"suffix":""},{"dropping-particle":"","family":"Macintyre","given":"Martha","non-dropping-particle":"","parse-names":false,"suffix":""}],"id":"ITEM-1","issued":{"date-parts":[["2006"]]},"page":"349-369","publisher":"Ashgate Publishing Limited","publisher-place":"London, UK","title":"Globalization and women's work in the mine pits in east Kalimantan, Indonesia","type":"chapter"},"uris":["http://www.mendeley.com/documents/?uuid=4b30b8fe-d513-453c-9d78-0ad106929273"]}],"mendeley":{"formattedCitation":"(K Lahiri-Dutt, 2006)","manualFormatting":"(Lahiri-Dutt, 2006)","plainTextFormattedCitation":"(K Lahiri-Dutt, 2006)","previouslyFormattedCitation":"(K Lahiri-Dutt, 2006)"},"properties":{"noteIndex":0},"schema":"https://github.com/citation-style-language/schema/raw/master/csl-citation.json"}</w:instrText>
      </w:r>
      <w:r w:rsidRPr="004E053C">
        <w:rPr>
          <w:rFonts w:cstheme="minorHAnsi"/>
          <w:sz w:val="22"/>
          <w:szCs w:val="22"/>
          <w:lang w:val="en-GB"/>
        </w:rPr>
        <w:fldChar w:fldCharType="separate"/>
      </w:r>
      <w:r w:rsidRPr="004E053C">
        <w:rPr>
          <w:rFonts w:cstheme="minorHAnsi"/>
          <w:noProof/>
          <w:sz w:val="22"/>
          <w:szCs w:val="22"/>
          <w:lang w:val="en-GB"/>
        </w:rPr>
        <w:t>(Lahiri-Dutt, 2006)</w:t>
      </w:r>
      <w:r w:rsidRPr="004E053C">
        <w:rPr>
          <w:rFonts w:cstheme="minorHAnsi"/>
          <w:sz w:val="22"/>
          <w:szCs w:val="22"/>
          <w:lang w:val="en-GB"/>
        </w:rPr>
        <w:fldChar w:fldCharType="end"/>
      </w:r>
      <w:r w:rsidRPr="004E053C">
        <w:rPr>
          <w:rFonts w:cstheme="minorHAnsi"/>
          <w:sz w:val="22"/>
          <w:szCs w:val="22"/>
          <w:lang w:val="en-GB"/>
        </w:rPr>
        <w:t xml:space="preserve">. </w:t>
      </w:r>
      <w:r w:rsidRPr="004E053C">
        <w:rPr>
          <w:rFonts w:eastAsia="CharisSIL" w:cstheme="minorHAnsi"/>
          <w:sz w:val="22"/>
          <w:szCs w:val="22"/>
          <w:lang w:val="en-GB" w:eastAsia="zh-CN"/>
        </w:rPr>
        <w:t xml:space="preserve">The types of ancillary jobs they tend to do are generally less well remunerated than direct mining activity </w:t>
      </w:r>
      <w:r w:rsidR="00517F61" w:rsidRPr="004E053C">
        <w:rPr>
          <w:rFonts w:eastAsia="CharisSIL" w:cstheme="minorHAnsi"/>
          <w:sz w:val="22"/>
          <w:szCs w:val="22"/>
          <w:lang w:val="en-GB" w:eastAsia="zh-CN"/>
        </w:rPr>
        <w:fldChar w:fldCharType="begin" w:fldLock="1"/>
      </w:r>
      <w:r w:rsidR="00517F61" w:rsidRPr="004E053C">
        <w:rPr>
          <w:rFonts w:eastAsia="CharisSIL" w:cstheme="minorHAnsi"/>
          <w:sz w:val="22"/>
          <w:szCs w:val="22"/>
          <w:lang w:val="en-GB" w:eastAsia="zh-CN"/>
        </w:rPr>
        <w:instrText>ADDIN CSL_CITATION {"citationItems":[{"id":"ITEM-1","itemData":{"author":[{"dropping-particle":"","family":"Huggins","given":"C","non-dropping-particle":"","parse-names":false,"suffix":""},{"dropping-particle":"","family":"Buss","given":"D","non-dropping-particle":"","parse-names":false,"suffix":""},{"dropping-particle":"","family":"Rutherford","given":"B","non-dropping-particle":"","parse-names":false,"suffix":""}],"container-title":"Geoforum","id":"ITEM-1","issued":{"date-parts":[["2017"]]},"page":"142-152","title":"A 'cartography of concern': place-making practices and gender in the artisanal mining sector in Africa","type":"article-journal","volume":"83"},"uris":["http://www.mendeley.com/documents/?uuid=e50729d3-9142-4ed7-ae1f-c0ab01abedf3"]}],"mendeley":{"formattedCitation":"(Huggins et al., 2017)","plainTextFormattedCitation":"(Huggins et al., 2017)","previouslyFormattedCitation":"(Huggins et al., 2017)"},"properties":{"noteIndex":0},"schema":"https://github.com/citation-style-language/schema/raw/master/csl-citation.json"}</w:instrText>
      </w:r>
      <w:r w:rsidR="00517F61" w:rsidRPr="004E053C">
        <w:rPr>
          <w:rFonts w:eastAsia="CharisSIL" w:cstheme="minorHAnsi"/>
          <w:sz w:val="22"/>
          <w:szCs w:val="22"/>
          <w:lang w:val="en-GB" w:eastAsia="zh-CN"/>
        </w:rPr>
        <w:fldChar w:fldCharType="separate"/>
      </w:r>
      <w:r w:rsidR="00517F61" w:rsidRPr="004E053C">
        <w:rPr>
          <w:rFonts w:eastAsia="CharisSIL" w:cstheme="minorHAnsi"/>
          <w:noProof/>
          <w:sz w:val="22"/>
          <w:szCs w:val="22"/>
          <w:lang w:val="en-GB" w:eastAsia="zh-CN"/>
        </w:rPr>
        <w:t>(Huggins et al., 2017)</w:t>
      </w:r>
      <w:r w:rsidR="00517F61" w:rsidRPr="004E053C">
        <w:rPr>
          <w:rFonts w:eastAsia="CharisSIL" w:cstheme="minorHAnsi"/>
          <w:sz w:val="22"/>
          <w:szCs w:val="22"/>
          <w:lang w:val="en-GB" w:eastAsia="zh-CN"/>
        </w:rPr>
        <w:fldChar w:fldCharType="end"/>
      </w:r>
      <w:r w:rsidR="00517F61" w:rsidRPr="004E053C">
        <w:rPr>
          <w:rFonts w:eastAsia="CharisSIL" w:cstheme="minorHAnsi"/>
          <w:sz w:val="22"/>
          <w:szCs w:val="22"/>
          <w:lang w:val="en-GB" w:eastAsia="zh-CN"/>
        </w:rPr>
        <w:t xml:space="preserve"> </w:t>
      </w:r>
      <w:r w:rsidRPr="004E053C">
        <w:rPr>
          <w:rFonts w:cstheme="minorHAnsi"/>
          <w:sz w:val="22"/>
          <w:szCs w:val="22"/>
          <w:lang w:val="en-GB" w:eastAsia="zh-CN"/>
        </w:rPr>
        <w:t xml:space="preserve">and are less </w:t>
      </w:r>
      <w:r w:rsidRPr="004E053C">
        <w:rPr>
          <w:rFonts w:eastAsia="Times New Roman" w:cstheme="minorHAnsi"/>
          <w:kern w:val="36"/>
          <w:sz w:val="22"/>
          <w:szCs w:val="22"/>
          <w:lang w:val="en-GB"/>
        </w:rPr>
        <w:t>valued than that of thei</w:t>
      </w:r>
      <w:r w:rsidR="00517F61" w:rsidRPr="004E053C">
        <w:rPr>
          <w:rFonts w:eastAsia="Times New Roman" w:cstheme="minorHAnsi"/>
          <w:kern w:val="36"/>
          <w:sz w:val="22"/>
          <w:szCs w:val="22"/>
          <w:lang w:val="en-GB"/>
        </w:rPr>
        <w:t xml:space="preserve">r male counterparts </w:t>
      </w:r>
      <w:r w:rsidR="00517F61" w:rsidRPr="004E053C">
        <w:rPr>
          <w:rFonts w:eastAsia="Times New Roman" w:cstheme="minorHAnsi"/>
          <w:kern w:val="36"/>
          <w:sz w:val="22"/>
          <w:szCs w:val="22"/>
          <w:lang w:val="en-GB"/>
        </w:rPr>
        <w:fldChar w:fldCharType="begin" w:fldLock="1"/>
      </w:r>
      <w:r w:rsidR="002F0CEA">
        <w:rPr>
          <w:rFonts w:eastAsia="Times New Roman" w:cstheme="minorHAnsi"/>
          <w:kern w:val="36"/>
          <w:sz w:val="22"/>
          <w:szCs w:val="22"/>
          <w:lang w:val="en-GB"/>
        </w:rPr>
        <w:instrText>ADDIN CSL_CITATION {"citationItems":[{"id":"ITEM-1","itemData":{"abstract":"This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Society","id":"ITEM-1","issue":"4","issued":{"date-parts":[["2019"]]},"page":"1101-1112","publisher":"Elsevier","title":"Gender and artisanal and small-scale mining: implications for formalization","type":"article-journal","volume":"6"},"uris":["http://www.mendeley.com/documents/?uuid=d3c6389f-147a-4a38-80bb-ad6e7ea88a8e"]}],"mendeley":{"formattedCitation":"(Buss et al., 2019)","manualFormatting":"(Buss et al., 2019)","plainTextFormattedCitation":"(Buss et al., 2019)","previouslyFormattedCitation":"(Buss et al., 2019)"},"properties":{"noteIndex":0},"schema":"https://github.com/citation-style-language/schema/raw/master/csl-citation.json"}</w:instrText>
      </w:r>
      <w:r w:rsidR="00517F61" w:rsidRPr="004E053C">
        <w:rPr>
          <w:rFonts w:eastAsia="Times New Roman" w:cstheme="minorHAnsi"/>
          <w:kern w:val="36"/>
          <w:sz w:val="22"/>
          <w:szCs w:val="22"/>
          <w:lang w:val="en-GB"/>
        </w:rPr>
        <w:fldChar w:fldCharType="separate"/>
      </w:r>
      <w:r w:rsidR="00517F61" w:rsidRPr="004E053C">
        <w:rPr>
          <w:rFonts w:eastAsia="Times New Roman" w:cstheme="minorHAnsi"/>
          <w:noProof/>
          <w:kern w:val="36"/>
          <w:sz w:val="22"/>
          <w:szCs w:val="22"/>
          <w:lang w:val="en-GB"/>
        </w:rPr>
        <w:t>(Buss et al., 2019)</w:t>
      </w:r>
      <w:r w:rsidR="00517F61" w:rsidRPr="004E053C">
        <w:rPr>
          <w:rFonts w:eastAsia="Times New Roman" w:cstheme="minorHAnsi"/>
          <w:kern w:val="36"/>
          <w:sz w:val="22"/>
          <w:szCs w:val="22"/>
          <w:lang w:val="en-GB"/>
        </w:rPr>
        <w:fldChar w:fldCharType="end"/>
      </w:r>
      <w:r w:rsidRPr="004E053C">
        <w:rPr>
          <w:rFonts w:eastAsia="Times New Roman" w:cstheme="minorHAnsi"/>
          <w:kern w:val="36"/>
          <w:sz w:val="22"/>
          <w:szCs w:val="22"/>
          <w:lang w:val="en-GB"/>
        </w:rPr>
        <w:t xml:space="preserve">. This means that women </w:t>
      </w:r>
      <w:r w:rsidR="00390E36" w:rsidRPr="004E053C">
        <w:rPr>
          <w:rFonts w:eastAsia="Times New Roman" w:cstheme="minorHAnsi"/>
          <w:kern w:val="36"/>
          <w:sz w:val="22"/>
          <w:szCs w:val="22"/>
          <w:lang w:val="en-GB"/>
        </w:rPr>
        <w:t>are often not considered to be ‘miners’</w:t>
      </w:r>
      <w:r w:rsidRPr="004E053C">
        <w:rPr>
          <w:rFonts w:eastAsia="Times New Roman" w:cstheme="minorHAnsi"/>
          <w:kern w:val="36"/>
          <w:sz w:val="22"/>
          <w:szCs w:val="22"/>
          <w:lang w:val="en-GB"/>
        </w:rPr>
        <w:t xml:space="preserve">, which hinders their ability to become involved in cooperatives or labour organisations </w:t>
      </w:r>
      <w:r w:rsidR="00517F61" w:rsidRPr="004E053C">
        <w:rPr>
          <w:rFonts w:eastAsia="Times New Roman" w:cstheme="minorHAnsi"/>
          <w:kern w:val="36"/>
          <w:sz w:val="22"/>
          <w:szCs w:val="22"/>
          <w:lang w:val="en-GB"/>
        </w:rPr>
        <w:fldChar w:fldCharType="begin" w:fldLock="1"/>
      </w:r>
      <w:r w:rsidR="002F0CEA">
        <w:rPr>
          <w:rFonts w:eastAsia="Times New Roman" w:cstheme="minorHAnsi"/>
          <w:kern w:val="36"/>
          <w:sz w:val="22"/>
          <w:szCs w:val="22"/>
          <w:lang w:val="en-GB"/>
        </w:rPr>
        <w:instrText>ADDIN CSL_CITATION {"citationItems":[{"id":"ITEM-1","itemData":{"abstract":"This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Society","id":"ITEM-1","issue":"4","issued":{"date-parts":[["2019"]]},"page":"1101-1112","publisher":"Elsevier","title":"Gender and artisanal and small-scale mining: implications for formalization","type":"article-journal","volume":"6"},"uris":["http://www.mendeley.com/documents/?uuid=d3c6389f-147a-4a38-80bb-ad6e7ea88a8e"]},{"id":"ITEM-2","itemData":{"author":[{"dropping-particle":"","family":"Huggins","given":"C","non-dropping-particle":"","parse-names":false,"suffix":""},{"dropping-particle":"","family":"Buss","given":"D","non-dropping-particle":"","parse-names":false,"suffix":""},{"dropping-particle":"","family":"Rutherford","given":"B","non-dropping-particle":"","parse-names":false,"suffix":""}],"container-title":"Geoforum","id":"ITEM-2","issued":{"date-parts":[["2017"]]},"page":"142-152","title":"A 'cartography of concern': place-making practices and gender in the artisanal mining sector in Africa","type":"article-journal","volume":"83"},"uris":["http://www.mendeley.com/documents/?uuid=e50729d3-9142-4ed7-ae1f-c0ab01abedf3"]}],"mendeley":{"formattedCitation":"(Buss et al., 2019; Huggins et al., 2017)","manualFormatting":"(Buss et al., 2019; Huggins et al., 2017)","plainTextFormattedCitation":"(Buss et al., 2019; Huggins et al., 2017)","previouslyFormattedCitation":"(Buss et al., 2019; Huggins et al., 2017)"},"properties":{"noteIndex":0},"schema":"https://github.com/citation-style-language/schema/raw/master/csl-citation.json"}</w:instrText>
      </w:r>
      <w:r w:rsidR="00517F61" w:rsidRPr="004E053C">
        <w:rPr>
          <w:rFonts w:eastAsia="Times New Roman" w:cstheme="minorHAnsi"/>
          <w:kern w:val="36"/>
          <w:sz w:val="22"/>
          <w:szCs w:val="22"/>
          <w:lang w:val="en-GB"/>
        </w:rPr>
        <w:fldChar w:fldCharType="separate"/>
      </w:r>
      <w:r w:rsidR="00517F61" w:rsidRPr="004E053C">
        <w:rPr>
          <w:rFonts w:eastAsia="Times New Roman" w:cstheme="minorHAnsi"/>
          <w:noProof/>
          <w:kern w:val="36"/>
          <w:sz w:val="22"/>
          <w:szCs w:val="22"/>
          <w:lang w:val="en-GB"/>
        </w:rPr>
        <w:t>(Buss et al., 2019; Huggins et al., 2017)</w:t>
      </w:r>
      <w:r w:rsidR="00517F61" w:rsidRPr="004E053C">
        <w:rPr>
          <w:rFonts w:eastAsia="Times New Roman" w:cstheme="minorHAnsi"/>
          <w:kern w:val="36"/>
          <w:sz w:val="22"/>
          <w:szCs w:val="22"/>
          <w:lang w:val="en-GB"/>
        </w:rPr>
        <w:fldChar w:fldCharType="end"/>
      </w:r>
      <w:r w:rsidRPr="004E053C">
        <w:rPr>
          <w:rFonts w:eastAsia="Times New Roman" w:cstheme="minorHAnsi"/>
          <w:kern w:val="36"/>
          <w:sz w:val="22"/>
          <w:szCs w:val="22"/>
          <w:lang w:val="en-GB"/>
        </w:rPr>
        <w:t xml:space="preserve">. </w:t>
      </w:r>
      <w:r w:rsidRPr="004E053C">
        <w:rPr>
          <w:rFonts w:eastAsia="CharisSIL" w:cstheme="minorHAnsi"/>
          <w:sz w:val="22"/>
          <w:szCs w:val="22"/>
          <w:lang w:val="en-GB" w:eastAsia="zh-CN"/>
        </w:rPr>
        <w:t>Examples from East Africa also highlight how women are often unable to access the training, knowledge and networks necessary to accumulate or invest capital</w:t>
      </w:r>
      <w:r w:rsidR="00517F61" w:rsidRPr="004E053C">
        <w:rPr>
          <w:rFonts w:eastAsia="CharisSIL" w:cstheme="minorHAnsi"/>
          <w:sz w:val="22"/>
          <w:szCs w:val="22"/>
          <w:lang w:val="en-GB" w:eastAsia="zh-CN"/>
        </w:rPr>
        <w:t xml:space="preserve"> </w:t>
      </w:r>
      <w:r w:rsidR="00517F61" w:rsidRPr="004E053C">
        <w:rPr>
          <w:rFonts w:eastAsia="CharisSIL" w:cstheme="minorHAnsi"/>
          <w:sz w:val="22"/>
          <w:szCs w:val="22"/>
          <w:lang w:val="en-GB" w:eastAsia="zh-CN"/>
        </w:rPr>
        <w:fldChar w:fldCharType="begin" w:fldLock="1"/>
      </w:r>
      <w:r w:rsidR="002F0CEA">
        <w:rPr>
          <w:rFonts w:eastAsia="CharisSIL" w:cstheme="minorHAnsi"/>
          <w:sz w:val="22"/>
          <w:szCs w:val="22"/>
          <w:lang w:val="en-GB" w:eastAsia="zh-CN"/>
        </w:rPr>
        <w:instrText>ADDIN CSL_CITATION {"citationItems":[{"id":"ITEM-1","itemData":{"abstract":"This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Society","id":"ITEM-1","issue":"4","issued":{"date-parts":[["2019"]]},"page":"1101-1112","publisher":"Elsevier","title":"Gender and artisanal and small-scale mining: implications for formalization","type":"article-journal","volume":"6"},"uris":["http://www.mendeley.com/documents/?uuid=d3c6389f-147a-4a38-80bb-ad6e7ea88a8e"]}],"mendeley":{"formattedCitation":"(Buss et al., 2019)","manualFormatting":"(Buss et al., 2019)","plainTextFormattedCitation":"(Buss et al., 2019)","previouslyFormattedCitation":"(Buss et al., 2019)"},"properties":{"noteIndex":0},"schema":"https://github.com/citation-style-language/schema/raw/master/csl-citation.json"}</w:instrText>
      </w:r>
      <w:r w:rsidR="00517F61" w:rsidRPr="004E053C">
        <w:rPr>
          <w:rFonts w:eastAsia="CharisSIL" w:cstheme="minorHAnsi"/>
          <w:sz w:val="22"/>
          <w:szCs w:val="22"/>
          <w:lang w:val="en-GB" w:eastAsia="zh-CN"/>
        </w:rPr>
        <w:fldChar w:fldCharType="separate"/>
      </w:r>
      <w:r w:rsidR="00517F61" w:rsidRPr="004E053C">
        <w:rPr>
          <w:rFonts w:eastAsia="CharisSIL" w:cstheme="minorHAnsi"/>
          <w:noProof/>
          <w:sz w:val="22"/>
          <w:szCs w:val="22"/>
          <w:lang w:val="en-GB" w:eastAsia="zh-CN"/>
        </w:rPr>
        <w:t>(Buss et al., 2019)</w:t>
      </w:r>
      <w:r w:rsidR="00517F61" w:rsidRPr="004E053C">
        <w:rPr>
          <w:rFonts w:eastAsia="CharisSIL" w:cstheme="minorHAnsi"/>
          <w:sz w:val="22"/>
          <w:szCs w:val="22"/>
          <w:lang w:val="en-GB" w:eastAsia="zh-CN"/>
        </w:rPr>
        <w:fldChar w:fldCharType="end"/>
      </w:r>
      <w:r w:rsidRPr="004E053C">
        <w:rPr>
          <w:rFonts w:eastAsia="CharisSIL" w:cstheme="minorHAnsi"/>
          <w:sz w:val="22"/>
          <w:szCs w:val="22"/>
          <w:lang w:val="en-GB" w:eastAsia="zh-CN"/>
        </w:rPr>
        <w:t xml:space="preserve">. </w:t>
      </w:r>
    </w:p>
    <w:p w14:paraId="49AD1C07" w14:textId="77777777" w:rsidR="00D36963" w:rsidRPr="004E053C" w:rsidRDefault="00D36963" w:rsidP="004E053C">
      <w:pPr>
        <w:autoSpaceDE w:val="0"/>
        <w:autoSpaceDN w:val="0"/>
        <w:adjustRightInd w:val="0"/>
        <w:spacing w:line="360" w:lineRule="auto"/>
        <w:jc w:val="both"/>
        <w:rPr>
          <w:rFonts w:eastAsia="CharisSIL" w:cstheme="minorHAnsi"/>
          <w:sz w:val="22"/>
          <w:szCs w:val="22"/>
          <w:lang w:val="en-GB" w:eastAsia="zh-CN"/>
        </w:rPr>
      </w:pPr>
    </w:p>
    <w:p w14:paraId="1119032D" w14:textId="6D111032" w:rsidR="00D36963" w:rsidRPr="004E053C" w:rsidRDefault="00D36963" w:rsidP="004E053C">
      <w:pPr>
        <w:autoSpaceDE w:val="0"/>
        <w:autoSpaceDN w:val="0"/>
        <w:adjustRightInd w:val="0"/>
        <w:spacing w:line="360" w:lineRule="auto"/>
        <w:jc w:val="both"/>
        <w:rPr>
          <w:sz w:val="22"/>
          <w:szCs w:val="22"/>
          <w:lang w:val="en-GB" w:eastAsia="zh-CN"/>
        </w:rPr>
      </w:pPr>
      <w:r w:rsidRPr="004E053C">
        <w:rPr>
          <w:rFonts w:cstheme="minorHAnsi"/>
          <w:sz w:val="22"/>
          <w:szCs w:val="22"/>
          <w:lang w:val="en-GB" w:eastAsia="zh-CN"/>
        </w:rPr>
        <w:t xml:space="preserve">Despite these setbacks, there is a growing body of literature that </w:t>
      </w:r>
      <w:r w:rsidR="00390E36" w:rsidRPr="004E053C">
        <w:rPr>
          <w:rFonts w:cstheme="minorHAnsi"/>
          <w:sz w:val="22"/>
          <w:szCs w:val="22"/>
          <w:lang w:val="en-GB" w:eastAsia="zh-CN"/>
        </w:rPr>
        <w:t xml:space="preserve">explores </w:t>
      </w:r>
      <w:r w:rsidRPr="004E053C">
        <w:rPr>
          <w:rFonts w:eastAsia="Times New Roman" w:cstheme="minorHAnsi"/>
          <w:sz w:val="22"/>
          <w:szCs w:val="22"/>
          <w:lang w:val="en-GB" w:eastAsia="zh-CN"/>
        </w:rPr>
        <w:t xml:space="preserve">the potential opportunities that ASM can provide for women in the sector, although much of this comes from </w:t>
      </w:r>
      <w:r w:rsidR="00390E36" w:rsidRPr="004E053C">
        <w:rPr>
          <w:rFonts w:eastAsia="Times New Roman" w:cstheme="minorHAnsi"/>
          <w:sz w:val="22"/>
          <w:szCs w:val="22"/>
          <w:lang w:val="en-GB" w:eastAsia="zh-CN"/>
        </w:rPr>
        <w:t xml:space="preserve">the </w:t>
      </w:r>
      <w:r w:rsidRPr="004E053C">
        <w:rPr>
          <w:rFonts w:eastAsia="Times New Roman" w:cstheme="minorHAnsi"/>
          <w:sz w:val="22"/>
          <w:szCs w:val="22"/>
          <w:lang w:val="en-GB" w:eastAsia="zh-CN"/>
        </w:rPr>
        <w:t>Africa</w:t>
      </w:r>
      <w:r w:rsidR="00390E36" w:rsidRPr="004E053C">
        <w:rPr>
          <w:rFonts w:eastAsia="Times New Roman" w:cstheme="minorHAnsi"/>
          <w:sz w:val="22"/>
          <w:szCs w:val="22"/>
          <w:lang w:val="en-GB" w:eastAsia="zh-CN"/>
        </w:rPr>
        <w:t xml:space="preserve"> context</w:t>
      </w:r>
      <w:r w:rsidRPr="004E053C">
        <w:rPr>
          <w:rFonts w:eastAsia="Times New Roman" w:cstheme="minorHAnsi"/>
          <w:sz w:val="22"/>
          <w:szCs w:val="22"/>
          <w:lang w:val="en-GB" w:eastAsia="zh-CN"/>
        </w:rPr>
        <w:t xml:space="preserve">. </w:t>
      </w:r>
      <w:r w:rsidR="00390E36" w:rsidRPr="004E053C">
        <w:rPr>
          <w:rFonts w:cstheme="minorHAnsi"/>
          <w:sz w:val="22"/>
          <w:szCs w:val="22"/>
          <w:lang w:val="en-GB" w:eastAsia="zh-CN"/>
        </w:rPr>
        <w:t>E</w:t>
      </w:r>
      <w:r w:rsidRPr="004E053C">
        <w:rPr>
          <w:rFonts w:eastAsia="Times New Roman" w:cstheme="minorHAnsi"/>
          <w:kern w:val="36"/>
          <w:sz w:val="22"/>
          <w:szCs w:val="22"/>
          <w:lang w:val="en-GB"/>
        </w:rPr>
        <w:t xml:space="preserve">vidence from Burkina Faso and Ghana has also shown that some women have been able to </w:t>
      </w:r>
      <w:r w:rsidRPr="004E053C">
        <w:rPr>
          <w:rFonts w:cstheme="minorHAnsi"/>
          <w:sz w:val="22"/>
          <w:szCs w:val="22"/>
          <w:lang w:val="en-GB"/>
        </w:rPr>
        <w:t xml:space="preserve">accumulate wealth through engaging in migratory ASM practices </w:t>
      </w:r>
      <w:r w:rsidRPr="004E053C">
        <w:rPr>
          <w:rFonts w:cstheme="minorHAnsi"/>
          <w:sz w:val="22"/>
          <w:szCs w:val="22"/>
          <w:lang w:val="en-GB"/>
        </w:rPr>
        <w:fldChar w:fldCharType="begin" w:fldLock="1"/>
      </w:r>
      <w:r w:rsidRPr="004E053C">
        <w:rPr>
          <w:rFonts w:cstheme="minorHAnsi"/>
          <w:sz w:val="22"/>
          <w:szCs w:val="22"/>
          <w:lang w:val="en-GB"/>
        </w:rPr>
        <w:instrText>ADDIN CSL_CITATION {"citationItems":[{"id":"ITEM-1","itemData":{"author":[{"dropping-particle":"","family":"Werthmann","given":"Katja","non-dropping-particle":"","parse-names":false,"suffix":""}],"container-title":"Resources Policy","id":"ITEM-1","issued":{"date-parts":[["2009"]]},"page":"18-23","title":"Working in a boom-town: Female perspectives on gold-mining in Burkina Faso","type":"article-journal","volume":"34"},"uris":["http://www.mendeley.com/documents/?uuid=da98f8ff-10f1-45ed-adfd-29236ef7847f"]},{"id":"ITEM-2","itemData":{"author":[{"dropping-particle":"","family":"Yakovleva","given":"Natalia","non-dropping-particle":"","parse-names":false,"suffix":""}],"container-title":"Resources Policy","id":"ITEM-2","issued":{"date-parts":[["2007"]]},"page":"29-41","title":"Perspectives on female participation in artisanal and small-scale mining: a case study of Birim North District of Ghana","type":"article-journal","volume":"32"},"uris":["http://www.mendeley.com/documents/?uuid=ba9c56f2-ed2c-4dfd-a968-42afb7711c46"]}],"mendeley":{"formattedCitation":"(Werthmann, 2009; Yakovleva, 2007)","plainTextFormattedCitation":"(Werthmann, 2009; Yakovleva, 2007)","previouslyFormattedCitation":"(Werthmann, 2009; Yakovleva, 2007)"},"properties":{"noteIndex":0},"schema":"https://github.com/citation-style-language/schema/raw/master/csl-citation.json"}</w:instrText>
      </w:r>
      <w:r w:rsidRPr="004E053C">
        <w:rPr>
          <w:rFonts w:cstheme="minorHAnsi"/>
          <w:sz w:val="22"/>
          <w:szCs w:val="22"/>
          <w:lang w:val="en-GB"/>
        </w:rPr>
        <w:fldChar w:fldCharType="separate"/>
      </w:r>
      <w:r w:rsidRPr="004E053C">
        <w:rPr>
          <w:rFonts w:cstheme="minorHAnsi"/>
          <w:noProof/>
          <w:sz w:val="22"/>
          <w:szCs w:val="22"/>
          <w:lang w:val="en-GB"/>
        </w:rPr>
        <w:t>(Werthmann, 2009; Yakovleva, 2007)</w:t>
      </w:r>
      <w:r w:rsidRPr="004E053C">
        <w:rPr>
          <w:rFonts w:cstheme="minorHAnsi"/>
          <w:sz w:val="22"/>
          <w:szCs w:val="22"/>
          <w:lang w:val="en-GB"/>
        </w:rPr>
        <w:fldChar w:fldCharType="end"/>
      </w:r>
      <w:r w:rsidRPr="004E053C">
        <w:rPr>
          <w:rFonts w:cstheme="minorHAnsi"/>
          <w:sz w:val="22"/>
          <w:szCs w:val="22"/>
          <w:lang w:val="en-GB"/>
        </w:rPr>
        <w:t>. Drawing on their work in Mal</w:t>
      </w:r>
      <w:r w:rsidRPr="004E053C">
        <w:rPr>
          <w:sz w:val="22"/>
          <w:szCs w:val="22"/>
          <w:lang w:val="en-GB" w:eastAsia="zh-CN"/>
        </w:rPr>
        <w:t>i, Brottem and Ba</w:t>
      </w:r>
      <w:r w:rsidR="00517F61" w:rsidRPr="004E053C">
        <w:rPr>
          <w:sz w:val="22"/>
          <w:szCs w:val="22"/>
          <w:lang w:val="en-GB" w:eastAsia="zh-CN"/>
        </w:rPr>
        <w:t xml:space="preserve"> </w:t>
      </w:r>
      <w:r w:rsidR="00517F61" w:rsidRPr="004E053C">
        <w:rPr>
          <w:sz w:val="22"/>
          <w:szCs w:val="22"/>
          <w:lang w:val="en-GB" w:eastAsia="zh-CN"/>
        </w:rPr>
        <w:fldChar w:fldCharType="begin" w:fldLock="1"/>
      </w:r>
      <w:r w:rsidR="007A757C" w:rsidRPr="004E053C">
        <w:rPr>
          <w:sz w:val="22"/>
          <w:szCs w:val="22"/>
          <w:lang w:val="en-GB" w:eastAsia="zh-CN"/>
        </w:rPr>
        <w:instrText>ADDIN CSL_CITATION {"citationItems":[{"id":"ITEM-1","itemData":{"abstract":"Artisanal small-scale mining (ASM) is an important source of income for millions of sub-Saharan Africans. Scholars from various disciplines have demonstrated that urban and rural Africans take up mining as a response to unemployment, lack of credit and poor income prospects in the agricultural sector, and as a way for young people to achieve a degree of personal autonomy. Although several studies have investigated the role of women in artisanal mining, little attention has been given to the gendered land tenure rights that govern mineral resource access and that shape the prospects for mining as a viable livelihood strategy. This article presents evidence that women exploit artisanal mining opportunities in ways that differ from those of men based on gender differences in land tenure relations. Customary and freehold tenure regimes—through their flexibility and place-based functionality—create unique income-generating and investment opportunities for women at artisanal gold mining sites in western Mali. Specifically, the unique labor demands and commercial aspects of artisanal gold extraction interact with the host-stranger dynamics of customary tenure regimes to create labor market opportunities that women are able to exploit. Mining income invested in freehold land property enables women to achieve or at least strive for a degree of financial autonomy that is difficult or impossible within the unequal gender relations that characterize other rural economic activities, especially agriculture. Customary and formal land tenure institutions play a complex role that both constrains and enables these livelihood strategies, which are based on geographic mobility and power-laden social relations within rural economies that are increasingly monetized.","author":[{"dropping-particle":"V.","family":"Brottem","given":"Leif","non-dropping-particle":"","parse-names":false,"suffix":""},{"dropping-particle":"","family":"Ba","given":"Lassine","non-dropping-particle":"","parse-names":false,"suffix":""}],"container-title":"Geoforum","id":"ITEM-1","issued":{"date-parts":[["2019","10","1"]]},"page":"54-62","publisher":"Elsevier Ltd","title":"Gendered livelihoods and land tenure: The case of artisanal gold miners in Mali, West Africa","type":"article-journal","volume":"105"},"uris":["http://www.mendeley.com/documents/?uuid=4b757ed3-b406-3367-ad5c-7d470fb2de94"]}],"mendeley":{"formattedCitation":"(Brottem &amp; Ba, 2019)","manualFormatting":"(2019)","plainTextFormattedCitation":"(Brottem &amp; Ba, 2019)","previouslyFormattedCitation":"(Brottem &amp; Ba, 2019)"},"properties":{"noteIndex":0},"schema":"https://github.com/citation-style-language/schema/raw/master/csl-citation.json"}</w:instrText>
      </w:r>
      <w:r w:rsidR="00517F61" w:rsidRPr="004E053C">
        <w:rPr>
          <w:sz w:val="22"/>
          <w:szCs w:val="22"/>
          <w:lang w:val="en-GB" w:eastAsia="zh-CN"/>
        </w:rPr>
        <w:fldChar w:fldCharType="separate"/>
      </w:r>
      <w:r w:rsidR="00517F61" w:rsidRPr="004E053C">
        <w:rPr>
          <w:noProof/>
          <w:sz w:val="22"/>
          <w:szCs w:val="22"/>
          <w:lang w:val="en-GB" w:eastAsia="zh-CN"/>
        </w:rPr>
        <w:t>(2019)</w:t>
      </w:r>
      <w:r w:rsidR="00517F61" w:rsidRPr="004E053C">
        <w:rPr>
          <w:sz w:val="22"/>
          <w:szCs w:val="22"/>
          <w:lang w:val="en-GB" w:eastAsia="zh-CN"/>
        </w:rPr>
        <w:fldChar w:fldCharType="end"/>
      </w:r>
      <w:r w:rsidR="00517F61" w:rsidRPr="004E053C">
        <w:rPr>
          <w:sz w:val="22"/>
          <w:szCs w:val="22"/>
          <w:lang w:val="en-GB" w:eastAsia="zh-CN"/>
        </w:rPr>
        <w:t xml:space="preserve"> </w:t>
      </w:r>
      <w:r w:rsidRPr="004E053C">
        <w:rPr>
          <w:sz w:val="22"/>
          <w:szCs w:val="22"/>
          <w:lang w:val="en-GB" w:eastAsia="zh-CN"/>
        </w:rPr>
        <w:t xml:space="preserve">have </w:t>
      </w:r>
      <w:r w:rsidR="00390E36" w:rsidRPr="004E053C">
        <w:rPr>
          <w:sz w:val="22"/>
          <w:szCs w:val="22"/>
          <w:lang w:val="en-GB" w:eastAsia="zh-CN"/>
        </w:rPr>
        <w:t>documented how women who</w:t>
      </w:r>
      <w:r w:rsidRPr="004E053C">
        <w:rPr>
          <w:sz w:val="22"/>
          <w:szCs w:val="22"/>
          <w:lang w:val="en-GB" w:eastAsia="zh-CN"/>
        </w:rPr>
        <w:t xml:space="preserve"> travel to work in ASM are able to use various investment strategies to gain a level of financial autonomy that would be difficult to achieve in other sectors or activities. </w:t>
      </w:r>
      <w:r w:rsidRPr="004E053C">
        <w:rPr>
          <w:rFonts w:cstheme="minorHAnsi"/>
          <w:sz w:val="22"/>
          <w:szCs w:val="22"/>
          <w:lang w:val="en-GB"/>
        </w:rPr>
        <w:t xml:space="preserve">Evidence from East Africa also shows those who are successful can find themselves in positions of power by default, as being the only woman who owns a mineshaft automatically makes them a good representative </w:t>
      </w:r>
      <w:r w:rsidR="00390E36" w:rsidRPr="004E053C">
        <w:rPr>
          <w:rFonts w:cstheme="minorHAnsi"/>
          <w:sz w:val="22"/>
          <w:szCs w:val="22"/>
          <w:lang w:val="en-GB"/>
        </w:rPr>
        <w:t xml:space="preserve">of all women </w:t>
      </w:r>
      <w:r w:rsidR="00517F61" w:rsidRPr="004E053C">
        <w:rPr>
          <w:rFonts w:cstheme="minorHAnsi"/>
          <w:sz w:val="22"/>
          <w:szCs w:val="22"/>
          <w:lang w:val="en-GB"/>
        </w:rPr>
        <w:fldChar w:fldCharType="begin" w:fldLock="1"/>
      </w:r>
      <w:r w:rsidR="002F0CEA">
        <w:rPr>
          <w:rFonts w:cstheme="minorHAnsi"/>
          <w:sz w:val="22"/>
          <w:szCs w:val="22"/>
          <w:lang w:val="en-GB"/>
        </w:rPr>
        <w:instrText>ADDIN CSL_CITATION {"citationItems":[{"id":"ITEM-1","itemData":{"abstract":"ABSTRACT Drawing on qualitative research data from two gold artisanal and small-scale mining sites (ASGM), one in Democratic Republic of the Congo, the other in Uganda, this paper explores the authority arrangements that govern mining livelihoods in these sites, tracing their gendered forms and operation. The inter-relationship between these arrangements and women’s mining livelihoods is considered to further explore some of the socio-economic differ- entiation among women miners. In the context of increasing emphasis on formalizing the ASM sector in Sub-Saharan Africa, including through licenses and formation of associations and cooperatives, both the gendered organization of mine site govern- ance and social differential among women miners have important implications. Formalization efforts in the ASM sector are rightly critiqued for failing to account for social differentiation that may allow elites to control licenses and associations. But also impor- tant, our research suggests, is the gendered inequalities that characterize existing authority arrangements, and the differentia- tion among women that may allow some women to organize and not others.","author":[{"dropping-particle":"","family":"Rutherford","given":"Blair","non-dropping-particle":"","parse-names":false,"suffix":""},{"dropping-particle":"","family":"Buss","given":"Doris","non-dropping-particle":"","parse-names":false,"suffix":""}],"container-title":"Third World Thematics: A TWQ Journal","id":"ITEM-1","issue":"1","issued":{"date-parts":[["2019"]]},"page":"63-79","publisher":"Routledge","title":"Gendered governance and socio-economic differentiation among women artisanal and small-scale miners in Central and East Africa","type":"article-journal","volume":"4"},"uris":["http://www.mendeley.com/documents/?uuid=15b17616-3294-410b-82b8-54fcc9b7de4f"]}],"mendeley":{"formattedCitation":"(Rutherford &amp; Buss, 2019)","plainTextFormattedCitation":"(Rutherford &amp; Buss, 2019)","previouslyFormattedCitation":"(Rutherford &amp; Buss, 2019)"},"properties":{"noteIndex":0},"schema":"https://github.com/citation-style-language/schema/raw/master/csl-citation.json"}</w:instrText>
      </w:r>
      <w:r w:rsidR="00517F61" w:rsidRPr="004E053C">
        <w:rPr>
          <w:rFonts w:cstheme="minorHAnsi"/>
          <w:sz w:val="22"/>
          <w:szCs w:val="22"/>
          <w:lang w:val="en-GB"/>
        </w:rPr>
        <w:fldChar w:fldCharType="separate"/>
      </w:r>
      <w:r w:rsidR="00517F61" w:rsidRPr="004E053C">
        <w:rPr>
          <w:rFonts w:cstheme="minorHAnsi"/>
          <w:noProof/>
          <w:sz w:val="22"/>
          <w:szCs w:val="22"/>
          <w:lang w:val="en-GB"/>
        </w:rPr>
        <w:t>(Rutherford &amp; Buss, 2019)</w:t>
      </w:r>
      <w:r w:rsidR="00517F61" w:rsidRPr="004E053C">
        <w:rPr>
          <w:rFonts w:cstheme="minorHAnsi"/>
          <w:sz w:val="22"/>
          <w:szCs w:val="22"/>
          <w:lang w:val="en-GB"/>
        </w:rPr>
        <w:fldChar w:fldCharType="end"/>
      </w:r>
      <w:r w:rsidRPr="004E053C">
        <w:rPr>
          <w:rFonts w:cstheme="minorHAnsi"/>
          <w:sz w:val="22"/>
          <w:szCs w:val="22"/>
          <w:lang w:val="en-GB" w:eastAsia="zh-CN"/>
        </w:rPr>
        <w:t xml:space="preserve">. Furthermore, ASM sites in Africa seem to offer women sexual </w:t>
      </w:r>
      <w:r w:rsidRPr="004E053C">
        <w:rPr>
          <w:rFonts w:cstheme="minorHAnsi"/>
          <w:sz w:val="22"/>
          <w:szCs w:val="22"/>
          <w:lang w:val="en-GB" w:eastAsia="zh-CN"/>
        </w:rPr>
        <w:lastRenderedPageBreak/>
        <w:t>as well as financial agency compared to rural areas, with many women remaini</w:t>
      </w:r>
      <w:r w:rsidR="00277027">
        <w:rPr>
          <w:rFonts w:cstheme="minorHAnsi"/>
          <w:sz w:val="22"/>
          <w:szCs w:val="22"/>
          <w:lang w:val="en-GB" w:eastAsia="zh-CN"/>
        </w:rPr>
        <w:t>ng unmarried or in less formalis</w:t>
      </w:r>
      <w:r w:rsidRPr="004E053C">
        <w:rPr>
          <w:rFonts w:cstheme="minorHAnsi"/>
          <w:sz w:val="22"/>
          <w:szCs w:val="22"/>
          <w:lang w:val="en-GB" w:eastAsia="zh-CN"/>
        </w:rPr>
        <w:t xml:space="preserve">ed conjugal relationships than they perhaps would at home </w:t>
      </w:r>
      <w:r w:rsidR="00517F61" w:rsidRPr="004E053C">
        <w:rPr>
          <w:rFonts w:cstheme="minorHAnsi"/>
          <w:sz w:val="22"/>
          <w:szCs w:val="22"/>
          <w:lang w:val="en-GB" w:eastAsia="zh-CN"/>
        </w:rPr>
        <w:fldChar w:fldCharType="begin" w:fldLock="1"/>
      </w:r>
      <w:r w:rsidR="002F0CEA">
        <w:rPr>
          <w:rFonts w:cstheme="minorHAnsi"/>
          <w:sz w:val="22"/>
          <w:szCs w:val="22"/>
          <w:lang w:val="en-GB" w:eastAsia="zh-CN"/>
        </w:rPr>
        <w:instrText>ADDIN CSL_CITATION {"citationItems":[{"id":"ITEM-1","itemData":{"abstract":"This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Society","id":"ITEM-1","issue":"4","issued":{"date-parts":[["2019"]]},"page":"1101-1112","publisher":"Elsevier","title":"Gender and artisanal and small-scale mining: implications for formalization","type":"article-journal","volume":"6"},"uris":["http://www.mendeley.com/documents/?uuid=d3c6389f-147a-4a38-80bb-ad6e7ea88a8e"]},{"id":"ITEM-2","itemData":{"abstract":"Migrants to Tanzania's artisanal gold mining sites seek mineral wealth, which is accompanied by high risks of occupational hazards, economic failure, AIDS and social censure from their home communities. Male miners in these settlements compete to attract newly arrived young women who are perceived to be diverting male material support from older women and children's economic survival. This article explores the dynamics of monogamy, polygamy and promiscuity in the context of rapid occupational change. It shows how a wide spectrum of productive and welfare outcomes is generated through sexual experimentation, which calls into question conventional concepts of prostitution, marriage and gender power relations. © 2013 International Institute of Social Studies.","author":[{"dropping-particle":"","family":"Bryceson","given":"Deborah Fahy","non-dropping-particle":"","parse-names":false,"suffix":""},{"dropping-particle":"","family":"Jønsson","given":"Jesper Bosse","non-dropping-particle":"","parse-names":false,"suffix":""},{"dropping-particle":"","family":"Verbrugge","given":"Hannelore","non-dropping-particle":"","parse-names":false,"suffix":""}],"container-title":"Development and Change","id":"ITEM-2","issue":"1","issued":{"date-parts":[["2014"]]},"page":"79-104","title":"For richer, for poorer: marriage and casualized sex in East African artisanal mining settlements","type":"article-journal","volume":"45"},"uris":["http://www.mendeley.com/documents/?uuid=b90917af-aec8-4711-8312-d98d1e096cb1"]}],"mendeley":{"formattedCitation":"(D. F. Bryceson, Jønsson, &amp; Verbrugge, 2014; Buss et al., 2019)","manualFormatting":"(Bryceson et al, 2014; Buss et al., 2019)","plainTextFormattedCitation":"(D. F. Bryceson, Jønsson, &amp; Verbrugge, 2014; Buss et al., 2019)","previouslyFormattedCitation":"(D. F. Bryceson, Jønsson, &amp; Verbrugge, 2014; Buss et al., 2019)"},"properties":{"noteIndex":0},"schema":"https://github.com/citation-style-language/schema/raw/master/csl-citation.json"}</w:instrText>
      </w:r>
      <w:r w:rsidR="00517F61" w:rsidRPr="004E053C">
        <w:rPr>
          <w:rFonts w:cstheme="minorHAnsi"/>
          <w:sz w:val="22"/>
          <w:szCs w:val="22"/>
          <w:lang w:val="en-GB" w:eastAsia="zh-CN"/>
        </w:rPr>
        <w:fldChar w:fldCharType="separate"/>
      </w:r>
      <w:r w:rsidR="00517F61" w:rsidRPr="004E053C">
        <w:rPr>
          <w:rFonts w:cstheme="minorHAnsi"/>
          <w:noProof/>
          <w:sz w:val="22"/>
          <w:szCs w:val="22"/>
          <w:lang w:val="en-GB" w:eastAsia="zh-CN"/>
        </w:rPr>
        <w:t>(Bryceson et al, 2014; Buss et al., 2019)</w:t>
      </w:r>
      <w:r w:rsidR="00517F61" w:rsidRPr="004E053C">
        <w:rPr>
          <w:rFonts w:cstheme="minorHAnsi"/>
          <w:sz w:val="22"/>
          <w:szCs w:val="22"/>
          <w:lang w:val="en-GB" w:eastAsia="zh-CN"/>
        </w:rPr>
        <w:fldChar w:fldCharType="end"/>
      </w:r>
      <w:r w:rsidRPr="004E053C">
        <w:rPr>
          <w:rFonts w:cstheme="minorHAnsi"/>
          <w:sz w:val="22"/>
          <w:szCs w:val="22"/>
          <w:lang w:val="en-GB" w:eastAsia="zh-CN"/>
        </w:rPr>
        <w:t>.</w:t>
      </w:r>
      <w:r w:rsidRPr="004E053C">
        <w:rPr>
          <w:rFonts w:cs="AdvOT46dcae81"/>
          <w:sz w:val="20"/>
          <w:szCs w:val="20"/>
          <w:lang w:val="en-GB" w:eastAsia="zh-CN"/>
        </w:rPr>
        <w:t xml:space="preserve"> </w:t>
      </w:r>
    </w:p>
    <w:p w14:paraId="079B8588" w14:textId="77777777" w:rsidR="00D36963" w:rsidRPr="004E053C" w:rsidRDefault="00D36963" w:rsidP="004E053C">
      <w:pPr>
        <w:spacing w:line="360" w:lineRule="auto"/>
        <w:jc w:val="both"/>
        <w:rPr>
          <w:rFonts w:eastAsia="Times New Roman" w:cs="Times New Roman"/>
          <w:sz w:val="20"/>
          <w:szCs w:val="20"/>
          <w:lang w:val="en-GB" w:eastAsia="zh-CN"/>
        </w:rPr>
      </w:pPr>
    </w:p>
    <w:p w14:paraId="745E5E03" w14:textId="77777777" w:rsidR="00D36963" w:rsidRPr="004E053C" w:rsidRDefault="00D36963" w:rsidP="004E053C">
      <w:pPr>
        <w:spacing w:line="360" w:lineRule="auto"/>
        <w:jc w:val="both"/>
        <w:rPr>
          <w:rFonts w:eastAsia="Times New Roman" w:cs="Times New Roman"/>
          <w:sz w:val="20"/>
          <w:szCs w:val="20"/>
          <w:lang w:val="en-GB" w:eastAsia="zh-CN"/>
        </w:rPr>
      </w:pPr>
    </w:p>
    <w:p w14:paraId="323CFC75" w14:textId="0EDC9DA7" w:rsidR="00843BA2" w:rsidRPr="004E053C" w:rsidRDefault="00D36963" w:rsidP="004E053C">
      <w:pPr>
        <w:pStyle w:val="Heading3"/>
        <w:rPr>
          <w:rFonts w:asciiTheme="minorHAnsi" w:hAnsiTheme="minorHAnsi"/>
        </w:rPr>
      </w:pPr>
      <w:r w:rsidRPr="004E053C">
        <w:rPr>
          <w:rFonts w:asciiTheme="minorHAnsi" w:hAnsiTheme="minorHAnsi"/>
        </w:rPr>
        <w:t>2.3.</w:t>
      </w:r>
      <w:r w:rsidR="004E5F90" w:rsidRPr="004E053C">
        <w:rPr>
          <w:rFonts w:asciiTheme="minorHAnsi" w:hAnsiTheme="minorHAnsi"/>
        </w:rPr>
        <w:t>3. Informality and formalisation</w:t>
      </w:r>
    </w:p>
    <w:p w14:paraId="26EE0441" w14:textId="77777777" w:rsidR="00912ED8" w:rsidRPr="004E053C" w:rsidRDefault="00912ED8" w:rsidP="004E053C">
      <w:pPr>
        <w:spacing w:line="360" w:lineRule="auto"/>
        <w:jc w:val="both"/>
        <w:rPr>
          <w:rFonts w:cstheme="majorHAnsi"/>
          <w:sz w:val="22"/>
          <w:szCs w:val="22"/>
          <w:lang w:val="en-GB"/>
        </w:rPr>
      </w:pPr>
    </w:p>
    <w:p w14:paraId="17E6F6E1" w14:textId="59E2E90B" w:rsidR="00D36963" w:rsidRPr="004E053C" w:rsidRDefault="00D36963" w:rsidP="004E053C">
      <w:pPr>
        <w:spacing w:line="360" w:lineRule="auto"/>
        <w:jc w:val="both"/>
        <w:rPr>
          <w:rFonts w:eastAsia="Times New Roman" w:cs="Times New Roman"/>
          <w:sz w:val="22"/>
          <w:szCs w:val="22"/>
          <w:lang w:val="en-GB"/>
        </w:rPr>
      </w:pPr>
      <w:r w:rsidRPr="004E053C">
        <w:rPr>
          <w:rFonts w:cstheme="majorHAnsi"/>
          <w:sz w:val="22"/>
          <w:szCs w:val="22"/>
          <w:lang w:val="en-GB"/>
        </w:rPr>
        <w:t xml:space="preserve">Whilst ASM is more likely to benefit local people and does not create the same inequalities as large-scale extraction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{"citationItems":[{"id":"ITEM-1","itemData":{"abstract":"The extraction of minerals, oil and gas has a long and ambiguous history in development processes – in North America, Europe, Latin America and Australasia. Extraction has yielded wealth, regional identities and in some cases capital for industrialization. In other cases its main heritages have been social conflict, environmental damage and underperforming national economies. As the extractive economy has entered another boom period over the last decade, not least in Latin America, the countries in which this boom is occurring are challenged to interpret this ambiguity. Will the extractive industry yield, for them, economic development, or will its main gifts be ones of conflict, degradation and unequal forms of growth.","author":[{"dropping-particle":"","family":"Bebbington","given":"Anthony","non-dropping-particle":"","parse-names":false,"suffix":""}],"id":"ITEM-1","issued":{"date-parts":[["2011"]]},"number-of-pages":"258","title":"Social Conflict, Economic Development and Extractive Industry: Evidence from South America","type":"book"},"uris":["http://www.mendeley.com/documents/?uuid=81fa501e-2549-4623-908e-76e796de9056"]}],"mendeley":{"formattedCitation":"(Bebbington, 2011)","manualFormatting":"(Bebbington, 2011)","plainTextFormattedCitation":"(Bebbington, 2011)","previouslyFormattedCitation":"(Bebbington, 2011)"},"properties":{"noteIndex":0},"schema":"https://github.com/citation-style-language/schema/raw/master/csl-citation.json"}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(Bebbington, 2011)</w:t>
      </w:r>
      <w:r w:rsidRPr="004E053C">
        <w:rPr>
          <w:rFonts w:cstheme="majorHAnsi"/>
          <w:sz w:val="22"/>
          <w:szCs w:val="22"/>
          <w:lang w:val="en-GB"/>
        </w:rPr>
        <w:fldChar w:fldCharType="end"/>
      </w:r>
      <w:r w:rsidRPr="004E053C">
        <w:rPr>
          <w:rFonts w:cstheme="majorHAnsi"/>
          <w:sz w:val="22"/>
          <w:szCs w:val="22"/>
          <w:lang w:val="en-GB"/>
        </w:rPr>
        <w:t xml:space="preserve">, it is still associated with numerous social ills. </w:t>
      </w:r>
      <w:r w:rsidRPr="004E053C">
        <w:rPr>
          <w:rFonts w:cstheme="minorHAnsi"/>
          <w:sz w:val="22"/>
          <w:szCs w:val="22"/>
          <w:lang w:val="en-GB" w:eastAsia="zh-CN"/>
        </w:rPr>
        <w:t xml:space="preserve">Mining settlements across the world are characterised as places </w:t>
      </w:r>
      <w:r w:rsidRPr="004E053C">
        <w:rPr>
          <w:rFonts w:cstheme="minorHAnsi"/>
          <w:sz w:val="22"/>
          <w:szCs w:val="22"/>
          <w:lang w:val="en-GB"/>
        </w:rPr>
        <w:t xml:space="preserve">with high levels of prostitution, crime and violence </w:t>
      </w:r>
      <w:r w:rsidRPr="004E053C">
        <w:rPr>
          <w:rFonts w:cstheme="minorHAnsi"/>
          <w:sz w:val="22"/>
          <w:szCs w:val="22"/>
          <w:lang w:val="en-GB"/>
        </w:rPr>
        <w:fldChar w:fldCharType="begin" w:fldLock="1"/>
      </w:r>
      <w:r w:rsidR="002F0CEA">
        <w:rPr>
          <w:rFonts w:cstheme="minorHAnsi"/>
          <w:sz w:val="22"/>
          <w:szCs w:val="22"/>
          <w:lang w:val="en-GB"/>
        </w:rPr>
        <w:instrText>ADDIN CSL_CITATION {"citationItems":[{"id":"ITEM-1","itemData":{"abstract":"Over the past 10–15 years, several governments have implemented an array of technology, support‐related, sustainable livelihoods (SL) and poverty‐reduction projects for artisanal and small‐scale mining (ASM). In the majority of cases, however, these interventions have failed to facilitate improvements in the industry's productivity and raise the living standards of the sector's subsistence operators. This article argues that a poor understanding of the demographics of target populations has precipitated these outcomes. In order to strengthen policy and assistance in the sector, governments must determine, with greater precision, the number of people operating in ASM regions, their origins and ethnic backgrounds, ages, and educational levels. This can be achieved by carrying out basic and localized census work before promoting ambitious sector‐specific projects aimed at improving working conditions in the industry.","author":[{"dropping-particle":"","family":"Hilson","given":"G","non-dropping-particle":"","parse-names":false,"suffix":""}],"container-title":"Natural Resources Forum","id":"ITEM-1","issue":"2","issued":{"date-parts":[["2005"]]},"page":"144-153","title":"Strengthening artisanal mining research and policy through baseline census activities","type":"article-journal","volume":"29"},"uris":["http://www.mendeley.com/documents/?uuid=447f796c-6b24-49d4-babb-b2a3e2351b39"]},{"id":"ITEM-2","itemData":{"abstract":"This paper introduces a special issue which explores the dynamics and various development trajectories of artisanal and small-scale mining (ASM) - low-tech mineral processing and extraction - in sub-Saharan Africa. The papers in this special issue reflect critically on the efforts made over the past two decades to formalize the sector, which has fast become one of the most important economic activities in many rural sections of the region, as well as what lies ahead, given the progress made to date with legalizing and supporting operators. The present paper not only summarizes each contribution but also frames the debates on formalization, industry impacts and perceptions of participants which this special issue touches on, with specific reference to sub-Saharan Africa. Host governments and donors are now at a crossroads: on the one hand, faced with the reality that across the region, ASM is now an integral component of the rural economy, but on the other hand, having in place rigid regulatory and policy frameworks which do not necessarily reflect this reality. © 2014 Elsevier Ltd.","author":[{"dropping-particle":"","family":"Hilson","given":"G","non-dropping-particle":"","parse-names":false,"suffix":""},{"dropping-particle":"","family":"Gatsinzi","given":"Angélique","non-dropping-particle":"","parse-names":false,"suffix":""}],"container-title":"Futures","id":"ITEM-2","issue":"Part A","issued":{"date-parts":[["2014"]]},"page":"1-9","title":"A rocky road ahead? Critical reflections on the futures of small-scale mining in sub-Saharan Africa","type":"article-journal","volume":"62"},"uris":["http://www.mendeley.com/documents/?uuid=7d07e96d-d171-437e-a1ad-e3112c2e22de"]},{"id":"ITEM-3","itemData":{"abstract":"This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Policy","id":"ITEM-3","issue":"1-2","issued":{"date-parts":[["2009"]]},"page":"51-56","title":"Artisanal and small-scale mining as an extralegal economy: De Soto and the redefinition of 'formalization'","type":"article-journal","volume":"34"},"uris":["http://www.mendeley.com/documents/?uuid=0cd7f80e-58cc-4421-9a78-f30864db4d69"]}],"mendeley":{"formattedCitation":"(G Hilson, 2005; G Hilson &amp; Gatsinzi, 2014; Siegel &amp; Veiga, 2009)","manualFormatting":"(Hilson, 2005; Hilson &amp; Gatsinzi, 2014; Siegel &amp; Veiga, 2009)","plainTextFormattedCitation":"(G Hilson, 2005; G Hilson &amp; Gatsinzi, 2014; Siegel &amp; Veiga, 2009)","previouslyFormattedCitation":"(G Hilson, 2005; G Hilson &amp; Gatsinzi, 2014; Siegel &amp; Veiga, 2009)"},"properties":{"noteIndex":0},"schema":"https://github.com/citation-style-language/schema/raw/master/csl-citation.json"}</w:instrText>
      </w:r>
      <w:r w:rsidRPr="004E053C">
        <w:rPr>
          <w:rFonts w:cstheme="minorHAnsi"/>
          <w:sz w:val="22"/>
          <w:szCs w:val="22"/>
          <w:lang w:val="en-GB"/>
        </w:rPr>
        <w:fldChar w:fldCharType="separate"/>
      </w:r>
      <w:r w:rsidRPr="004E053C">
        <w:rPr>
          <w:rFonts w:cstheme="minorHAnsi"/>
          <w:noProof/>
          <w:sz w:val="22"/>
          <w:szCs w:val="22"/>
          <w:lang w:val="en-GB"/>
        </w:rPr>
        <w:t>(Hilson, 2005; Hilson &amp; Gatsinzi, 2014; Siegel &amp; Veiga, 2009)</w:t>
      </w:r>
      <w:r w:rsidRPr="004E053C">
        <w:rPr>
          <w:rFonts w:cstheme="minorHAnsi"/>
          <w:sz w:val="22"/>
          <w:szCs w:val="22"/>
          <w:lang w:val="en-GB"/>
        </w:rPr>
        <w:fldChar w:fldCharType="end"/>
      </w:r>
      <w:r w:rsidRPr="004E053C">
        <w:rPr>
          <w:rFonts w:cstheme="minorHAnsi"/>
          <w:sz w:val="22"/>
          <w:szCs w:val="22"/>
          <w:lang w:val="en-GB"/>
        </w:rPr>
        <w:t>. ASM also comes with numerous environmental costs, linked primarily to deforestation and mercury contamination (</w:t>
      </w:r>
      <w:r w:rsidRPr="004E053C">
        <w:rPr>
          <w:rFonts w:cstheme="minorHAnsi"/>
          <w:sz w:val="22"/>
          <w:szCs w:val="22"/>
          <w:lang w:val="en-GB"/>
        </w:rPr>
        <w:fldChar w:fldCharType="begin" w:fldLock="1"/>
      </w:r>
      <w:r w:rsidR="002F0CEA">
        <w:rPr>
          <w:rFonts w:cstheme="minorHAnsi"/>
          <w:sz w:val="22"/>
          <w:szCs w:val="22"/>
          <w:lang w:val="en-GB"/>
        </w:rPr>
        <w:instrText>ADDIN CSL_CITATION {"citationItems":[{"id":"ITEM-1","itemData":{"author":[{"dropping-particle":"","family":"Hoffman","given":"Max","non-dropping-particle":"","parse-names":false,"suffix":""},{"dropping-particle":"","family":"Grigera","given":"Ana I","non-dropping-particle":"","parse-names":false,"suffix":""}],"id":"ITEM-1","issued":{"date-parts":[["2013"]]},"number-of-pages":"110","publisher-place":"Washington D.C.","title":"Climate Change, Migration, and Conflict in the Amazon and the Andes Rising Tensions and Policy Options in South America","type":"report"},"uris":["http://www.mendeley.com/documents/?uuid=452d85a6-8009-3436-9de9-094826b567f3"]},{"id":"ITEM-2","itemData":{"abstract":"African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Change","id":"ITEM-2","issue":"2","issued":{"date-parts":[["2009"]]},"page":"249-279","title":"Rushing for gold: mobility and small-scale mining in East Africa","type":"article-journal","volume":"40"},"uris":["http://www.mendeley.com/documents/?uuid=de9c4f73-7d08-4fe3-9443-72b7c45b2369"]},{"id":"ITEM-3","itemData":{"abstract":"This article critically examines the policy environment in place for artisanal and small-scale mining (ASM) – low-tech, labour-intensive mineral extraction and processing – in sub-Saharan Africa, with a view to determining whether there is adequate ‘space’ for the sector's operators to flourish as entrepreneurs. In recent years, there has been growing attention paid to ASM in the region, particularly as a vehicle for stimulating local economic development. The work being planned under the Africa Mining Vision (AMV), a comprehensive policy agenda adopted by African heads of state in February 2009, could have an enormous impact on this front. One of its core objectives is to pressure host governments into Boosting Artisanal and Small-Scale Mining by following a series of streamlined recommendations. It is concluded, however, that there is a disconnect between how entrepreneurship in ASM has been interpreted and projected by proponents of the AMV on the one hand, and the form it has mostly taken in practice on the other hand. This gulf must be rapidly bridged if ASM is to have a transformative impact, economically, in the region.","author":[{"dropping-particle":"","family":"Hilson","given":"G","non-dropping-particle":"","parse-names":false,"suffix":""},{"dropping-particle":"","family":"Hilson","given":"Abigail","non-dropping-particle":"","parse-names":false,"suffix":""},{"dropping-particle":"","family":"Maconachie","given":"Roy","non-dropping-particle":"","parse-names":false,"suffix":""}],"container-title":"Technological Forecasting and Social Change","id":"ITEM-3","issued":{"date-parts":[["2018"]]},"note":"· \nThe Africa Mining Vision (AMV)\n– Africa’s own response to tackling the paradox of great mineral wealth\nexisting side by side with pervasive poverty, which was adopted by Heads of\nState at the Feb 2009 AU summit. One of the primary goals is harnessing the\npotential of asm to improve rural livelihoods, to stimulate entrepreneurship in\na socially responsible manner, to promote local and integrated national\ndevelopment as well as regional cooperation (African mining vision, 2009). \n\n\n· \nHowever, there is a marked\ndisconnect between how entrepreneurship n ASM has been interpreted and projected\nby proponents of the AMV on the one hand, and the form it has mostly taken in\npractice on the other hand. \n\n\n· \nUse of an entrepreneurship\nframework e.g. Schumpeter and “the entrepreneur as an innovator” and a key\nfigure driving economic development.\n\n\n· \nASM activity is largely\npoverty-driven, exhibiting elements of what is often referred to as ‘necessity\nentrepreneurship’. The business and management literature has articulated this\nquite clearly at a general level. It distinguishes ‘necessity’, a label given to\nthose whose fates are dictated by poverty and unemployment from individuals who\nfall into the ‘opportunistic’ category, or the people who are consciously\nlooking to take advantage of a business opportunity (see Bhave, 1994; Stoner\nand fry, 1982). \n\n\n· \nHowever informality is more\nnuances than this (Williams, 2014) – in addition to the burgeoning group of\nnecessity-driven operators found in the region’s informal sector, there is a\nsizable group of people who choose to pursue entrepreneurial ventures in this\n‘space’ that must be acknowledged. \n\n\n· \nKhavul et al (2009) – the\nadministrative hurdles to properly register and license a business could\nexplain why so many African entrepreneurs elect to operate in the informal\neconomy\n\n\n· \nRecent analysis (e.g.\nBanchirigah, 2006; Dreschler, 2001) has helped to establish links between\nstructural adjustment, the restructuring of industries and corresponding\nunemployment on the one hand, and the growth of ASM in sub-Saharan Africa on\nthe other hand – links which scholars and policymakers failed to notice at the\ntime. \n\n\n· \nASM has become integral to the\neconomies of many mining countries in the developing world, particularly in\nrural and remote areas where alternative livelihoods are few (AMV, 2009).\n\n\n· \nThere seems to be a general\nunderplaying of the unique context in which most ASM activities surface and\nflourish: namely, informal or unregulated ‘spaces’. The architects of the AMV\nappear cognizant of the hardships faced by those confined to working in these\n‘spaces’ (e.g. organized crime, paramilitary operations) but there seems to be\nvery little appreciation of how difficult ‘fixing’ these problems promises to\nbe. \n\n\n· \nWhilst doing so may temper\ngrowing enthusiasm about ‘upscaling’ ASM, ignoring why these informal ASM\n‘spaces’ have surfaced altogether could potentially spawn ineffective and/or\ninappropriate policy interventions aimed at regulating and supporting the\nsector\n\n\n· \nSome researchers have even\nsuggested that analysis of ASM’s organizational structures and development must\nmove beyond investigations of why these ‘spaces’ have emerged. One of the more\nvocal critics is Verbrugge (2015), who seems to take issue with scholars and\ndonors associating the sector’s growth with poverty\n\n\no \n“Arguably more problematic is\nthat explanations which treat ASM as a poverty-driven subsistence sector often\nfail to account for its heterogenous and segmented character”\n\n\no \n“The injection of outside\ncapital has led to a growing differentiation among ASM operations in terms of\ntheir level of capitalization and professionalization, but also between a\nnascent group of ASM entrepreneurs and a poverty-driven workforce”\n\n\n· \nHowever, contarary to\nVerbrugge’s (2015) claims that scholars’ focus on poverty had detracted from\nthe secto’r dynamic make up, it is precisely the opposite: in linking the\nsector’s growth to structural adjustment, research has rather sought to\nillustrate how nuanced the ‘poverty-driven’ argument is. \n\n\n· \nFisher et al (2009) claim that\nthe metaphors of “poverty trap” are unhelpful, as they homogenise the\ncomplexity of change in ASM communities. Yet individuals often attribute their\ndecisions to work in ASM to a lack of income and lack of alternative employment\noptions. Perhaps we need a more flexible interpretation of poverty, which takes\nstock of individuals’ vulnerability and the full spectrum of reasons which\ndrive people who are struggling financially to mine on a small scale. \n\n\n· \nTo hastily move beyond analysis\nof circumstances (as Verbrugge, 2016, 2016 advocates for) runs the risk of\nmisdiagnosing the type of entrepreneurship found at the state\n\n\n· \nThree groups of people in ASM\ncommunities in SS Africa: individuals with farming backgrounds, individuals\nfrom the manufacturing and public sectors, and those with mining skills\n\n\n· \nNecessity and opportunity as\ndistinct drivers of activity is an oversimplified diagnosis (Harding, 2006; Stephan et al,\n2015), or, that these two types can exist in tandem (Bruenjes and Diez, 2012;\nWilliams, 2014) and there can be movement between these two extremes (Edgcomb and thetford, 2004;\nGibbs et al, 2004). \n\n\n· \nLiterature realizes that in\nmany areas of SSAfrica, poverty is fuelling the growth of the sector, and most\nimportantly, that the entrepreneurial activities that now flourish in it are\nlargely unique to the informal ‘spaces’ in which they are found. As many of\nthese people have non-mining backgrounds, any intervention aimed at empowering\nentrepreneurs in ASM must be designed with this in mind.\n\n\n· \nBryceson and Jonsson (2010) –\nargues that informal ‘spaces’ are areas of ‘opportunity’ for ‘apprenticeships’.\nAt no point should these ‘spaces’ be portrayed as areas teeming with economic\nopportunities and locations where there are sustainable and coveted career\ntrajectories. \n\n\n· \nThe author makes claims of not\n‘wanting to romanticize the sector’, but ‘these collective norms evince\nmovement from individual livelihood choices to collective professional and\nsocial identities, from diversification to specialization, and from\napprenticeship to skill development’ (Bryceson and Geenen, 2016) – and,\nironically, she does precisely the opposite. \n\n\n· \nThis is similar to Vergbrugge\n(2015, 2016) losing sight of why people are mining, as well as who they are and\nwhat drove them to the sector in the first place, and consequently\noverzealously suggesting that the bustling activity found in the landscapes\nbeing studies is reminiscent of ‘opportunistic entrepreneurship’. \n\n\n· \nAnalysis rarely acknowledges is\nthe stifling legislative frameworks in place for ASM; its livelihood\ndimensions; and how many of these negative attributes receiving media attention\nare ‘expressions’ of the sector’s informality – highly-correctable problems\nthat would be minimized considerable if operations were licensed and regulated\n\n\n· \nVerbrugge (2015) claims that\nviewing this group of individuals as poverty-driven is ‘surprisingly akin to\nearliest dualist understandings of the informal sector which treat it as a\nmarginal subsistence economy’. But this is far from being the case in SSAfrica.\nThe practices of the abovementioned legal actors are rather fused with, and in\nsome cases, inseparable from, the activities of these necessity-driven mining\nentrepreneurs, spawning hybrid, quasi-formal structures around which host\ngovernments are taxing ‘legitimately’. \n\n\n· \nAcross sub-Saharan Africa,\nseveral actors, including policymakers, are benefitting, finically, from ASM’s\ninformality, to the point where it is unclear whether host governments would\ncommit to making the changes needed to make Boosting Artisanal and Small Scale\nMining a realizable goal.\n\n\no \nE.g. big companies but tailings\nfrom unlicensed miners, but the government is willing to ignore these illegal\ntransactions for a cut \n\n\n· Individual miners\nmust genuinely be interested in ‘upscaling’ their activities. It is here where\nthere is a visible disconnect between the type of entrepreneur the architects\nof the AMV believe is generally found in ASM communities on the one hand, and\nwho are actually found working in these ‘spaces’ on the other.\n\n\n· \nThere are certainly people\nmining on a small-scale in SS Africa who fall into the former category: individuals\nwho are driven by opportunity, have the financial influence to overcome most\nbureaucratic obstacles, and are genuinely looking to ‘upscale’. But the experience shared by most of the\nminers are more reminiscent of ‘necessity-entrepreneurship’. Young boys and\ngirls mining ore to accumulate funds to attend university; the farmer desperate\nto bolster production by increasing labor, achieved through an injection of\nfinance by ASM; and the occasional owner of a local small business, financed\nalso with funds from the sector (Hilson and Garforth, 2013). These are individuals who, if given\nthe opportunity, would likely pursue alternative employment. \n\n\n· \nEach has rather skillfully used\nthe ASM sector as a ‘platform for wealth creation’, making the best out of a\ndifficult situation to improve his/her quality of life. Without an intimate\nknowledge of the mindsets and ambitions of these individuals, their efforts to\nearn money and energy could be very easily misdiagnosed as ‘opportunistic\nentrepreneurship’.","page":"286-302","title":"Opportunity or necessity? Conceptualizing entrepreneurship at African small-scale mines","type":"article-journal","volume":"131"},"uris":["http://www.mendeley.com/documents/?uuid=ff1016ef-15bc-3b40-b634-878f6b4c3ba4"]}],"mendeley":{"formattedCitation":"(G Hilson, Hilson, &amp; Maconachie, 2018; Hoffman &amp; Grigera, 2013; Jønsson &amp; Bryceson, 2009)","manualFormatting":"Hoffman &amp; Grigera, 2013; Jønsson &amp; Bryceson, 2009)","plainTextFormattedCitation":"(G Hilson, Hilson, &amp; Maconachie, 2018; Hoffman &amp; Grigera, 2013; Jønsson &amp; Bryceson, 2009)","previouslyFormattedCitation":"(G Hilson, Hilson, &amp; Maconachie, 2018; Hoffman &amp; Grigera, 2013; Jønsson &amp; Bryceson, 2009)"},"properties":{"noteIndex":0},"schema":"https://github.com/citation-style-language/schema/raw/master/csl-citation.json"}</w:instrText>
      </w:r>
      <w:r w:rsidRPr="004E053C">
        <w:rPr>
          <w:rFonts w:cstheme="minorHAnsi"/>
          <w:sz w:val="22"/>
          <w:szCs w:val="22"/>
          <w:lang w:val="en-GB"/>
        </w:rPr>
        <w:fldChar w:fldCharType="separate"/>
      </w:r>
      <w:r w:rsidRPr="004E053C">
        <w:rPr>
          <w:rFonts w:cstheme="minorHAnsi"/>
          <w:noProof/>
          <w:sz w:val="22"/>
          <w:szCs w:val="22"/>
          <w:lang w:val="en-GB"/>
        </w:rPr>
        <w:t>Hoffman &amp; Grigera, 2013; Jønsson &amp; Bryceson, 2009)</w:t>
      </w:r>
      <w:r w:rsidRPr="004E053C">
        <w:rPr>
          <w:rFonts w:cstheme="minorHAnsi"/>
          <w:sz w:val="22"/>
          <w:szCs w:val="22"/>
          <w:lang w:val="en-GB"/>
        </w:rPr>
        <w:fldChar w:fldCharType="end"/>
      </w:r>
      <w:r w:rsidRPr="004E053C">
        <w:rPr>
          <w:rFonts w:cstheme="minorHAnsi"/>
          <w:sz w:val="22"/>
          <w:szCs w:val="22"/>
          <w:lang w:val="en-GB"/>
        </w:rPr>
        <w:t>.</w:t>
      </w:r>
      <w:r w:rsidRPr="004E053C">
        <w:rPr>
          <w:rFonts w:cstheme="majorHAnsi"/>
          <w:sz w:val="22"/>
          <w:szCs w:val="22"/>
          <w:lang w:val="en-GB"/>
        </w:rPr>
        <w:t xml:space="preserve"> These problems are often blamed on the informal nature of the majority of </w:t>
      </w:r>
      <w:r w:rsidRPr="004E053C">
        <w:rPr>
          <w:rFonts w:cs="Calibri"/>
          <w:sz w:val="22"/>
          <w:szCs w:val="22"/>
          <w:lang w:val="en-GB"/>
        </w:rPr>
        <w:t xml:space="preserve">ASM, defined by the workers’ lack of legal entitlement to work a given plot of land </w:t>
      </w:r>
      <w:r w:rsidRPr="004E053C">
        <w:rPr>
          <w:rFonts w:cs="Calibri"/>
          <w:sz w:val="22"/>
          <w:szCs w:val="22"/>
          <w:lang w:val="en-GB"/>
        </w:rPr>
        <w:fldChar w:fldCharType="begin" w:fldLock="1"/>
      </w:r>
      <w:r w:rsidR="00BB0F8C" w:rsidRPr="004E053C">
        <w:rPr>
          <w:rFonts w:cs="Calibri"/>
          <w:sz w:val="22"/>
          <w:szCs w:val="22"/>
          <w:lang w:val="en-GB"/>
        </w:rPr>
        <w:instrText>ADDIN CSL_CITATION {"citationItems":[{"id":"ITEM-1","itemData":{"author":[{"dropping-particle":"","family":"Carson","given":"M.","non-dropping-particle":"","parse-names":false,"suffix":""},{"dropping-particle":"","family":"Cottrell","given":"S.","non-dropping-particle":"","parse-names":false,"suffix":""},{"dropping-particle":"","family":"Dickman","given":"J.","non-dropping-particle":"","parse-names":false,"suffix":""},{"dropping-particle":"","family":"Gummerson","given":"E.","non-dropping-particle":"","parse-names":false,"suffix":""},{"dropping-particle":"","family":"Lee","given":"T.","non-dropping-particle":"","parse-names":false,"suffix":""},{"dropping-particle":"","family":"Miao","given":"Y.","non-dropping-particle":"","parse-names":false,"suffix":""},{"dropping-particle":"","family":"Teranishi","given":"N.","non-dropping-particle":"","parse-names":false,"suffix":""},{"dropping-particle":"","family":"Tully","given":"C.","non-dropping-particle":"","parse-names":false,"suffix":""},{"dropping-particle":"","family":"Uregian","given":"C.","non-dropping-particle":"","parse-names":false,"suffix":""}],"id":"ITEM-1","issued":{"date-parts":[["2005"]]},"number":"WWS591c","publisher":"Woodrow Wilson School of Public and International Affairs.","publisher-place":"Princeton, NJ:","title":"Managing Mineral Resources through Public – Private Partnerships: Mitigating Conflict in Ghanaian Gold Mining","type":"book"},"uris":["http://www.mendeley.com/documents/?uuid=16238e91-f445-4220-92a8-ab3d2156755f"]}],"mendeley":{"formattedCitation":"(Carson et al., 2005)","plainTextFormattedCitation":"(Carson et al., 2005)","previouslyFormattedCitation":"(Carson et al., 2005)"},"properties":{"noteIndex":0},"schema":"https://github.com/citation-style-language/schema/raw/master/csl-citation.json"}</w:instrText>
      </w:r>
      <w:r w:rsidRPr="004E053C">
        <w:rPr>
          <w:rFonts w:cs="Calibri"/>
          <w:sz w:val="22"/>
          <w:szCs w:val="22"/>
          <w:lang w:val="en-GB"/>
        </w:rPr>
        <w:fldChar w:fldCharType="separate"/>
      </w:r>
      <w:r w:rsidRPr="004E053C">
        <w:rPr>
          <w:rFonts w:cs="Calibri"/>
          <w:noProof/>
          <w:sz w:val="22"/>
          <w:szCs w:val="22"/>
          <w:lang w:val="en-GB"/>
        </w:rPr>
        <w:t>(Carson et al., 2005)</w:t>
      </w:r>
      <w:r w:rsidRPr="004E053C">
        <w:rPr>
          <w:rFonts w:cs="Calibri"/>
          <w:sz w:val="22"/>
          <w:szCs w:val="22"/>
          <w:lang w:val="en-GB"/>
        </w:rPr>
        <w:fldChar w:fldCharType="end"/>
      </w:r>
      <w:r w:rsidRPr="004E053C">
        <w:rPr>
          <w:rFonts w:cs="Calibri"/>
          <w:sz w:val="22"/>
          <w:szCs w:val="22"/>
          <w:lang w:val="en-GB"/>
        </w:rPr>
        <w:t xml:space="preserve">. </w:t>
      </w:r>
      <w:r w:rsidRPr="004E053C">
        <w:rPr>
          <w:rFonts w:cs="Calibri"/>
          <w:color w:val="000000"/>
          <w:sz w:val="22"/>
          <w:szCs w:val="22"/>
          <w:lang w:val="en-GB"/>
        </w:rPr>
        <w:t xml:space="preserve">It is </w:t>
      </w:r>
      <w:r w:rsidRPr="004E053C">
        <w:rPr>
          <w:rFonts w:cs="Calibri"/>
          <w:sz w:val="22"/>
          <w:szCs w:val="22"/>
          <w:lang w:val="en-GB"/>
        </w:rPr>
        <w:t xml:space="preserve">argued that successful formalisation of ASM, involving the creation of private property rights through the registering of legal and transferable titles, could improve conditions in ASM communities </w:t>
      </w:r>
      <w:r w:rsidRPr="004E053C">
        <w:rPr>
          <w:rFonts w:cs="Calibri"/>
          <w:sz w:val="22"/>
          <w:szCs w:val="22"/>
          <w:lang w:val="en-GB"/>
        </w:rPr>
        <w:fldChar w:fldCharType="begin" w:fldLock="1"/>
      </w:r>
      <w:r w:rsidR="002F0CEA">
        <w:rPr>
          <w:rFonts w:cs="Calibri"/>
          <w:sz w:val="22"/>
          <w:szCs w:val="22"/>
          <w:lang w:val="en-GB"/>
        </w:rPr>
        <w:instrText>ADDIN CSL_CITATION {"citationItems":[{"id":"ITEM-1","itemData":{"author":[{"dropping-particle":"","family":"Hilson","given":"G","non-dropping-particle":"","parse-names":false,"suffix":""},{"dropping-particle":"","family":"Potter","given":"Clive","non-dropping-particle":"","parse-names":false,"suffix":""}],"container-title":"Development and Change","id":"ITEM-1","issue":"1","issued":{"date-parts":[["2005"]]},"page":"103-131","title":"Structural adjustment and subsistence industry: artisanal gold mining in Ghana","type":"article-journal","volume":"36"},"uris":["http://www.mendeley.com/documents/?uuid=d45e74ce-a6e3-420c-a0a0-dbd732423089"]},{"id":"ITEM-2","itemData":{"abstract":"This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-2","issue":"6","issued":{"date-parts":[["2007"]]},"page":"1304-1321","title":"Contaminated identities: mercury and marginalization in Ghana's artisanal mining sector","type":"article-journal","volume":"38"},"uris":["http://www.mendeley.com/documents/?uuid=bb6c3eb8-5f3a-408f-89eb-506be52b9a46"]},{"id":"ITEM-3","itemData":{"abstract":"Much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Policy","id":"ITEM-3","issue":"1-2","issued":{"date-parts":[["2009"]]},"page":"24-31","title":"Recognizing and nurturing artisanal mining as a viable livelihood","type":"article-journal","volume":"34"},"uris":["http://www.mendeley.com/documents/?uuid=5831bb71-6055-493f-9a5a-64dcd06bad59"]},{"id":"ITEM-4","itemData":{"abstract":"This paper introduces a special issue which explores the dynamics and various development trajectories of artisanal and small-scale mining (ASM) - low-tech mineral processing and extraction - in sub-Saharan Africa. The papers in this special issue reflect critically on the efforts made over the past two decades to formalize the sector, which has fast become one of the most important economic activities in many rural sections of the region, as well as what lies ahead, given the progress made to date with legalizing and supporting operators. The present paper not only summarizes each contribution but also frames the debates on formalization, industry impacts and perceptions of participants which this special issue touches on, with specific reference to sub-Saharan Africa. Host governments and donors are now at a crossroads: on the one hand, faced with the reality that across the region, ASM is now an integral component of the rural economy, but on the other hand, having in place rigid regulatory and policy frameworks which do not necessarily reflect this reality. © 2014 Elsevier Ltd.","author":[{"dropping-particle":"","family":"Hilson","given":"G","non-dropping-particle":"","parse-names":false,"suffix":""},{"dropping-particle":"","family":"Gatsinzi","given":"Angélique","non-dropping-particle":"","parse-names":false,"suffix":""}],"container-title":"Futures","id":"ITEM-4","issue":"Part A","issued":{"date-parts":[["2014"]]},"page":"1-9","title":"A rocky road ahead? Critical reflections on the futures of small-scale mining in sub-Saharan Africa","type":"article-journal","volume":"62"},"uris":["http://www.mendeley.com/documents/?uuid=7d07e96d-d171-437e-a1ad-e3112c2e22de"]},{"id":"ITEM-5","itemData":{"abstract":"While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Society","id":"ITEM-5","issue":"1","issued":{"date-parts":[["2014"]]},"page":"75-85","publisher":"Elsevier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operators","type":"article-journal","volume":"1"},"uris":["http://www.mendeley.com/documents/?uuid=56fd2b4b-fd5a-31ef-a59e-d2c754808936"]}],"mendeley":{"formattedCitation":"(G Hilson &amp; Gatsinzi, 2014; G Hilson &amp; Potter, 2005; F. K. Nyame &amp; Grant, 2014; Tschakert, 2009; Tschakert &amp; Singha, 2007)","manualFormatting":"(Hilson &amp; Gatsinzi, 2014; Hilson &amp; Potter, 2005; Nyame &amp; Grant, 2014; Tschakert, 2009; Tschakert &amp; Singha, 2007)","plainTextFormattedCitation":"(G Hilson &amp; Gatsinzi, 2014; G Hilson &amp; Potter, 2005; F. K. Nyame &amp; Grant, 2014; Tschakert, 2009; Tschakert &amp; Singha, 2007)","previouslyFormattedCitation":"(G Hilson &amp; Gatsinzi, 2014; G Hilson &amp; Potter, 2005; F. K. Nyame &amp; Grant, 2014; Tschakert, 2009; Tschakert &amp; Singha, 2007)"},"properties":{"noteIndex":0},"schema":"https://github.com/citation-style-language/schema/raw/master/csl-citation.json"}</w:instrText>
      </w:r>
      <w:r w:rsidRPr="004E053C">
        <w:rPr>
          <w:rFonts w:cs="Calibri"/>
          <w:sz w:val="22"/>
          <w:szCs w:val="22"/>
          <w:lang w:val="en-GB"/>
        </w:rPr>
        <w:fldChar w:fldCharType="separate"/>
      </w:r>
      <w:r w:rsidRPr="004E053C">
        <w:rPr>
          <w:rFonts w:cs="Calibri"/>
          <w:noProof/>
          <w:sz w:val="22"/>
          <w:szCs w:val="22"/>
          <w:lang w:val="en-GB"/>
        </w:rPr>
        <w:t>(Hilson &amp; Gatsinzi, 2014; Hilson &amp; Potter, 2005; Nyame &amp; Grant, 2014; Tschakert, 2009; Tschakert &amp; Singha, 2007)</w:t>
      </w:r>
      <w:r w:rsidRPr="004E053C">
        <w:rPr>
          <w:rFonts w:cs="Calibri"/>
          <w:sz w:val="22"/>
          <w:szCs w:val="22"/>
          <w:lang w:val="en-GB"/>
        </w:rPr>
        <w:fldChar w:fldCharType="end"/>
      </w:r>
      <w:r w:rsidRPr="004E053C">
        <w:rPr>
          <w:rFonts w:cs="Calibri"/>
          <w:sz w:val="22"/>
          <w:szCs w:val="22"/>
          <w:lang w:val="en-GB"/>
        </w:rPr>
        <w:t>.</w:t>
      </w:r>
      <w:r w:rsidRPr="004E053C">
        <w:rPr>
          <w:rFonts w:cs="Calibri"/>
          <w:color w:val="000000"/>
          <w:sz w:val="22"/>
          <w:szCs w:val="22"/>
          <w:lang w:val="en-GB"/>
        </w:rPr>
        <w:t xml:space="preserve"> </w:t>
      </w:r>
      <w:r w:rsidRPr="004E053C">
        <w:rPr>
          <w:rFonts w:cs="Calibri"/>
          <w:sz w:val="22"/>
          <w:szCs w:val="22"/>
          <w:lang w:val="en-GB"/>
        </w:rPr>
        <w:t xml:space="preserve">Formalisation is widely believed to change behaviour </w:t>
      </w:r>
      <w:r w:rsidR="00582ABE" w:rsidRPr="004E053C">
        <w:rPr>
          <w:rFonts w:cs="Calibri"/>
          <w:sz w:val="22"/>
          <w:szCs w:val="22"/>
          <w:lang w:val="en-GB"/>
        </w:rPr>
        <w:t>through</w:t>
      </w:r>
      <w:r w:rsidRPr="004E053C">
        <w:rPr>
          <w:rFonts w:cs="Calibri"/>
          <w:sz w:val="22"/>
          <w:szCs w:val="22"/>
          <w:lang w:val="en-GB"/>
        </w:rPr>
        <w:t xml:space="preserve"> engag</w:t>
      </w:r>
      <w:r w:rsidR="00582ABE" w:rsidRPr="004E053C">
        <w:rPr>
          <w:rFonts w:cs="Calibri"/>
          <w:sz w:val="22"/>
          <w:szCs w:val="22"/>
          <w:lang w:val="en-GB"/>
        </w:rPr>
        <w:t>ing</w:t>
      </w:r>
      <w:r w:rsidRPr="004E053C">
        <w:rPr>
          <w:rFonts w:cs="Calibri"/>
          <w:sz w:val="22"/>
          <w:szCs w:val="22"/>
          <w:lang w:val="en-GB"/>
        </w:rPr>
        <w:t xml:space="preserve"> currently marginalised people in policy dialogue </w:t>
      </w:r>
      <w:r w:rsidRPr="004E053C">
        <w:rPr>
          <w:rFonts w:cs="Calibri"/>
          <w:sz w:val="22"/>
          <w:szCs w:val="22"/>
          <w:lang w:val="en-GB"/>
        </w:rPr>
        <w:fldChar w:fldCharType="begin" w:fldLock="1"/>
      </w:r>
      <w:r w:rsidRPr="004E053C">
        <w:rPr>
          <w:rFonts w:cs="Calibri"/>
          <w:sz w:val="22"/>
          <w:szCs w:val="22"/>
          <w:lang w:val="en-GB"/>
        </w:rPr>
        <w:instrText>ADDIN CSL_CITATION {"citationItems":[{"id":"ITEM-1","itemData":{"author":[{"dropping-particle":"","family":"Veiga","given":"MM","non-dropping-particle":"","parse-names":false,"suffix":""},{"dropping-particle":"","family":"Beinhoff","given":"Christian","non-dropping-particle":"","parse-names":false,"suffix":""}],"container-title":"Industry and Environment","id":"ITEM-1","issue":"4","issued":{"date-parts":[["1997"]]},"page":"49-51","title":"UNECA Centres: A way to reduce mercury emissions from artisanal gold mining and provide badly needed training","type":"article-journal","volume":"20"},"uris":["http://www.mendeley.com/documents/?uuid=092b4325-3602-46a3-8d0c-6fac37128d7e"]},{"id":"ITEM-2","itemData":{"abstract":"This short note discusses methodological obstacles to the collection of microeconomic data in artisanal and small-scale mining communities. International donor organizations are supporting policy efforts that enhance the contribution to poverty alleviation of this mining subsector. The design and evaluation of such policy interventions require data on income, expenditure, investment, and savings in mining households and communities. These data are difficult to come by. Incomes are variable; migrants may work far from home; miners often work informally and sometimes illegally; mining populations and communities are heterogeneous and transient; and miners have many reasons to distort information. Legalization and organization of miners in cooperatives would facilitate documentation and research. These processes, however, are beyond the control of the typical policy consultant or donor organization. On their part, these parties can adopt an alternative model of research. This model involves the community in project development, data collection, and monitoring. It empha-sizes continuity, cultural diversity, trust building and learning. The data thus collected should provide a firm basis for programmes that promote more sustainable livelihoods in artisanal and small-scale mining communities. income for their households, supplement meagre farming revenues, and — in the case of coal — obtain energy. International donor organizations, including the World Bank and the United Nations, believe that artisanal and small-scale mining (ASM) can contribute to socio-economic development in poor rural areas. Support for policy efforts that could strengthen this contribution was expressed at the United Nations conference on mining held in 2002 in Yaoundé, Cameroon. The Yaoundé Vision Statement recommended that policies and programmes directed to-wards the subsector should contribute to sustainably reduce poverty and improve livelihoods in artisanal and small-scale mining communities (UN, 2002). To evaluate the success of the aforementioned policies and programmes, one must be able to detect whether min-ing communities are moving from poverty into well-being. This short note discusses methodological guidelines that can help achieve this objective — given a policy assignment (e.g., for the World Bank) with a restricted timeframe of one to two months. Using two analytical models, the article first discusses what microeconomic data are most critical to poverty alleviation str…","author":[{"dropping-particle":"","family":"Heemskerk","given":"Marieke","non-dropping-particle":"","parse-names":false,"suffix":""}],"container-title":"Natural Resources Forum","id":"ITEM-2","issue":"1","issued":{"date-parts":[["2005"]]},"page":"82-87","title":"Collecting data in artisanal and small-scale mining communities: Measuring progress towards more sustainable livelihoods","type":"article-journal","volume":"29"},"uris":["http://www.mendeley.com/documents/?uuid=1000031a-6ef9-35c2-a27d-68cee5643354"]},{"id":"ITEM-3","itemData":{"abstract":"This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Policy","id":"ITEM-3","issue":"1-2","issued":{"date-parts":[["2009"]]},"page":"51-56","title":"Artisanal and small-scale mining as an extralegal economy: De Soto and the redefinition of 'formalization'","type":"article-journal","volume":"34"},"uris":["http://www.mendeley.com/documents/?uuid=0cd7f80e-58cc-4421-9a78-f30864db4d69"]}],"mendeley":{"formattedCitation":"(Heemskerk, 2005; Siegel &amp; Veiga, 2009; Veiga &amp; Beinhoff, 1997)","manualFormatting":"(Heemskerk, 2005; Siegel &amp; Veiga, 2009)","plainTextFormattedCitation":"(Heemskerk, 2005; Siegel &amp; Veiga, 2009; Veiga &amp; Beinhoff, 1997)","previouslyFormattedCitation":"(Heemskerk, 2005; Siegel &amp; Veiga, 2009; Veiga &amp; Beinhoff, 1997)"},"properties":{"noteIndex":0},"schema":"https://github.com/citation-style-language/schema/raw/master/csl-citation.json"}</w:instrText>
      </w:r>
      <w:r w:rsidRPr="004E053C">
        <w:rPr>
          <w:rFonts w:cs="Calibri"/>
          <w:sz w:val="22"/>
          <w:szCs w:val="22"/>
          <w:lang w:val="en-GB"/>
        </w:rPr>
        <w:fldChar w:fldCharType="separate"/>
      </w:r>
      <w:r w:rsidRPr="004E053C">
        <w:rPr>
          <w:rFonts w:cs="Calibri"/>
          <w:noProof/>
          <w:sz w:val="22"/>
          <w:szCs w:val="22"/>
          <w:lang w:val="en-GB"/>
        </w:rPr>
        <w:t>(Heemskerk, 2005; Siegel &amp; Veiga, 2009)</w:t>
      </w:r>
      <w:r w:rsidRPr="004E053C">
        <w:rPr>
          <w:rFonts w:cs="Calibri"/>
          <w:sz w:val="22"/>
          <w:szCs w:val="22"/>
          <w:lang w:val="en-GB"/>
        </w:rPr>
        <w:fldChar w:fldCharType="end"/>
      </w:r>
      <w:r w:rsidRPr="004E053C">
        <w:rPr>
          <w:rFonts w:cs="Calibri"/>
          <w:sz w:val="22"/>
          <w:szCs w:val="22"/>
          <w:lang w:val="en-GB"/>
        </w:rPr>
        <w:t xml:space="preserve">. </w:t>
      </w:r>
      <w:r w:rsidR="00582ABE" w:rsidRPr="004E053C">
        <w:rPr>
          <w:rFonts w:cs="Calibri"/>
          <w:sz w:val="22"/>
          <w:szCs w:val="22"/>
          <w:lang w:val="en-GB"/>
        </w:rPr>
        <w:t>E</w:t>
      </w:r>
      <w:r w:rsidRPr="004E053C">
        <w:rPr>
          <w:rFonts w:cs="Calibri"/>
          <w:sz w:val="22"/>
          <w:szCs w:val="22"/>
          <w:lang w:val="en-GB"/>
        </w:rPr>
        <w:t xml:space="preserve">vidence from numerous countries shows that often ASM operators would like to be formalised </w:t>
      </w:r>
      <w:r w:rsidR="00517F61" w:rsidRPr="004E053C">
        <w:rPr>
          <w:rFonts w:cs="Calibri"/>
          <w:sz w:val="22"/>
          <w:szCs w:val="22"/>
          <w:lang w:val="en-GB"/>
        </w:rPr>
        <w:fldChar w:fldCharType="begin" w:fldLock="1"/>
      </w:r>
      <w:r w:rsidR="002F0CEA">
        <w:rPr>
          <w:rFonts w:cs="Calibri"/>
          <w:sz w:val="22"/>
          <w:szCs w:val="22"/>
          <w:lang w:val="en-GB"/>
        </w:rPr>
        <w:instrText>ADDIN CSL_CITATION {"citationItems":[{"id":"ITEM-1","itemData":{"abstract":"During recent decades, artisanal and small-scale mining (ASM) in Africa has increased tremendously. An unknown but significant part is constituted by activities that are not based on legally registered mining licenses. The division of formal and informal ASM is, however, dissolved in the marketing chain where trading channels are intertwined: traders buy from miners with and without a license. So far state institutions and civil society organizations have endeavoured to 'formalize' the informal sector by focusing on relatively isolated entry points in the ASM chain from production to consumption. This paper argues that future research and design of policy mechanisms needs to focus on the inter-linkages of actors and material flows within the complex intertwinement of the formal and informal ASM sectors. Our point of departure is the findings on interlocked markets within the literature on rural dependency relations, barriers for poverty eradication and agricultural development. The paper outlines the previous debate on formalization and maps out the territorial and organizational configuration of the present ASM gold chain in Tanzania and Ghana. On this basis we maintain that state action is inevitable and suggest possible institutional mechanisms to set up incentives for possible formalization pathways for African ASM gold chains. © 2013 Elsevier Ltd.","author":[{"dropping-particle":"","family":"Fold","given":"Niels","non-dropping-particle":"","parse-names":false,"suffix":""},{"dropping-particle":"","family":"Jønsson","given":"Jesper Bosse","non-dropping-particle":"","parse-names":false,"suffix":""},{"dropping-particle":"","family":"Yankson","given":"Paul","non-dropping-particle":"","parse-names":false,"suffix":""}],"container-title":"Futures","id":"ITEM-1","issued":{"date-parts":[["2014"]]},"page":"128-139","publisher":"Elsevier Ltd","title":"Buying into formalization? State institutions and interlocked markets in African small-scale gold mining","type":"article-journal","volume":"62"},"uris":["http://www.mendeley.com/documents/?uuid=93617e2c-7924-449c-9453-fd31070376c5"]},{"id":"ITEM-2","itemData":{"abstract":"This paper argues that a formalized and supported artisanal and small-scale mining (ASM) sector could assist immeasurably with reducing the intensity of the youth unemployment crisis which now plagues sub-Saharan Africa. Over the past decade, hundreds of thousands of the region's youth have pursued work in the ASM economy in various capacities, decisions which have brought much-needed stability in a landscape devoid of formal sector job opportunities. Host governments and donors, however, have often condemned these moves, failing to fully appreciate why youth have pursued work in ASM in the first place and the impact it has had on their livelihoods. Whilst by no means the solution to the youth unemployment problem in sub-Saharan Africa, heightened emphasis on formalizing and supporting ASM could certainly buy policymakers and donors some valuable time - at least in the short term - to sufficiently 're-think' their ineffective approaches to tackling the crisis. © 2014 Elsevier Ltd.","author":[{"dropping-particle":"","family":"Hilson","given":"G","non-dropping-particle":"","parse-names":false,"suffix":""},{"dropping-particle":"","family":"Osei","given":"L","non-dropping-particle":"","parse-names":false,"suffix":""}],"container-title":"Futures","id":"ITEM-2","issue":"2014","issued":{"date-parts":[["2014"]]},"page":"83-94","publisher":"Elsevier Ltd","title":"Tackling youth unemployment in sub-Saharan Africa: Is there a role for artisanal and small-scale mining?","type":"article-journal","volume":"62"},"uris":["http://www.mendeley.com/documents/?uuid=6a2ab234-bc06-4c78-aa0f-b114aff5cf85"]},{"id":"ITEM-3","itemData":{"abstract":"This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Policy","id":"ITEM-3","issue":"1-2","issued":{"date-parts":[["2009"]]},"page":"51-56","title":"Artisanal and small-scale mining as an extralegal economy: De Soto and the redefinition of 'formalization'","type":"article-journal","volume":"34"},"uris":["http://www.mendeley.com/documents/?uuid=0cd7f80e-58cc-4421-9a78-f30864db4d69"]},{"id":"ITEM-4","itemData":{"abstract":"This article evaluates recent changes in gold-mining policies in Suriname, focusing on the contrasting perceptions about these policies by the government and small-scale gold miners. The data illustrate that distrust, which is constructed by history and culture, shapes perceptions about what are fair and effective regulations when it comes to access to, and control over, mineral resources. Yet distrust not only exists between the national government and local gold miners, it also weakens strategic positioning and decision making within these groups. The researchers argue that while effective regulation of the gold sector requires that government officials make an effort to establish trust with their constituents, it is as important that gold miners work on becoming trustworthy partners in dialogue and interventions for the government. It is concluded that trust is a process, and particularly in small-scale societies such as Suriname, this process needs to start with building interpersonal trust.","author":[{"dropping-particle":"","family":"Heemskerk","given":"Marieke","non-dropping-particle":"","parse-names":false,"suffix":""},{"dropping-particle":"","family":"Duijves","given":"Celine","non-dropping-particle":"","parse-names":false,"suffix":""},{"dropping-particle":"","family":"Pinas","given":"Mujenca","non-dropping-particle":"","parse-names":false,"suffix":""}],"container-title":"Society and Natural Resources","id":"ITEM-4","issue":"2","issued":{"date-parts":[["2015"]]},"page":"133-148","title":"Interpersonal and institutional distrust as disabling factors in natural resources management: small-scale gold miners and the Government in Suriname","type":"article-journal","volume":"28"},"uris":["http://www.mendeley.com/documents/?uuid=9fd5c81e-748f-4577-a902-d9a12be9d235"]}],"mendeley":{"formattedCitation":"(Fold, Jønsson, &amp; Yankson, 2014; Heemskerk, Duijves, &amp; Pinas, 2015; G Hilson &amp; Osei, 2014; Siegel &amp; Veiga, 2009)","manualFormatting":"(Fold, Jønsson, &amp; Yankson, 2014; Heemskerk, Duijves, &amp; Pinas, 2015; Hilson &amp; Osei, 2014; Siegel &amp; Veiga, 2009)","plainTextFormattedCitation":"(Fold, Jønsson, &amp; Yankson, 2014; Heemskerk, Duijves, &amp; Pinas, 2015; G Hilson &amp; Osei, 2014; Siegel &amp; Veiga, 2009)","previouslyFormattedCitation":"(Fold, Jønsson, &amp; Yankson, 2014; Heemskerk, Duijves, &amp; Pinas, 2015; G Hilson &amp; Osei, 2014; Siegel &amp; Veiga, 2009)"},"properties":{"noteIndex":0},"schema":"https://github.com/citation-style-language/schema/raw/master/csl-citation.json"}</w:instrText>
      </w:r>
      <w:r w:rsidR="00517F61" w:rsidRPr="004E053C">
        <w:rPr>
          <w:rFonts w:cs="Calibri"/>
          <w:sz w:val="22"/>
          <w:szCs w:val="22"/>
          <w:lang w:val="en-GB"/>
        </w:rPr>
        <w:fldChar w:fldCharType="separate"/>
      </w:r>
      <w:r w:rsidR="009220E9" w:rsidRPr="004E053C">
        <w:rPr>
          <w:rFonts w:cs="Calibri"/>
          <w:noProof/>
          <w:sz w:val="22"/>
          <w:szCs w:val="22"/>
          <w:lang w:val="en-GB"/>
        </w:rPr>
        <w:t>(Fold, Jønsson, &amp; Yankson, 2014; Heemsker</w:t>
      </w:r>
      <w:r w:rsidR="00E65D31" w:rsidRPr="004E053C">
        <w:rPr>
          <w:rFonts w:cs="Calibri"/>
          <w:noProof/>
          <w:sz w:val="22"/>
          <w:szCs w:val="22"/>
          <w:lang w:val="en-GB"/>
        </w:rPr>
        <w:t xml:space="preserve">k, Duijves, &amp; Pinas, 2015; </w:t>
      </w:r>
      <w:r w:rsidR="009220E9" w:rsidRPr="004E053C">
        <w:rPr>
          <w:rFonts w:cs="Calibri"/>
          <w:noProof/>
          <w:sz w:val="22"/>
          <w:szCs w:val="22"/>
          <w:lang w:val="en-GB"/>
        </w:rPr>
        <w:t>Hilson &amp; Osei, 2014; Siegel &amp; Veiga, 2009)</w:t>
      </w:r>
      <w:r w:rsidR="00517F61" w:rsidRPr="004E053C">
        <w:rPr>
          <w:rFonts w:cs="Calibri"/>
          <w:sz w:val="22"/>
          <w:szCs w:val="22"/>
          <w:lang w:val="en-GB"/>
        </w:rPr>
        <w:fldChar w:fldCharType="end"/>
      </w:r>
      <w:r w:rsidR="001B5579" w:rsidRPr="004E053C">
        <w:rPr>
          <w:rFonts w:cs="Calibri"/>
          <w:sz w:val="22"/>
          <w:szCs w:val="22"/>
          <w:lang w:val="en-GB"/>
        </w:rPr>
        <w:t>,</w:t>
      </w:r>
      <w:r w:rsidRPr="004E053C">
        <w:rPr>
          <w:rFonts w:cs="Calibri"/>
          <w:sz w:val="22"/>
          <w:szCs w:val="22"/>
          <w:lang w:val="en-GB"/>
        </w:rPr>
        <w:t xml:space="preserve"> although for others</w:t>
      </w:r>
      <w:r w:rsidR="001B5579" w:rsidRPr="004E053C">
        <w:rPr>
          <w:rFonts w:cs="Calibri"/>
          <w:sz w:val="22"/>
          <w:szCs w:val="22"/>
          <w:lang w:val="en-GB"/>
        </w:rPr>
        <w:t>, such as miners in the Choc</w:t>
      </w:r>
      <w:r w:rsidR="001B5579" w:rsidRPr="004E053C">
        <w:rPr>
          <w:rFonts w:eastAsia="Times New Roman" w:cs="Arial"/>
          <w:color w:val="222222"/>
          <w:sz w:val="22"/>
          <w:szCs w:val="22"/>
          <w:shd w:val="clear" w:color="auto" w:fill="FFFFFF"/>
          <w:lang w:val="en-GB"/>
        </w:rPr>
        <w:t>ó</w:t>
      </w:r>
      <w:r w:rsidR="001B5579" w:rsidRPr="004E053C">
        <w:rPr>
          <w:rFonts w:cs="Calibri"/>
          <w:sz w:val="22"/>
          <w:szCs w:val="22"/>
          <w:lang w:val="en-GB"/>
        </w:rPr>
        <w:t xml:space="preserve"> in Colombia,</w:t>
      </w:r>
      <w:r w:rsidRPr="004E053C">
        <w:rPr>
          <w:rFonts w:cs="Calibri"/>
          <w:sz w:val="22"/>
          <w:szCs w:val="22"/>
          <w:lang w:val="en-GB"/>
        </w:rPr>
        <w:t xml:space="preserve"> it seems too distant a possibility to </w:t>
      </w:r>
      <w:r w:rsidR="00582ABE" w:rsidRPr="004E053C">
        <w:rPr>
          <w:rFonts w:cs="Calibri"/>
          <w:sz w:val="22"/>
          <w:szCs w:val="22"/>
          <w:lang w:val="en-GB"/>
        </w:rPr>
        <w:t xml:space="preserve">even </w:t>
      </w:r>
      <w:r w:rsidRPr="004E053C">
        <w:rPr>
          <w:rFonts w:cs="Calibri"/>
          <w:sz w:val="22"/>
          <w:szCs w:val="22"/>
          <w:lang w:val="en-GB"/>
        </w:rPr>
        <w:t>be of consideration</w:t>
      </w:r>
      <w:r w:rsidR="009220E9" w:rsidRPr="004E053C">
        <w:rPr>
          <w:rFonts w:cs="Calibri"/>
          <w:sz w:val="22"/>
          <w:szCs w:val="22"/>
          <w:lang w:val="en-GB"/>
        </w:rPr>
        <w:t xml:space="preserve"> </w:t>
      </w:r>
      <w:r w:rsidR="009220E9" w:rsidRPr="004E053C">
        <w:rPr>
          <w:rFonts w:cs="Calibri"/>
          <w:sz w:val="22"/>
          <w:szCs w:val="22"/>
          <w:lang w:val="en-GB"/>
        </w:rPr>
        <w:fldChar w:fldCharType="begin" w:fldLock="1"/>
      </w:r>
      <w:r w:rsidR="00680892" w:rsidRPr="004E053C">
        <w:rPr>
          <w:rFonts w:cs="Calibri"/>
          <w:sz w:val="22"/>
          <w:szCs w:val="22"/>
          <w:lang w:val="en-GB"/>
        </w:rPr>
        <w:instrText>ADDIN CSL_CITATION {"citationItems":[{"id":"ITEM-1","itemData":{"abstract":"As gold prices rose between 2002 and 2012, Afro-descendant gold miners confronted illegal outsider-owned gold mines on their land in Colombia’s northwest Chocó department. This article examines why these Afro-descendant miners, who used hand tools and techniques, often invited the outsiders, who used heavy machinery and mercury, to work their mines. Their reasons included: familial pressure over land, profit sharing, high prices, access to gold, and dangerous working conditions. The decision to invite in the outsiders complicates the conventional narrative of a coercive relationship between outsiders and Afro-descendant communities, even as the relationship produced worse than expected outcomes for both sides.","author":[{"dropping-particle":"","family":"Tubb","given":"Daniel","non-dropping-particle":"","parse-names":false,"suffix":""}],"container-title":"The Extractive Industries and Society","id":"ITEM-1","issue":"4","issued":{"date-parts":[["2015"]]},"page":"722-733","title":"Muddy decisions: Gold in the Choco, Colombia","type":"article-journal","volume":"2"},"uris":["http://www.mendeley.com/documents/?uuid=0a37e678-351f-4105-81a4-df99fce7704c"]}],"mendeley":{"formattedCitation":"(Tubb, 2015)","plainTextFormattedCitation":"(Tubb, 2015)","previouslyFormattedCitation":"(Tubb, 2015)"},"properties":{"noteIndex":0},"schema":"https://github.com/citation-style-language/schema/raw/master/csl-citation.json"}</w:instrText>
      </w:r>
      <w:r w:rsidR="009220E9" w:rsidRPr="004E053C">
        <w:rPr>
          <w:rFonts w:cs="Calibri"/>
          <w:sz w:val="22"/>
          <w:szCs w:val="22"/>
          <w:lang w:val="en-GB"/>
        </w:rPr>
        <w:fldChar w:fldCharType="separate"/>
      </w:r>
      <w:r w:rsidR="009220E9" w:rsidRPr="004E053C">
        <w:rPr>
          <w:rFonts w:cs="Calibri"/>
          <w:noProof/>
          <w:sz w:val="22"/>
          <w:szCs w:val="22"/>
          <w:lang w:val="en-GB"/>
        </w:rPr>
        <w:t>(Tubb, 2015)</w:t>
      </w:r>
      <w:r w:rsidR="009220E9" w:rsidRPr="004E053C">
        <w:rPr>
          <w:rFonts w:cs="Calibri"/>
          <w:sz w:val="22"/>
          <w:szCs w:val="22"/>
          <w:lang w:val="en-GB"/>
        </w:rPr>
        <w:fldChar w:fldCharType="end"/>
      </w:r>
      <w:r w:rsidR="009220E9" w:rsidRPr="004E053C">
        <w:rPr>
          <w:rFonts w:cs="Calibri"/>
          <w:sz w:val="22"/>
          <w:szCs w:val="22"/>
          <w:lang w:val="en-GB"/>
        </w:rPr>
        <w:t xml:space="preserve">. </w:t>
      </w:r>
    </w:p>
    <w:p w14:paraId="1299C399" w14:textId="77777777" w:rsidR="00D36963" w:rsidRPr="004E053C" w:rsidRDefault="00D36963" w:rsidP="004E053C">
      <w:pPr>
        <w:spacing w:line="360" w:lineRule="auto"/>
        <w:jc w:val="both"/>
        <w:rPr>
          <w:rFonts w:cstheme="majorHAnsi"/>
          <w:sz w:val="22"/>
          <w:szCs w:val="22"/>
          <w:lang w:val="en-GB"/>
        </w:rPr>
      </w:pPr>
    </w:p>
    <w:p w14:paraId="2FF17E5A" w14:textId="75D6D392" w:rsidR="00D36963" w:rsidRPr="004E053C" w:rsidRDefault="00D36963" w:rsidP="004E053C">
      <w:pPr>
        <w:spacing w:line="360" w:lineRule="auto"/>
        <w:jc w:val="both"/>
        <w:rPr>
          <w:rFonts w:cstheme="minorHAnsi"/>
          <w:sz w:val="22"/>
          <w:szCs w:val="22"/>
          <w:lang w:val="en-GB"/>
        </w:rPr>
      </w:pPr>
      <w:r w:rsidRPr="004E053C">
        <w:rPr>
          <w:rFonts w:cstheme="minorHAnsi"/>
          <w:sz w:val="22"/>
          <w:szCs w:val="22"/>
          <w:lang w:val="en-GB" w:eastAsia="zh-CN"/>
        </w:rPr>
        <w:t xml:space="preserve">National governments have the power to lease mineral rich land for mining, known as concessions </w:t>
      </w:r>
      <w:r w:rsidRPr="004E053C">
        <w:rPr>
          <w:rFonts w:cstheme="minorHAnsi"/>
          <w:sz w:val="22"/>
          <w:szCs w:val="22"/>
          <w:lang w:val="en-GB" w:eastAsia="zh-CN"/>
        </w:rPr>
        <w:fldChar w:fldCharType="begin" w:fldLock="1"/>
      </w:r>
      <w:r w:rsidRPr="004E053C">
        <w:rPr>
          <w:rFonts w:cstheme="minorHAnsi"/>
          <w:sz w:val="22"/>
          <w:szCs w:val="22"/>
          <w:lang w:val="en-GB" w:eastAsia="zh-CN"/>
        </w:rPr>
        <w:instrText>ADDIN CSL_CITATION {"citationItems":[{"id":"ITEM-1","itemData":{"abstract":"Despite violent protests across Latin America, policies to make mining more environmentally sound and socially acceptable remain elusive. This essay explores the factors that hinder progress in resolving mining conflicts. It describes the fiscal incentives that drive governments to promote mining, the environmental risks inherent in open pit mining, and the divisive property rights that contribute to conflict. While no mining is environmentally benign, more can be done to protect the health and livelihoods of local communities. Progress requires not only improving the technical capacity of institutions tasked with environmental monitoring but also resolving the deeply rooted social divisions in the region. Affirming the rights of local communities - nonindigenous as well as indigenous - to control zoning, water supplies and the financial benefits of mining would both better link governance to those most affected and, in many cases, reduce poverty.","author":[{"dropping-particle":"","family":"Helwege","given":"Ann","non-dropping-particle":"","parse-names":false,"suffix":""}],"container-title":"Extractive Industries and Society","id":"ITEM-1","issue":"1","issued":{"date-parts":[["2015"]]},"page":"73-84","publisher":"Elsevier Ltd","title":"Challenges with resolving mining conflicts in Latin America","type":"article-journal","volume":"2"},"uris":["http://www.mendeley.com/documents/?uuid=90d97209-2390-479c-8391-bd46dadc69ac"]}],"mendeley":{"formattedCitation":"(Helwege, 2015)","plainTextFormattedCitation":"(Helwege, 2015)","previouslyFormattedCitation":"(Helwege, 2015)"},"properties":{"noteIndex":0},"schema":"https://github.com/citation-style-language/schema/raw/master/csl-citation.json"}</w:instrText>
      </w:r>
      <w:r w:rsidRPr="004E053C">
        <w:rPr>
          <w:rFonts w:cstheme="minorHAnsi"/>
          <w:sz w:val="22"/>
          <w:szCs w:val="22"/>
          <w:lang w:val="en-GB" w:eastAsia="zh-CN"/>
        </w:rPr>
        <w:fldChar w:fldCharType="separate"/>
      </w:r>
      <w:r w:rsidRPr="004E053C">
        <w:rPr>
          <w:rFonts w:cstheme="minorHAnsi"/>
          <w:noProof/>
          <w:sz w:val="22"/>
          <w:szCs w:val="22"/>
          <w:lang w:val="en-GB" w:eastAsia="zh-CN"/>
        </w:rPr>
        <w:t>(Helwege, 2015)</w:t>
      </w:r>
      <w:r w:rsidRPr="004E053C">
        <w:rPr>
          <w:rFonts w:cstheme="minorHAnsi"/>
          <w:sz w:val="22"/>
          <w:szCs w:val="22"/>
          <w:lang w:val="en-GB" w:eastAsia="zh-CN"/>
        </w:rPr>
        <w:fldChar w:fldCharType="end"/>
      </w:r>
      <w:r w:rsidRPr="004E053C">
        <w:rPr>
          <w:rFonts w:cstheme="minorHAnsi"/>
          <w:sz w:val="22"/>
          <w:szCs w:val="22"/>
          <w:lang w:val="en-GB" w:eastAsia="zh-CN"/>
        </w:rPr>
        <w:t xml:space="preserve">, and in recent years many countries, in Latin America and elsewhere, have embarked on formalisation processes. </w:t>
      </w:r>
      <w:r w:rsidRPr="004E053C">
        <w:rPr>
          <w:rFonts w:cstheme="minorHAnsi"/>
          <w:color w:val="000000"/>
          <w:sz w:val="22"/>
          <w:szCs w:val="22"/>
          <w:lang w:val="en-GB" w:eastAsia="zh-CN"/>
        </w:rPr>
        <w:t xml:space="preserve">However, successive governments have struggled to implement these effectively, </w:t>
      </w:r>
      <w:r w:rsidRPr="004E053C">
        <w:rPr>
          <w:rFonts w:cstheme="minorHAnsi"/>
          <w:sz w:val="22"/>
          <w:szCs w:val="22"/>
          <w:lang w:val="en-GB" w:eastAsia="zh-CN"/>
        </w:rPr>
        <w:t xml:space="preserve">and ASM therefore remains largely informal in most countries </w:t>
      </w:r>
      <w:r w:rsidRPr="004E053C">
        <w:rPr>
          <w:rFonts w:cstheme="minorHAnsi"/>
          <w:sz w:val="22"/>
          <w:szCs w:val="22"/>
          <w:lang w:val="en-GB" w:eastAsia="zh-CN"/>
        </w:rPr>
        <w:fldChar w:fldCharType="begin" w:fldLock="1"/>
      </w:r>
      <w:r w:rsidR="005D0B08">
        <w:rPr>
          <w:rFonts w:cstheme="minorHAnsi"/>
          <w:sz w:val="22"/>
          <w:szCs w:val="22"/>
          <w:lang w:val="en-GB" w:eastAsia="zh-CN"/>
        </w:rPr>
        <w:instrText>ADDIN CSL_CITATION {"citationItems":[{"id":"ITEM-1","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-1","issued":{"date-parts":[["2013"]]},"page":"1-17","publisher":"Cuadernos del CEDLA no.26","publisher-place":"Amsterdam","title":"Small-scale gold mining in the Amazon","type":"chapter"},"uris":["http://www.mendeley.com/documents/?uuid=92fc2d78-55d0-4473-a651-4b870d4fb876"]}],"mendeley":{"formattedCitation":"(L. Cremers &amp; de Theije, 2013)","manualFormatting":"(Cremers &amp; de Theije, 2013)","plainTextFormattedCitation":"(L. Cremers &amp; de Theije, 2013)","previouslyFormattedCitation":"(L. Cremers &amp; de Theije, 2013)"},"properties":{"noteIndex":0},"schema":"https://github.com/citation-style-language/schema/raw/master/csl-citation.json"}</w:instrText>
      </w:r>
      <w:r w:rsidRPr="004E053C">
        <w:rPr>
          <w:rFonts w:cstheme="minorHAnsi"/>
          <w:sz w:val="22"/>
          <w:szCs w:val="22"/>
          <w:lang w:val="en-GB" w:eastAsia="zh-CN"/>
        </w:rPr>
        <w:fldChar w:fldCharType="separate"/>
      </w:r>
      <w:r w:rsidR="00F52DF1" w:rsidRPr="004E053C">
        <w:rPr>
          <w:rFonts w:cstheme="minorHAnsi"/>
          <w:noProof/>
          <w:sz w:val="22"/>
          <w:szCs w:val="22"/>
          <w:lang w:val="en-GB" w:eastAsia="zh-CN"/>
        </w:rPr>
        <w:t>(</w:t>
      </w:r>
      <w:r w:rsidR="00EB10C1" w:rsidRPr="004E053C">
        <w:rPr>
          <w:rFonts w:cstheme="minorHAnsi"/>
          <w:noProof/>
          <w:sz w:val="22"/>
          <w:szCs w:val="22"/>
          <w:lang w:val="en-GB" w:eastAsia="zh-CN"/>
        </w:rPr>
        <w:t>Cremers &amp; de Theije, 2013)</w:t>
      </w:r>
      <w:r w:rsidRPr="004E053C">
        <w:rPr>
          <w:rFonts w:cstheme="minorHAnsi"/>
          <w:sz w:val="22"/>
          <w:szCs w:val="22"/>
          <w:lang w:val="en-GB" w:eastAsia="zh-CN"/>
        </w:rPr>
        <w:fldChar w:fldCharType="end"/>
      </w:r>
      <w:r w:rsidRPr="004E053C">
        <w:rPr>
          <w:rFonts w:cstheme="minorHAnsi"/>
          <w:sz w:val="22"/>
          <w:szCs w:val="22"/>
          <w:lang w:val="en-GB" w:eastAsia="zh-CN"/>
        </w:rPr>
        <w:t xml:space="preserve">. </w:t>
      </w:r>
      <w:r w:rsidRPr="004E053C">
        <w:rPr>
          <w:rFonts w:cstheme="minorHAnsi"/>
          <w:sz w:val="22"/>
          <w:szCs w:val="22"/>
          <w:lang w:val="en-GB"/>
        </w:rPr>
        <w:t>For example, in Brazil</w:t>
      </w:r>
      <w:r w:rsidR="00582ABE" w:rsidRPr="004E053C">
        <w:rPr>
          <w:rFonts w:cstheme="minorHAnsi"/>
          <w:sz w:val="22"/>
          <w:szCs w:val="22"/>
          <w:lang w:val="en-GB"/>
        </w:rPr>
        <w:t xml:space="preserve"> </w:t>
      </w:r>
      <w:r w:rsidRPr="004E053C">
        <w:rPr>
          <w:rFonts w:eastAsia="Times New Roman" w:cs="Times New Roman"/>
          <w:sz w:val="22"/>
          <w:szCs w:val="22"/>
          <w:lang w:val="en-GB" w:eastAsia="zh-CN"/>
        </w:rPr>
        <w:t xml:space="preserve">artisanal miners can in theory obtain a license, yet many continue to work illegally, without paying tax, and ignoring rules and regulations </w:t>
      </w:r>
      <w:r w:rsidR="00680892" w:rsidRPr="004E053C">
        <w:rPr>
          <w:rFonts w:eastAsia="Times New Roman" w:cs="Times New Roman"/>
          <w:sz w:val="22"/>
          <w:szCs w:val="22"/>
          <w:lang w:val="en-GB" w:eastAsia="zh-CN"/>
        </w:rPr>
        <w:fldChar w:fldCharType="begin" w:fldLock="1"/>
      </w:r>
      <w:r w:rsidR="00680892" w:rsidRPr="004E053C">
        <w:rPr>
          <w:rFonts w:eastAsia="Times New Roman" w:cs="Times New Roman"/>
          <w:sz w:val="22"/>
          <w:szCs w:val="22"/>
          <w:lang w:val="en-GB" w:eastAsia="zh-CN"/>
        </w:rPr>
        <w:instrText>ADDIN CSL_CITATION {"citationItems":[{"id":"ITEM-1","itemData":{"author":[{"dropping-particle":"","family":"Kolen","given":"Judith","non-dropping-particle":"","parse-names":false,"suffix":""},{"dropping-particle":"","family":"Theije","given":"Marjo","non-dropping-particle":"de","parse-names":false,"suffix":""},{"dropping-particle":"","family":"Mathis","given":"Armin","non-dropping-particle":"","parse-names":false,"suffix":""}],"chapter-number":"Chapter 3","container-title":"Small-scale Gold Mining in the Amazon: The Cases of Bolivia, Brazil, Colombia, Peru and Suriname","editor":[{"dropping-particle":"","family":"Cremers","given":"Leontien","non-dropping-particle":"","parse-names":false,"suffix":""},{"dropping-particle":"","family":"Kolen","given":"Judith","non-dropping-particle":"","parse-names":false,"suffix":""},{"dropping-particle":"","family":"Theije","given":"Marjo","non-dropping-particle":"de","parse-names":false,"suffix":""}],"id":"ITEM-1","issued":{"date-parts":[["2013"]]},"page":"31-45","publisher":"CEDLA","publisher-place":"Amsterdam","title":"Formalized small-scale gold mining in the Brazilian Amazon: An activity surrounded by informality","type":"chapter"},"uris":["http://www.mendeley.com/documents/?uuid=4a2c58ce-7e0c-4f42-8843-9dfa2f9c286a"]}],"mendeley":{"formattedCitation":"(Kolen, de Theije, &amp; Mathis, 2013)","plainTextFormattedCitation":"(Kolen, de Theije, &amp; Mathis, 2013)","previouslyFormattedCitation":"(Kolen, de Theije, &amp; Mathis, 2013)"},"properties":{"noteIndex":0},"schema":"https://github.com/citation-style-language/schema/raw/master/csl-citation.json"}</w:instrText>
      </w:r>
      <w:r w:rsidR="00680892" w:rsidRPr="004E053C">
        <w:rPr>
          <w:rFonts w:eastAsia="Times New Roman" w:cs="Times New Roman"/>
          <w:sz w:val="22"/>
          <w:szCs w:val="22"/>
          <w:lang w:val="en-GB" w:eastAsia="zh-CN"/>
        </w:rPr>
        <w:fldChar w:fldCharType="separate"/>
      </w:r>
      <w:r w:rsidR="00680892" w:rsidRPr="004E053C">
        <w:rPr>
          <w:rFonts w:eastAsia="Times New Roman" w:cs="Times New Roman"/>
          <w:noProof/>
          <w:sz w:val="22"/>
          <w:szCs w:val="22"/>
          <w:lang w:val="en-GB" w:eastAsia="zh-CN"/>
        </w:rPr>
        <w:t>(Kolen, de Theije, &amp; Mathis, 2013)</w:t>
      </w:r>
      <w:r w:rsidR="00680892" w:rsidRPr="004E053C">
        <w:rPr>
          <w:rFonts w:eastAsia="Times New Roman" w:cs="Times New Roman"/>
          <w:sz w:val="22"/>
          <w:szCs w:val="22"/>
          <w:lang w:val="en-GB" w:eastAsia="zh-CN"/>
        </w:rPr>
        <w:fldChar w:fldCharType="end"/>
      </w:r>
      <w:r w:rsidR="00E65D31" w:rsidRPr="004E053C">
        <w:rPr>
          <w:rFonts w:cstheme="minorHAnsi"/>
          <w:sz w:val="22"/>
          <w:szCs w:val="22"/>
          <w:lang w:val="en-GB"/>
        </w:rPr>
        <w:t xml:space="preserve">. </w:t>
      </w:r>
      <w:r w:rsidRPr="004E053C">
        <w:rPr>
          <w:rFonts w:cstheme="minorHAnsi"/>
          <w:sz w:val="22"/>
          <w:szCs w:val="22"/>
          <w:lang w:val="en-GB"/>
        </w:rPr>
        <w:t>Although most i</w:t>
      </w:r>
      <w:r w:rsidR="001B5579" w:rsidRPr="004E053C">
        <w:rPr>
          <w:rFonts w:cstheme="minorHAnsi"/>
          <w:sz w:val="22"/>
          <w:szCs w:val="22"/>
          <w:lang w:val="en-GB"/>
        </w:rPr>
        <w:t xml:space="preserve">ndividuals therefore lack legal </w:t>
      </w:r>
      <w:r w:rsidRPr="004E053C">
        <w:rPr>
          <w:rFonts w:cstheme="minorHAnsi"/>
          <w:sz w:val="22"/>
          <w:szCs w:val="22"/>
          <w:lang w:val="en-GB"/>
        </w:rPr>
        <w:t xml:space="preserve">rights to land, some may have customary rights that are widely recognised and respected. This has been illustrated well in the cases of Suriname </w:t>
      </w:r>
      <w:r w:rsidR="00680892" w:rsidRPr="004E053C">
        <w:rPr>
          <w:rFonts w:cstheme="minorHAnsi"/>
          <w:sz w:val="22"/>
          <w:szCs w:val="22"/>
          <w:lang w:val="en-GB"/>
        </w:rPr>
        <w:fldChar w:fldCharType="begin" w:fldLock="1"/>
      </w:r>
      <w:r w:rsidR="00680892" w:rsidRPr="004E053C">
        <w:rPr>
          <w:rFonts w:cstheme="minorHAnsi"/>
          <w:sz w:val="22"/>
          <w:szCs w:val="22"/>
          <w:lang w:val="en-GB"/>
        </w:rPr>
        <w:instrText>ADDIN CSL_CITATION {"citationItems":[{"id":"ITEM-1","itemData":{"author":[{"dropping-particle":"","family":"Heemskerk","given":"Marieke","non-dropping-particle":"","parse-names":false,"suffix":""},{"dropping-particle":"","family":"Theije","given":"Marjo","non-dropping-particle":"de","parse-names":false,"suffix":""}],"container-title":"L’acte De Colloque Amaz’hommes","editor":[{"dropping-particle":"","family":"Visigalli","given":"E.B.","non-dropping-particle":"","parse-names":false,"suffix":""},{"dropping-particle":"","family":"Roosevelt","given":"A","non-dropping-particle":"","parse-names":false,"suffix":""}],"id":"ITEM-1","issued":{"date-parts":[["2010"]]},"page":"353-365","publisher":"Ibis Rouge","publisher-place":"Cayenne","title":"Transforming land tenure systems in the quest for gold: Aluku, Wayana, and the State in the Suriname – French Guiana border region.","type":"chapter"},"uris":["http://www.mendeley.com/documents/?uuid=efd7b085-cf4b-4cff-b07c-de50c65024dc"]},{"id":"ITEM-2","itemData":{"author":[{"dropping-particle":"","family":"Heemskerk","given":"Marieke","non-dropping-particle":"","parse-names":false,"suffix":""},{"dropping-particle":"","family":"Duijves","given":"Celine","non-dropping-particle":"","parse-names":false,"suffix":""}],"chapter-number":"6","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arjo","non-dropping-particle":"de","parse-names":false,"suffix":""}],"id":"ITEM-2","issued":{"date-parts":[["2013"]]},"publisher":"CEDLA","publisher-place":"Amsterdam","title":"Small-scale gold mining and conflict in Suriname","type":"chapter"},"uris":["http://www.mendeley.com/documents/?uuid=0f55ec0b-cab7-414a-b00f-0994d7882ac3"]}],"mendeley":{"formattedCitation":"(Heemskerk &amp; de Theije, 2010; Heemskerk &amp; Duijves, 2013)","plainTextFormattedCitation":"(Heemskerk &amp; de Theije, 2010; Heemskerk &amp; Duijves, 2013)","previouslyFormattedCitation":"(Heemskerk &amp; de Theije, 2010; Heemskerk &amp; Duijves, 2013)"},"properties":{"noteIndex":0},"schema":"https://github.com/citation-style-language/schema/raw/master/csl-citation.json"}</w:instrText>
      </w:r>
      <w:r w:rsidR="00680892" w:rsidRPr="004E053C">
        <w:rPr>
          <w:rFonts w:cstheme="minorHAnsi"/>
          <w:sz w:val="22"/>
          <w:szCs w:val="22"/>
          <w:lang w:val="en-GB"/>
        </w:rPr>
        <w:fldChar w:fldCharType="separate"/>
      </w:r>
      <w:r w:rsidR="00680892" w:rsidRPr="004E053C">
        <w:rPr>
          <w:rFonts w:cstheme="minorHAnsi"/>
          <w:noProof/>
          <w:sz w:val="22"/>
          <w:szCs w:val="22"/>
          <w:lang w:val="en-GB"/>
        </w:rPr>
        <w:t>(Heemskerk &amp; de Theije, 2010; Heemskerk &amp; Duijves, 2013)</w:t>
      </w:r>
      <w:r w:rsidR="00680892" w:rsidRPr="004E053C">
        <w:rPr>
          <w:rFonts w:cstheme="minorHAnsi"/>
          <w:sz w:val="22"/>
          <w:szCs w:val="22"/>
          <w:lang w:val="en-GB"/>
        </w:rPr>
        <w:fldChar w:fldCharType="end"/>
      </w:r>
      <w:r w:rsidR="00455773" w:rsidRPr="004E053C">
        <w:rPr>
          <w:rFonts w:cstheme="minorHAnsi"/>
          <w:sz w:val="22"/>
          <w:szCs w:val="22"/>
          <w:lang w:val="en-GB"/>
        </w:rPr>
        <w:t xml:space="preserve"> </w:t>
      </w:r>
      <w:r w:rsidRPr="004E053C">
        <w:rPr>
          <w:rFonts w:cstheme="minorHAnsi"/>
          <w:sz w:val="22"/>
          <w:szCs w:val="22"/>
          <w:lang w:val="en-GB"/>
        </w:rPr>
        <w:t xml:space="preserve">and Brazil </w:t>
      </w:r>
      <w:r w:rsidR="00680892" w:rsidRPr="004E053C">
        <w:rPr>
          <w:rFonts w:cstheme="minorHAnsi"/>
          <w:sz w:val="22"/>
          <w:szCs w:val="22"/>
          <w:lang w:val="en-GB"/>
        </w:rPr>
        <w:fldChar w:fldCharType="begin" w:fldLock="1"/>
      </w:r>
      <w:r w:rsidR="00680892" w:rsidRPr="004E053C">
        <w:rPr>
          <w:rFonts w:cstheme="minorHAnsi"/>
          <w:sz w:val="22"/>
          <w:szCs w:val="22"/>
          <w:lang w:val="en-GB"/>
        </w:rPr>
        <w:instrText>ADDIN CSL_CITATION {"citationItems":[{"id":"ITEM-1","itemData":{"author":[{"dropping-particle":"","family":"Kolen","given":"Judith","non-dropping-particle":"","parse-names":false,"suffix":""},{"dropping-particle":"","family":"Theije","given":"Marjo","non-dropping-particle":"de","parse-names":false,"suffix":""},{"dropping-particle":"","family":"Mathis","given":"Armin","non-dropping-particle":"","parse-names":false,"suffix":""}],"chapter-number":"Chapter 3","container-title":"Small-scale Gold Mining in the Amazon: The Cases of Bolivia, Brazil, Colombia, Peru and Suriname","editor":[{"dropping-particle":"","family":"Cremers","given":"Leontien","non-dropping-particle":"","parse-names":false,"suffix":""},{"dropping-particle":"","family":"Kolen","given":"Judith","non-dropping-particle":"","parse-names":false,"suffix":""},{"dropping-particle":"","family":"Theije","given":"Marjo","non-dropping-particle":"de","parse-names":false,"suffix":""}],"id":"ITEM-1","issued":{"date-parts":[["2013"]]},"page":"31-45","publisher":"CEDLA","publisher-place":"Amsterdam","title":"Formalized small-scale gold mining in the Brazilian Amazon: An activity surrounded by informality","type":"chapter"},"uris":["http://www.mendeley.com/documents/?uuid=4a2c58ce-7e0c-4f42-8843-9dfa2f9c286a"]}],"mendeley":{"formattedCitation":"(Kolen et al., 2013)","plainTextFormattedCitation":"(Kolen et al., 2013)","previouslyFormattedCitation":"(Kolen et al., 2013)"},"properties":{"noteIndex":0},"schema":"https://github.com/citation-style-language/schema/raw/master/csl-citation.json"}</w:instrText>
      </w:r>
      <w:r w:rsidR="00680892" w:rsidRPr="004E053C">
        <w:rPr>
          <w:rFonts w:cstheme="minorHAnsi"/>
          <w:sz w:val="22"/>
          <w:szCs w:val="22"/>
          <w:lang w:val="en-GB"/>
        </w:rPr>
        <w:fldChar w:fldCharType="separate"/>
      </w:r>
      <w:r w:rsidR="00680892" w:rsidRPr="004E053C">
        <w:rPr>
          <w:rFonts w:cstheme="minorHAnsi"/>
          <w:noProof/>
          <w:sz w:val="22"/>
          <w:szCs w:val="22"/>
          <w:lang w:val="en-GB"/>
        </w:rPr>
        <w:t>(Kolen et al., 2013)</w:t>
      </w:r>
      <w:r w:rsidR="00680892" w:rsidRPr="004E053C">
        <w:rPr>
          <w:rFonts w:cstheme="minorHAnsi"/>
          <w:sz w:val="22"/>
          <w:szCs w:val="22"/>
          <w:lang w:val="en-GB"/>
        </w:rPr>
        <w:fldChar w:fldCharType="end"/>
      </w:r>
      <w:r w:rsidRPr="004E053C">
        <w:rPr>
          <w:rFonts w:cstheme="minorHAnsi"/>
          <w:sz w:val="22"/>
          <w:szCs w:val="22"/>
          <w:lang w:val="en-GB"/>
        </w:rPr>
        <w:t xml:space="preserve">. It has been noted that these local cultural laws can </w:t>
      </w:r>
      <w:r w:rsidR="001B5579" w:rsidRPr="004E053C">
        <w:rPr>
          <w:rFonts w:cstheme="minorHAnsi"/>
          <w:sz w:val="22"/>
          <w:szCs w:val="22"/>
          <w:lang w:val="en-GB"/>
        </w:rPr>
        <w:t xml:space="preserve">be </w:t>
      </w:r>
      <w:r w:rsidRPr="004E053C">
        <w:rPr>
          <w:rFonts w:cstheme="minorHAnsi"/>
          <w:sz w:val="22"/>
          <w:szCs w:val="22"/>
          <w:lang w:val="en-GB"/>
        </w:rPr>
        <w:t>more effective at regulating the sector than state efforts to formalise it</w:t>
      </w:r>
      <w:r w:rsidR="00680892" w:rsidRPr="004E053C">
        <w:rPr>
          <w:rFonts w:cstheme="minorHAnsi"/>
          <w:sz w:val="22"/>
          <w:szCs w:val="22"/>
          <w:lang w:val="en-GB"/>
        </w:rPr>
        <w:t xml:space="preserve"> </w:t>
      </w:r>
      <w:r w:rsidR="00680892" w:rsidRPr="004E053C">
        <w:rPr>
          <w:rFonts w:cstheme="minorHAnsi"/>
          <w:sz w:val="22"/>
          <w:szCs w:val="22"/>
          <w:lang w:val="en-GB"/>
        </w:rPr>
        <w:fldChar w:fldCharType="begin" w:fldLock="1"/>
      </w:r>
      <w:r w:rsidR="00A95A06" w:rsidRPr="004E053C">
        <w:rPr>
          <w:rFonts w:cstheme="minorHAnsi"/>
          <w:sz w:val="22"/>
          <w:szCs w:val="22"/>
          <w:lang w:val="en-GB"/>
        </w:rPr>
        <w:instrText>ADDIN CSL_CITATION {"citationItems":[{"id":"ITEM-1","itemData":{"author":[{"dropping-particle":"","family":"Heemskerk","given":"Marieke","non-dropping-particle":"","parse-names":false,"suffix":""},{"dropping-particle":"","family":"Theije","given":"Marjo","non-dropping-particle":"de","parse-names":false,"suffix":""}],"container-title":"L’acte De Colloque Amaz’hommes","editor":[{"dropping-particle":"","family":"Visigalli","given":"E.B.","non-dropping-particle":"","parse-names":false,"suffix":""},{"dropping-particle":"","family":"Roosevelt","given":"A","non-dropping-particle":"","parse-names":false,"suffix":""}],"id":"ITEM-1","issued":{"date-parts":[["2010"]]},"page":"353-365","publisher":"Ibis Rouge","publisher-place":"Cayenne","title":"Transforming land tenure systems in the quest for gold: Aluku, Wayana, and the State in the Suriname – French Guiana border region.","type":"chapter"},"uris":["http://www.mendeley.com/documents/?uuid=efd7b085-cf4b-4cff-b07c-de50c65024dc"]}],"mendeley":{"formattedCitation":"(Heemskerk &amp; de Theije, 2010)","plainTextFormattedCitation":"(Heemskerk &amp; de Theije, 2010)","previouslyFormattedCitation":"(Heemskerk &amp; de Theije, 2010)"},"properties":{"noteIndex":0},"schema":"https://github.com/citation-style-language/schema/raw/master/csl-citation.json"}</w:instrText>
      </w:r>
      <w:r w:rsidR="00680892" w:rsidRPr="004E053C">
        <w:rPr>
          <w:rFonts w:cstheme="minorHAnsi"/>
          <w:sz w:val="22"/>
          <w:szCs w:val="22"/>
          <w:lang w:val="en-GB"/>
        </w:rPr>
        <w:fldChar w:fldCharType="separate"/>
      </w:r>
      <w:r w:rsidR="00680892" w:rsidRPr="004E053C">
        <w:rPr>
          <w:rFonts w:cstheme="minorHAnsi"/>
          <w:noProof/>
          <w:sz w:val="22"/>
          <w:szCs w:val="22"/>
          <w:lang w:val="en-GB"/>
        </w:rPr>
        <w:t>(Heemskerk &amp; de Theije, 2010)</w:t>
      </w:r>
      <w:r w:rsidR="00680892" w:rsidRPr="004E053C">
        <w:rPr>
          <w:rFonts w:cstheme="minorHAnsi"/>
          <w:sz w:val="22"/>
          <w:szCs w:val="22"/>
          <w:lang w:val="en-GB"/>
        </w:rPr>
        <w:fldChar w:fldCharType="end"/>
      </w:r>
      <w:r w:rsidR="00680892" w:rsidRPr="004E053C">
        <w:rPr>
          <w:rFonts w:cstheme="minorHAnsi"/>
          <w:sz w:val="22"/>
          <w:szCs w:val="22"/>
          <w:lang w:val="en-GB"/>
        </w:rPr>
        <w:t>.</w:t>
      </w:r>
      <w:r w:rsidRPr="004E053C">
        <w:rPr>
          <w:rFonts w:cstheme="minorHAnsi"/>
          <w:sz w:val="22"/>
          <w:szCs w:val="22"/>
          <w:lang w:val="en-GB"/>
        </w:rPr>
        <w:t xml:space="preserve"> However, customary rights </w:t>
      </w:r>
      <w:r w:rsidRPr="004E053C">
        <w:rPr>
          <w:rFonts w:cstheme="minorHAnsi"/>
          <w:sz w:val="22"/>
          <w:szCs w:val="22"/>
          <w:lang w:val="en-GB"/>
        </w:rPr>
        <w:lastRenderedPageBreak/>
        <w:t>can be overruled by national legislation at any time (</w:t>
      </w:r>
      <w:r w:rsidR="00A95A06" w:rsidRPr="004E053C">
        <w:rPr>
          <w:rFonts w:cstheme="minorHAnsi"/>
          <w:sz w:val="22"/>
          <w:szCs w:val="22"/>
          <w:lang w:val="en-GB"/>
        </w:rPr>
        <w:fldChar w:fldCharType="begin" w:fldLock="1"/>
      </w:r>
      <w:r w:rsidR="005D0B08">
        <w:rPr>
          <w:rFonts w:cstheme="minorHAnsi"/>
          <w:sz w:val="22"/>
          <w:szCs w:val="22"/>
          <w:lang w:val="en-GB"/>
        </w:rPr>
        <w:instrText>ADDIN CSL_CITATION {"citationItems":[{"id":"ITEM-1","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-1","issued":{"date-parts":[["2013"]]},"page":"1-17","publisher":"Cuadernos del CEDLA no.26","publisher-place":"Amsterdam","title":"Small-scale gold mining in the Amazon","type":"chapter"},"uris":["http://www.mendeley.com/documents/?uuid=92fc2d78-55d0-4473-a651-4b870d4fb876"]}],"mendeley":{"formattedCitation":"(L. Cremers &amp; de Theije, 2013)","manualFormatting":"Cremers &amp; de Theije, 2013)","plainTextFormattedCitation":"(L. Cremers &amp; de Theije, 2013)","previouslyFormattedCitation":"(L. Cremers &amp; de Theije, 2013)"},"properties":{"noteIndex":0},"schema":"https://github.com/citation-style-language/schema/raw/master/csl-citation.json"}</w:instrText>
      </w:r>
      <w:r w:rsidR="00A95A06" w:rsidRPr="004E053C">
        <w:rPr>
          <w:rFonts w:cstheme="minorHAnsi"/>
          <w:sz w:val="22"/>
          <w:szCs w:val="22"/>
          <w:lang w:val="en-GB"/>
        </w:rPr>
        <w:fldChar w:fldCharType="separate"/>
      </w:r>
      <w:r w:rsidR="00A95A06" w:rsidRPr="004E053C">
        <w:rPr>
          <w:rFonts w:cstheme="minorHAnsi"/>
          <w:noProof/>
          <w:sz w:val="22"/>
          <w:szCs w:val="22"/>
          <w:lang w:val="en-GB"/>
        </w:rPr>
        <w:t>Cremers &amp; de Theije, 2013)</w:t>
      </w:r>
      <w:r w:rsidR="00A95A06" w:rsidRPr="004E053C">
        <w:rPr>
          <w:rFonts w:cstheme="minorHAnsi"/>
          <w:sz w:val="22"/>
          <w:szCs w:val="22"/>
          <w:lang w:val="en-GB"/>
        </w:rPr>
        <w:fldChar w:fldCharType="end"/>
      </w:r>
      <w:r w:rsidRPr="004E053C">
        <w:rPr>
          <w:rFonts w:cstheme="minorHAnsi"/>
          <w:sz w:val="22"/>
          <w:szCs w:val="22"/>
          <w:lang w:val="en-GB"/>
        </w:rPr>
        <w:t xml:space="preserve"> and are inherently insecure. </w:t>
      </w:r>
      <w:r w:rsidR="001B5579" w:rsidRPr="004E053C">
        <w:rPr>
          <w:rFonts w:cstheme="minorHAnsi"/>
          <w:sz w:val="22"/>
          <w:szCs w:val="22"/>
          <w:lang w:val="en-GB"/>
        </w:rPr>
        <w:t>For example</w:t>
      </w:r>
      <w:r w:rsidRPr="004E053C">
        <w:rPr>
          <w:rFonts w:cstheme="minorHAnsi"/>
          <w:sz w:val="22"/>
          <w:szCs w:val="22"/>
          <w:lang w:val="en-GB"/>
        </w:rPr>
        <w:t xml:space="preserve">, Salman, de Theije and </w:t>
      </w:r>
      <w:r w:rsidRPr="004E053C">
        <w:rPr>
          <w:rFonts w:eastAsia="Times New Roman" w:cstheme="minorHAnsi"/>
          <w:sz w:val="22"/>
          <w:szCs w:val="22"/>
          <w:lang w:val="en-GB" w:eastAsia="zh-CN"/>
        </w:rPr>
        <w:t>Vélez-Torres</w:t>
      </w:r>
      <w:r w:rsidRPr="004E053C">
        <w:rPr>
          <w:rFonts w:cstheme="minorHAnsi"/>
          <w:sz w:val="22"/>
          <w:szCs w:val="22"/>
          <w:lang w:val="en-GB"/>
        </w:rPr>
        <w:t xml:space="preserve"> </w:t>
      </w:r>
      <w:r w:rsidR="00A95A06" w:rsidRPr="004E053C">
        <w:rPr>
          <w:rFonts w:cstheme="minorHAnsi"/>
          <w:sz w:val="22"/>
          <w:szCs w:val="22"/>
          <w:lang w:val="en-GB"/>
        </w:rPr>
        <w:fldChar w:fldCharType="begin" w:fldLock="1"/>
      </w:r>
      <w:r w:rsidR="002F0CEA">
        <w:rPr>
          <w:rFonts w:cstheme="minorHAnsi"/>
          <w:sz w:val="22"/>
          <w:szCs w:val="22"/>
          <w:lang w:val="en-GB"/>
        </w:rPr>
        <w:instrText>ADDIN CSL_CITATION {"citationItems":[{"id":"ITEM-1","itemData":{"author":[{"dropping-particle":"","family":"Salman","given":"T","non-dropping-particle":"","parse-names":false,"suffix":""},{"dropping-particle":"","family":"Theije","given":"M","non-dropping-particle":"de","parse-names":false,"suffix":""},{"dropping-particle":"","family":"Vélez-Torres","given":"I","non-dropping-particle":"","parse-names":false,"suffix":""}],"container-title":"Ecology and Society","id":"ITEM-1","issue":"3","issued":{"date-parts":[["2018"]]},"page":"30","title":"Structures, actors, and interactions in the analysis of natural resource conflicts","type":"article-journal","volume":"23"},"uris":["http://www.mendeley.com/documents/?uuid=99da8e39-5459-3445-8be1-c3f9a66af206"]}],"mendeley":{"formattedCitation":"(Salman, de Theije, &amp; Vélez-Torres, 2018)","manualFormatting":"(2018)","plainTextFormattedCitation":"(Salman, de Theije, &amp; Vélez-Torres, 2018)","previouslyFormattedCitation":"(Salman, de Theije, &amp; Vélez-Torres, 2018)"},"properties":{"noteIndex":0},"schema":"https://github.com/citation-style-language/schema/raw/master/csl-citation.json"}</w:instrText>
      </w:r>
      <w:r w:rsidR="00A95A06" w:rsidRPr="004E053C">
        <w:rPr>
          <w:rFonts w:cstheme="minorHAnsi"/>
          <w:sz w:val="22"/>
          <w:szCs w:val="22"/>
          <w:lang w:val="en-GB"/>
        </w:rPr>
        <w:fldChar w:fldCharType="separate"/>
      </w:r>
      <w:r w:rsidR="00A95A06" w:rsidRPr="004E053C">
        <w:rPr>
          <w:rFonts w:cstheme="minorHAnsi"/>
          <w:noProof/>
          <w:sz w:val="22"/>
          <w:szCs w:val="22"/>
          <w:lang w:val="en-GB"/>
        </w:rPr>
        <w:t>(2018)</w:t>
      </w:r>
      <w:r w:rsidR="00A95A06" w:rsidRPr="004E053C">
        <w:rPr>
          <w:rFonts w:cstheme="minorHAnsi"/>
          <w:sz w:val="22"/>
          <w:szCs w:val="22"/>
          <w:lang w:val="en-GB"/>
        </w:rPr>
        <w:fldChar w:fldCharType="end"/>
      </w:r>
      <w:r w:rsidRPr="004E053C">
        <w:rPr>
          <w:rFonts w:cstheme="minorHAnsi"/>
          <w:sz w:val="22"/>
          <w:szCs w:val="22"/>
          <w:lang w:val="en-GB"/>
        </w:rPr>
        <w:t xml:space="preserve"> have shown how the creation of formal concessions in Suriname has deprived small communities of their traditional access. </w:t>
      </w:r>
    </w:p>
    <w:p w14:paraId="5E891E42" w14:textId="77777777" w:rsidR="00D36963" w:rsidRPr="004E053C" w:rsidRDefault="00D36963" w:rsidP="004E053C">
      <w:pPr>
        <w:spacing w:line="360" w:lineRule="auto"/>
        <w:jc w:val="both"/>
        <w:rPr>
          <w:rFonts w:cstheme="minorHAnsi"/>
          <w:sz w:val="22"/>
          <w:szCs w:val="22"/>
          <w:lang w:val="en-GB"/>
        </w:rPr>
      </w:pPr>
    </w:p>
    <w:p w14:paraId="4D5AA277" w14:textId="3D6AAA5B" w:rsidR="00D36963" w:rsidRPr="004E053C" w:rsidRDefault="00D36963" w:rsidP="004E053C">
      <w:pPr>
        <w:spacing w:line="360" w:lineRule="auto"/>
        <w:jc w:val="both"/>
        <w:rPr>
          <w:rFonts w:cstheme="majorHAnsi"/>
          <w:sz w:val="22"/>
          <w:szCs w:val="22"/>
          <w:lang w:val="en-GB"/>
        </w:rPr>
      </w:pPr>
      <w:r w:rsidRPr="004E053C">
        <w:rPr>
          <w:rFonts w:cstheme="minorHAnsi"/>
          <w:sz w:val="22"/>
          <w:szCs w:val="22"/>
          <w:lang w:val="en-GB"/>
        </w:rPr>
        <w:t>Occasionally, state governments may decide to propose an area be set aside for artisanal and small-scale miners to obtain legal rights to mine, as was the case in</w:t>
      </w:r>
      <w:r w:rsidR="00A95A06" w:rsidRPr="004E053C">
        <w:rPr>
          <w:rFonts w:cstheme="minorHAnsi"/>
          <w:sz w:val="22"/>
          <w:szCs w:val="22"/>
          <w:lang w:val="en-GB"/>
        </w:rPr>
        <w:t xml:space="preserve"> the </w:t>
      </w:r>
      <w:r w:rsidR="002D6A2F" w:rsidRPr="004E053C">
        <w:rPr>
          <w:rFonts w:cstheme="minorHAnsi"/>
          <w:sz w:val="22"/>
          <w:szCs w:val="22"/>
          <w:lang w:val="en-GB"/>
        </w:rPr>
        <w:t>Guineas</w:t>
      </w:r>
      <w:r w:rsidR="00A95A06" w:rsidRPr="004E053C">
        <w:rPr>
          <w:rFonts w:cstheme="minorHAnsi"/>
          <w:sz w:val="22"/>
          <w:szCs w:val="22"/>
          <w:lang w:val="en-GB"/>
        </w:rPr>
        <w:t xml:space="preserve"> </w:t>
      </w:r>
      <w:r w:rsidR="00A95A06" w:rsidRPr="004E053C">
        <w:rPr>
          <w:rFonts w:cstheme="minorHAnsi"/>
          <w:sz w:val="22"/>
          <w:szCs w:val="22"/>
          <w:lang w:val="en-GB"/>
        </w:rPr>
        <w:fldChar w:fldCharType="begin" w:fldLock="1"/>
      </w:r>
      <w:r w:rsidR="00A95A06" w:rsidRPr="004E053C">
        <w:rPr>
          <w:rFonts w:cstheme="minorHAnsi"/>
          <w:sz w:val="22"/>
          <w:szCs w:val="22"/>
          <w:lang w:val="en-GB"/>
        </w:rPr>
        <w:instrText>ADDIN CSL_CITATION {"citationItems":[{"id":"ITEM-1","itemData":{"abstract":"This article critically examines the nature and quality of governance in community representation and civil society engagement in the context of trans-national large-scale mining, drawing on experiences in the Anosy Region of south-east Madagascar. An exploration of functional relationships between government, mining business and civil society stakeholders reveals an equivocal legitimacy of certain civil society representatives, created by state manipulation, which contributes to community disempowerment. The appointment of local government officials, rather than election, creates a hierarchy of upward dependencies and a culture where the majority of officials express similar views and political alliances. As a consequence, community resistance is suppressed.Voluntary mechanisms such as Corporate Social Responsibility (CSR) and the Extractive Industries Transparency Initiative (EITI) advocate community stakeholder engagement in decision making processes as a measure to achieve public accountability. In many developing countries, where there is a lack of transparency and high levels of corruption, the value of this engagement, however, is debatable. Findings from this study indicate that the power relationships which exist between stakeholders in the highly lucrative mining industry override efforts to achieve \"good governance\" through voluntary community engagement. The continuing challenge lies in identifying where the responsibility sits in order to address this power struggle to achieve fair representation. © 2011 Elsevier Ltd.","author":[{"dropping-particle":"","family":"Smith","given":"Shirley M.","non-dropping-particle":"","parse-names":false,"suffix":""},{"dropping-particle":"","family":"Shepherd","given":"Derek D.","non-dropping-particle":"","parse-names":false,"suffix":""},{"dropping-particle":"","family":"Dorward","given":"Peter T.","non-dropping-particle":"","parse-names":false,"suffix":""}],"container-title":"Resources Policy","id":"ITEM-1","issue":"2","issued":{"date-parts":[["2012"]]},"page":"241-250","publisher":"Elsevier","title":"Perspectives on community representation within the Extractive Industries Transparency Initiative: Experiences from south-east Madagascar","type":"article-journal","volume":"37"},"uris":["http://www.mendeley.com/documents/?uuid=7182deea-a182-4c75-9601-c91ea28f7c2f"]}],"mendeley":{"formattedCitation":"(S. M. Smith et al., 2012)","manualFormatting":"(Smith et al., 2012)","plainTextFormattedCitation":"(S. M. Smith et al., 2012)","previouslyFormattedCitation":"(S. M. Smith et al., 2012)"},"properties":{"noteIndex":0},"schema":"https://github.com/citation-style-language/schema/raw/master/csl-citation.json"}</w:instrText>
      </w:r>
      <w:r w:rsidR="00A95A06" w:rsidRPr="004E053C">
        <w:rPr>
          <w:rFonts w:cstheme="minorHAnsi"/>
          <w:sz w:val="22"/>
          <w:szCs w:val="22"/>
          <w:lang w:val="en-GB"/>
        </w:rPr>
        <w:fldChar w:fldCharType="separate"/>
      </w:r>
      <w:r w:rsidR="00A95A06" w:rsidRPr="004E053C">
        <w:rPr>
          <w:rFonts w:cstheme="minorHAnsi"/>
          <w:noProof/>
          <w:sz w:val="22"/>
          <w:szCs w:val="22"/>
          <w:lang w:val="en-GB"/>
        </w:rPr>
        <w:t>(Smith et al., 2012)</w:t>
      </w:r>
      <w:r w:rsidR="00A95A06" w:rsidRPr="004E053C">
        <w:rPr>
          <w:rFonts w:cstheme="minorHAnsi"/>
          <w:sz w:val="22"/>
          <w:szCs w:val="22"/>
          <w:lang w:val="en-GB"/>
        </w:rPr>
        <w:fldChar w:fldCharType="end"/>
      </w:r>
      <w:r w:rsidRPr="004E053C">
        <w:rPr>
          <w:rFonts w:cstheme="minorHAnsi"/>
          <w:sz w:val="22"/>
          <w:szCs w:val="22"/>
          <w:lang w:val="en-GB"/>
        </w:rPr>
        <w:t>. However, the remainder of the informal labour force is left to negotiate access with title holders, as illustrated in examp</w:t>
      </w:r>
      <w:r w:rsidR="00A95A06" w:rsidRPr="004E053C">
        <w:rPr>
          <w:rFonts w:cstheme="minorHAnsi"/>
          <w:sz w:val="22"/>
          <w:szCs w:val="22"/>
          <w:lang w:val="en-GB"/>
        </w:rPr>
        <w:t xml:space="preserve">les from Tanzania </w:t>
      </w:r>
      <w:r w:rsidR="00A95A06" w:rsidRPr="004E053C">
        <w:rPr>
          <w:rFonts w:cstheme="minorHAnsi"/>
          <w:sz w:val="22"/>
          <w:szCs w:val="22"/>
          <w:lang w:val="en-GB"/>
        </w:rPr>
        <w:fldChar w:fldCharType="begin" w:fldLock="1"/>
      </w:r>
      <w:r w:rsidR="00A95A06" w:rsidRPr="004E053C">
        <w:rPr>
          <w:rFonts w:cstheme="minorHAnsi"/>
          <w:sz w:val="22"/>
          <w:szCs w:val="22"/>
          <w:lang w:val="en-GB"/>
        </w:rPr>
        <w:instrText>ADDIN CSL_CITATION {"citationItems":[{"id":"ITEM-1","itemData":{"abstract":"This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Change","id":"ITEM-1","issue":"4","issued":{"date-parts":[["2007"]]},"page":"735-760","title":"Occupying the Margins: Labour Integration and Social Exclusion in Artisanal Mining in Tanzania","type":"article-journal","volume":"38"},"uris":["http://www.mendeley.com/documents/?uuid=ff3b0073-6334-3642-aaf4-12090b595d93"]}],"mendeley":{"formattedCitation":"(Fisher, 2007)","plainTextFormattedCitation":"(Fisher, 2007)","previouslyFormattedCitation":"(Fisher, 2007)"},"properties":{"noteIndex":0},"schema":"https://github.com/citation-style-language/schema/raw/master/csl-citation.json"}</w:instrText>
      </w:r>
      <w:r w:rsidR="00A95A06" w:rsidRPr="004E053C">
        <w:rPr>
          <w:rFonts w:cstheme="minorHAnsi"/>
          <w:sz w:val="22"/>
          <w:szCs w:val="22"/>
          <w:lang w:val="en-GB"/>
        </w:rPr>
        <w:fldChar w:fldCharType="separate"/>
      </w:r>
      <w:r w:rsidR="00A95A06" w:rsidRPr="004E053C">
        <w:rPr>
          <w:rFonts w:cstheme="minorHAnsi"/>
          <w:noProof/>
          <w:sz w:val="22"/>
          <w:szCs w:val="22"/>
          <w:lang w:val="en-GB"/>
        </w:rPr>
        <w:t>(Fisher, 2007)</w:t>
      </w:r>
      <w:r w:rsidR="00A95A06" w:rsidRPr="004E053C">
        <w:rPr>
          <w:rFonts w:cstheme="minorHAnsi"/>
          <w:sz w:val="22"/>
          <w:szCs w:val="22"/>
          <w:lang w:val="en-GB"/>
        </w:rPr>
        <w:fldChar w:fldCharType="end"/>
      </w:r>
      <w:r w:rsidRPr="004E053C">
        <w:rPr>
          <w:rFonts w:cstheme="minorHAnsi"/>
          <w:sz w:val="22"/>
          <w:szCs w:val="22"/>
          <w:lang w:val="en-GB"/>
        </w:rPr>
        <w:t xml:space="preserve"> and the Philippines </w:t>
      </w:r>
      <w:r w:rsidR="00A95A06" w:rsidRPr="004E053C">
        <w:rPr>
          <w:rFonts w:cstheme="minorHAnsi"/>
          <w:sz w:val="22"/>
          <w:szCs w:val="22"/>
          <w:lang w:val="en-GB"/>
        </w:rPr>
        <w:fldChar w:fldCharType="begin" w:fldLock="1"/>
      </w:r>
      <w:r w:rsidR="00A95A06" w:rsidRPr="004E053C">
        <w:rPr>
          <w:rFonts w:cstheme="minorHAnsi"/>
          <w:sz w:val="22"/>
          <w:szCs w:val="22"/>
          <w:lang w:val="en-GB"/>
        </w:rPr>
        <w:instrText>ADDIN CSL_CITATION {"citationItems":[{"id":"ITEM-1","itemData":{"abstract":"Combining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Studies","id":"ITEM-1","issue":"Part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transformation","type":"article-journal","volume":"47"},"uris":["http://www.mendeley.com/documents/?uuid=fb82d0a5-64cc-4673-b8d8-4ea22e3fb839"]}],"mendeley":{"formattedCitation":"(Verbrugge, 2016)","plainTextFormattedCitation":"(Verbrugge, 2016)","previouslyFormattedCitation":"(Verbrugge, 2016)"},"properties":{"noteIndex":0},"schema":"https://github.com/citation-style-language/schema/raw/master/csl-citation.json"}</w:instrText>
      </w:r>
      <w:r w:rsidR="00A95A06" w:rsidRPr="004E053C">
        <w:rPr>
          <w:rFonts w:cstheme="minorHAnsi"/>
          <w:sz w:val="22"/>
          <w:szCs w:val="22"/>
          <w:lang w:val="en-GB"/>
        </w:rPr>
        <w:fldChar w:fldCharType="separate"/>
      </w:r>
      <w:r w:rsidR="00A95A06" w:rsidRPr="004E053C">
        <w:rPr>
          <w:rFonts w:cstheme="minorHAnsi"/>
          <w:noProof/>
          <w:sz w:val="22"/>
          <w:szCs w:val="22"/>
          <w:lang w:val="en-GB"/>
        </w:rPr>
        <w:t>(Verbrugge, 2016)</w:t>
      </w:r>
      <w:r w:rsidR="00A95A06" w:rsidRPr="004E053C">
        <w:rPr>
          <w:rFonts w:cstheme="minorHAnsi"/>
          <w:sz w:val="22"/>
          <w:szCs w:val="22"/>
          <w:lang w:val="en-GB"/>
        </w:rPr>
        <w:fldChar w:fldCharType="end"/>
      </w:r>
      <w:r w:rsidRPr="004E053C">
        <w:rPr>
          <w:rFonts w:cstheme="minorHAnsi"/>
          <w:sz w:val="22"/>
          <w:szCs w:val="22"/>
          <w:lang w:val="en-GB"/>
        </w:rPr>
        <w:t xml:space="preserve">, or to encroach on the land of others, often leading to outbreaks of conflict as seen in Colombia </w:t>
      </w:r>
      <w:r w:rsidR="00A95A06" w:rsidRPr="004E053C">
        <w:rPr>
          <w:rFonts w:cstheme="minorHAnsi"/>
          <w:sz w:val="22"/>
          <w:szCs w:val="22"/>
          <w:lang w:val="en-GB"/>
        </w:rPr>
        <w:fldChar w:fldCharType="begin" w:fldLock="1"/>
      </w:r>
      <w:r w:rsidR="002F0CEA">
        <w:rPr>
          <w:rFonts w:cstheme="minorHAnsi"/>
          <w:sz w:val="22"/>
          <w:szCs w:val="22"/>
          <w:lang w:val="en-GB"/>
        </w:rPr>
        <w:instrText>ADDIN CSL_CITATION {"citationItems":[{"id":"ITEM-1","itemData":{"abstract":"ISSN: 2380-2014 (Print) 2379-9978 (Online) Journal homepage: http://www.tandfonline.com/loi/rtwt20 Disputes over gold mining and dispossession of local afrodescendant communities from the Alto Cauca, Colombia Irene Vélez-Torres To cite this article: Irene Vélez-Torres (2016) Disputes over gold mining and dispossession of local afrodescendant communities from the Alto Cauca, Colombia, Third World Thematics: A ABSTRACT In 2001, the local afrodescendant community from La Toma faced a double threat. First, new mining legislation was introduced and their ancestral mining activities were declared illegal. Second, paramilitary groups entered the territory and initiated a regime of terror that continues to date. Mining titles were conceded to multinationals and private parties, while the communities were restricted in their access to land-based resources. This paper deals with different dimensions of local dispossession resulting from violent mechanisms as well as from the neoliberal adjustment of the mining regulatory system in Colombia.","author":[{"dropping-particle":"","family":"Vélez-Torres","given":"Irene","non-dropping-particle":"","parse-names":false,"suffix":""}],"container-title":"Third World Thematics: A TWQ Journal","id":"ITEM-1","issue":"2","issued":{"date-parts":[["2016"]]},"page":"235-248","publisher":"Routledge","title":"Disputes over gold mining and dispossession of local afrodescendant communities from the Alto Cauca, Colombia","type":"article-journal","volume":"1"},"uris":["http://www.mendeley.com/documents/?uuid=8616cb58-7bca-480d-80d3-109d466b6fdf"]}],"mendeley":{"formattedCitation":"(Vélez-Torres, 2016)","plainTextFormattedCitation":"(Vélez-Torres, 2016)","previouslyFormattedCitation":"(Vélez-Torres, 2016)"},"properties":{"noteIndex":0},"schema":"https://github.com/citation-style-language/schema/raw/master/csl-citation.json"}</w:instrText>
      </w:r>
      <w:r w:rsidR="00A95A06" w:rsidRPr="004E053C">
        <w:rPr>
          <w:rFonts w:cstheme="minorHAnsi"/>
          <w:sz w:val="22"/>
          <w:szCs w:val="22"/>
          <w:lang w:val="en-GB"/>
        </w:rPr>
        <w:fldChar w:fldCharType="separate"/>
      </w:r>
      <w:r w:rsidR="00A95A06" w:rsidRPr="004E053C">
        <w:rPr>
          <w:rFonts w:cstheme="minorHAnsi"/>
          <w:noProof/>
          <w:sz w:val="22"/>
          <w:szCs w:val="22"/>
          <w:lang w:val="en-GB"/>
        </w:rPr>
        <w:t>(Vélez-Torres, 2016)</w:t>
      </w:r>
      <w:r w:rsidR="00A95A06" w:rsidRPr="004E053C">
        <w:rPr>
          <w:rFonts w:cstheme="minorHAnsi"/>
          <w:sz w:val="22"/>
          <w:szCs w:val="22"/>
          <w:lang w:val="en-GB"/>
        </w:rPr>
        <w:fldChar w:fldCharType="end"/>
      </w:r>
      <w:r w:rsidRPr="004E053C">
        <w:rPr>
          <w:rFonts w:cstheme="minorHAnsi"/>
          <w:sz w:val="22"/>
          <w:szCs w:val="22"/>
          <w:lang w:val="en-GB"/>
        </w:rPr>
        <w:t xml:space="preserve">. </w:t>
      </w:r>
      <w:r w:rsidRPr="004E053C">
        <w:rPr>
          <w:rFonts w:cstheme="majorHAnsi"/>
          <w:sz w:val="22"/>
          <w:szCs w:val="22"/>
          <w:lang w:val="en-GB"/>
        </w:rPr>
        <w:t xml:space="preserve">It is also important to remember that a portion of gold mining takes places on the ‘twilight zone’ of land not licensed for mining, either to the operators or anyone else </w:t>
      </w:r>
      <w:r w:rsidR="00A95A06" w:rsidRPr="004E053C">
        <w:rPr>
          <w:rFonts w:cstheme="majorHAnsi"/>
          <w:sz w:val="22"/>
          <w:szCs w:val="22"/>
          <w:lang w:val="en-GB"/>
        </w:rPr>
        <w:fldChar w:fldCharType="begin" w:fldLock="1"/>
      </w:r>
      <w:r w:rsidR="00A95A06" w:rsidRPr="004E053C">
        <w:rPr>
          <w:rFonts w:cstheme="majorHAnsi"/>
          <w:sz w:val="22"/>
          <w:szCs w:val="22"/>
          <w:lang w:val="en-GB"/>
        </w:rPr>
        <w:instrText>ADDIN CSL_CITATION {"citationItems":[{"id":"ITEM-1","itemData":{"abstract":"During recent decades, artisanal and small-scale mining (ASM) in Africa has increased tremendously. An unknown but significant part is constituted by activities that are not based on legally registered mining licenses. The division of formal and informal ASM is, however, dissolved in the marketing chain where trading channels are intertwined: traders buy from miners with and without a license. So far state institutions and civil society organizations have endeavoured to 'formalize' the informal sector by focusing on relatively isolated entry points in the ASM chain from production to consumption. This paper argues that future research and design of policy mechanisms needs to focus on the inter-linkages of actors and material flows within the complex intertwinement of the formal and informal ASM sectors. Our point of departure is the findings on interlocked markets within the literature on rural dependency relations, barriers for poverty eradication and agricultural development. The paper outlines the previous debate on formalization and maps out the territorial and organizational configuration of the present ASM gold chain in Tanzania and Ghana. On this basis we maintain that state action is inevitable and suggest possible institutional mechanisms to set up incentives for possible formalization pathways for African ASM gold chains. © 2013 Elsevier Ltd.","author":[{"dropping-particle":"","family":"Fold","given":"Niels","non-dropping-particle":"","parse-names":false,"suffix":""},{"dropping-particle":"","family":"Jønsson","given":"Jesper Bosse","non-dropping-particle":"","parse-names":false,"suffix":""},{"dropping-particle":"","family":"Yankson","given":"Paul","non-dropping-particle":"","parse-names":false,"suffix":""}],"container-title":"Futures","id":"ITEM-1","issued":{"date-parts":[["2014"]]},"page":"128-139","publisher":"Elsevier Ltd","title":"Buying into formalization? State institutions and interlocked markets in African small-scale gold mining","type":"article-journal","volume":"62"},"uris":["http://www.mendeley.com/documents/?uuid=93617e2c-7924-449c-9453-fd31070376c5"]}],"mendeley":{"formattedCitation":"(Fold et al., 2014)","plainTextFormattedCitation":"(Fold et al., 2014)","previouslyFormattedCitation":"(Fold et al., 2014)"},"properties":{"noteIndex":0},"schema":"https://github.com/citation-style-language/schema/raw/master/csl-citation.json"}</w:instrText>
      </w:r>
      <w:r w:rsidR="00A95A06" w:rsidRPr="004E053C">
        <w:rPr>
          <w:rFonts w:cstheme="majorHAnsi"/>
          <w:sz w:val="22"/>
          <w:szCs w:val="22"/>
          <w:lang w:val="en-GB"/>
        </w:rPr>
        <w:fldChar w:fldCharType="separate"/>
      </w:r>
      <w:r w:rsidR="00A95A06" w:rsidRPr="004E053C">
        <w:rPr>
          <w:rFonts w:cstheme="majorHAnsi"/>
          <w:noProof/>
          <w:sz w:val="22"/>
          <w:szCs w:val="22"/>
          <w:lang w:val="en-GB"/>
        </w:rPr>
        <w:t>(Fold et al., 2014)</w:t>
      </w:r>
      <w:r w:rsidR="00A95A06" w:rsidRPr="004E053C">
        <w:rPr>
          <w:rFonts w:cstheme="majorHAnsi"/>
          <w:sz w:val="22"/>
          <w:szCs w:val="22"/>
          <w:lang w:val="en-GB"/>
        </w:rPr>
        <w:fldChar w:fldCharType="end"/>
      </w:r>
      <w:r w:rsidRPr="004E053C">
        <w:rPr>
          <w:rFonts w:cstheme="majorHAnsi"/>
          <w:sz w:val="22"/>
          <w:szCs w:val="22"/>
          <w:lang w:val="en-GB"/>
        </w:rPr>
        <w:t xml:space="preserve">. Some of this may occur in areas where ASM is completely prohibited, for example in forest reserves in Colombia </w:t>
      </w:r>
      <w:r w:rsidR="00A95A06" w:rsidRPr="004E053C">
        <w:rPr>
          <w:rFonts w:cstheme="majorHAnsi"/>
          <w:sz w:val="22"/>
          <w:szCs w:val="22"/>
          <w:lang w:val="en-GB"/>
        </w:rPr>
        <w:fldChar w:fldCharType="begin" w:fldLock="1"/>
      </w:r>
      <w:r w:rsidR="002A79E3" w:rsidRPr="004E053C">
        <w:rPr>
          <w:rFonts w:cstheme="majorHAnsi"/>
          <w:sz w:val="22"/>
          <w:szCs w:val="22"/>
          <w:lang w:val="en-GB"/>
        </w:rPr>
        <w:instrText>ADDIN CSL_CITATION {"citationItems":[{"id":"ITEM-1","itemData":{"author":[{"dropping-particle":"","family":"Sarmiento","given":"Mariana","non-dropping-particle":"","parse-names":false,"suffix":""},{"dropping-particle":"","family":"Giraldo","given":"Beatriz Helena","non-dropping-particle":"","parse-names":false,"suffix":""},{"dropping-particle":"","family":"Ayala","given":"Helcias","non-dropping-particle</w:instrText>
      </w:r>
      <w:r w:rsidR="002A79E3" w:rsidRPr="00636641">
        <w:rPr>
          <w:rFonts w:cstheme="majorHAnsi"/>
          <w:sz w:val="22"/>
          <w:szCs w:val="22"/>
          <w:lang w:val="it-IT"/>
        </w:rPr>
        <w:instrText>":"","parse-names":false,"suffix":""},{"dropping-particle":"","family":"Uran","given":"Alexandra","non-dropping-particle":"","parse-names":false,"suffix":""},{"dropping-particle":"","family":"Soto","given":"Ana Cristina","non-dropping-particle":"","parse-names":false,"suffix":""},{"dropping-particle":"","family":"Martinez","given":"Leyla","non-dropping-particle":"","parse-names":false,"suffix":""}],"chapter-number":"4","container-title":"Small-scale Gold Mining in the Amazon: The Cases of Bolivia, Brazil, Colombia, Peru and Suriname","editor":[{"dropping-particle":"","family":"Cremers","given":"L.","non-dropping-particle":"","parse-names":false,"suffix":""},{"dropping-particle":"","family":"Kolen","given":"Judith","non-dropping-particle":"","parse-names":false,"suffix":""},{"dropping-particle":"","family":"Theije","given":"Marjo","non-dropping-particle":"de","parse-names":false,"suffix":""}],"id":"ITEM-1","issued":{"date-parts":[["2013"]]},"page":"46-67","publisher":"CEDLA","publisher-place":"Amsterdam","title":"Characteristics and challenges of small-scale gold mining in Colombia","type":"chapter"},"uris":["http://www.mendeley.com/documents/?uuid=ba7499e0-9f1f-4935-b2a8-6f30db68ff4c"]}],"mendeley":{"formattedCitation":"(Sarmiento et al., 2013)","plainTextFormattedCitation":"(Sarmiento et al., 2013)","previouslyFormattedCitation":"(Sarmiento et al., 2013)"},"properties":{"noteIndex":0},"schema":"https://github.com/citation-style-language/schema/raw/master/csl-citation.json"}</w:instrText>
      </w:r>
      <w:r w:rsidR="00A95A06" w:rsidRPr="004E053C">
        <w:rPr>
          <w:rFonts w:cstheme="majorHAnsi"/>
          <w:sz w:val="22"/>
          <w:szCs w:val="22"/>
          <w:lang w:val="en-GB"/>
        </w:rPr>
        <w:fldChar w:fldCharType="separate"/>
      </w:r>
      <w:r w:rsidR="00A95A06" w:rsidRPr="00636641">
        <w:rPr>
          <w:rFonts w:cstheme="majorHAnsi"/>
          <w:noProof/>
          <w:sz w:val="22"/>
          <w:szCs w:val="22"/>
          <w:lang w:val="it-IT"/>
        </w:rPr>
        <w:t>(Sarmiento et al., 2013)</w:t>
      </w:r>
      <w:r w:rsidR="00A95A06" w:rsidRPr="004E053C">
        <w:rPr>
          <w:rFonts w:cstheme="majorHAnsi"/>
          <w:sz w:val="22"/>
          <w:szCs w:val="22"/>
          <w:lang w:val="en-GB"/>
        </w:rPr>
        <w:fldChar w:fldCharType="end"/>
      </w:r>
      <w:r w:rsidRPr="00636641">
        <w:rPr>
          <w:rFonts w:cstheme="majorHAnsi"/>
          <w:sz w:val="22"/>
          <w:szCs w:val="22"/>
          <w:lang w:val="it-IT"/>
        </w:rPr>
        <w:t xml:space="preserve"> and Brazil </w:t>
      </w:r>
      <w:r w:rsidR="00A95A06" w:rsidRPr="004E053C">
        <w:rPr>
          <w:rFonts w:cstheme="majorHAnsi"/>
          <w:sz w:val="22"/>
          <w:szCs w:val="22"/>
          <w:lang w:val="en-GB"/>
        </w:rPr>
        <w:fldChar w:fldCharType="begin" w:fldLock="1"/>
      </w:r>
      <w:r w:rsidR="00A95A06" w:rsidRPr="00636641">
        <w:rPr>
          <w:rFonts w:cstheme="majorHAnsi"/>
          <w:sz w:val="22"/>
          <w:szCs w:val="22"/>
          <w:lang w:val="it-IT"/>
        </w:rPr>
        <w:instrText>ADDIN CSL_CITATION {"citationItems":[{"id":"ITEM-1","itemData":{"author":[{"dropping-particle":"","family":"Kolen","given":"Judith","non-dropping-particle":"","parse-names":false,"suffix":""},{"dropping-particle":"","family":"Theije","given":"Marjo","non-dropping-particle":"de","parse-names":false,"suffix":""},{"dropping-particle":"","family":"Mathis","given":"Armin","non-dropping-particle":"","parse-names":false,"suffix":""}],"chapter-number":"Chapter 3","container-title":"Small-scale Gold Mining in the Amazon: The Cases of Bolivia, Brazil, Colombia, Peru and Suriname","editor":[{"dropping-particle":"","family":"Cremers","given":"Leontien","non-dropping-particle":"","parse-names":false,"suffix":""},{"dropping-particle":"","family":"Kolen","given":"Judith","non-dropping-particle":"","parse-names":false,"suffix":""},{"dropping-particle":"","family":"Theije","given":"Marjo","non-dropping-particle":"de","parse-names":false,"suffix":""}],"id":"ITEM-1","issued":{"date-parts":[["2013"]]},"page":"31-45","publisher":"CEDLA","publisher-place":"Amsterdam","title":"Formalized small-scale gold mining in the Brazilian Amazon: An activity surrounded by informality","type":"chapter"},"uris":["http://www.mendeley.com/documents/?uuid=4a2c58ce-7e0c-4f42-8843-9dfa2f9c286a"]}],"mendeley":{"formattedCitation":"(Kolen et al., 2013)","plainTextFormattedCitation":"(Kolen et al., 2013)","previouslyFormattedCitation":"(Kolen et al., 2013)"},"properties":{"noteIndex":0},"schema":"https://github.com/citation-style-language/schema/raw/master/csl-citation.json"}</w:instrText>
      </w:r>
      <w:r w:rsidR="00A95A06" w:rsidRPr="004E053C">
        <w:rPr>
          <w:rFonts w:cstheme="majorHAnsi"/>
          <w:sz w:val="22"/>
          <w:szCs w:val="22"/>
          <w:lang w:val="en-GB"/>
        </w:rPr>
        <w:fldChar w:fldCharType="separate"/>
      </w:r>
      <w:r w:rsidR="00A95A06" w:rsidRPr="00636641">
        <w:rPr>
          <w:rFonts w:cstheme="majorHAnsi"/>
          <w:noProof/>
          <w:sz w:val="22"/>
          <w:szCs w:val="22"/>
          <w:lang w:val="it-IT"/>
        </w:rPr>
        <w:t>(Kolen et al., 2013)</w:t>
      </w:r>
      <w:r w:rsidR="00A95A06" w:rsidRPr="004E053C">
        <w:rPr>
          <w:rFonts w:cstheme="majorHAnsi"/>
          <w:sz w:val="22"/>
          <w:szCs w:val="22"/>
          <w:lang w:val="en-GB"/>
        </w:rPr>
        <w:fldChar w:fldCharType="end"/>
      </w:r>
      <w:r w:rsidRPr="00636641">
        <w:rPr>
          <w:rFonts w:cstheme="majorHAnsi"/>
          <w:sz w:val="22"/>
          <w:szCs w:val="22"/>
          <w:lang w:val="it-IT"/>
        </w:rPr>
        <w:t xml:space="preserve">, meaning that these miners can never be legalised. </w:t>
      </w:r>
      <w:r w:rsidRPr="004E053C">
        <w:rPr>
          <w:rFonts w:cstheme="majorHAnsi"/>
          <w:sz w:val="22"/>
          <w:szCs w:val="22"/>
          <w:lang w:val="en-GB"/>
        </w:rPr>
        <w:t>This distinction will become important later in this thesis when we consider the competing discourses of criminality within the ASM sector in Peru.</w:t>
      </w:r>
      <w:r w:rsidRPr="004E053C">
        <w:rPr>
          <w:rFonts w:cstheme="minorHAnsi"/>
          <w:sz w:val="22"/>
          <w:szCs w:val="22"/>
          <w:lang w:val="en-GB"/>
        </w:rPr>
        <w:t xml:space="preserve"> </w:t>
      </w:r>
      <w:r w:rsidRPr="004E053C">
        <w:rPr>
          <w:rFonts w:cstheme="majorHAnsi"/>
          <w:sz w:val="22"/>
          <w:szCs w:val="22"/>
          <w:lang w:val="en-GB"/>
        </w:rPr>
        <w:t xml:space="preserve">The persistent informality of the ASM sector in many locations means that the majority of mining operatives can remain trapped in vicious cycles of vulnerability </w:t>
      </w:r>
      <w:r w:rsidR="00655033" w:rsidRPr="004E053C">
        <w:rPr>
          <w:rFonts w:cstheme="majorHAnsi"/>
          <w:sz w:val="22"/>
          <w:szCs w:val="22"/>
          <w:lang w:val="en-GB"/>
        </w:rPr>
        <w:t xml:space="preserve">and insecurity </w:t>
      </w:r>
      <w:r w:rsidRPr="004E053C">
        <w:rPr>
          <w:rFonts w:cstheme="majorHAnsi"/>
          <w:sz w:val="22"/>
          <w:szCs w:val="22"/>
          <w:lang w:val="en-GB"/>
        </w:rPr>
        <w:t xml:space="preserve">due to the lack of legal rights </w:t>
      </w:r>
      <w:r w:rsidR="00A95A06"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{"citationItems":[{"id":"ITEM-1","itemData":{"abstract":"This short note discusses methodological obstacles to the collection of microeconomic data in artisanal and small-scale mining communities. International donor organizations are supporting policy efforts that enhance the contribution to poverty alleviation of this mining subsector. The design and evaluation of such policy interventions require data on income, expenditure, investment, and savings in mining households and communities. These data are difficult to come by. Incomes are variable; migrants may work far from home; miners often work informally and sometimes illegally; mining populations and communities are heterogeneous and transient; and miners have many reasons to distort information. Legalization and organization of miners in cooperatives would facilitate documentation and research. These processes, however, are beyond the control of the typical policy consultant or donor organization. On their part, these parties can adopt an alternative model of research. This model involves the community in project development, data collection, and monitoring. It empha-sizes continuity, cultural diversity, trust building and learning. The data thus collected should provide a firm basis for programmes that promote more sustainable livelihoods in artisanal and small-scale mining communities. income for their households, supplement meagre farming revenues, and — in the case of coal — obtain energy. International donor organizations, including the World Bank and the United Nations, believe that artisanal and small-scale mining (ASM) can contribute to socio-economic development in poor rural areas. Support for policy efforts that could strengthen this contribution was expressed at the United Nations conference on mining held in 2002 in Yaoundé, Cameroon. The Yaoundé Vision Statement recommended that policies and programmes directed to-wards the subsector should contribute to sustainably reduce poverty and improve livelihoods in artisanal and small-scale mining communities (UN, 2002). To evaluate the success of the aforementioned policies and programmes, one must be able to detect whether min-ing communities are moving from poverty into well-being. This short note discusses methodological guidelines that can help achieve this objective — given a policy assignment (e.g., for the World Bank) with a restricted timeframe of one to two months. Using two analytical models, the article first discusses what microeconomic data are most critical to poverty alleviation str…","author":[{"dropping-particle":"","family":"Heemskerk","given":"Marieke","non-dropping-particle":"","parse-names":false,"suffix":""}],"container-title":"Natural Resources Forum","id":"ITEM-1","issue":"1","issued":{"date-parts":[["2005"]]},"page":"82-87","title":"Collecting data in artisanal and small-scale mining communities: Measuring progress towards more sustainable livelihoods","type":"article-journal","volume":"29"},"uris":["http://www.mendeley.com/documents/?uuid=1000031a-6ef9-35c2-a27d-68cee5643354"]},{"id":"ITEM-2","itemData":{"author":[{"dropping-particle":"","family":"Sinding","given":"K","non-dropping-particle":"","parse-names":false,"suffix":""}],"container-title":"Natural Resources Forum","id":"ITEM-2","issue":"3","issued":{"date-parts":[["2005"]]},"page":"243-252","title":"The dynamics of artisanal and small-scale mining reforms","type":"article-journal","volume":"29"},"uris":["http://www.mendeley.com/documents/?uuid=35a43afc-4b43-4bfe-9eff-d9943b506d44"]},{"id":"ITEM-3","itemData":{"abstract":"This article is one of three synthesis reports resulting from an integrated assessment (IA) of artisanal and small-scale gold mining (ASGM) in Ghana. Given the complexities that involve multiple drivers and diverse disciplines influencing ASGM, an IA framework was used to analyze economic, social, health, and environmental data and to co-develop evidence-based responses in collaboration with pertinent stakeholders. We look at both micro- and macro-economic processes surrounding ASGM, including causes, challenges, and consequences. At the micro-level, social and economic evidence suggests that the principal reasons whereby most people engage in ASGM involve “push” factors aimed at meeting livelihood goals. ASGM provides an important source of income for both proximate and distant communities, representing a means of survival for impoverished farmers as well as an engine for small business growth. However, miners and their families often end up in a “poverty trap” of low productivity and indebtedness, which reduce even further their economic options. At a macro level, Ghana’s ASGM activities contribute significantly to the national economy even though they are sometimes operating illegally and at a disadvantage compared to large-scale industrial mining companies. Nevertheless, complex issues of land tenure, social stability, mining regulation and taxation, and environmental degradation undermine the viability and sustainability of ASGM as a livelihood strategy. Although more research is needed to understand these complex relationships, we point to key findings and insights from social science and economics research that can guide policies and actions aimed to address the unique challenges of ASGM in Ghana and elsewhere.","author":[{"dropping-particle":"","family":"Wilson","given":"Mark L.","non-dropping-particle":"","parse-names":false,"suffix":""},{"dropping-particle":"","family":"Renne","given":"Elisha","non-dropping-particle":"","parse-names":false,"suffix":""},{"dropping-particle":"","family":"Roncoli","given":"Carla","non-dropping-particle":"","parse-names":false,"suffix":""},{"dropping-particle":"","family":"Agyei-Baffour","given":"Peter","non-dropping-particle":"","parse-names":false,"suffix":""},{"dropping-particle":"","family":"Tenkorang","given":"Emmanuel Yamoah","non-dropping-particle":"","parse-names":false,"suffix":""}],"container-title":"International Journal of Environmental Research and Public Health","id":"ITEM-3","issue":"7","issued":{"date-parts":[["2015"]]},"page":"8133–8156","title":"Integrated Assessment of Artisanal and Small-Scale gold mining in Ghana – Part 3: Social Sciences and Economics","type":"article-journal","volume":"27"},"uris":["http://www.mendeley.com/documents/?uuid=1bc895b5-8895-4a70-8044-6ee95aceb669"]},{"id":"ITEM-4","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-4","issued":{"date-parts":[["2013"]]},"page":"1-17","publisher":"Cuadernos del CEDLA no.26","publisher-place":"Amsterdam","title":"Small-scale gold mining in the Amazon","type":"chapter"},"uris":["http://www.mendeley.com/documents/?uuid=92fc2d78-55d0-4473-a651-4b870d4fb876"]}],"mendeley":{"formattedCitation":"(L. Cremers &amp; de Theije, 2013; Heemskerk, 2005; Sinding, 2005; Wilson et al., 2015)","manualFormatting":"(Cremers &amp; de Theije, 2013; Heemskerk, 2005; Sinding, 2005; Wilson et al., 2015)","plainTextFormattedCitation":"(L. Cremers &amp; de Theije, 2013; Heemskerk, 2005; Sinding, 2005; Wilson et al., 2015)","previouslyFormattedCitation":"(L. Cremers &amp; de Theije, 2013; Heemskerk, 2005; Sinding, 2005; Wilson et al., 2015)"},"properties":{"noteIndex":0},"schema":"https://github.com/citation-style-language/schema/raw/master/csl-citation.json"}</w:instrText>
      </w:r>
      <w:r w:rsidR="00A95A06" w:rsidRPr="004E053C">
        <w:rPr>
          <w:rFonts w:cstheme="majorHAnsi"/>
          <w:sz w:val="22"/>
          <w:szCs w:val="22"/>
          <w:lang w:val="en-GB"/>
        </w:rPr>
        <w:fldChar w:fldCharType="separate"/>
      </w:r>
      <w:r w:rsidR="00A95A06" w:rsidRPr="004E053C">
        <w:rPr>
          <w:rFonts w:cstheme="majorHAnsi"/>
          <w:noProof/>
          <w:sz w:val="22"/>
          <w:szCs w:val="22"/>
          <w:lang w:val="en-GB"/>
        </w:rPr>
        <w:t>(Cremers &amp; de Theije, 2013; Heemskerk, 2005; Sinding, 2005; Wilson et al., 2015)</w:t>
      </w:r>
      <w:r w:rsidR="00A95A06" w:rsidRPr="004E053C">
        <w:rPr>
          <w:rFonts w:cstheme="majorHAnsi"/>
          <w:sz w:val="22"/>
          <w:szCs w:val="22"/>
          <w:lang w:val="en-GB"/>
        </w:rPr>
        <w:fldChar w:fldCharType="end"/>
      </w:r>
      <w:r w:rsidR="00A95A06" w:rsidRPr="004E053C">
        <w:rPr>
          <w:rFonts w:cstheme="majorHAnsi"/>
          <w:sz w:val="22"/>
          <w:szCs w:val="22"/>
          <w:lang w:val="en-GB"/>
        </w:rPr>
        <w:t>.</w:t>
      </w:r>
      <w:r w:rsidRPr="004E053C">
        <w:rPr>
          <w:rFonts w:cstheme="majorHAnsi"/>
          <w:sz w:val="22"/>
          <w:szCs w:val="22"/>
          <w:lang w:val="en-GB"/>
        </w:rPr>
        <w:t xml:space="preserve"> </w:t>
      </w:r>
    </w:p>
    <w:p w14:paraId="29179CED" w14:textId="77777777" w:rsidR="00D36963" w:rsidRPr="004E053C" w:rsidRDefault="00D36963" w:rsidP="004E053C">
      <w:pPr>
        <w:spacing w:line="360" w:lineRule="auto"/>
        <w:jc w:val="both"/>
        <w:rPr>
          <w:rFonts w:cstheme="minorHAnsi"/>
          <w:sz w:val="22"/>
          <w:szCs w:val="22"/>
          <w:lang w:val="en-GB"/>
        </w:rPr>
      </w:pPr>
    </w:p>
    <w:p w14:paraId="3ED31308" w14:textId="5CCFC1BB" w:rsidR="00D36963" w:rsidRPr="00636641" w:rsidRDefault="00D36963" w:rsidP="004E053C">
      <w:pPr>
        <w:spacing w:line="360" w:lineRule="auto"/>
        <w:jc w:val="both"/>
        <w:rPr>
          <w:rFonts w:eastAsia="Times New Roman" w:cs="Times New Roman"/>
          <w:sz w:val="22"/>
          <w:szCs w:val="22"/>
          <w:lang w:val="nl-NL" w:eastAsia="zh-CN"/>
        </w:rPr>
      </w:pPr>
      <w:r w:rsidRPr="004E053C">
        <w:rPr>
          <w:rFonts w:cstheme="majorHAnsi"/>
          <w:sz w:val="22"/>
          <w:szCs w:val="22"/>
          <w:lang w:val="en-GB"/>
        </w:rPr>
        <w:t xml:space="preserve">Numerous explanations have been put forward for the frequent failure of effective formalisation policy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Hilson","given":"G","non-dropping-particle":"","parse-names":false,"suffix":""},{"dropping-particle":"","family":"Potter","given":"Clive","non-dropping-particle":"","parse-names":false,"suffix":""}],"container-title":"Development and Change","id":"ITEM-1","issue":"1","issued":{"date-parts":[["2005"]]},"page":"103-131","title":"Structural adjustment and subsistence industry: artisanal gold mining in Ghana","type":"article-journal","volume":"36"},"uris":["http://www.mendeley.com/documents/?uuid=d45e74ce-a6e3-420c-a0a0-dbd732423089"]},{"id":"ITEM-2","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Affairs","id":"ITEM-2","issue":"424","issued":{"date-parts":[["2007"]]},"page":"413-436","title":"To move or not to move’: reflections on the resettlement of artisanal miners in the western region of Ghana","type":"article-journal","volume":"106"},"uris":["http://www.mendeley.com/documents/?uuid=8ef2711f-ce75-4c5a-8a00-8e27b49f07cf"]},{"id":"ITEM-3","itemData":{"abstract":"Much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Policy","id":"ITEM-3","issue":"1-2","issued":{"date-parts":[["2009"]]},"page":"24-31","title":"Recognizing and nurturing artisanal mining as a viable livelihood","type":"article-journal","volume":"34"},"uris":["http://www.mendeley.com/documents/?uuid=5831bb71-6055-493f-9a5a-64dcd06bad59"]},{"id":"ITEM-4","itemData":{"abstract":"This article critically evaluates existing causal explanations for the persistence of informality in artisanal and small-scale mining (ASM). These explanations share a legalistic focus on entry barriers and political impediments that prevent or discourage the formalization of poverty-driven ASM operators: however, they fail to fully explain cases such as that of the Philippines, where ASM is characterized by differentiation between a poverty-driven workforce and a dominant stratum of ASM entrepreneurs. Even where limited formalization frameworks provide ASM with a degree of legal recognition, this recognition is usually restricted to these more powerful ASM interests, while excluding the workforce at large. This article therefore proposes an integrative approach to analysing informality in ASM, which complements the existing legalistic focus on entry barriers with a structuralist concern over the exploitation of informal labour. Seen from this perspective, the massive expansion of ASM in the Philippines can be seen as the product of a transition away from capital-intensive large-scale mining to a flexible regime of accumulation built around the exploitation of informal ASM labour. This observation highlights the need to pay more critical attention to the economic logic and the vested interests underlying the (selective) persistence of informality in the workforce.","author":[{"dropping-particle":"","family":"Verbrugge","given":"Boris","non-dropping-particle":"","parse-names":false,"suffix":""}],"container-title":"Development and Change","id":"ITEM-4","issue":"5","issued":{"date-parts":[["2015"]]},"page":"1023-1046","title":"The economic logic of persistent informality: artisanal and small-scale mining in the Southern Philippines","type":"article-journal","volume":"46"},"uris":["http://www.mendeley.com/documents/?uuid=ea2a3549-433b-4412-ba6d-6c99ae5ab0c8"]},{"id":"ITEM-5","itemData":{"abstract":"This paper argues that during the period after the March 2012 coup d'etat in Mali, rural institutions in gold-rich areas of country shifted their revenue dependence away from the state and instead drew upon a local, evolving artisanal and small-scale mining (ASM) sector. The paper discusses the effects of the March 2012 coup and its aftermath on the state and how these changes trickled down to local institutions in the rural commune of Yallankoro-Soloba. During that same period, technological advances in the commune's ASM sector increased local investment and improved profitability in ASM activities. As the state withdrew financial support from the commune government and social services, local government officials, medical services, educational institutions and local populations were able to capitalize on these ASM-generated revenues. The research finds that Mali suffers from the same ASM formalization problems as other mineral rich countries in the region. What makes Mali's situation unique is that ASM has become a critical rural industry which is not only supplying much needed income to rural people, but also serving to informally fund social institutions from the bottom up during a time of national crisis. Local government officials are stuck in limbo between the state which provides them with legitimacy and ASM which supports their communes' population and institutions. The paper concludes that even as Mali begins its recovery, there are urgent needs to formalize rural ASM. If formalization actions are delayed, technological advances will make formalization even more difficult and enable institutions and local officials to become increasingly detached from the fragile central government. © 2014 Elsevier Ltd.","author":[{"dropping-particle":"","family":"Teschner","given":"Benjamin A.","non-dropping-particle":"","parse-names":false,"suffix":""}],"container-title":"Futures","id":"ITEM-5","issue":"Part A","issued":{"date-parts":[["2014"]]},"page":"140-150","publisher":"Elsevier Ltd","title":"\"Orpaillage pays for everything\": How artisanal mining supported rural institutions following Mali's coup d'état","type":"article-journal","volume":"62"},"uris":["http://www.mendeley.com/documents/?uuid=33f18ac7-7876-404a-892a-e082cb6f91e2"]},{"id":"ITEM-6","itemData":{"abstract":"During recent decades, artisanal and small-scale mining (ASM) in Africa has increased tremendously. An unknown but significant part is constituted by activities that are not based on legally registered mining licenses. The division of formal and informal ASM is, however, dissolved in the marketing chain where trading channels are intertwined: traders buy from miners with and without a license. So far state institutions and civil society organizations have endeavoured to 'formalize' the informal sector by focusing on relatively isolated entry points in the ASM chain from production to consumption. This paper argues that future research and design of policy mechanisms needs to focus on the inter-linkages of actors and material flows within the complex intertwinement of the formal and informal ASM sectors. Our point of departure is the findings on interlocked markets within the literature on rural dependency relations, barriers for poverty eradication and agricultural development. The paper outlines the previous debate on formalization and maps out the territorial and organizational configuration of the present ASM gold chain in Tanzania and Ghana. On this basis we maintain that state action is inevitable and suggest possible institutional mechanisms to set up incentives for possible formalization pathways for African ASM gold chains. © 2013 Elsevier Ltd.","author":[{"dropping-particle":"","family":"Fold","given":"Niels","non-dropping-particle":"","parse-names":false,"suffix":""},{"dropping-particle":"","family":"Jønsson","given":"Jesper Bosse","non-dropping-particle":"","parse-names":false,"suffix":""},{"dropping-particle":"","family":"Yankson","given":"Paul","non-dropping-particle":"","parse-names":false,"suffix":""}],"container-title":"Futures","id":"ITEM-6","issued":{"date-parts":[["2014"]]},"page":"128-139","publisher":"Elsevier Ltd","title":"Buying into formalization? State institutions and interlocked markets in African small-scale gold mining","type":"article-journal","volume":"62"},"uris":["http://www.mendeley.com/documents/?uuid=93617e2c-7924-449c-9453-fd31070376c5"]},{"id":"ITEM-7","itemData":{"abstract":"While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Society","id":"ITEM-7","issue":"1","issued":{"date-parts":[["2014"]]},"page":"75-85","publisher":"Elsevier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operators","type":"article-journal","volume":"1"},"uris":["http://www.mendeley.com/documents/?uuid=56fd2b4b-fd5a-31ef-a59e-d2c754808936"]}],"mendeley":{"formattedCitation":"(Fold et al., 2014; G. Hilson et al., 2007; G Hilson &amp; Potter, 2005; F. K. Nyame &amp; Grant, 2014; Teschner, 2014; Tschakert, 2009; Verbrugge, 2015)","manualFormatting":"(Fold et al., 2014; Hilson et al., 2007; Hilson &amp; Potter, 2005; Nyame &amp; Grant, 2014; Teschner, 2014; Tschakert, 2009; Verbrugge, 2015)","plainTextFormattedCitation":"(Fold et al., 2014; G. Hilson et al., 2007; G Hilson &amp; Potter, 2005; F. K. Nyame &amp; Grant, 2014; Teschner, 2014; Tschakert, 2009; Verbrugge, 2015)","previouslyFormattedCitation":"(Fold et al., 2014; G. Hilson et al., 2007; G Hilson &amp; Potter, 2005; F. K. Nyame &amp; Grant, 2014; Teschner, 2014; Tschakert, 2009; Verbrugge, 2015)"},"properties":{"noteIndex":0},"schema":"https://github.com/citation-style-language/schema/raw/master/csl-citation.json"}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(Fold et al., 2014; Hilson et al., 2007; Hilson &amp; Potter, 2005; Nyame &amp; Grant, 2014; Teschner, 2014; Tschakert, 2009; Verbrugge, 2015)</w:t>
      </w:r>
      <w:r w:rsidRPr="004E053C">
        <w:rPr>
          <w:rFonts w:cstheme="majorHAnsi"/>
          <w:sz w:val="22"/>
          <w:szCs w:val="22"/>
          <w:lang w:val="en-GB"/>
        </w:rPr>
        <w:fldChar w:fldCharType="end"/>
      </w:r>
      <w:r w:rsidRPr="004E053C">
        <w:rPr>
          <w:rFonts w:cstheme="majorHAnsi"/>
          <w:sz w:val="22"/>
          <w:szCs w:val="22"/>
          <w:lang w:val="en-GB"/>
        </w:rPr>
        <w:t>.</w:t>
      </w:r>
      <w:r w:rsidRPr="004E053C">
        <w:rPr>
          <w:rFonts w:cstheme="majorHAnsi"/>
          <w:bCs/>
          <w:sz w:val="22"/>
          <w:szCs w:val="22"/>
          <w:lang w:val="en-GB"/>
        </w:rPr>
        <w:t xml:space="preserve"> </w:t>
      </w:r>
      <w:r w:rsidRPr="004E053C">
        <w:rPr>
          <w:rFonts w:cstheme="majorHAnsi"/>
          <w:sz w:val="22"/>
          <w:szCs w:val="22"/>
          <w:lang w:val="en-GB"/>
        </w:rPr>
        <w:t xml:space="preserve">Drawing on research in the Philippines, Verbrugge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Studies","id":"ITEM-1","issue":"Part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transformation","type":"article-journal","volume":"47"},"uris":["http://www.mendeley.com/documents/?uuid=fb82d0a5-64cc-4673-b8d8-4ea22e3fb839"]}],"mendeley":{"formattedCitation":"(Verbrugge, 2016)","manualFormatting":"(2016)","plainTextFormattedCitation":"(Verbrugge, 2016)","previouslyFormattedCitation":"(Verbrugge, 2016)"},"properties":{"noteIndex":0},"schema":"https://github.com/citation-style-language/schema/raw/master/csl-citation.json"}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(2016)</w:t>
      </w:r>
      <w:r w:rsidRPr="004E053C">
        <w:rPr>
          <w:rFonts w:cstheme="majorHAnsi"/>
          <w:sz w:val="22"/>
          <w:szCs w:val="22"/>
          <w:lang w:val="en-GB"/>
        </w:rPr>
        <w:fldChar w:fldCharType="end"/>
      </w:r>
      <w:r w:rsidRPr="004E053C">
        <w:rPr>
          <w:rFonts w:cstheme="majorHAnsi"/>
          <w:sz w:val="22"/>
          <w:szCs w:val="22"/>
          <w:lang w:val="en-GB"/>
        </w:rPr>
        <w:t xml:space="preserve"> has argued that regulatory frameworks tend to be fraught with internal inconsistencies and subordinated to government efforts to support the expansion of large-scale mining. Furthermore, due to the requirements necessary to secure formalisation, such policies risk reinforcing existing inequalities if they are prohibitively expensive or have other requirements that are unachievable for the poorest miners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{"citationItems":[{"id":"ITEM-1","itemData":{"abstract":"Among policy-makers and governments, there is a broad consensus that artisanal and small-scale mining (ASM) needs to be 'formalized' - embodied in a standardized legal framework that is registered in and governed by a central state system-, the basic condition being that artisanal miners are given formal property rights. This article aims to contribute to this discussion, drawing on a case study from the Eastern Democratic Republic of Congo (DRC), where it is estimated that up to 90 percent of mineral production and export is 'informal'. After having pointed out some of the theoretical assumptions behind the formalization canon, we study the challenges of formalizing the mining sector in the DRC. Next, we provide an in-depth analysis of one concrete policy measure of the Congolese government, the temporary ban on all artisanal activities. We argue that the mining ban was not only a radical example of a top-down formalization policy, but also an illustration of a bureaucratic and technical measure that compounds but does not address different problems associated with ASM: conflict, informality, poverty, illegality, state control. Looking at the empirical evidence from the DRC, we argue that these kinds of technical solutions can never address the broader socio-economic and political issues at stake. © 2012 Elsevier Ltd.","author":[{"dropping-particle":"","family":"Geenen","given":"Sara","non-dropping-particle":"","parse-names":false,"suffix":""}],"container-title":"Resources Policy","id":"ITEM-1","issue":"3","issued":{"date-parts":[["2012"]]},"page":"322-330","publisher":"Elsevier","title":"A dangerous bet: the challenges of formalizing artisanal mining in the Democratic Republic of Congo","type":"article-journal","volume":"37"},"uris":["http://www.mendeley.com/documents/?uuid=990e6cea-1184-450e-8800-32c367a9e244"]}],"mendeley":{"formattedCitation":"(Geenen, 2012)","plainTextFormattedCitation":"(Geenen, 2012)","previouslyFormattedCitation":"(Geenen, 2012)"},"properties":{"noteIndex":0},"schema":"https://github.com/citation-style-language/schema/raw/master/csl-citation.json"}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(Geenen, 2012)</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inorHAnsi"/>
          <w:sz w:val="22"/>
          <w:szCs w:val="22"/>
          <w:lang w:val="en-GB" w:eastAsia="zh-CN"/>
        </w:rPr>
        <w:t xml:space="preserve">For example, in Colombia, the </w:t>
      </w:r>
      <w:r w:rsidRPr="004E053C">
        <w:rPr>
          <w:rFonts w:eastAsia="Times New Roman" w:cs="Times New Roman"/>
          <w:sz w:val="22"/>
          <w:szCs w:val="22"/>
          <w:lang w:val="en-GB" w:eastAsia="zh-CN"/>
        </w:rPr>
        <w:t xml:space="preserve">formal requirements and parameters related to financial capital, technical </w:t>
      </w:r>
      <w:r w:rsidR="0032564B" w:rsidRPr="004E053C">
        <w:rPr>
          <w:rFonts w:eastAsia="Times New Roman" w:cs="Times New Roman"/>
          <w:sz w:val="22"/>
          <w:szCs w:val="22"/>
          <w:lang w:val="en-GB" w:eastAsia="zh-CN"/>
        </w:rPr>
        <w:t xml:space="preserve">capacity and efficiency in </w:t>
      </w:r>
      <w:r w:rsidRPr="004E053C">
        <w:rPr>
          <w:rFonts w:eastAsia="Times New Roman" w:cs="Times New Roman"/>
          <w:sz w:val="22"/>
          <w:szCs w:val="22"/>
          <w:lang w:val="en-GB" w:eastAsia="zh-CN"/>
        </w:rPr>
        <w:t xml:space="preserve">production were near impossible for small-scale miners to meet </w:t>
      </w:r>
      <w:r w:rsidR="00A95A06" w:rsidRPr="004E053C">
        <w:rPr>
          <w:rFonts w:eastAsia="Times New Roman" w:cs="Times New Roman"/>
          <w:sz w:val="22"/>
          <w:szCs w:val="22"/>
          <w:lang w:val="en-GB" w:eastAsia="zh-CN"/>
        </w:rPr>
        <w:fldChar w:fldCharType="begin" w:fldLock="1"/>
      </w:r>
      <w:r w:rsidR="002F0CEA">
        <w:rPr>
          <w:rFonts w:eastAsia="Times New Roman" w:cs="Times New Roman"/>
          <w:sz w:val="22"/>
          <w:szCs w:val="22"/>
          <w:lang w:val="en-GB" w:eastAsia="zh-CN"/>
        </w:rPr>
        <w:instrText>ADDIN CSL_CITATION {"citationItems":[{"id":"ITEM-1","itemData":{"author":[{"dropping-particle":"","family":"Salman","given":"T","non-dropping-particle":"","parse-names":false,"suffix":""},{"dropping-particle":"","family":"Theije","given":"M","non-dropping-particle":"de","parse-names":false,"suffix":""},{"dropping-particle":"","family":"Vélez-Torres","given":"I","non-dropping-particle":"","parse-names":false,"suffix":""}],"container-title":"Ecology and Society","id":"ITEM-1","issue":"3","issued":{"date-parts":[["2018"]]},"page":"30","title":"Structures, actors, and interactions in the analysis of natural resource conflicts","type":"article-journal","volume":"23"},"uris":["http://www.mendeley.com/documents/?uuid=99da8e39-5459-3445-8be1-c3f9a66af206"]}],"mendeley":{"formattedCitation":"(Salman et al., 2018)","manualFormatting":"(Salman et al., 2018)","plainTextFormattedCitation":"(Salman et al., 2018)","previouslyFormattedCitation":"(Salman et al., 2018)"},"properties":{"noteIndex":0},"schema":"https://github.com/citation-style-language/schema/raw/master/csl-citation.json"}</w:instrText>
      </w:r>
      <w:r w:rsidR="00A95A06" w:rsidRPr="004E053C">
        <w:rPr>
          <w:rFonts w:eastAsia="Times New Roman" w:cs="Times New Roman"/>
          <w:sz w:val="22"/>
          <w:szCs w:val="22"/>
          <w:lang w:val="en-GB" w:eastAsia="zh-CN"/>
        </w:rPr>
        <w:fldChar w:fldCharType="separate"/>
      </w:r>
      <w:r w:rsidR="00A95A06" w:rsidRPr="004E053C">
        <w:rPr>
          <w:rFonts w:eastAsia="Times New Roman" w:cs="Times New Roman"/>
          <w:noProof/>
          <w:sz w:val="22"/>
          <w:szCs w:val="22"/>
          <w:lang w:val="en-GB" w:eastAsia="zh-CN"/>
        </w:rPr>
        <w:t>(Salman et al., 2018)</w:t>
      </w:r>
      <w:r w:rsidR="00A95A06" w:rsidRPr="004E053C">
        <w:rPr>
          <w:rFonts w:eastAsia="Times New Roman" w:cs="Times New Roman"/>
          <w:sz w:val="22"/>
          <w:szCs w:val="22"/>
          <w:lang w:val="en-GB" w:eastAsia="zh-CN"/>
        </w:rPr>
        <w:fldChar w:fldCharType="end"/>
      </w:r>
      <w:r w:rsidRPr="004E053C">
        <w:rPr>
          <w:rFonts w:cstheme="minorHAnsi"/>
          <w:sz w:val="22"/>
          <w:szCs w:val="22"/>
          <w:lang w:val="en-GB"/>
        </w:rPr>
        <w:t xml:space="preserve">. </w:t>
      </w:r>
      <w:r w:rsidRPr="004E053C">
        <w:rPr>
          <w:rFonts w:cstheme="majorHAnsi"/>
          <w:sz w:val="22"/>
          <w:szCs w:val="22"/>
          <w:lang w:val="en-GB"/>
        </w:rPr>
        <w:t xml:space="preserve">Thus, even if formalisation were to be successfully implemented, benefits would not accrue evenly across the population, potentially entrenching existing inequalities and power dynamics within the sector </w:t>
      </w:r>
      <w:r w:rsidR="00A95A06" w:rsidRPr="004E053C">
        <w:rPr>
          <w:rFonts w:cstheme="majorHAnsi"/>
          <w:sz w:val="22"/>
          <w:szCs w:val="22"/>
          <w:lang w:val="en-GB"/>
        </w:rPr>
        <w:fldChar w:fldCharType="begin" w:fldLock="1"/>
      </w:r>
      <w:r w:rsidR="00A95A06" w:rsidRPr="004E053C">
        <w:rPr>
          <w:rFonts w:cstheme="majorHAnsi"/>
          <w:sz w:val="22"/>
          <w:szCs w:val="22"/>
          <w:lang w:val="en-GB"/>
        </w:rPr>
        <w:instrText>ADDIN CSL_CITATION {"citationItems":[{"id":"ITEM-1","itemData":{"abstract":"Combining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Studies","id":"ITEM-1","issue":"Part A","issued":{"date-parts":[["2016"]]},"page":"108-116","publisher":"Elsevier Ltd","title":"Voices from below: Artisanal- and small-scale mining as a product and catalyst of rural transformation","type":"article-journal","volume":"47"},"uris":["http://www.mendeley.com/documents/?uuid=fb82d0a5-64cc-4673-b8d8-4ea22e3fb839"]},{"id":"ITEM-2","itemData":{"abstract":"In line with trends observed in several other countries, small-scale gold mining in Compostela Valley (ComVal) province has expanded immensely, and now boasts a high number of more advanced i.e. more capitalized and mechanized operations that push the edge of what is usually considered artisanal and small-scale mining (ASM). A historical, fieldwork-based analysis is presented of the diverse factors underlying the current situation. It is argued that existing accounts of ASM-expansion, by focusing disproportionately on the role of poverty in pushing people into ASM, fail to satisfactorily account for the state of gold mining in ComVal. Whereas this poverty-driven narrative may well explain the constant supply of mining recruits, it risks obscuring how for certain groups, ASM harbors important opportunities for capital accumulation. More specifically, the increased engagement in gold mining on the part of a heterogeneous class of mining financiers enabled ASM to evolve from rudimentary into relatively mechanized operations with highly complex working practices and revenue sharing arrangements. The nascent gold mining elite has entrenched itself in a regulatory environment amenable to the further expansion of gold mining. These observations suggest that more critical attention should be paid to the 'capital interests' driving similar transformations of ASM elsewhere. © 2014 Elsevier Ltd.","author":[{"dropping-particle":"","family":"Verbrugge","given":"Boris","non-dropping-particle":"","parse-names":false,"suffix":""}],"container-title":"Extractive Industries and Society","id":"ITEM-2","issue":"1","issued":{"date-parts":[["2014"]]},"page":"86-95","publisher":"Elsevier Ltd","title":"Capital interests: a historical analysis of the transformation of small-scale gold mining in Compostela Valley province, Southern Philippines","type":"article-journal","volume":"1"},"uris":["http://www.mendeley.com/documents/?uuid=7900df1e-3ca3-4f89-b985-69d57f5c9473"]}],"mendeley":{"formattedCitation":"(Verbrugge, 2014, 2016)","plainTextFormattedCitation":"(Verbrugge, 2014, 2016)","previouslyFormattedCitation":"(Verbrugge, 2014, 2016)"},"properties":{"noteIndex":0},"schema":"https://github.com/citation-style-language/schema/raw/master/csl-citation.json"}</w:instrText>
      </w:r>
      <w:r w:rsidR="00A95A06" w:rsidRPr="004E053C">
        <w:rPr>
          <w:rFonts w:cstheme="majorHAnsi"/>
          <w:sz w:val="22"/>
          <w:szCs w:val="22"/>
          <w:lang w:val="en-GB"/>
        </w:rPr>
        <w:fldChar w:fldCharType="separate"/>
      </w:r>
      <w:r w:rsidR="00A95A06" w:rsidRPr="004E053C">
        <w:rPr>
          <w:rFonts w:cstheme="majorHAnsi"/>
          <w:noProof/>
          <w:sz w:val="22"/>
          <w:szCs w:val="22"/>
          <w:lang w:val="en-GB"/>
        </w:rPr>
        <w:t>(Verbrugge, 2014, 2016)</w:t>
      </w:r>
      <w:r w:rsidR="00A95A06" w:rsidRPr="004E053C">
        <w:rPr>
          <w:rFonts w:cstheme="majorHAnsi"/>
          <w:sz w:val="22"/>
          <w:szCs w:val="22"/>
          <w:lang w:val="en-GB"/>
        </w:rPr>
        <w:fldChar w:fldCharType="end"/>
      </w:r>
      <w:r w:rsidRPr="004E053C">
        <w:rPr>
          <w:rFonts w:cstheme="majorHAnsi"/>
          <w:sz w:val="22"/>
          <w:szCs w:val="22"/>
          <w:lang w:val="en-GB"/>
        </w:rPr>
        <w:t xml:space="preserve">. An emerging area of debate here is the impact of formalisation on women, as they are less likely to meet the requirements for formalisation and have less voice in negotiations due to their lack of representation in mining cooperatives </w:t>
      </w:r>
      <w:r w:rsidR="00A95A06"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Society","id":"ITEM-1","issue":"4","issued":{"date-parts":[["2019"]]},"page":"1101-1112","publisher":"Elsevier","title":"Gender and artisanal and small-scale mining: implications for formalization","type":"article-journal","volume":"6"},"uris":["http://www.mendeley.com/documents/?uuid=d3c6389f-147a-4a38-80bb-ad6e7ea88a8e"]},{"id":"ITEM-2","itemData":{"author":[{"dropping-particle":"","family":"Huggins","given":"C","non-dropping-particle":"","parse-names":false,"suffix":""},{"dropping-particle":"","family":"Buss","given":"D","non-dropping-particle":"","parse-names":false,"suffix":""},{"dropping-particle":"","family":"Rutherford","given":"B","non-dropping-particle":"","parse-names":false,"suffix":""}],"container-title":"Geoforum","id":"ITEM-2","issued":{"date-parts":[["2017"]]},"page":"142-152","title":"A 'cartography of concern': place-making practices and gender in the artisanal mining sector in Africa","type":"article-journal","volume":"83"},"uris":["http://www.mendeley.com/documents/?uuid=e50729d3-9142-4ed7-ae1f-c0ab01abedf3"]}],"mendeley":{"formattedCitation":"(Buss et al., 2019; Huggins et al., 2017)","manualFormatting":"(Buss et al., 2019; Huggins et al., 2017)","plainTextFormattedCitation":"(Buss et al., 2019; Huggins et al., 2017)","previouslyFormattedCitation":"(Buss et al., 2019; Huggins et al., 2017)"},"properties":{"noteIndex":0},"schema":"https://github.com/citation-style-language/schema/raw/master/csl-citation.json"}</w:instrText>
      </w:r>
      <w:r w:rsidR="00A95A06" w:rsidRPr="004E053C">
        <w:rPr>
          <w:rFonts w:cstheme="majorHAnsi"/>
          <w:sz w:val="22"/>
          <w:szCs w:val="22"/>
          <w:lang w:val="en-GB"/>
        </w:rPr>
        <w:fldChar w:fldCharType="separate"/>
      </w:r>
      <w:r w:rsidR="00E65D31" w:rsidRPr="004E053C">
        <w:rPr>
          <w:rFonts w:cstheme="majorHAnsi"/>
          <w:noProof/>
          <w:sz w:val="22"/>
          <w:szCs w:val="22"/>
          <w:lang w:val="en-GB"/>
        </w:rPr>
        <w:t>(</w:t>
      </w:r>
      <w:r w:rsidR="00A95A06" w:rsidRPr="004E053C">
        <w:rPr>
          <w:rFonts w:cstheme="majorHAnsi"/>
          <w:noProof/>
          <w:sz w:val="22"/>
          <w:szCs w:val="22"/>
          <w:lang w:val="en-GB"/>
        </w:rPr>
        <w:t>Buss et al., 2019; Huggins et al., 2017)</w:t>
      </w:r>
      <w:r w:rsidR="00A95A06" w:rsidRPr="004E053C">
        <w:rPr>
          <w:rFonts w:cstheme="majorHAnsi"/>
          <w:sz w:val="22"/>
          <w:szCs w:val="22"/>
          <w:lang w:val="en-GB"/>
        </w:rPr>
        <w:fldChar w:fldCharType="end"/>
      </w:r>
      <w:r w:rsidR="00E65D31" w:rsidRPr="004E053C">
        <w:rPr>
          <w:rFonts w:cstheme="majorHAnsi"/>
          <w:sz w:val="22"/>
          <w:szCs w:val="22"/>
          <w:lang w:val="en-GB"/>
        </w:rPr>
        <w:t>.</w:t>
      </w:r>
      <w:r w:rsidRPr="004E053C">
        <w:rPr>
          <w:rFonts w:cstheme="majorHAnsi"/>
          <w:sz w:val="22"/>
          <w:szCs w:val="22"/>
          <w:lang w:val="en-GB"/>
        </w:rPr>
        <w:t xml:space="preserve"> Several scholars working on Latin America have also pointed to a general lack of trust between miners and national </w:t>
      </w:r>
      <w:r w:rsidRPr="004E053C">
        <w:rPr>
          <w:rFonts w:cstheme="majorHAnsi"/>
          <w:sz w:val="22"/>
          <w:szCs w:val="22"/>
          <w:lang w:val="en-GB"/>
        </w:rPr>
        <w:lastRenderedPageBreak/>
        <w:t>and regional authorities that hinders successful formalisation</w:t>
      </w:r>
      <w:r w:rsidRPr="004E053C">
        <w:rPr>
          <w:rFonts w:eastAsia="Times New Roman" w:cs="Times New Roman"/>
          <w:sz w:val="22"/>
          <w:szCs w:val="22"/>
          <w:lang w:val="en-GB" w:eastAsia="zh-CN"/>
        </w:rPr>
        <w:t xml:space="preserve"> </w:t>
      </w:r>
      <w:r w:rsidR="00A95A06" w:rsidRPr="004E053C">
        <w:rPr>
          <w:rFonts w:eastAsia="Times New Roman" w:cs="Times New Roman"/>
          <w:sz w:val="22"/>
          <w:szCs w:val="22"/>
          <w:lang w:val="en-GB" w:eastAsia="zh-CN"/>
        </w:rPr>
        <w:fldChar w:fldCharType="begin" w:fldLock="1"/>
      </w:r>
      <w:r w:rsidR="002F0CEA">
        <w:rPr>
          <w:rFonts w:eastAsia="Times New Roman" w:cs="Times New Roman"/>
          <w:sz w:val="22"/>
          <w:szCs w:val="22"/>
          <w:lang w:val="en-GB" w:eastAsia="zh-CN"/>
        </w:rPr>
        <w:instrText>ADDIN CSL_CITATION {"citationItems":[{"id":"ITEM-1","itemData":{"author":[{"dropping-particle":"","family":"Theije","given":"Marjo","non-dropping-particle":"De","parse-names":false,"suffix":""},{"dropping-particle":"","family":"Kolen","given":"Judith","non-dropping-particle":"","parse-names":false,"suffix":""},{"dropping-particle":"","family":"Heemskerk","given":"Marieke","non-dropping-particle":"","parse-names":false,"suffix":""},{"dropping-particle":"","family":"Duijves","given":"Celine","non-dropping-particle":"","parse-names":false,"suffix":""},{"dropping-particle":"","family":"Sarmiento","given":"Mariana","non-dropping-particle":"","parse-names":false,"suffix":""},{"dropping-particle":"","family":"Urán","given":"Alexandra","non-dropping-particle":"","parse-names":false,"suffix":""},{"dropping-particle":"","family":"Lozada","given":"Ingrid","non-dropping-particle":"","parse-names":false,"suffix":""},{"dropping-particle":"","family":"Ayala","given":"Helcías","non-dropping-particle":"","parse-names":false,"suffix":""},{"dropping-particle":"","family":"Perea","given":"Jorge","non-dropping-particle":"","parse-names":false,"suffix":""},{"dropping-particle":"","family":"Mathis","given":"Armin","non-dropping-particle":"","parse-names":false,"suffix":""}],"chapter-number":"8","container-title":"Conflicts over Natural Resources in the Global South","editor":[{"dropping-particle":"","family":"Bavinck","given":"Maarten","non-dropping-particle":"","parse-names":false,"suffix":""},{"dropping-particle":"","family":"Pellegrini","given":"Lorenzo","non-dropping-particle":"","parse-names":false,"suffix":""},{"dropping-particle":"","family":"Mostert","given":"Erik","non-dropping-particle":"","parse-names":false,"suffix":""}],"id":"ITEM-1","issued":{"date-parts":[["2014"]]},"page":"129-146","publisher":"CRC Press","publisher-place":"Leiden, The Netherlands","title":"Engaging Legal Systems in Small-Scale Gold Mining Conflicts in Three South American Countries","type":"chapter"},"uris":["http://www.mendeley.com/documents/?uuid=0cbba8e7-cbcc-4f89-9fb1-a34a07cc8bdb"]},{"id":"ITEM-2","itemData":{"abstract":"This article evaluates recent changes in gold-mining policies in Suriname, focusing on the contrasting perceptions about these policies by the government and small-scale gold miners. The data illustrate that distrust, which is constructed by history and culture, shapes perceptions about what are fair and effective regulations when it comes to access to, and control over, mineral resources. Yet distrust not only exists between the national government and local gold miners, it also weakens strategic positioning and decision making within these groups. The researchers argue that while effective regulation of the gold sector requires that government officials make an effort to establish trust with their constituents, it is as important that gold miners work on becoming trustworthy partners in dialogue and interventions for the government. It is concluded that trust is a process, and particularly in small-scale societies such as Suriname, this process needs to start with building interpersonal trust.","author":[{"dropping-particle":"","family":"Heemskerk","given":"Marieke","non-dropping-particle":"","parse-names":false,"suffix":""},{"dropping-particle":"","family":"Duijves","given":"Celine","non-dropping-particle":"","parse-names":false,"suffix":""},{"dropping-particle":"","family":"Pinas","given":"Mujenca","non-dropping-particle":"","parse-names":false,"suffix":""}],"container-title":"Society and Natural Resources","id":"ITEM-2","issue":"2","issued":{"date-parts":[["2015"]]},"page":"133-148","title":"Interpersonal and institutional distrust as disabling factors in natural resources management: small-scale gold miners and the Government in Suriname","type":"article-journal","volume":"28"},"uris":["http://www.mendeley.com/documents/?uuid=9fd5c81e-748f-4577-a902-d9a12be9d235"]},{"id":"ITEM-3","itemData":{"abstract":"In sparsely populated areas of the interior of the Guianas, artisanal and small-scale gold mining has become the primary economic activity for local and migrant populations over the last three decades. Because of the adverse environmental and social impacts often associated with artisanal and small-scale mining (ASM), these activities can be a source of unease for governments, and the question of how to confront the growing challenges of ASM has become a global concern. Formalization of the sector is increasingly being put forward as one strategy to mitigate the impacts associated with ASM, and there is a growing consensus that large-scale mining (LSM) companies have a role to play in this process. This article examines the perspectives of artisanal and small-scale miners on an initiative to formalize the ASM sector in a rural region in the interior of the Guianas. Through an analysis of a collaboration between a national government and a LSM company to create a reserve for artisanal and small-scale gold miners, we identify the major opportunities and limitations of this strategy. These opportunities and limitations demonstrate that although an artisanal and small-scale mining reserve could be one way to formalize the sector and support rural livelihoods, there are clear barriers to overcome to improve the interactions among governments, companies, artisanal and small-scale miners, and local communities.","author":[{"dropping-particle":"","family":"Smith","given":"Nicole M.","non-dropping-particle":"","parse-names":false,"suffix":""},{"dropping-particle":"","family":"Smith","given":"Jessica M.","non-dropping-particle":"","parse-names":false,"suffix":""},{"dropping-particle":"","family":"John","given":"Zira Q.","non-dropping-particle":"","parse-names":false,"suffix":""},{"dropping-particle":"","family":"Teschner","given":"Benjamin A.","non-dropping-particle":"","parse-names":false,"suffix":""}],"container-title":"Resources Policy","id":"ITEM-3","issue":"March 2016","issued":{"date-parts":[["2017"]]},"page":"49-56","publisher":"Elsevier","title":"Promises and perceptions in the Guianas: The making of an artisanal and small-scale mining reserve","type":"article-journal","volume":"51"},"uris":["http://www.mendeley.com/documents/?uuid=79a9c52f-956c-4ff9-8f82-67fef22f9bc3"]},{"id":"ITEM-4","itemData":{"abstract":"Conflict is small-scale gold mining's middle name. In only a very few situations do mining operations take place without some sort of conflict accompanying the activity, and often various conflicting stakeholders struggle for their interests simultaneously. Analyses of such conflicts are typically confined to unpacking the more structural or long-term dimension, the actual actions of the stakeholders or the sequence of incidents. We believe that such strategies have limitations, and in particular can often not explain how in most cases a certain equilibrium, an arrangement, a ‘conflict choreography’ emerges. To be able to account for such situations, we introduce a multi-temporal model for conflict analysis in small-scale gold mining. We distinguish between a protracted structural dimension, concentrating on the underlying causes, an expeditious dimension of the actual interactions and confrontations, and an intermediate dimension of the preparation or equipment of the actors, focusing on such questions as: from what backgrounds and with what aspirations do people come? And what identity, collectively and individually, did that formation produce? We argue that only by taking into account the latter dimension might w</w:instrText>
      </w:r>
      <w:r w:rsidR="002F0CEA" w:rsidRPr="00636641">
        <w:rPr>
          <w:rFonts w:eastAsia="Times New Roman" w:cs="Times New Roman"/>
          <w:sz w:val="22"/>
          <w:szCs w:val="22"/>
          <w:lang w:val="nl-NL" w:eastAsia="zh-CN"/>
        </w:rPr>
        <w:instrText>e be able to better analyse the how's and why's of the low-intensity nature of mining conflicts that, at face value, should result in unrelenting hostilities.","author":[{"dropping-particle":"","family":"Salman","given":"T","non-dropping-particle":"","parse-names":false,"suffix":""},{"dropping-particle":"","family":"Theije","given":"M","non-dropping-particle":"de","parse-names":false,"suffix":""}],"container-title":"Extractive Industries and Society","id":"ITEM-4","issue":"3","issued":{"date-parts":[["2017"]]},"page":"586-594","publisher":"Elsevier Ltd.","title":"Analysing conflicts around small-scale gold mining in the Amazon: the contribution of a multi-temporal model","type":"article-journal","volume":"4"},"uris":["http://www.mendeley.com/documents/?uuid=a17f6c82-71f6-4835-b780-bb856c812d87"]}],"mendeley":{"formattedCitation":"(De Theije et al., 2014; Heemskerk et al., 2015; Salman &amp; de Theije, 2017; N. M. Smith, Smith, John, &amp; Teschner, 2017)","manualFormatting":"(de Theije et al., 2014; Heemskerk et al., 2015; Salman &amp; de Theije, 2017; Smith et al., 2017)","plainTextFormattedCitation":"(De Theije et al., 2014; Heemskerk et al., 2015; Salman &amp; de Theije, 2017; N. M. Smith, Smith, John, &amp; Teschner, 2017)","previouslyFormattedCitation":"(De Theije et al., 2014; Heemskerk et al., 2015; Salman &amp; de Theije, 2017; N. M. Smith, Smith, John, &amp; Teschner, 2017)"},"properties":{"noteIndex":0},"schema":"https://github.com/citation-style-language/schema/raw/master/csl-citation.json"}</w:instrText>
      </w:r>
      <w:r w:rsidR="00A95A06" w:rsidRPr="004E053C">
        <w:rPr>
          <w:rFonts w:eastAsia="Times New Roman" w:cs="Times New Roman"/>
          <w:sz w:val="22"/>
          <w:szCs w:val="22"/>
          <w:lang w:val="en-GB" w:eastAsia="zh-CN"/>
        </w:rPr>
        <w:fldChar w:fldCharType="separate"/>
      </w:r>
      <w:r w:rsidR="00A95A06" w:rsidRPr="00636641">
        <w:rPr>
          <w:rFonts w:eastAsia="Times New Roman" w:cs="Times New Roman"/>
          <w:noProof/>
          <w:sz w:val="22"/>
          <w:szCs w:val="22"/>
          <w:lang w:val="nl-NL" w:eastAsia="zh-CN"/>
        </w:rPr>
        <w:t>(de Theije et al., 2014; Heemskerk et al., 2015; Salman &amp; de Theije, 2017; Smith et al., 2017)</w:t>
      </w:r>
      <w:r w:rsidR="00A95A06" w:rsidRPr="004E053C">
        <w:rPr>
          <w:rFonts w:eastAsia="Times New Roman" w:cs="Times New Roman"/>
          <w:sz w:val="22"/>
          <w:szCs w:val="22"/>
          <w:lang w:val="en-GB" w:eastAsia="zh-CN"/>
        </w:rPr>
        <w:fldChar w:fldCharType="end"/>
      </w:r>
      <w:r w:rsidR="00A95A06" w:rsidRPr="00636641">
        <w:rPr>
          <w:sz w:val="22"/>
          <w:szCs w:val="22"/>
          <w:lang w:val="nl-NL" w:eastAsia="zh-CN"/>
        </w:rPr>
        <w:t>.</w:t>
      </w:r>
    </w:p>
    <w:p w14:paraId="382B95E7" w14:textId="77777777" w:rsidR="0032564B" w:rsidRPr="00636641" w:rsidRDefault="0032564B" w:rsidP="004E053C">
      <w:pPr>
        <w:spacing w:line="360" w:lineRule="auto"/>
        <w:jc w:val="both"/>
        <w:rPr>
          <w:rFonts w:eastAsia="Times New Roman" w:cs="Times New Roman"/>
          <w:sz w:val="22"/>
          <w:szCs w:val="22"/>
          <w:lang w:val="nl-NL" w:eastAsia="zh-CN"/>
        </w:rPr>
      </w:pPr>
    </w:p>
    <w:p w14:paraId="428DFEAF" w14:textId="77777777" w:rsidR="00D36963" w:rsidRPr="004E053C" w:rsidRDefault="00D36963" w:rsidP="004E053C">
      <w:pPr>
        <w:pStyle w:val="Heading2"/>
        <w:spacing w:before="0" w:line="360" w:lineRule="auto"/>
        <w:jc w:val="both"/>
        <w:rPr>
          <w:lang w:val="en-GB"/>
        </w:rPr>
      </w:pPr>
      <w:bookmarkStart w:id="20" w:name="_Toc424671874"/>
      <w:bookmarkStart w:id="21" w:name="_Toc428636324"/>
      <w:bookmarkStart w:id="22" w:name="_Toc33293078"/>
      <w:r w:rsidRPr="004E053C">
        <w:rPr>
          <w:lang w:val="en-GB"/>
        </w:rPr>
        <w:t>2.4. Migration and mining settlements</w:t>
      </w:r>
      <w:bookmarkEnd w:id="20"/>
      <w:bookmarkEnd w:id="21"/>
      <w:bookmarkEnd w:id="22"/>
    </w:p>
    <w:p w14:paraId="5C70652D" w14:textId="77777777" w:rsidR="00D36963" w:rsidRPr="004E053C" w:rsidRDefault="00D36963" w:rsidP="004E053C">
      <w:pPr>
        <w:spacing w:line="360" w:lineRule="auto"/>
        <w:jc w:val="both"/>
      </w:pPr>
    </w:p>
    <w:p w14:paraId="5EE654E0" w14:textId="6B5E26B8" w:rsidR="00D36963" w:rsidRPr="004E053C" w:rsidRDefault="00D36963" w:rsidP="004E053C">
      <w:pPr>
        <w:spacing w:line="360" w:lineRule="auto"/>
        <w:jc w:val="both"/>
        <w:rPr>
          <w:rFonts w:cstheme="minorHAnsi"/>
          <w:iCs/>
          <w:sz w:val="22"/>
          <w:szCs w:val="22"/>
          <w:lang w:val="en-GB" w:eastAsia="zh-CN"/>
        </w:rPr>
      </w:pPr>
      <w:r w:rsidRPr="004E053C">
        <w:rPr>
          <w:rFonts w:cstheme="majorHAnsi"/>
          <w:sz w:val="22"/>
          <w:szCs w:val="22"/>
          <w:lang w:val="en-GB" w:eastAsia="zh-CN"/>
        </w:rPr>
        <w:t>Successful</w:t>
      </w:r>
      <w:r w:rsidRPr="004E053C">
        <w:rPr>
          <w:rFonts w:cstheme="majorHAnsi"/>
          <w:iCs/>
          <w:sz w:val="22"/>
          <w:szCs w:val="22"/>
          <w:lang w:val="en-GB" w:eastAsia="zh-CN"/>
        </w:rPr>
        <w:t xml:space="preserve"> ASM policy reflects local realities and requires an understanding of the communities that are being targeted </w:t>
      </w:r>
      <w:r w:rsidRPr="004E053C">
        <w:rPr>
          <w:rFonts w:cstheme="majorHAnsi"/>
          <w:iCs/>
          <w:sz w:val="22"/>
          <w:szCs w:val="22"/>
          <w:lang w:val="en-GB" w:eastAsia="zh-CN"/>
        </w:rPr>
        <w:fldChar w:fldCharType="begin" w:fldLock="1"/>
      </w:r>
      <w:r w:rsidR="002F0CEA">
        <w:rPr>
          <w:rFonts w:cstheme="majorHAnsi"/>
          <w:iCs/>
          <w:sz w:val="22"/>
          <w:szCs w:val="22"/>
          <w:lang w:val="en-GB" w:eastAsia="zh-CN"/>
        </w:rPr>
        <w:instrText>ADDIN CSL_CITATION {"citationItems":[{"id":"ITEM-1","itemData":{"author":[{"dropping-particle":"","family":"Hentschel","given":"Thomas","non-dropping-particle":"","parse-names":false,"suffix":""},{"dropping-particle":"","family":"Hruschka","given":"Felix","non-dropping-particle":"","parse-names":false,"suffix":""},{"dropping-particle":"","family":"Priester","given":"Michael","non-dropping-particle":"","parse-names":false,"suffix":""}],"id":"ITEM-1","issued":{"date-parts":[["2002"]]},"publisher-place":"London","title":"Global Report on Artisanal and Small-Scale Mining","type":"report"},"uris":["http://www.mendeley.com/documents/?uuid=e0135a32-651f-3a94-9bc5-5c79c798e40e"]},{"id":"ITEM-2","itemData":{"abstract":"Over the past 10–15 years, several governments have implemented an array of technology, support‐related, sustainable livelihoods (SL) and poverty‐reduction projects for artisanal and small‐scale mining (ASM). In the majority of cases, however, these interventions have failed to facilitate improvements in the industry's productivity and raise the living standards of the sector's subsistence operators. This article argues that a poor understanding of the demographics of target populations has precipitated these outcomes. In order to strengthen policy and assistance in the sector, governments must determine, with greater precision, the number of people operating in ASM regions, their origins and ethnic backgrounds, ages, and educational levels. This can be achieved by carrying out basic and localized census work before promoting ambitious sector‐specific projects aimed at improving working conditions in the industry.","author":[{"dropping-particle":"","family":"Hilson","given":"G","non-dropping-particle":"","parse-names":false,"suffix":""}],"container-title":"Natural Resources Forum","id":"ITEM-2","issue":"2","issued":{"date-parts":[["2005"]]},"page":"144-153","title":"Strengthening artisanal mining research and policy through baseline census activities","type":"article-journal","volume":"29"},"uris":["http://www.mendeley.com/documents/?uuid=447f796c-6b24-49d4-babb-b2a3e2351b39"]},{"id":"ITEM-3","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Affairs","id":"ITEM-3","issue":"424","issued":{"date-parts":[["2007"]]},"page":"413-436","title":"To move or not to move’: reflections on the resettlement of artisanal miners in the western region of Ghana","type":"article-journal","volume":"106"},"uris":["http://www.mendeley.com/documents/?uuid=8ef2711f-ce75-4c5a-8a00-8e27b49f07cf"]},{"id":"ITEM-4","itemData":{"author":[{"dropping-particle":"","family":"Spiegal","given":"SJ","non-dropping-particle":"","parse-names":false,"suffix":""}],"container-title":"Resources Policy","id":"ITEM-4","issued":{"date-parts":[["2009"]]},"page":"39-44","title":"Resource policies and small-scale gold mining in Zimbabwe","type":"article-journal","volume":"34"},"uris":["http://www.mendeley.com/documents/?uuid=92559fdc-94b9-4cde-9fb6-c45edd09ceee"]},{"id":"ITEM-5","itemData":{"abstract":"a b s t r a c t Millions of people worldwide are involved in artisanal and small-scale gold mining. Many of them live in conditions of poverty and insalubrities due to the mercury amalgamation of gold and the application of other rudimentary techniques. In spite of this, the sector has been nearly overlooked by resource economists. In this paper we analyze the sector based on a survey of the existing literature. We find some commonalities of artisanal and small-scale gold mining in different countries of the developing world as follows: low levels of mechanization and technology, labor intensiveness, low awareness of environmental degradation, poor training, high transience among some miners, and lack of financial savings. Moreover, with these commonalities in mind, we present some topics and challenges for a research agenda in</w:instrText>
      </w:r>
      <w:r w:rsidR="002F0CEA" w:rsidRPr="00636641">
        <w:rPr>
          <w:rFonts w:cstheme="majorHAnsi"/>
          <w:iCs/>
          <w:sz w:val="22"/>
          <w:szCs w:val="22"/>
          <w:lang w:val="fr-FR" w:eastAsia="zh-CN"/>
        </w:rPr>
        <w:instrText xml:space="preserve"> the field of environmental, ecological, and development economics.","author":[{"dropping-particle":"","family":"Saldarriaga-Isaza","given":"Adrián","non-dropping-particle":"","parse-names":false,"suffix":""},{"dropping-particle":"","family":"Villegas-Palacio","given":"Clara","non-dropping-particle":"","parse-names":false,"suffix":""},{"dropping-particle":"","family":"Arango","given":"Santiago","non-dropping-particle":"","parse-names":false,"suffix":""}],"container-title":"Resources Policy","id":"ITEM-5","issue":"2","issued":{"date-parts":[["2013"]]},"page":"224-232","title":"The public good dilemma of a non-renewable common resource: a look at the facts of artisanal gold mining","type":"article-journal","volume":"38"},"uris":["http://www.mendeley.com/documents/?uuid=9112f4f7-b1fb-43ae-8ee5-daf59e85ff33"]}],"mendeley":{"formattedCitation":"(Hentschel et al., 2002; G. Hilson et al., 2007; G Hilson, 2005; Saldarriaga-Isaza et al., 2013; Spiegal, 2009)","manualFormatting":"(Hentschel et al., 2002; Hilson et al., 2007; Hilson, 2005; Saldarriaga-Isaza et al, 2013; Spiegal, 2009)","plainTextFormattedCitation":"(Hentschel et al., 2002; G. Hilson et al., 2007; G Hilson, 2005; Saldarriaga-Isaza et al., 2013; Spiegal, 2009)","previouslyFormattedCitation":"(Hentschel et al., 2002; G. Hilson et al., 2007; G Hilson, 2005; Saldarriaga-Isaza et al., 2013; Spiegal, 2009)"},"properties":{"noteIndex":0},"schema":"https://github.com/citation-style-language/schema/raw/master/csl-citation.json"}</w:instrText>
      </w:r>
      <w:r w:rsidRPr="004E053C">
        <w:rPr>
          <w:rFonts w:cstheme="majorHAnsi"/>
          <w:iCs/>
          <w:sz w:val="22"/>
          <w:szCs w:val="22"/>
          <w:lang w:val="en-GB" w:eastAsia="zh-CN"/>
        </w:rPr>
        <w:fldChar w:fldCharType="separate"/>
      </w:r>
      <w:r w:rsidRPr="004E053C">
        <w:rPr>
          <w:rFonts w:cstheme="majorHAnsi"/>
          <w:iCs/>
          <w:noProof/>
          <w:sz w:val="22"/>
          <w:szCs w:val="22"/>
          <w:lang w:val="fr-FR" w:eastAsia="zh-CN"/>
        </w:rPr>
        <w:t>(Hentschel et al., 2002; Hilson et al., 2007; Hilson, 2005; Saldarriaga-Isaza et al, 2013; Spiegal, 2009)</w:t>
      </w:r>
      <w:r w:rsidRPr="004E053C">
        <w:rPr>
          <w:rFonts w:cstheme="majorHAnsi"/>
          <w:iCs/>
          <w:sz w:val="22"/>
          <w:szCs w:val="22"/>
          <w:lang w:val="en-GB" w:eastAsia="zh-CN"/>
        </w:rPr>
        <w:fldChar w:fldCharType="end"/>
      </w:r>
      <w:r w:rsidRPr="004E053C">
        <w:rPr>
          <w:rFonts w:cstheme="majorHAnsi"/>
          <w:iCs/>
          <w:sz w:val="22"/>
          <w:szCs w:val="22"/>
          <w:lang w:val="fr-FR" w:eastAsia="zh-CN"/>
        </w:rPr>
        <w:t xml:space="preserve">. </w:t>
      </w:r>
      <w:r w:rsidRPr="004E053C">
        <w:rPr>
          <w:rFonts w:cstheme="majorHAnsi"/>
          <w:sz w:val="22"/>
          <w:szCs w:val="22"/>
          <w:lang w:val="en-GB" w:eastAsia="zh-CN"/>
        </w:rPr>
        <w:t xml:space="preserve">This includes an appreciation of the role migration plays in ASM livelihoods, especially as the miners’ mobility impacts on both formalisation </w:t>
      </w:r>
      <w:r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{"citationItems":[{"id":"ITEM-1","itemData":{"abstract":"This paper analyses current policy and legislation in relation to the praxis of artisanal gold mining in Mozambique. Approximately 20,000 people are involved in artisanal mining in central Mozambique, producing annually 480–600kg of gold, 85–90% of which remains in the informal economy. The current legislation, however, is inadequate: artisanal mining is supposed to take place in predetermined “designated areas”, none of which are gold-rich, and, artisanal miners are supposed to get an individual mining pass from provincial authorities, which rarely occurs. Artisanal miners’ associations get support from the Mining Development Fund. Yet, as these organisations are only viable where ore permits long lasting exploitation, their members represent less than 30% of the workforce. Hence the scope for improving miners’ working conditions and limiting their environmental impact through this type of organisation is limited. On the other hand, siltation of rivers and their pollution with heavy metals goes unchecked while the prohibition of artisanal mining, in and around conservation areas has proven counterproductive. The design of more appropriate policies, particularly those pertaining to the environment, hinges upon a better understanding of the socio-economic dynamics of the sector.","author":[{"dropping-particle":"","family":"Dondeyne","given":"S.","non-dropping-particle":"","parse-names":false,"suffix":""},{"dropping-particle":"","family":"Ndunguru","given":"E.","non-dropping-particle":"","parse-names":false,"suffix":""},{"dropping-particle":"","family":"Rafael","given":"P.","non-dropping-particle":"","parse-names":false,"suffix":""},{"dropping-particle":"","family":"Bannerman","given":"J.","non-dropping-particle":"","parse-names":false,"suffix":""}],"container-title":"Resources Policy","id":"ITEM-1","issue":"1","issued":{"date-parts":[["2009"]]},"page":"45-50","title":"Artisanal mining in central Mozambique: policy and environmental issues of concern","type":"article-journal","volume":"34"},"uris":["http://www.mendeley.com/documents/?uuid=771c9fc6-161f-3e4b-b167-9a69c8f93fc3"]}],"mendeley":{"formattedCitation":"(Dondeyne et al., 2009)","plainTextFormattedCitation":"(Dondeyne et al., 2009)","previouslyFormattedCitation":"(Dondeyne et al., 2009)"},"properties":{"noteIndex":0},"schema":"https://github.com/citation-style-language/schema/raw/master/csl-citation.json"}</w:instrText>
      </w:r>
      <w:r w:rsidRPr="004E053C">
        <w:rPr>
          <w:rFonts w:cstheme="majorHAnsi"/>
          <w:sz w:val="22"/>
          <w:szCs w:val="22"/>
          <w:lang w:val="en-GB" w:eastAsia="zh-CN"/>
        </w:rPr>
        <w:fldChar w:fldCharType="separate"/>
      </w:r>
      <w:r w:rsidRPr="004E053C">
        <w:rPr>
          <w:rFonts w:cstheme="majorHAnsi"/>
          <w:noProof/>
          <w:sz w:val="22"/>
          <w:szCs w:val="22"/>
          <w:lang w:val="en-GB" w:eastAsia="zh-CN"/>
        </w:rPr>
        <w:t>(Dondeyne et al., 2009)</w:t>
      </w:r>
      <w:r w:rsidRPr="004E053C">
        <w:rPr>
          <w:rFonts w:cstheme="majorHAnsi"/>
          <w:sz w:val="22"/>
          <w:szCs w:val="22"/>
          <w:lang w:val="en-GB" w:eastAsia="zh-CN"/>
        </w:rPr>
        <w:fldChar w:fldCharType="end"/>
      </w:r>
      <w:r w:rsidRPr="004E053C">
        <w:rPr>
          <w:rFonts w:cstheme="majorHAnsi"/>
          <w:sz w:val="22"/>
          <w:szCs w:val="22"/>
          <w:lang w:val="en-GB" w:eastAsia="zh-CN"/>
        </w:rPr>
        <w:t xml:space="preserve"> and the environment </w:t>
      </w:r>
      <w:r w:rsidRPr="004E053C">
        <w:rPr>
          <w:rFonts w:cstheme="majorHAnsi"/>
          <w:sz w:val="22"/>
          <w:szCs w:val="22"/>
          <w:lang w:val="en-GB" w:eastAsia="zh-CN"/>
        </w:rPr>
        <w:fldChar w:fldCharType="begin" w:fldLock="1"/>
      </w:r>
      <w:r w:rsidRPr="004E053C">
        <w:rPr>
          <w:rFonts w:cstheme="majorHAnsi"/>
          <w:sz w:val="22"/>
          <w:szCs w:val="22"/>
          <w:lang w:val="en-GB" w:eastAsia="zh-CN"/>
        </w:rPr>
        <w:instrText>ADDIN CSL_CITATION {"citationItems":[{"id":"ITEM-1","itemData":{"abstract":"This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Policy","id":"ITEM-1","issue":"1-2","issued":{"date-parts":[["2009"]]},"page":"51-56","title":"Artisanal and small-scale mining as an extralegal economy: De Soto and the redefinition of 'formalization'","type":"article-journal","volume":"34"},"uris":["http://www.mendeley.com/documents/?uuid=0cd7f80e-58cc-4421-9a78-f30864db4d69"]}],"mendeley":{"formattedCitation":"(Siegel &amp; Veiga, 2009)","plainTextFormattedCitation":"(Siegel &amp; Veiga, 2009)","previouslyFormattedCitation":"(Siegel &amp; Veiga, 2009)"},"properties":{"noteIndex":0},"schema":"https://github.com/citation-style-language/schema/raw/master/csl-citation.json"}</w:instrText>
      </w:r>
      <w:r w:rsidRPr="004E053C">
        <w:rPr>
          <w:rFonts w:cstheme="majorHAnsi"/>
          <w:sz w:val="22"/>
          <w:szCs w:val="22"/>
          <w:lang w:val="en-GB" w:eastAsia="zh-CN"/>
        </w:rPr>
        <w:fldChar w:fldCharType="separate"/>
      </w:r>
      <w:r w:rsidRPr="004E053C">
        <w:rPr>
          <w:rFonts w:cstheme="majorHAnsi"/>
          <w:noProof/>
          <w:sz w:val="22"/>
          <w:szCs w:val="22"/>
          <w:lang w:val="en-GB" w:eastAsia="zh-CN"/>
        </w:rPr>
        <w:t>(Siegel &amp; Veiga, 2009)</w:t>
      </w:r>
      <w:r w:rsidRPr="004E053C">
        <w:rPr>
          <w:rFonts w:cstheme="majorHAnsi"/>
          <w:sz w:val="22"/>
          <w:szCs w:val="22"/>
          <w:lang w:val="en-GB" w:eastAsia="zh-CN"/>
        </w:rPr>
        <w:fldChar w:fldCharType="end"/>
      </w:r>
      <w:r w:rsidRPr="004E053C">
        <w:rPr>
          <w:rFonts w:cstheme="majorHAnsi"/>
          <w:sz w:val="22"/>
          <w:szCs w:val="22"/>
          <w:lang w:val="en-GB" w:eastAsia="zh-CN"/>
        </w:rPr>
        <w:t xml:space="preserve">. </w:t>
      </w:r>
      <w:r w:rsidRPr="004E053C">
        <w:rPr>
          <w:rFonts w:cstheme="minorHAnsi"/>
          <w:iCs/>
          <w:sz w:val="22"/>
          <w:szCs w:val="22"/>
          <w:lang w:val="en-GB" w:eastAsia="zh-CN"/>
        </w:rPr>
        <w:t xml:space="preserve">Increasing numbers of individuals are migrating to work in ASM, highlighting how households utilise </w:t>
      </w:r>
      <w:r w:rsidRPr="004E053C">
        <w:rPr>
          <w:rFonts w:cstheme="minorHAnsi"/>
          <w:sz w:val="22"/>
          <w:szCs w:val="22"/>
          <w:lang w:val="en-GB" w:eastAsia="zh-CN"/>
        </w:rPr>
        <w:t xml:space="preserve">spatial mobility strategies in their livelihood </w:t>
      </w:r>
      <w:r w:rsidRPr="004E053C">
        <w:rPr>
          <w:rFonts w:cstheme="minorHAnsi"/>
          <w:sz w:val="22"/>
          <w:szCs w:val="22"/>
          <w:lang w:val="en-GB" w:eastAsia="zh-CN"/>
        </w:rPr>
        <w:fldChar w:fldCharType="begin" w:fldLock="1"/>
      </w:r>
      <w:r w:rsidR="002F0CEA">
        <w:rPr>
          <w:rFonts w:cstheme="minorHAnsi"/>
          <w:sz w:val="22"/>
          <w:szCs w:val="22"/>
          <w:lang w:val="en-GB" w:eastAsia="zh-CN"/>
        </w:rPr>
        <w:instrText>ADDIN CSL_CITATION {"citationItems":[{"id":"ITEM-1","itemData":{"abstract":"Over the past 10–15 years, several governments have implemented an array of technology, support‐related, sustainable livelihoods (SL) and poverty‐reduction projects for artisanal and small‐scale mining (ASM). In the majority of cases, however, these interventions have failed to facilitate improvements in the industry's productivity and raise the living standards of the sector's subsistence operators. This article argues that a poor understanding of the demographics of target populations has precipitated these outcomes. In order to strengthen policy and assistance in the sector, governments must determine, with greater precision, the number of people operating in ASM regions, their origins and ethnic backgrounds, ages, and educational levels. This can be achieved by carrying out basic and localized census work before promoting ambitious sector‐specific projects aimed at improving working conditions in the industry.","author":[{"dropping-particle":"","family":"Hilson","given":"G","non-dropping-particle":"","parse-names":false,"suffix":""}],"container-title":"Natural Resources Forum","id":"ITEM-1","issue":"2","issued":{"date-parts":[["2005"]]},"page":"144-153","title":"Strengthening artisanal mining research and policy through baseline census activities","type":"article-journal","volume":"29"},"uris":["http://www.mendeley.com/documents/?uuid=447f796c-6b24-49d4-babb-b2a3e2351b39"]},{"id":"ITEM-2","itemData":{"abstract":"African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Change","id":"ITEM-2","issue":"2","issued":{"date-parts":[["2009"]]},"page":"249-279","title":"Rushing for gold: mobility and small-scale mining in East Africa","type":"article-journal","volume":"40"},"uris":["http://www.mendeley.com/documents/?uuid=de9c4f73-7d08-4fe3-9443-72b7c45b2369"]}],"mendeley":{"formattedCitation":"(G Hilson, 2005; Jønsson &amp; Bryceson, 2009)","manualFormatting":"(Hilson, 2005; Jønsson &amp; Bryceson, 2009)","plainTextFormattedCitation":"(G Hilson, 2005; Jønsson &amp; Bryceson, 2009)","previouslyFormattedCitation":"(G Hilson, 2005; Jønsson &amp; Bryceson, 2009)"},"properties":{"noteIndex":0},"schema":"https://github.com/citation-style-language/schema/raw/master/csl-citation.json"}</w:instrText>
      </w:r>
      <w:r w:rsidRPr="004E053C">
        <w:rPr>
          <w:rFonts w:cstheme="minorHAnsi"/>
          <w:sz w:val="22"/>
          <w:szCs w:val="22"/>
          <w:lang w:val="en-GB" w:eastAsia="zh-CN"/>
        </w:rPr>
        <w:fldChar w:fldCharType="separate"/>
      </w:r>
      <w:r w:rsidRPr="004E053C">
        <w:rPr>
          <w:rFonts w:cstheme="minorHAnsi"/>
          <w:noProof/>
          <w:sz w:val="22"/>
          <w:szCs w:val="22"/>
          <w:lang w:val="en-GB" w:eastAsia="zh-CN"/>
        </w:rPr>
        <w:t>(Hilson, 2005; Jønsson &amp; Bryceson, 2009)</w:t>
      </w:r>
      <w:r w:rsidRPr="004E053C">
        <w:rPr>
          <w:rFonts w:cstheme="minorHAnsi"/>
          <w:sz w:val="22"/>
          <w:szCs w:val="22"/>
          <w:lang w:val="en-GB" w:eastAsia="zh-CN"/>
        </w:rPr>
        <w:fldChar w:fldCharType="end"/>
      </w:r>
      <w:r w:rsidR="00A95A06" w:rsidRPr="004E053C">
        <w:rPr>
          <w:rFonts w:cstheme="minorHAnsi"/>
          <w:sz w:val="22"/>
          <w:szCs w:val="22"/>
          <w:lang w:val="en-GB" w:eastAsia="zh-CN"/>
        </w:rPr>
        <w:t>.</w:t>
      </w:r>
      <w:r w:rsidRPr="004E053C">
        <w:rPr>
          <w:rFonts w:cstheme="minorHAnsi"/>
          <w:sz w:val="22"/>
          <w:szCs w:val="22"/>
          <w:lang w:val="en-GB" w:eastAsia="zh-CN"/>
        </w:rPr>
        <w:t xml:space="preserve"> In the Amazon, many </w:t>
      </w:r>
      <w:r w:rsidRPr="004E053C">
        <w:rPr>
          <w:rFonts w:eastAsia="Times New Roman" w:cs="Times New Roman"/>
          <w:sz w:val="22"/>
          <w:szCs w:val="22"/>
          <w:lang w:val="en-GB" w:eastAsia="zh-CN"/>
        </w:rPr>
        <w:t xml:space="preserve">small-scale miners are migrants. Evidence shows that local populations in countries such as Colombia and Suriname are increasingly having to compete with miners from elsewhere within the country and further afield </w:t>
      </w:r>
      <w:r w:rsidR="009A537B" w:rsidRPr="004E053C">
        <w:rPr>
          <w:rFonts w:eastAsia="Times New Roman" w:cs="Times New Roman"/>
          <w:sz w:val="22"/>
          <w:szCs w:val="22"/>
          <w:lang w:val="en-GB" w:eastAsia="zh-CN"/>
        </w:rPr>
        <w:fldChar w:fldCharType="begin" w:fldLock="1"/>
      </w:r>
      <w:r w:rsidR="005D0B08">
        <w:rPr>
          <w:rFonts w:eastAsia="Times New Roman" w:cs="Times New Roman"/>
          <w:sz w:val="22"/>
          <w:szCs w:val="22"/>
          <w:lang w:val="en-GB" w:eastAsia="zh-CN"/>
        </w:rPr>
        <w:instrText>ADDIN CSL_CITATION {"citationItems":[{"id":"ITEM-1","itemData":{"author":[{"dropping-particle":"","family":"Theije","given":"Marjo","non-dropping-particle":"De","parse-names":false,"suffix":""},{"dropping-particle":"","family":"Bal","given":"Ellen","non-dropping-particle":"","parse-names":false,"suffix":""}],"chapter-number":"4","container-title":"A World of Insecurity: Anthropological Perspectives on Human Security","editor":[{"dropping-particle":"","family":"Eriksen","given":"Thomas Hylland","non-dropping-particle":"","parse-names":false,"suffix":""},{"dropping-particle":"","family":"Bal","given":"Ellen","non-dropping-particle":"","parse-names":false,"suffix":""},{"dropping-particle":"","family":"Salemink","given":"Oscar","non-dropping-particle":"","parse-names":false,"suffix":""}],"id":"ITEM-1","issued":{"date-parts":[["2010"]]},"page":"66-88","publisher":"Pluto Press","publisher-place":"London, UK","title":"Flexible migrants. Brazilian gold miners and their quest for human security in Surinam","type":"chapter"},"uris":["http://www.mendeley.com/documents/?uuid=a0fe66b5-a57d-46fa-a5b9-03db4e85f100"]},{"id":"ITEM-2","itemData":{"author":[{"dropping-particle":"","family":"Kolen","given":"Judith","non-dropping-particle":"","parse-names":false,"suffix":""},{"dropping-particle":"","family":"Theije","given":"Marjo","non-dropping-particle":"de","parse-names":false,"suffix":""},{"dropping-particle":"","family":"Mathis","given":"Armin","non-dropping-particle":"","parse-names":false,"suffix":""}],"chapter-number":"Chapter 3","container-title":"Small-scale Gold Mining in the Amazon: The Cases of Bolivia, Brazil, Colombia, Peru and Suriname","editor":[{"dropping-particle":"","family":"Cremers","given":"Leontien","non-dropping-particle":"","parse-names":false,"suffix":""},{"dropping-particle":"","family":"Kolen","given":"Judith","non-dropping-particle":"","parse-names":false,"suffix":""},{"dropping-particle":"","family":"Theije","given":"Marjo","non-dropping-particle":"de","parse-names":false,"suffix":""}],"id":"ITEM-2","issued":{"date-parts":[["2013"]]},"page":"31-45","publisher":"CEDLA","publisher-place":"Amsterdam","title":"Formalized small-scale gold mining in the Brazilian Amazon: An activity surrounded by informality","type":"chapter"},"uris":["http://www.mendeley.com/documents/?uuid=4a2c58ce-7e0c-4f42-8843-9dfa2f9c286a"]},{"id":"ITEM-3","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-3","issued":{"date-parts":[["2013"]]},"page":"1-17","publisher":"Cuadernos del CEDLA no.26","publisher-place":"Amsterdam","title":"Small-scale gold mining in the Amazon","type":"chapter"},"uris":["http://www.mendeley.com/documents/?uuid=92fc2d78-55d0-4473-a651-4b870d4fb876"]}],"mendeley":{"formattedCitation":"(L. Cremers &amp; de Theije, 2013; De Theije &amp; Bal, 2010; Kolen et al., 2013)","manualFormatting":"(Cremers &amp; de Theije, 2013; De Theije &amp; Bal, 2010; Kolen et al., 2013)","plainTextFormattedCitation":"(L. Cremers &amp; de Theije, 2013; De Theije &amp; Bal, 2010; Kolen et al., 2013)","previouslyFormattedCitation":"(L. Cremers &amp; de Theije, 2013; De Theije &amp; Bal, 2010; Kolen et al., 2013)"},"properties":{"noteIndex":0},"schema":"https://github.com/citation-style-language/schema/raw/master/csl-citation.json"}</w:instrText>
      </w:r>
      <w:r w:rsidR="009A537B" w:rsidRPr="004E053C">
        <w:rPr>
          <w:rFonts w:eastAsia="Times New Roman" w:cs="Times New Roman"/>
          <w:sz w:val="22"/>
          <w:szCs w:val="22"/>
          <w:lang w:val="en-GB" w:eastAsia="zh-CN"/>
        </w:rPr>
        <w:fldChar w:fldCharType="separate"/>
      </w:r>
      <w:r w:rsidR="009A537B" w:rsidRPr="004E053C">
        <w:rPr>
          <w:rFonts w:eastAsia="Times New Roman" w:cs="Times New Roman"/>
          <w:noProof/>
          <w:sz w:val="22"/>
          <w:szCs w:val="22"/>
          <w:lang w:val="en-GB" w:eastAsia="zh-CN"/>
        </w:rPr>
        <w:t>(Cremers &amp; de Theije, 2013; De Theije &amp; Bal, 2010; Kolen et al., 2013)</w:t>
      </w:r>
      <w:r w:rsidR="009A537B" w:rsidRPr="004E053C">
        <w:rPr>
          <w:rFonts w:eastAsia="Times New Roman" w:cs="Times New Roman"/>
          <w:sz w:val="22"/>
          <w:szCs w:val="22"/>
          <w:lang w:val="en-GB" w:eastAsia="zh-CN"/>
        </w:rPr>
        <w:fldChar w:fldCharType="end"/>
      </w:r>
      <w:r w:rsidRPr="004E053C">
        <w:rPr>
          <w:rFonts w:eastAsia="Times New Roman" w:cs="Times New Roman"/>
          <w:sz w:val="22"/>
          <w:szCs w:val="22"/>
          <w:lang w:val="en-GB" w:eastAsia="zh-CN"/>
        </w:rPr>
        <w:t>.</w:t>
      </w:r>
      <w:r w:rsidRPr="004E053C">
        <w:rPr>
          <w:rFonts w:cstheme="minorHAnsi"/>
          <w:sz w:val="22"/>
          <w:szCs w:val="22"/>
          <w:lang w:val="en-GB"/>
        </w:rPr>
        <w:t xml:space="preserve"> This is partly due to the improved infrastructure that has substantially reduced the difficulties associated with travelling to mining sites. In Suriname for example, Brazilian miners now arrive by air rather than crossing a land border </w:t>
      </w:r>
      <w:r w:rsidR="009A537B" w:rsidRPr="004E053C">
        <w:rPr>
          <w:rFonts w:cstheme="minorHAnsi"/>
          <w:sz w:val="22"/>
          <w:szCs w:val="22"/>
          <w:lang w:val="en-GB"/>
        </w:rPr>
        <w:fldChar w:fldCharType="begin" w:fldLock="1"/>
      </w:r>
      <w:r w:rsidR="007A757C" w:rsidRPr="004E053C">
        <w:rPr>
          <w:rFonts w:cstheme="minorHAnsi"/>
          <w:sz w:val="22"/>
          <w:szCs w:val="22"/>
          <w:lang w:val="en-GB"/>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2009)","plainTextFormattedCitation":"(De Theije &amp; Heemskerk, 2009)","previouslyFormattedCitation":"(De Theije &amp; Heemskerk, 2009)"},"properties":{"noteIndex":0},"schema":"https://github.com/citation-style-language/schema/raw/master/csl-citation.json"}</w:instrText>
      </w:r>
      <w:r w:rsidR="009A537B" w:rsidRPr="004E053C">
        <w:rPr>
          <w:rFonts w:cstheme="minorHAnsi"/>
          <w:sz w:val="22"/>
          <w:szCs w:val="22"/>
          <w:lang w:val="en-GB"/>
        </w:rPr>
        <w:fldChar w:fldCharType="separate"/>
      </w:r>
      <w:r w:rsidR="009A537B" w:rsidRPr="004E053C">
        <w:rPr>
          <w:rFonts w:cstheme="minorHAnsi"/>
          <w:noProof/>
          <w:sz w:val="22"/>
          <w:szCs w:val="22"/>
          <w:lang w:val="en-GB"/>
        </w:rPr>
        <w:t>(De Theije &amp; Heemskerk, 2009)</w:t>
      </w:r>
      <w:r w:rsidR="009A537B" w:rsidRPr="004E053C">
        <w:rPr>
          <w:rFonts w:cstheme="minorHAnsi"/>
          <w:sz w:val="22"/>
          <w:szCs w:val="22"/>
          <w:lang w:val="en-GB"/>
        </w:rPr>
        <w:fldChar w:fldCharType="end"/>
      </w:r>
      <w:r w:rsidRPr="004E053C">
        <w:rPr>
          <w:rFonts w:eastAsia="Times New Roman" w:cstheme="minorHAnsi"/>
          <w:sz w:val="22"/>
          <w:szCs w:val="22"/>
          <w:lang w:val="en-GB" w:eastAsia="zh-CN"/>
        </w:rPr>
        <w:t xml:space="preserve">. </w:t>
      </w:r>
      <w:r w:rsidRPr="004E053C">
        <w:rPr>
          <w:rFonts w:cstheme="minorHAnsi"/>
          <w:sz w:val="22"/>
          <w:szCs w:val="22"/>
          <w:lang w:val="en-GB"/>
        </w:rPr>
        <w:t>However, these migrants add an important dimension to the conflicts that often emerge between artisanal miners and</w:t>
      </w:r>
      <w:r w:rsidRPr="004E053C">
        <w:rPr>
          <w:rFonts w:eastAsia="Times New Roman" w:cstheme="minorHAnsi"/>
          <w:sz w:val="22"/>
          <w:szCs w:val="22"/>
          <w:lang w:val="en-GB" w:eastAsia="zh-CN"/>
        </w:rPr>
        <w:t xml:space="preserve"> local communities, the state, large companies, and/or environmental activist </w:t>
      </w:r>
      <w:r w:rsidR="009A537B" w:rsidRPr="004E053C">
        <w:rPr>
          <w:rFonts w:eastAsia="Times New Roman" w:cstheme="minorHAnsi"/>
          <w:sz w:val="22"/>
          <w:szCs w:val="22"/>
          <w:lang w:val="en-GB" w:eastAsia="zh-CN"/>
        </w:rPr>
        <w:fldChar w:fldCharType="begin" w:fldLock="1"/>
      </w:r>
      <w:r w:rsidR="002F0CEA">
        <w:rPr>
          <w:rFonts w:eastAsia="Times New Roman" w:cstheme="minorHAnsi"/>
          <w:sz w:val="22"/>
          <w:szCs w:val="22"/>
          <w:lang w:val="en-GB" w:eastAsia="zh-CN"/>
        </w:rPr>
        <w:instrText>ADDIN CSL_CITATION {"citationItems":[{"id":"ITEM-1","itemData":{"author":[{"dropping-particle":"","family":"Salman","given":"T","non-dropping-particle":"","parse-names":false,"suffix":""},{"dropping-particle":"","family":"Theije","given":"M","non-dropping-particle":"de","parse-names":false,"suffix":""},{"dropping-particle":"","family":"Vélez-Torres","given":"I","non-dropping-particle":"","parse-names":false,"suffix":""}],"container-title":"Ecology and Society","id":"ITEM-1","issue":"3","issued":{"date-parts":[["2018"]]},"page":"30","title":"Structures, actors, and interactions in the analysis of natural resource conflicts","type":"article-journal","volume":"23"},"uris":["http://www.mendeley.com/documents/?uuid=99da8e39-5459-3445-8be1-c3f9a66af206"]}],"mendeley":{"formattedCitation":"(Salman et al., 2018)","manualFormatting":"(Salman et al., 2018)","plainTextFormattedCitation":"(Salman et al., 2018)","previouslyFormattedCitation":"(Salman et al., 2018)"},"properties":{"noteIndex":0},"schema":"https://github.com/citation-style-language/schema/raw/master/csl-citation.json"}</w:instrText>
      </w:r>
      <w:r w:rsidR="009A537B" w:rsidRPr="004E053C">
        <w:rPr>
          <w:rFonts w:eastAsia="Times New Roman" w:cstheme="minorHAnsi"/>
          <w:sz w:val="22"/>
          <w:szCs w:val="22"/>
          <w:lang w:val="en-GB" w:eastAsia="zh-CN"/>
        </w:rPr>
        <w:fldChar w:fldCharType="separate"/>
      </w:r>
      <w:r w:rsidR="009A537B" w:rsidRPr="004E053C">
        <w:rPr>
          <w:rFonts w:eastAsia="Times New Roman" w:cstheme="minorHAnsi"/>
          <w:noProof/>
          <w:sz w:val="22"/>
          <w:szCs w:val="22"/>
          <w:lang w:val="en-GB" w:eastAsia="zh-CN"/>
        </w:rPr>
        <w:t>(Salman et al., 2018)</w:t>
      </w:r>
      <w:r w:rsidR="009A537B" w:rsidRPr="004E053C">
        <w:rPr>
          <w:rFonts w:eastAsia="Times New Roman" w:cstheme="minorHAnsi"/>
          <w:sz w:val="22"/>
          <w:szCs w:val="22"/>
          <w:lang w:val="en-GB" w:eastAsia="zh-CN"/>
        </w:rPr>
        <w:fldChar w:fldCharType="end"/>
      </w:r>
      <w:r w:rsidRPr="004E053C">
        <w:rPr>
          <w:rFonts w:eastAsia="Times New Roman" w:cstheme="minorHAnsi"/>
          <w:sz w:val="22"/>
          <w:szCs w:val="22"/>
          <w:lang w:val="en-GB" w:eastAsia="zh-CN"/>
        </w:rPr>
        <w:t>.</w:t>
      </w:r>
      <w:r w:rsidRPr="004E053C">
        <w:rPr>
          <w:rFonts w:cstheme="minorHAnsi"/>
          <w:sz w:val="22"/>
          <w:szCs w:val="22"/>
          <w:lang w:val="en-GB"/>
        </w:rPr>
        <w:t xml:space="preserve"> This section will give an overview of the nexus between migration and ASM to illustrate what is known about how migratory practices impact on ASM communities and the people within them.</w:t>
      </w:r>
    </w:p>
    <w:p w14:paraId="4552F3EF" w14:textId="77777777" w:rsidR="00D36963" w:rsidRPr="004E053C" w:rsidRDefault="00D36963" w:rsidP="004E053C">
      <w:pPr>
        <w:spacing w:line="360" w:lineRule="auto"/>
        <w:jc w:val="both"/>
        <w:rPr>
          <w:rFonts w:cstheme="majorHAnsi"/>
          <w:b/>
          <w:sz w:val="22"/>
          <w:szCs w:val="22"/>
          <w:lang w:val="en-GB"/>
        </w:rPr>
      </w:pPr>
    </w:p>
    <w:p w14:paraId="1A64FA82" w14:textId="77777777" w:rsidR="00D36963" w:rsidRPr="004E053C" w:rsidRDefault="00D36963" w:rsidP="004E053C">
      <w:pPr>
        <w:pStyle w:val="Heading3"/>
        <w:rPr>
          <w:rFonts w:asciiTheme="minorHAnsi" w:hAnsiTheme="minorHAnsi"/>
        </w:rPr>
      </w:pPr>
      <w:r w:rsidRPr="004E053C">
        <w:rPr>
          <w:rFonts w:asciiTheme="minorHAnsi" w:hAnsiTheme="minorHAnsi"/>
        </w:rPr>
        <w:t>2.4.1. Migration and ASM</w:t>
      </w:r>
    </w:p>
    <w:p w14:paraId="2EEB092C" w14:textId="77777777" w:rsidR="00D36963" w:rsidRPr="004E053C" w:rsidRDefault="00D36963" w:rsidP="004E053C">
      <w:pPr>
        <w:spacing w:line="360" w:lineRule="auto"/>
        <w:jc w:val="both"/>
      </w:pPr>
    </w:p>
    <w:p w14:paraId="09CB9C74" w14:textId="25BAC540" w:rsidR="00D36963" w:rsidRPr="004E053C" w:rsidRDefault="00D36963"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t xml:space="preserve">For many poor households, ASM represents a diversification strategy that supports agricultural income </w:t>
      </w:r>
      <w:r w:rsidRPr="004E053C">
        <w:rPr>
          <w:rFonts w:cstheme="majorHAnsi"/>
          <w:color w:val="000000"/>
          <w:sz w:val="22"/>
          <w:szCs w:val="22"/>
          <w:lang w:val="en-GB"/>
        </w:rPr>
        <w:fldChar w:fldCharType="begin" w:fldLock="1"/>
      </w:r>
      <w:r w:rsidR="007A757C" w:rsidRPr="004E053C">
        <w:rPr>
          <w:rFonts w:cstheme="majorHAnsi"/>
          <w:color w:val="000000"/>
          <w:sz w:val="22"/>
          <w:szCs w:val="22"/>
          <w:lang w:val="en-GB"/>
        </w:rPr>
        <w:instrText>ADDIN CSL_CITATION {"citationItems":[{"id":"ITEM-1","itemData":{"abstract":"Artisanal and small-scale mining (ASM) is often characterised as rush-type activity undertaken by people looking to 'get-rich quick'. An alternative view posits ASM as poverty-driven activity which provides a valuable source of employment to a rural population where agriculture has failed to provide an adequate income. Against this dichotomy, this article critically reviews the short-lived, but high profile, gold rush which occurred on the beaches of Elmina, a fishing town in Ghana's Central Region. At its peak, more than 1000 people, including local fishermen and career miners from the Western Region and Eastern Region of the country, were mining on the beaches. Drawing on interviews with miners and local business owners, the analysis explores the dynamics of the rush and its implications for understanding the ASM sector in Ghana. The discussion highlights the challenges associated with managing resources in dynamic and heterogeneous contexts, reconciling separate and conflicting sectoral priorities and the need to go beyond simplified and dualistic representations of the sector. © 2013 Elsevier Ltd.","author":[{"dropping-particle":"","family":"Hirons","given":"Mark","non-dropping-particle":"","parse-names":false,"suffix":""}],"container-title":"Resources Policy","id":"ITEM-1","issue":"1","issued":{"date-parts":[["2014"]]},"page":"83-89","publisher":"Elsevier","title":"Shifting sand, shifting livelihoods? Reflections on a coastal gold rush in Ghana","type":"article-journal","volume":"41"},"uris":["http://www.mendeley.com/documents/?uuid=94c97693-13b2-4f58-a556-905f44c55cb7"]},{"id":"ITEM-2","itemData":{"abstract":"This article explores the contribution that artisanal and small-scale mining (ASM) makes to poverty reduction in Tanzania, drawing on findings from research on gold and diamond mining in Mwanza Region. The evidence suggests that people working in mining or related services are less likely to be in poverty than those with other occupations. However, the picture is complex; while mining income can help reduce poverty and provide a buffer from livelihood shocks, people's inability, to obtain a formal mineral claim or to effectively exploit their claims, contributes to insecurity. This is reinforced by a context in which ASM is peripheral to large-scale mining interests, is only gradually being addressed within national poverty reduction policies, and is segregated from district-level planning. © 2009 Elsevier Ltd. All rights reserved.","author":[{"dropping-particle":"","family":"Fisher","given":"Eleanor","non-dropping-particle":"","parse-names":false,"suffix":""},{"dropping-particle":"","family":"Mwaipopo","given":"Rosemarie","non-dropping-particle":"","parse-names":false,"suffix":""},{"dropping-particle":"","family":"Mutagwaba","given":"Wilson","non-dropping-particle":"","parse-names":false,"suffix":""},{"dropping-particle":"","family":"Nyange","given":"David","non-dropping-particle":"","parse-names":false,"suffix":""},{"dropping-particle":"","family":"Yaron","given":"Gil","non-dropping-particle":"","parse-names":false,"suffix":""}],"container-title":"Resources Policy","id":"ITEM-2","issue":"1-2","issued":{"date-parts":[["2009"]]},"page":"32-38","title":"'The ladder that sends us to wealth': artisanal mining and poverty reduction in Tanzania","type":"article-journal","volume":"34"},"uris":["http://www.mendeley.com/documents/?uuid=483936ae-6fbd-4a7e-973d-31df00c70bf3"]},{"id":"ITEM-3","itemData":{"abstract":"This paper argues that during the period after the March 2012 coup d'etat in Mali, rural institutions in gold-rich areas of country shifted their revenue dependence away from the state and instead drew upon a local, evolving artisanal and small-scale mining (ASM) sector. The paper discusses the effects of the March 2012 coup and its aftermath on the state and how these changes trickled down to local institutions in the rural commune of Yallankoro-Soloba. During that same period, technological advances in the commune's ASM sector increased local investment and improved profitability in ASM activities. As the state withdrew financial support from the commune government and social services, local government officials, medical services, educational institutions and local populations were able to capitalize on these ASM-generated revenues. The research finds that Mali suffers from the same ASM formalization problems as other mineral rich countries in the region. What makes Mali's situation unique is that ASM has become a critical rural industry which is not only supplying much needed income to rural people, but also serving to informally fund social institutions from the bottom up during a time of national crisis. Local government officials are stuck in limbo between the state which provides them with legitimacy and ASM which supports their communes' population and institutions. The paper concludes that even as Mali begins its recovery, there are urgent needs to formalize rural ASM. If formalization actions are delayed, technological advances will make formalization even more difficult and enable institutions and local officials to become increasingly detached from the fragile central government. © 2014 Elsevier Ltd.","author":[{"dropping-particle":"","family":"Teschner","given":"Benjamin A.","non-dropping-particle":"","parse-names":false,"suffix":""}],"container-title":"Futures","id":"ITEM-3","issue":"Part A","issued":{"date-parts":[["2014"]]},"page":"140-150","publisher":"Elsevier Ltd","title":"\"Orpaillage pays for everything\": How artisanal mining supported rural institutions following Mali's coup d'état","type":"article-journal","volume":"62"},"uris":["http://www.mendeley.com/documents/?uuid=33f18ac7-7876-404a-892a-e082cb6f91e2"]}],"mendeley":{"formattedCitation":"(Fisher et al., 2009; Hirons, 2014; Teschner, 2014)","manualFormatting":"(Hirons, 2014; Teschner, 2014)","plainTextFormattedCitation":"(Fisher et al., 2009; Hirons, 2014; Teschner, 2014)","previouslyFormattedCitation":"(Fisher et al., 2009; Hirons, 2014; Teschner, 2014)"},"properties":{"noteIndex":0},"schema":"https://github.com/citation-style-language/schema/raw/master/csl-citation.json"}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(Hirons, 2014; Teschner, 2014)</w:t>
      </w:r>
      <w:r w:rsidRPr="004E053C">
        <w:rPr>
          <w:rFonts w:cstheme="majorHAnsi"/>
          <w:color w:val="000000"/>
          <w:sz w:val="22"/>
          <w:szCs w:val="22"/>
          <w:lang w:val="en-GB"/>
        </w:rPr>
        <w:fldChar w:fldCharType="end"/>
      </w:r>
      <w:r w:rsidRPr="004E053C">
        <w:rPr>
          <w:rFonts w:cstheme="majorHAnsi"/>
          <w:color w:val="000000"/>
          <w:sz w:val="22"/>
          <w:szCs w:val="22"/>
          <w:lang w:val="en-GB"/>
        </w:rPr>
        <w:t>.</w:t>
      </w:r>
      <w:r w:rsidRPr="004E053C">
        <w:rPr>
          <w:rFonts w:cstheme="majorHAnsi"/>
          <w:sz w:val="22"/>
          <w:szCs w:val="22"/>
          <w:lang w:val="en-GB"/>
        </w:rPr>
        <w:t xml:space="preserve"> However, the impact of ASM on traditional rural livelihood</w:t>
      </w:r>
      <w:r w:rsidR="007A7DCE">
        <w:rPr>
          <w:rFonts w:cstheme="majorHAnsi"/>
          <w:sz w:val="22"/>
          <w:szCs w:val="22"/>
          <w:lang w:val="en-GB"/>
        </w:rPr>
        <w:t>s is unclear, with some writers</w:t>
      </w:r>
      <w:r w:rsidRPr="004E053C">
        <w:rPr>
          <w:rFonts w:cstheme="majorHAnsi"/>
          <w:sz w:val="22"/>
          <w:szCs w:val="22"/>
          <w:lang w:val="en-GB"/>
        </w:rPr>
        <w:t xml:space="preserve"> suggesting that ASM is replacing agriculture as the main source of income in rural communities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article explores a number of the productivity and marketing difficulties that are hindering the establishment of sustainable livelihoods in small</w:instrText>
      </w:r>
      <w:r w:rsidRPr="004E053C">
        <w:rPr>
          <w:rFonts w:cs="Papyrus"/>
          <w:sz w:val="22"/>
          <w:szCs w:val="22"/>
          <w:lang w:val="en-GB"/>
        </w:rPr>
        <w:instrText>‐</w:instrText>
      </w:r>
      <w:r w:rsidRPr="004E053C">
        <w:rPr>
          <w:rFonts w:cstheme="majorHAnsi"/>
          <w:sz w:val="22"/>
          <w:szCs w:val="22"/>
          <w:lang w:val="en-GB"/>
        </w:rPr>
        <w:instrText>scale agriculture in Sierra Leone. The emergence of the artisanal gold mining and trading sector in the central part of the country and synergies between farming and mining cycles are discussed. It is argued that small</w:instrText>
      </w:r>
      <w:r w:rsidRPr="004E053C">
        <w:rPr>
          <w:rFonts w:cs="Papyrus"/>
          <w:sz w:val="22"/>
          <w:szCs w:val="22"/>
          <w:lang w:val="en-GB"/>
        </w:rPr>
        <w:instrText>‐</w:instrText>
      </w:r>
      <w:r w:rsidRPr="004E053C">
        <w:rPr>
          <w:rFonts w:cstheme="majorHAnsi"/>
          <w:sz w:val="22"/>
          <w:szCs w:val="22"/>
          <w:lang w:val="en-GB"/>
        </w:rPr>
        <w:instrText>scale agriculture and artisanal mining are not livelihood alternatives but are instead livelihood complements. The potentially catalysing role of gold income in reinvigorating non</w:instrText>
      </w:r>
      <w:r w:rsidRPr="004E053C">
        <w:rPr>
          <w:rFonts w:cs="Papyrus"/>
          <w:sz w:val="22"/>
          <w:szCs w:val="22"/>
          <w:lang w:val="en-GB"/>
        </w:rPr>
        <w:instrText>‐</w:instrText>
      </w:r>
      <w:r w:rsidRPr="004E053C">
        <w:rPr>
          <w:rFonts w:cstheme="majorHAnsi"/>
          <w:sz w:val="22"/>
          <w:szCs w:val="22"/>
          <w:lang w:val="en-GB"/>
        </w:rPr>
        <w:instrText>mining activities is critically examined. Recent findings that explain the differing profitability of farming and mining are presented. Finally, a policy outlook is offered on how these fragile dynamics could be harnessed to promote sustainable livelihoods in rural Sierra Leone.","author":[{"dropping-particle":"","family":"Cartier","given":"L.","non-dropping-particle":"","parse-names":false,"suffix":""},{"dropping-particle":"","family":"Bürge","given":"M","non-dropping-particle":"","parse-names":false,"suffix":""}],"container-title":"Journal of International Development","id":"ITEM-1","issue":"8","issued":{"date-parts":[["2011"]]},"page":"1080-1099","title":"Agriculture and artisanal gold mining in Sierra Leone: alternatives or complements?","type":"article-journal","volume":"23"},"uris":["http://www.mendeley.com/documents/?uuid=74f07ef5-bbf7-4f26-ac61-a2c8ade8b10b"]},{"id":"ITEM-2","itemData":{"author":[{"dropping-particle":"","family":"Hoffman","given":"Max","non-dropping-particle":"","parse-names":false,"suffix":""},{"dropping-particle":"","family":"Grigera","given":"Ana I","non-dropping-particle":"","parse-names":false,"suffix":""}],"id":"ITEM-2","issued":{"date-parts":[["2013"]]},"number-of-pages":"110","publisher-place":"Washington D.C.","title":"Climate Change, Migration, and Conflict in the Amazon and the Andes Rising Tensions and Policy Options in South America","type":"report"},"uris":["http://www.mendeley.com/documents/?uuid=452d85a6-8009-3436-9de9-094826b567f3"]},{"id":"ITEM-3","itemData":{"author":[{"dropping-particle":"","family":"Lahiri-Dutt","given":"Kuntala","non-dropping-particle":"","parse-names":false,"suffix":""},{"dropping-particle":"","family":"Alexander","given":"K","non-dropping-particle":"","parse-names":false,"suffix":""},{"dropping-particle":"","family":"Insouvanh","given":"C","non-dropping-particle":"","parse-names":false,"suffix":""}],"container-title":"South East Asia Research","id":"ITEM-3","issue":"1","issued":{"date-parts":[["2014"]]},"page":"103-122","title":"Informal mining in livelihoo diversification: mineral dependence and rural communities in Lao PDR","type":"article-journal","volume":"22"},"uris":["http://www.mendeley.com/documents/?uuid=4b8e6947-a283-4797-b8e1-f2b4ebdb331c"]}],"mendeley":{"formattedCitation":"(Cartier &amp; Bürge, 2011; Hoffman &amp; Grigera, 2013; Kuntala Lahiri-Dutt et al., 2014)","manualFormatting":"(Cartier &amp; Bürge, 2011; Hoffman &amp; Grigera, 2013; Lahiri-Dutt et al., 2014)","plainTextFormattedCitation":"(Cartier &amp; Bürge, 2011; Hoffman &amp; Grigera, 2013; Kuntala Lahiri-Dutt et al., 2014)","previouslyFormattedCitation":"(Cartier &amp; Bürge, 2011; Hoffman &amp; Grigera, 2013; Kuntala Lahiri-Dutt et al.,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(Cartier &amp; Bürge, 2011; Hoffman &amp; Grigera, 2013; Lahiri-Dutt et al., 2014)</w:t>
      </w:r>
      <w:r w:rsidRPr="004E053C">
        <w:rPr>
          <w:rFonts w:cstheme="majorHAnsi"/>
          <w:sz w:val="22"/>
          <w:szCs w:val="22"/>
          <w:lang w:val="en-GB"/>
        </w:rPr>
        <w:fldChar w:fldCharType="end"/>
      </w:r>
      <w:r w:rsidRPr="004E053C">
        <w:rPr>
          <w:rFonts w:cstheme="majorHAnsi"/>
          <w:sz w:val="22"/>
          <w:szCs w:val="22"/>
          <w:lang w:val="en-GB"/>
        </w:rPr>
        <w:t xml:space="preserve">. However, in many places, individuals may only engage in the sector on a seasonal basis. For example, </w:t>
      </w:r>
      <w:r w:rsidRPr="004E053C">
        <w:rPr>
          <w:rFonts w:eastAsia="Times New Roman" w:cs="Times New Roman"/>
          <w:sz w:val="22"/>
          <w:szCs w:val="22"/>
          <w:lang w:val="en-GB" w:eastAsia="zh-CN"/>
        </w:rPr>
        <w:t>Bolivian miners continue to practice other livelihood activities, such as agriculture or nut ga</w:t>
      </w:r>
      <w:r w:rsidR="00E65D31" w:rsidRPr="004E053C">
        <w:rPr>
          <w:rFonts w:eastAsia="Times New Roman" w:cs="Times New Roman"/>
          <w:sz w:val="22"/>
          <w:szCs w:val="22"/>
          <w:lang w:val="en-GB" w:eastAsia="zh-CN"/>
        </w:rPr>
        <w:t xml:space="preserve">thering, for much of the year </w:t>
      </w:r>
      <w:r w:rsidR="00E65D31" w:rsidRPr="004E053C">
        <w:rPr>
          <w:rFonts w:eastAsia="Times New Roman" w:cs="Times New Roman"/>
          <w:sz w:val="22"/>
          <w:szCs w:val="22"/>
          <w:lang w:val="en-GB" w:eastAsia="zh-CN"/>
        </w:rPr>
        <w:fldChar w:fldCharType="begin" w:fldLock="1"/>
      </w:r>
      <w:r w:rsidR="002F0CEA">
        <w:rPr>
          <w:rFonts w:eastAsia="Times New Roman" w:cs="Times New Roman"/>
          <w:sz w:val="22"/>
          <w:szCs w:val="22"/>
          <w:lang w:val="en-GB" w:eastAsia="zh-CN"/>
        </w:rPr>
        <w:instrText>ADDIN CSL_CITATION {"citationItems":[{"id":"ITEM-1","itemData":{"author":[{"dropping-particle":"","family":"Salman","given":"T","non-dropping-particle":"","parse-names":false,"suffix":""},{"dropping-particle":"","family":"Carillo","given":"F","non-dropping-particle":"","parse-names":false,"suffix":""},{"dropping-particle":"","family":"Soruco","given":"C","non-dropping-particle":"","parse-names":false,"suffix":""}],"chapter-number":"2","container-title":"Small-Scale Gold Mining in the Amazon: The Cases of Bolivia, Brazil, Colombia, Peru and Suriname","editor":[{"dropping-particle":"","family":"Cremers","given":"Leontien","non-dropping-particle":"","parse-names":false,"suffix":""},{"dropping-particle":"","family":"Kolen","given":"Judith","non-dropping-particle":"","parse-names":false,"suffix":""},{"dropping-particle":"","family":"Theije","given":"Marjo","non-dropping-particle":"De","parse-names":false,"suffix":""}],"id":"ITEM-1","issued":{"date-parts":[["2013"]]},"page":"17-30","publisher":"Cuadernods del CEDLA","publisher-place":"Amsterdam","title":"Cooperative oganization and balsa mining in Bolivia","type":"chapter"},"uris":["http://www.mendeley.com/documents/?uuid=3e58aa07-fc7d-3f62-af78-77a98b942047"]}],"mendeley":{"formattedCitation":"(Salman, Carillo, &amp; Soruco, 2013)","manualFormatting":"(Salman, Carillo, &amp; Soruco, 2013)","plainTextFormattedCitation":"(Salman, Carillo, &amp; Soruco, 2013)","previouslyFormattedCitation":"(Salman, Carillo, &amp; Soruco, 2013)"},"properties":{"noteIndex":0},"schema":"https://github.com/citation-style-language/schema/raw/master/csl-citation.json"}</w:instrText>
      </w:r>
      <w:r w:rsidR="00E65D31" w:rsidRPr="004E053C">
        <w:rPr>
          <w:rFonts w:eastAsia="Times New Roman" w:cs="Times New Roman"/>
          <w:sz w:val="22"/>
          <w:szCs w:val="22"/>
          <w:lang w:val="en-GB" w:eastAsia="zh-CN"/>
        </w:rPr>
        <w:fldChar w:fldCharType="separate"/>
      </w:r>
      <w:r w:rsidR="00E65D31" w:rsidRPr="004E053C">
        <w:rPr>
          <w:rFonts w:eastAsia="Times New Roman" w:cs="Times New Roman"/>
          <w:noProof/>
          <w:sz w:val="22"/>
          <w:szCs w:val="22"/>
          <w:lang w:val="en-GB" w:eastAsia="zh-CN"/>
        </w:rPr>
        <w:t>(Salman, Carillo, &amp; Soruco, 2013)</w:t>
      </w:r>
      <w:r w:rsidR="00E65D31" w:rsidRPr="004E053C">
        <w:rPr>
          <w:rFonts w:eastAsia="Times New Roman" w:cs="Times New Roman"/>
          <w:sz w:val="22"/>
          <w:szCs w:val="22"/>
          <w:lang w:val="en-GB" w:eastAsia="zh-CN"/>
        </w:rPr>
        <w:fldChar w:fldCharType="end"/>
      </w:r>
      <w:r w:rsidRPr="004E053C">
        <w:rPr>
          <w:rFonts w:eastAsia="Times New Roman" w:cs="Times New Roman"/>
          <w:sz w:val="22"/>
          <w:szCs w:val="22"/>
          <w:lang w:val="en-GB" w:eastAsia="zh-CN"/>
        </w:rPr>
        <w:t xml:space="preserve">. </w:t>
      </w:r>
      <w:r w:rsidRPr="004E053C">
        <w:rPr>
          <w:rFonts w:cstheme="majorHAnsi"/>
          <w:sz w:val="22"/>
          <w:szCs w:val="22"/>
          <w:lang w:val="en-GB"/>
        </w:rPr>
        <w:t xml:space="preserve">While </w:t>
      </w:r>
      <w:r w:rsidRPr="004E053C">
        <w:rPr>
          <w:rFonts w:eastAsia="Times New Roman" w:cstheme="majorHAnsi"/>
          <w:color w:val="323232"/>
          <w:sz w:val="22"/>
          <w:szCs w:val="22"/>
          <w:lang w:val="en-GB"/>
        </w:rPr>
        <w:t xml:space="preserve">Bryceson and Jønsson </w:t>
      </w:r>
      <w:r w:rsidRPr="004E053C">
        <w:rPr>
          <w:rFonts w:eastAsia="Times New Roman" w:cstheme="majorHAnsi"/>
          <w:color w:val="323232"/>
          <w:sz w:val="22"/>
          <w:szCs w:val="22"/>
          <w:lang w:val="en-GB"/>
        </w:rPr>
        <w:fldChar w:fldCharType="begin" w:fldLock="1"/>
      </w:r>
      <w:r w:rsidRPr="004E053C">
        <w:rPr>
          <w:rFonts w:eastAsia="Times New Roman" w:cstheme="majorHAnsi"/>
          <w:color w:val="323232"/>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2010)","manualFormatting":"(2010)","plainTextFormattedCitation":"(D. F. Bryceson &amp; Jønsson, 2010)","previouslyFormattedCitation":"(D. F. Bryceson &amp; Jønsson, 2010)"},"properties":{"noteIndex":0},"schema":"https://github.com/citation-style-language/schema/raw/master/csl-citation.json"}</w:instrText>
      </w:r>
      <w:r w:rsidRPr="004E053C">
        <w:rPr>
          <w:rFonts w:eastAsia="Times New Roman" w:cstheme="majorHAnsi"/>
          <w:color w:val="323232"/>
          <w:sz w:val="22"/>
          <w:szCs w:val="22"/>
          <w:lang w:val="en-GB"/>
        </w:rPr>
        <w:fldChar w:fldCharType="separate"/>
      </w:r>
      <w:r w:rsidRPr="004E053C">
        <w:rPr>
          <w:rFonts w:eastAsia="Times New Roman" w:cstheme="majorHAnsi"/>
          <w:noProof/>
          <w:color w:val="323232"/>
          <w:sz w:val="22"/>
          <w:szCs w:val="22"/>
          <w:lang w:val="en-GB"/>
        </w:rPr>
        <w:t>(2010)</w:t>
      </w:r>
      <w:r w:rsidRPr="004E053C">
        <w:rPr>
          <w:rFonts w:eastAsia="Times New Roman" w:cstheme="majorHAnsi"/>
          <w:color w:val="323232"/>
          <w:sz w:val="22"/>
          <w:szCs w:val="22"/>
          <w:lang w:val="en-GB"/>
        </w:rPr>
        <w:fldChar w:fldCharType="end"/>
      </w:r>
      <w:r w:rsidRPr="004E053C">
        <w:rPr>
          <w:rFonts w:eastAsia="Times New Roman" w:cstheme="majorHAnsi"/>
          <w:color w:val="323232"/>
          <w:sz w:val="22"/>
          <w:szCs w:val="22"/>
          <w:lang w:val="en-GB"/>
        </w:rPr>
        <w:t xml:space="preserve"> </w:t>
      </w:r>
      <w:r w:rsidRPr="004E053C">
        <w:rPr>
          <w:rFonts w:cstheme="majorHAnsi"/>
          <w:sz w:val="22"/>
          <w:szCs w:val="22"/>
          <w:lang w:val="en-GB"/>
        </w:rPr>
        <w:t xml:space="preserve">have emphasised the emergence of career miners, it has also been argued that the  opportunities for capital accumulation may lead to further diversification or even reinvestment into </w:t>
      </w:r>
      <w:r w:rsidRPr="004E053C">
        <w:rPr>
          <w:rFonts w:cstheme="majorHAnsi"/>
          <w:sz w:val="22"/>
          <w:szCs w:val="22"/>
          <w:lang w:val="en-GB"/>
        </w:rPr>
        <w:lastRenderedPageBreak/>
        <w:t xml:space="preserve">agriculture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{"citationItems":[{"id":"ITEM-1","itemData":{"abstract":"Sierra Leone is currently emerging from a brutal civil war that lasted most of the 1990s, and now has the dubious distinction of being ranked among the world's poorest countries. As thousands of displaced people move back to their villages, a large proportion of the predominantly farm-based rural population are growing food crops for the first time in a decade. Alluvial diamond mining makes an important contribution to the national economy, though some would argue that Sierra Leone's diamonds are a 'resource curse'. Drawing upon research undertaken in the 1970s and also in the post-conflict period, the paper provides a longitudinal perspective on the complex links between the farming and mining sectors. Recent field research in Sierra Leone's Eastern Province, indicates that many links between farming and diamond mining have actually been maintained despite severe dislocation. These links could play a key role in rejuvenating market-oriented food production, providing the much-needed impetus for post-war rural development. In charting a future development trajectory, the paper recognizes the urgent need for an effective management scheme for both mining and marketing diamonds, given the potentially destabilizing effect on the country of the uncontrolled exploitation of this valuable resource. In this context, a recent community-based. integrated management initiative adopted by one local NGO, the Peace Diamond Alliance, is examined. If meaningful rural development is to be achieved among desperately poor communities, development strategies must be based on a detailed understanding of the nature of inter-locking livelihoods in the agricultural and mining sectors.","author":[{"dropping-particle":"","family":"Maconachie","given":"Roy","non-dropping-particle":"","parse-names":false,"suffix":""},{"dropping-particle":"","family":"Binns","given":"Tony","non-dropping-particle":"","parse-names":false,"suffix":""}],"container-title":"Journal of Rural Studies","id":"ITEM-1","issue":"3","issued":{"date-parts":[["2007"]]},"page":"367-380.","title":"’Farming miners’ or ‘mining farmers’? diamond mining and rural development in post-conflict Sierra Leone","type":"article-journal","volume":"23"},"uris":["http://www.mendeley.com/documents/?uuid=b8a19ddb-3ae9-4cb8-93f9-ed515d59f23f"]},{"id":"ITEM-2","itemData":{"abstract":"This review reflects critically on why, despite its growing economic importance, artisanal and small-scale (ASM) - low-tech, labour-intensive mineral extraction and processing - occupies such a peripheral position on the economic development agenda of sub-Saharan Africa. A poor understanding of the sector's role in the region's liberalized economies has certainly contributed to this oversight; as has the strong influence, at the policymaking level, of unfounded ideas and generalizations about the sector's activities. After providing a brief overview of ASM in sub-Saharan Africa, the paper explores why the sector has yet to make a mark on the region's local economic development agenda and feature prominently in its poverty alleviation strategies. © 2014 Elsevier Ltd.","author":[{"dropping-particle":"","family":"Hilson","given":"G","non-dropping-particle":"","parse-names":false,"suffix":""},{"dropping-particle":"","family":"McQuilken","given":"James","non-dropping-particle":"","parse-names":false,"suffix":""}],"container-title":"Extractive Industries and Society","id":"ITEM-2","issue":"1","issued":{"date-parts":[["2014"]]},"page":"104-118","publisher":"Elsevier Ltd","title":"Four decades of support for artisanal and small-scale mining in sub-Saharan Africa: A critical review","type":"article-journal","volume":"1"},"uris":["http://www.mendeley.com/documents/?uuid=4f1e22db-6dff-45db-9d1f-97fdbb7e9487"]},{"id":"ITEM-3","itemData":{"abstract":"Combining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Studies","id":"ITEM-3","issue":"Part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transformation","type":"article-journal","volume":"47"},"uris":["http://www.mendeley.com/documents/?uuid=fb82d0a5-64cc-4673-b8d8-4ea22e3fb839"]}],"mendeley":{"formattedCitation":"(G Hilson &amp; McQuilken, 2014; Maconachie &amp; Binns, 2007; Verbrugge, 2016)","manualFormatting":"(Hilson &amp; McQuilken, 2014; Maconachie &amp; Binns, 2007; Verbrugge, 2016)","plainTextFormattedCitation":"(G Hilson &amp; McQuilken, 2014; Maconachie &amp; Binns, 2007; Verbrugge, 2016)","previouslyFormattedCitation":"(G Hilson &amp; McQuilken, 2014; Maconachie &amp; Binns, 2007; Verbrugge, 2016)"},"properties":{"noteIndex":0},"schema":"https://github.com/citation-style-language/schema/raw/master/csl-citation.json"}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(Hilson &amp; McQuilken, 2014; Maconachie &amp; Binns, 2007; Verbrugge, 2016)</w:t>
      </w:r>
      <w:r w:rsidRPr="004E053C">
        <w:rPr>
          <w:rFonts w:cstheme="majorHAnsi"/>
          <w:sz w:val="22"/>
          <w:szCs w:val="22"/>
          <w:lang w:val="en-GB"/>
        </w:rPr>
        <w:fldChar w:fldCharType="end"/>
      </w:r>
      <w:r w:rsidRPr="004E053C">
        <w:rPr>
          <w:rFonts w:cstheme="majorHAnsi"/>
          <w:sz w:val="22"/>
          <w:szCs w:val="22"/>
          <w:lang w:val="en-GB"/>
        </w:rPr>
        <w:t xml:space="preserve">. Whilst </w:t>
      </w:r>
      <w:r w:rsidRPr="004E053C">
        <w:rPr>
          <w:rFonts w:cstheme="majorHAnsi"/>
          <w:color w:val="000000"/>
          <w:sz w:val="22"/>
          <w:szCs w:val="22"/>
          <w:lang w:val="en-GB"/>
        </w:rPr>
        <w:t>there is a lack of consensus within the literature, two things are clear. Firstly, migration plays an important role in ASM livelihoods and secondly, the divergence of livelihood trajectories and the spatial mobility strategies used by different households over time remains poorly understood.</w:t>
      </w:r>
    </w:p>
    <w:p w14:paraId="633DBBD8" w14:textId="77777777" w:rsidR="00D36963" w:rsidRPr="004E053C" w:rsidRDefault="00D36963" w:rsidP="004E053C">
      <w:pPr>
        <w:spacing w:line="360" w:lineRule="auto"/>
        <w:jc w:val="both"/>
        <w:rPr>
          <w:rFonts w:cstheme="majorHAnsi"/>
          <w:color w:val="000000"/>
          <w:sz w:val="22"/>
          <w:szCs w:val="22"/>
          <w:lang w:val="en-GB"/>
        </w:rPr>
      </w:pPr>
    </w:p>
    <w:p w14:paraId="525C4607" w14:textId="7F4C4FED" w:rsidR="00D36963" w:rsidRPr="004E053C" w:rsidRDefault="00D36963" w:rsidP="004E053C">
      <w:pPr>
        <w:widowControl w:val="0"/>
        <w:autoSpaceDE w:val="0"/>
        <w:autoSpaceDN w:val="0"/>
        <w:adjustRightInd w:val="0"/>
        <w:spacing w:line="360" w:lineRule="auto"/>
        <w:jc w:val="both"/>
        <w:rPr>
          <w:rFonts w:cstheme="majorHAnsi"/>
          <w:sz w:val="22"/>
          <w:szCs w:val="22"/>
          <w:lang w:val="en-GB"/>
        </w:rPr>
      </w:pPr>
      <w:r w:rsidRPr="004E053C">
        <w:rPr>
          <w:rFonts w:cstheme="majorHAnsi"/>
          <w:sz w:val="22"/>
          <w:szCs w:val="22"/>
          <w:lang w:val="en-GB"/>
        </w:rPr>
        <w:t xml:space="preserve">The benefits of migration strategies for poverty-stricken households are well documented </w:t>
      </w:r>
      <w:r w:rsidRPr="004E053C">
        <w:rPr>
          <w:rFonts w:cstheme="majorHAnsi"/>
          <w:sz w:val="22"/>
          <w:szCs w:val="22"/>
          <w:lang w:val="en-GB"/>
        </w:rPr>
        <w:fldChar w:fldCharType="begin" w:fldLock="1"/>
      </w:r>
      <w:r w:rsidR="00517F61" w:rsidRPr="004E053C">
        <w:rPr>
          <w:rFonts w:cstheme="majorHAnsi"/>
          <w:sz w:val="22"/>
          <w:szCs w:val="22"/>
          <w:lang w:val="en-GB"/>
        </w:rPr>
        <w:instrText>ADDIN CSL_CITATION {"citationItems":[{"id":"ITEM-1","itemData":{"ISBN":"9781843698081","abstract":"This paper argues that migration is better defined as an adaptive response to socio-economic, cultural, political and environmental transformations, in most instances closely linked to the need to diversify income sources and reduce dependency on natural resources.","author":[{"dropping-particle":"","family":"Tacoli","given":"Cecilia","non-dropping-particle":"","parse-names":false,"suffix":""}],"collection-title":"Human Settlements","container-title":"Rural-Urban Interactions and Livelihood Strategies","id":"ITEM-1","issue":"28","issued":{"date-parts":[["2011"]]},"number":"28","publisher-place":"London","title":"Not only climate change: mobility, vulnerability and socio-economic transformations in environmentally fragile areas of Bolivia, Senegal and Tanzania","type":"report"},"uris":["http://www.mendeley.com/documents/?uuid=bbbef388-7509-3b55-999d-253f5d79bb63"]}],"mendeley":{"formattedCitation":"(Cecilia Tacoli, 2011)","manualFormatting":"(Tacoli, 2011)","plainTextFormattedCitation":"(Cecilia Tacoli, 2011)","previouslyFormattedCitation":"(Cecilia Tacoli, 2011)"},"properties":{"noteIndex":0},"schema":"https://github.com/citation-style-language/schema/raw/master/csl-citation.json"}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(Tacoli, 2011)</w:t>
      </w:r>
      <w:r w:rsidRPr="004E053C">
        <w:rPr>
          <w:rFonts w:cstheme="majorHAnsi"/>
          <w:sz w:val="22"/>
          <w:szCs w:val="22"/>
          <w:lang w:val="en-GB"/>
        </w:rPr>
        <w:fldChar w:fldCharType="end"/>
      </w:r>
      <w:r w:rsidRPr="004E053C">
        <w:rPr>
          <w:rFonts w:cstheme="majorHAnsi"/>
          <w:sz w:val="22"/>
          <w:szCs w:val="22"/>
          <w:lang w:val="en-GB"/>
        </w:rPr>
        <w:t xml:space="preserve"> and even seasonal engagement in ASM can have a huge impact on household income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{"citationItems":[{"id":"ITEM-1","itemData":{"abstract":"This article explores the contribution that artisanal and small-scale mining (ASM) makes to poverty reduction in Tanzania, drawing on findings from research on gold and diamond mining in Mwanza Region. The evidence suggests that people working in mining or related services are less likely to be in poverty than those with other occupations. However, the picture is complex; while mining income can help reduce poverty and provide a buffer from livelihood shocks, people's inability, to obtain a formal mineral claim or to effectively exploit their claims, contributes to insecurity. This is reinforced by a context in which ASM is peripheral to large-scale mining interests, is only gradually being addressed within national poverty reduction policies, and is segregated from district-level planning. © 2009 Elsevier Ltd. All rights reserved.","author":[{"dropping-particle":"","family":"Fisher","given":"Eleanor","non-dropping-particle":"","parse-names":false,"suffix":""},{"dropping-particle":"","family":"Mwaipopo","given":"Rosemarie","non-dropping-particle":"","parse-names":false,"suffix":""},{"dropping-particle":"","family":"Mutagwaba","given":"Wilson","non-dropping-particle":"","parse-names":false,"suffix":""},{"dropping-particle":"","family":"Nyange","given":"David","non-dropping-particle":"","parse-names":false,"suffix":""},{"dropping-particle":"","family":"Yaron","given":"Gil","non-dropping-particle":"","parse-names":false,"suffix":""}],"container-title":"Resources Policy","id":"ITEM-1","issue":"1-2","issued":{"date-parts":[["2009"]]},"page":"32-38","title":"'The ladder that sends us to wealth': artisanal mining and poverty reduction in Tanzania","type":"article-journal","volume":"34"},"uris":["http://www.mendeley.com/documents/?uuid=483936ae-6fbd-4a7e-973d-31df00c70bf3"]},{"id":"ITEM-2","itemData":{"abstract":"While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Society","id":"ITEM-2","issue":"1","issued":{"date-parts":[["2014"]]},"page":"75-85","publisher":"Elsevier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operators","type":"article-journal","volume":"1"},"uris":["http://www.mendeley.com/documents/?uuid=56fd2b4b-fd5a-31ef-a59e-d2c754808936"]}],"mendeley":{"formattedCitation":"(Fisher et al., 2009; F. K. Nyame &amp; Grant, 2014)","manualFormatting":"(Fisher et al., 2009; Nyame &amp; Grant, 2014)","plainTextFormattedCitation":"(Fisher et al., 2009; F. K. Nyame &amp; Grant, 2014)","previouslyFormattedCitation":"(Fisher et al., 2009; F. K. Nyame &amp; Grant,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(Fisher et al., 2009; Nyame &amp; Grant, 2014)</w:t>
      </w:r>
      <w:r w:rsidRPr="004E053C">
        <w:rPr>
          <w:rFonts w:cstheme="majorHAnsi"/>
          <w:sz w:val="22"/>
          <w:szCs w:val="22"/>
          <w:lang w:val="en-GB"/>
        </w:rPr>
        <w:fldChar w:fldCharType="end"/>
      </w:r>
      <w:r w:rsidRPr="004E053C">
        <w:rPr>
          <w:rFonts w:cstheme="majorHAnsi"/>
          <w:sz w:val="22"/>
          <w:szCs w:val="22"/>
          <w:lang w:val="en-GB"/>
        </w:rPr>
        <w:t xml:space="preserve">. Furthermore, remittances that are invested in local communities can facilitate economic development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{"citationItems":[{"id":"ITEM-1","itemData":{"author":[{"dropping-particle":"","family":"Boeck","given":"Filip","non-dropping-particle":"De","parse-names":false,"suffix":""}],"chapter-number":"8","container-title":"Globalization and Identity: Dialectics of Flow and Closure","id":"ITEM-1","issued":{"date-parts":[["1998"]]},"page":"177-210","publisher":"Blackwell Publishers","publisher-place":"Oxford","title":"Domesticating Diamonds and Dollars: Identity, Expenditure and Sharing in Southwestern Zaire (1984-1997)","type":"chapter"},"uris":["http://www.mendeley.com/documents/?uuid=a17c0819-d02e-34b6-8968-2c6b6f095216"]}],"mendeley":{"formattedCitation":"(De Boeck, 1998)","plainTextFormattedCitation":"(De Boeck, 1998)","previouslyFormattedCitation":"(De Boeck, 1998)"},"properties":{"noteIndex":0},"schema":"https://github.com/citation-style-language/schema/raw/master/csl-citation.json"}</w:instrText>
      </w:r>
      <w:r w:rsidRPr="004E053C">
        <w:rPr>
          <w:rFonts w:cstheme="majorHAnsi"/>
          <w:sz w:val="22"/>
          <w:szCs w:val="22"/>
          <w:lang w:val="en-GB"/>
        </w:rPr>
        <w:fldChar w:fldCharType="separate"/>
      </w:r>
      <w:r w:rsidR="007A757C" w:rsidRPr="004E053C">
        <w:rPr>
          <w:rFonts w:cstheme="majorHAnsi"/>
          <w:noProof/>
          <w:sz w:val="22"/>
          <w:szCs w:val="22"/>
          <w:lang w:val="en-GB"/>
        </w:rPr>
        <w:t>(De Boeck, 1998)</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themeColor="text1"/>
          <w:sz w:val="22"/>
          <w:szCs w:val="22"/>
          <w:lang w:val="en-GB"/>
        </w:rPr>
        <w:t xml:space="preserve">However, migration is not without risks </w:t>
      </w:r>
      <w:r w:rsidRPr="004E053C">
        <w:rPr>
          <w:rFonts w:cstheme="majorHAnsi"/>
          <w:color w:val="000000" w:themeColor="text1"/>
          <w:sz w:val="22"/>
          <w:szCs w:val="22"/>
          <w:lang w:val="en-GB"/>
        </w:rPr>
        <w:fldChar w:fldCharType="begin" w:fldLock="1"/>
      </w:r>
      <w:r w:rsidRPr="004E053C">
        <w:rPr>
          <w:rFonts w:cstheme="majorHAnsi"/>
          <w:color w:val="000000" w:themeColor="text1"/>
          <w:sz w:val="22"/>
          <w:szCs w:val="22"/>
          <w:lang w:val="en-GB"/>
        </w:rPr>
        <w:instrText>ADDIN CSL_CITATION {"citationItems":[{"id":"ITEM-1","itemData":{"abstract":"Global consumption continues to generate growth in mining. In lesser developed economies, this growth offers the potential to generate new resources for development, but also creates challenges to sustainability in the regions in which extraction occurs. This context leads to debate on the institutional arrangements most likely to build synergies between mining, livelihoods, and development, and on the socio-political conditions under which such institutions can emerge. Building from a multiyear, three-country program of research projects, Peru, a global center of mining expansion, serves as an exemplar for analyzing the effects of extractive industry on livelihoods and the conditions under which arrangements favoring local sustainability might emerge. This program is guided by three emergent hypotheses in human-environmental sciences regarding the relationships among institutions, knowledge, learning, and sustainability. The research combines in-depth and comparative case study analysis, and uses mapping and spatial analysis, surveys, in-depth interviews, participant observation, and our own direct participation in public debates on the regulation of mining for development. The findings demonstrate the pressures that mining expansion has placed on water resources, livelihood assets, and social relationships. These pressures are a result of institutional conditions that separate the governance of mineral expansion, water resources, and local development, and of relationships of power that prioritize large scale investment over livelihood and environment. A further problem is the poor communication between mining sector knowledge systems and those of local populations. These results are consistent with themes recently elaborated in sustainability science.","author":[{"dropping-particle":"","family":"Bebbington","given":"Anthony","non-dropping-particle":"","parse-names":false,"suffix":""},{"dropping-particle":"","family":"Bury","given":"Jeffrey","non-dropping-particle":"","parse-names":false,"suffix":""}],"container-title":"Proceedings of the National Academy of Sciences","id":"ITEM-1","issue":"41","issued":{"date-parts":[["2009"]]},"page":"17296-17301","title":"Institutional challenges for mining and sustainability in Peru","type":"article-journal","volume":"106"},"uris":["http://www.mendeley.com/documents/?uuid=8977b93e-6643-43cd-a722-d4559a1a0a88"]}],"mendeley":{"formattedCitation":"(Bebbington &amp; Bury, 2009)","manualFormatting":"(Bebbington &amp; Bury, 2009)","plainTextFormattedCitation":"(Bebbington &amp; Bury, 2009)","previouslyFormattedCitation":"(Bebbington &amp; Bury, 2009)"},"properties":{"noteIndex":0},"schema":"https://github.com/citation-style-language/schema/raw/master/csl-citation.json"}</w:instrText>
      </w:r>
      <w:r w:rsidRPr="004E053C">
        <w:rPr>
          <w:rFonts w:cstheme="majorHAnsi"/>
          <w:color w:val="000000" w:themeColor="text1"/>
          <w:sz w:val="22"/>
          <w:szCs w:val="22"/>
          <w:lang w:val="en-GB"/>
        </w:rPr>
        <w:fldChar w:fldCharType="separate"/>
      </w:r>
      <w:r w:rsidRPr="004E053C">
        <w:rPr>
          <w:rFonts w:cstheme="majorHAnsi"/>
          <w:noProof/>
          <w:color w:val="000000" w:themeColor="text1"/>
          <w:sz w:val="22"/>
          <w:szCs w:val="22"/>
          <w:lang w:val="en-GB"/>
        </w:rPr>
        <w:t>(Bebbington &amp; Bury, 2009)</w:t>
      </w:r>
      <w:r w:rsidRPr="004E053C">
        <w:rPr>
          <w:rFonts w:cstheme="majorHAnsi"/>
          <w:color w:val="000000" w:themeColor="text1"/>
          <w:sz w:val="22"/>
          <w:szCs w:val="22"/>
          <w:lang w:val="en-GB"/>
        </w:rPr>
        <w:fldChar w:fldCharType="end"/>
      </w:r>
      <w:r w:rsidRPr="004E053C">
        <w:rPr>
          <w:rFonts w:cstheme="majorHAnsi"/>
          <w:color w:val="000000" w:themeColor="text1"/>
          <w:sz w:val="22"/>
          <w:szCs w:val="22"/>
          <w:lang w:val="en-GB"/>
        </w:rPr>
        <w:t xml:space="preserve">, and migrant miners may suffer from livelihood failure, family separation, accidents, physical attack, disease and destitution </w:t>
      </w:r>
      <w:r w:rsidRPr="004E053C">
        <w:rPr>
          <w:rFonts w:cstheme="majorHAnsi"/>
          <w:color w:val="000000" w:themeColor="text1"/>
          <w:sz w:val="22"/>
          <w:szCs w:val="22"/>
          <w:lang w:val="en-GB"/>
        </w:rPr>
        <w:fldChar w:fldCharType="begin" w:fldLock="1"/>
      </w:r>
      <w:r w:rsidRPr="004E053C">
        <w:rPr>
          <w:rFonts w:cstheme="majorHAnsi"/>
          <w:color w:val="000000" w:themeColor="text1"/>
          <w:sz w:val="22"/>
          <w:szCs w:val="22"/>
          <w:lang w:val="en-GB"/>
        </w:rPr>
        <w:instrText>ADDIN CSL_CITATION {"citationItems":[{"id":"ITEM-1","itemData":{"abstract":"African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Change","id":"ITEM-1","issue":"2","issued":{"date-parts":[["2009"]]},"page":"249-279","title":"Rushing for gold: mobility and small-scale mining in East Africa","type":"article-journal","volume":"40"},"uris":["http://www.mendeley.com/documents/?uuid=de9c4f73-7d08-4fe3-9443-72b7c45b2369"]}],"mendeley":{"formattedCitation":"(Jønsson &amp; Bryceson, 2009)","plainTextFormattedCitation":"(Jønsson &amp; Bryceson, 2009)","previouslyFormattedCitation":"(Jønsson &amp; Bryceson, 2009)"},"properties":{"noteIndex":0},"schema":"https://github.com/citation-style-language/schema/raw/master/csl-citation.json"}</w:instrText>
      </w:r>
      <w:r w:rsidRPr="004E053C">
        <w:rPr>
          <w:rFonts w:cstheme="majorHAnsi"/>
          <w:color w:val="000000" w:themeColor="text1"/>
          <w:sz w:val="22"/>
          <w:szCs w:val="22"/>
          <w:lang w:val="en-GB"/>
        </w:rPr>
        <w:fldChar w:fldCharType="separate"/>
      </w:r>
      <w:r w:rsidRPr="004E053C">
        <w:rPr>
          <w:rFonts w:cstheme="majorHAnsi"/>
          <w:noProof/>
          <w:color w:val="000000" w:themeColor="text1"/>
          <w:sz w:val="22"/>
          <w:szCs w:val="22"/>
          <w:lang w:val="en-GB"/>
        </w:rPr>
        <w:t>(Jønsson &amp; Bryceson, 2009)</w:t>
      </w:r>
      <w:r w:rsidRPr="004E053C">
        <w:rPr>
          <w:rFonts w:cstheme="majorHAnsi"/>
          <w:color w:val="000000" w:themeColor="text1"/>
          <w:sz w:val="22"/>
          <w:szCs w:val="22"/>
          <w:lang w:val="en-GB"/>
        </w:rPr>
        <w:fldChar w:fldCharType="end"/>
      </w:r>
      <w:r w:rsidRPr="004E053C">
        <w:rPr>
          <w:rFonts w:cstheme="majorHAnsi"/>
          <w:color w:val="000000" w:themeColor="text1"/>
          <w:sz w:val="22"/>
          <w:szCs w:val="22"/>
          <w:lang w:val="en-GB"/>
        </w:rPr>
        <w:t xml:space="preserve">. </w:t>
      </w:r>
      <w:r w:rsidRPr="004E053C">
        <w:rPr>
          <w:rFonts w:cstheme="majorHAnsi"/>
          <w:sz w:val="22"/>
          <w:szCs w:val="22"/>
          <w:lang w:val="en-GB"/>
        </w:rPr>
        <w:t xml:space="preserve">High levels of migration are also linked to increased drug use, alcohol abuse, prostitution, communicable diseases and school dropouts </w:t>
      </w:r>
      <w:r w:rsidRPr="004E053C">
        <w:rPr>
          <w:rFonts w:cstheme="majorHAnsi"/>
          <w:sz w:val="22"/>
          <w:szCs w:val="22"/>
          <w:lang w:val="en-GB"/>
        </w:rPr>
        <w:fldChar w:fldCharType="begin" w:fldLock="1"/>
      </w:r>
      <w:r w:rsidR="00BB0F8C" w:rsidRPr="004E053C">
        <w:rPr>
          <w:rFonts w:cstheme="majorHAnsi"/>
          <w:sz w:val="22"/>
          <w:szCs w:val="22"/>
          <w:lang w:val="en-GB"/>
        </w:rPr>
        <w:instrText>ADDIN CSL_CITATION {"citationItems":[{"id":"ITEM-1","itemData":{"author":[{"dropping-particle":"","family":"Carson","given":"M.","non-dropping-particle":"","parse-names":false,"suffix":""},{"dropping-particle":"","family":"Cottrell","given":"S.","non-dropping-particle":"","parse-names":false,"suffix":""},{"dropping-particle":"","family":"Dickman","given":"J.","non-dropping-particle":"","parse-names":false,"suffix":""},{"dropping-particle":"","family":"Gummerson","given":"E.","non-dropping-particle":"","parse-names":false,"suffix":""},{"dropping-particle":"","family":"Lee","given":"T.","non-dropping-particle":"","parse-names":false,"suffix":""},{"dropping-particle":"","family":"Miao","given":"Y.","non-dropping-particle":"","parse-names":false,"suffix":""},{"dropping-particle":"","family":"Teranishi","given":"N.","non-dropping-particle":"","parse-names":false,"suffix":""},{"dropping-particle":"","family":"Tully","given":"C.","non-dropping-particle":"","parse-names":false,"suffix":""},{"dropping-particle":"","family":"Uregian","given":"C.","non-dropping-particle":"","parse-names":false,"suffix":""}],"id":"ITEM-1","issued":{"date-parts":[["2005"]]},"number":"WWS591c","publisher":"Woodrow Wilson School of Public and International Affairs.","publisher-place":"Princeton, NJ:","title":"Managing Mineral Resources through Public – Private Partnerships: Mitigating Conflict in Ghanaian Gold Mining","type":"book"},"uris":["http://www.mendeley.com/documents/?uuid=16238e91-f445-4220-92a8-ab3d2156755f"]}],"mendeley":{"formattedCitation":"(Carson et al., 2005)","plainTextFormattedCitation":"(Carson et al., 2005)","previouslyFormattedCitation":"(Carson et al., 2005)"},"properties":{"noteIndex":0},"schema":"https://github.com/citation-style-language/schema/raw/master/csl-citation.json"}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(Carson et al., 2005)</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themeColor="text1"/>
          <w:sz w:val="22"/>
          <w:szCs w:val="22"/>
          <w:lang w:val="en-GB"/>
        </w:rPr>
        <w:t>Thus, although ASM carries the promise of wealth, migrant workers can ea</w:t>
      </w:r>
      <w:r w:rsidR="00FF7888" w:rsidRPr="004E053C">
        <w:rPr>
          <w:rFonts w:cstheme="majorHAnsi"/>
          <w:color w:val="000000" w:themeColor="text1"/>
          <w:sz w:val="22"/>
          <w:szCs w:val="22"/>
          <w:lang w:val="en-GB"/>
        </w:rPr>
        <w:t xml:space="preserve">sily find themselves in poverty </w:t>
      </w:r>
      <w:r w:rsidRPr="004E053C">
        <w:rPr>
          <w:rFonts w:cstheme="majorHAnsi"/>
          <w:color w:val="000000" w:themeColor="text1"/>
          <w:sz w:val="22"/>
          <w:szCs w:val="22"/>
          <w:lang w:val="en-GB"/>
        </w:rPr>
        <w:t xml:space="preserve">traps, often accompanied with mounting debts </w:t>
      </w:r>
      <w:r w:rsidR="00E65D31" w:rsidRPr="004E053C">
        <w:rPr>
          <w:rFonts w:cstheme="majorHAnsi"/>
          <w:color w:val="000000" w:themeColor="text1"/>
          <w:sz w:val="22"/>
          <w:szCs w:val="22"/>
          <w:lang w:val="en-GB"/>
        </w:rPr>
        <w:fldChar w:fldCharType="begin" w:fldLock="1"/>
      </w:r>
      <w:r w:rsidR="002F0CEA">
        <w:rPr>
          <w:rFonts w:cstheme="majorHAnsi"/>
          <w:color w:val="000000" w:themeColor="text1"/>
          <w:sz w:val="22"/>
          <w:szCs w:val="22"/>
          <w:lang w:val="en-GB"/>
        </w:rPr>
        <w:instrText>ADDIN CSL_CITATION {"citationItems":[{"id":"ITEM-1","itemData":{"abstract":"This article critically reflects on why, in many rural stretches of sub-Saharan Africa, scores of people engage in artisanal and small-scale mining (ASM) activity – low-tech, labour-intensive mineral extraction – for lengthy periods of time. It argues that a large share of the region's ASM operators have mounting debts which prevent them from pursuing alternative, less arduous, employment. The article concludes with an analysis of findings from research carried out by the author in Talensi-Nabdam District, Northern Ghana, which captures the essence of the poverty trap now plaguing so many ASM communities in sub-Saharan Africa.","author":[{"dropping-particle":"","family":"Hilson","given":"G","non-dropping-particle":"","parse-names":false,"suffix":""}],"container-title":"Canadian Journal of Development Studies","id":"ITEM-1","issue":"2","issued":{"date-parts":[["2012"]]},"page":"180-197","title":"Poverty traps in small-scale mining communities: the case of sub-Saharan Africa","type":"article-journal","volume":"33"},"uris":["http://www.mendeley.com/documents/?uuid=137cf7a8-201e-4d35-a2a5-bf9c166c6437"]},{"id":"ITEM-2","itemData":{"abstract":"Os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Caribe","id":"ITEM-2","issued":{"date-parts":[["2009"]]},"page":"5-25","title":"Moving Frontiers in the Amazon: Brazilian Small-Scale Gold Miners in Suriname","type":"article-journal","volume":"87"},"uris":["http://www.mendeley.com/documents/?uuid=b7c637de-0214-402c-9b77-46660804c1e4"]}],"mendeley":{"formattedCitation":"(De Theije &amp; Heemskerk, 2009; G Hilson, 2012)","manualFormatting":"(De Theije &amp; Heemskerk, 2009; Hilson, 2012)","plainTextFormattedCitation":"(De Theije &amp; Heemskerk, 2009; G Hilson, 2012)","previouslyFormattedCitation":"(De Theije &amp; Heemskerk, 2009; G Hilson, 2012)"},"properties":{"noteIndex":0},"schema":"https://github.com/citation-style-language/schema/raw/master/csl-citation.json"}</w:instrText>
      </w:r>
      <w:r w:rsidR="00E65D31" w:rsidRPr="004E053C">
        <w:rPr>
          <w:rFonts w:cstheme="majorHAnsi"/>
          <w:color w:val="000000" w:themeColor="text1"/>
          <w:sz w:val="22"/>
          <w:szCs w:val="22"/>
          <w:lang w:val="en-GB"/>
        </w:rPr>
        <w:fldChar w:fldCharType="separate"/>
      </w:r>
      <w:r w:rsidR="00E65D31" w:rsidRPr="004E053C">
        <w:rPr>
          <w:rFonts w:cstheme="majorHAnsi"/>
          <w:noProof/>
          <w:color w:val="000000" w:themeColor="text1"/>
          <w:sz w:val="22"/>
          <w:szCs w:val="22"/>
          <w:lang w:val="en-GB"/>
        </w:rPr>
        <w:t>(De Theije &amp; Heemskerk, 2009; Hilson, 2012)</w:t>
      </w:r>
      <w:r w:rsidR="00E65D31" w:rsidRPr="004E053C">
        <w:rPr>
          <w:rFonts w:cstheme="majorHAnsi"/>
          <w:color w:val="000000" w:themeColor="text1"/>
          <w:sz w:val="22"/>
          <w:szCs w:val="22"/>
          <w:lang w:val="en-GB"/>
        </w:rPr>
        <w:fldChar w:fldCharType="end"/>
      </w:r>
      <w:r w:rsidRPr="004E053C">
        <w:rPr>
          <w:rFonts w:cstheme="majorHAnsi"/>
          <w:color w:val="000000" w:themeColor="text1"/>
          <w:sz w:val="22"/>
          <w:szCs w:val="22"/>
          <w:lang w:val="en-GB"/>
        </w:rPr>
        <w:t xml:space="preserve">. </w:t>
      </w:r>
      <w:r w:rsidRPr="004E053C">
        <w:rPr>
          <w:rFonts w:cstheme="majorHAnsi"/>
          <w:sz w:val="22"/>
          <w:szCs w:val="22"/>
          <w:lang w:val="en-GB"/>
        </w:rPr>
        <w:t xml:space="preserve">Furthermore, the high mobility of ASM livelihoods is heavily associated with the sector’s environmental costs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{"citationItems":[{"id":"ITEM-1","itemData":{"abstract":"This paper analyses current policy and legislation in relation to the praxis of artisanal gold mining in Mozambique. Approximately 20,000 people are involved in artisanal mining in central Mozambique, producing annually 480–600kg of gold, 85–90% of which remains in the informal economy. The current legislation, however, is inadequate: artisanal mining is supposed to take place in predetermined “designated areas”, none of which are gold-rich, and, artisanal miners are supposed to get an individual mining pass from provincial authorities, which rarely occurs. Artisanal miners’ associations get support from the Mining Development Fund. Yet, as these organisations are only viable where ore permits long lasting exploitation, their members represent less than 30% of the workforce. Hence the scope for improving miners’ working conditions and limiting their environmental impact through this type of organisation is limited. On the other hand, siltation of rivers and their pollution with heavy metals goes unchecked while the prohibition of artisanal mining, in and around conservation areas has proven counterproductive. The design of more appropriate policies, particularly those pertaining to the environment, hinges upon a better understanding of the socio-economic dynamics of the sector.","author":[{"dropping-particle":"","family":"Dondeyne","given":"S.","non-dropping-particle":"","parse-names":false,"suffix":""},{"dropping-particle":"","family":"Ndunguru","given":"E.","non-dropping-particle":"","parse-names":false,"suffix":""},{"dropping-particle":"","family":"Rafael","given":"P.","non-dropping-particle":"","parse-names":false,"suffix":""},{"dropping-particle":"","family":"Bannerman","given":"J.","non-dropping-particle":"","parse-names":false,"suffix":""}],"container-title":"Resources Policy","id":"ITEM-1","issue":"1","issued":{"date-parts":[["2009"]]},"page":"45-50","title":"Artisanal mining in central Mozambique: policy and environmental issues of concern","type":"article-journal","volume":"34"},"uris":["http://www.mendeley.com/documents/?uuid=771c9fc6-161f-3e4b-b167-9a69c8f93fc3"]},{"id":"ITEM-2","itemData":{"abstract":"While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Society","id":"ITEM-2","issue":"1","issued":{"date-parts":[["2014"]]},"page":"75-85","publisher":"Elsevier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operators","type":"article-journal","volume":"1"},"uris":["http://www.mendeley.com/documents/?uuid=56fd2b4b-fd5a-31ef-a59e-d2c754808936"]}],"mendeley":{"formattedCitation":"(Dondeyne et al., 2009; F. K. Nyame &amp; Grant, 2014)","manualFormatting":"(Dondeyne et al., 2009; Nyame &amp; Grant, 2014)","plainTextFormattedCitation":"(Dondeyne et al., 2009; F. K. Nyame &amp; Grant, 2014)","previouslyFormattedCitation":"(Dondeyne et al., 2009; F. K. Nyame &amp; Grant,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(Dondeyne et al., 2009; Nyame &amp; Grant, 2014)</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eastAsia="Arial Unicode MS" w:cstheme="majorHAnsi"/>
          <w:sz w:val="22"/>
          <w:szCs w:val="22"/>
          <w:lang w:val="en-GB"/>
        </w:rPr>
        <w:t xml:space="preserve">This is because transitory </w:t>
      </w:r>
      <w:r w:rsidRPr="004E053C">
        <w:rPr>
          <w:rFonts w:cstheme="majorHAnsi"/>
          <w:sz w:val="22"/>
          <w:szCs w:val="22"/>
          <w:lang w:val="en-GB"/>
        </w:rPr>
        <w:t xml:space="preserve">miners do not own the deposits they exploit and have no particular interest in protecting the area they work, similar to problems regularly associated with common-pool resources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{"citationItems":[{"id":"ITEM-1","itemData":{"author":[{"dropping-particle":"","family":"Ostrom","given":"Elinor","non-dropping-particle":"","parse-names":false,"suffix":""}],"container-title":"Environment: Science and Policy for Sustainable Development","id":"ITEM-1","issue":"4","issued":{"date-parts":[["2008"]]},"page":"8-21","title":"The challenge of common-pool resources","type":"article-journal","volume":"50"},"uris":["http://www.mendeley.com/documents/?uuid=1f7dbd0f-3660-43ec-9d01-01823f01c9e3"]}],"mendeley":{"formattedCitation":"(Ostrom, 2008)","plainTextFormattedCitation":"(Ostrom, 2008)","previouslyFormattedCitation":"(Ostrom, 2008)"},"properties":{"noteIndex":0},"schema":"https://github.com/citation-style-language/schema/raw/master/csl-citation.json"}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(Ostrom, 2008)</w:t>
      </w:r>
      <w:r w:rsidRPr="004E053C">
        <w:rPr>
          <w:rFonts w:cstheme="majorHAnsi"/>
          <w:sz w:val="22"/>
          <w:szCs w:val="22"/>
          <w:lang w:val="en-GB"/>
        </w:rPr>
        <w:fldChar w:fldCharType="end"/>
      </w:r>
      <w:r w:rsidRPr="004E053C">
        <w:rPr>
          <w:rFonts w:cstheme="majorHAnsi"/>
          <w:sz w:val="22"/>
          <w:szCs w:val="22"/>
          <w:lang w:val="en-GB"/>
        </w:rPr>
        <w:t xml:space="preserve">. </w:t>
      </w:r>
    </w:p>
    <w:p w14:paraId="38F75E59" w14:textId="77777777" w:rsidR="00D36963" w:rsidRPr="004E053C" w:rsidRDefault="00D36963" w:rsidP="004E053C">
      <w:pPr>
        <w:widowControl w:val="0"/>
        <w:autoSpaceDE w:val="0"/>
        <w:autoSpaceDN w:val="0"/>
        <w:adjustRightInd w:val="0"/>
        <w:spacing w:line="360" w:lineRule="auto"/>
        <w:jc w:val="both"/>
        <w:rPr>
          <w:rFonts w:cstheme="majorHAnsi"/>
          <w:color w:val="000000"/>
          <w:sz w:val="22"/>
          <w:szCs w:val="22"/>
          <w:lang w:val="en-GB"/>
        </w:rPr>
      </w:pPr>
    </w:p>
    <w:p w14:paraId="04EB5414" w14:textId="3D7A1F3C" w:rsidR="00D36963" w:rsidRPr="004E053C" w:rsidRDefault="00D36963" w:rsidP="004E053C">
      <w:pPr>
        <w:widowControl w:val="0"/>
        <w:autoSpaceDE w:val="0"/>
        <w:autoSpaceDN w:val="0"/>
        <w:adjustRightInd w:val="0"/>
        <w:spacing w:line="360" w:lineRule="auto"/>
        <w:jc w:val="both"/>
        <w:rPr>
          <w:rFonts w:eastAsia="Times New Roman" w:cs="Times New Roman"/>
          <w:sz w:val="20"/>
          <w:szCs w:val="20"/>
          <w:lang w:val="en-GB" w:eastAsia="zh-CN"/>
        </w:rPr>
      </w:pPr>
      <w:r w:rsidRPr="004E053C">
        <w:rPr>
          <w:rFonts w:cstheme="majorHAnsi"/>
          <w:sz w:val="22"/>
          <w:szCs w:val="22"/>
          <w:lang w:val="en-GB"/>
        </w:rPr>
        <w:t xml:space="preserve">Whilst there is not much clarity in the literature on the exact migration patterns that households adopt, it is clear that many engage in ASM on a short-term or seasonal basis. </w:t>
      </w:r>
      <w:r w:rsidRPr="004E053C">
        <w:rPr>
          <w:rFonts w:cstheme="majorHAnsi"/>
          <w:bCs/>
          <w:sz w:val="22"/>
          <w:szCs w:val="22"/>
          <w:lang w:val="en-GB"/>
        </w:rPr>
        <w:t xml:space="preserve">In doing so they create circular migration between communities of origin and mining sites </w:t>
      </w:r>
      <w:r w:rsidRPr="004E053C">
        <w:rPr>
          <w:rFonts w:cstheme="majorHAnsi"/>
          <w:bCs/>
          <w:sz w:val="22"/>
          <w:szCs w:val="22"/>
          <w:lang w:val="en-GB"/>
        </w:rPr>
        <w:fldChar w:fldCharType="begin" w:fldLock="1"/>
      </w:r>
      <w:r w:rsidR="002F0CEA">
        <w:rPr>
          <w:rFonts w:cstheme="majorHAnsi"/>
          <w:bCs/>
          <w:sz w:val="22"/>
          <w:szCs w:val="22"/>
          <w:lang w:val="en-GB"/>
        </w:rPr>
        <w:instrText>ADDIN CSL_CITATION {"citationItems":[{"id":"ITEM-1","itemData":{"abstract":"Sierra Leone is currently emerging from a brutal civil war that lasted most of the 1990s, and now has the dubious distinction of being ranked among the world's poorest countries. As thousands of displaced people move back to their villages, a large proportion of the predominantly farm-based rural population are growing food crops for the first time in a decade. Alluvial diamond mining makes an important contribution to the national economy, though some would argue that Sierra Leone's diamonds are a 'resource curse'. Drawing upon research undertaken in the 1970s and also in the post-conflict period, the paper provides a longitudinal perspective on the complex links between the farming and mining sectors. Recent field research in Sierra Leone's Eastern Province, indicates that many links between farming and diamond mining have actually been maintained despite severe dislocation. These links could play a key role in rejuvenating market-oriented food production, providing the much-needed impetus for post-war rural development. In charting a future development trajectory, the paper recognizes the urgent need for an effective management scheme for both mining and marketing diamonds, given the potentially destabilizing effect on the country of the uncontrolled exploitation of this valuable resource. In this context, a recent community-based. integrated management initiative adopted by one local NGO, the Peace Diamond Alliance, is examined. If meaningful rural development is to be achieved among desperately poor communities, development strategies must be based on a detailed understanding of the nature of inter-locking livelihoods in the agricultural and mining sectors.","author":[{"dropping-particle":"","family":"Maconachie","given":"Roy","non-dropping-particle":"","parse-names":false,"suffix":""},{"dropping-particle":"","family":"Binns","given":"Tony","non-dropping-particle":"","parse-names":false,"suffix":""}],"container-title":"Journal of Rural Studies","id":"ITEM-1","issue":"3","issued":{"date-parts":[["2007"]]},"page":"367-380.","title":"’Farming miners’ or ‘mining farmers’? diamond mining and rural development in post-conflict Sierra Leone","type":"article-journal","volume":"23"},"uris":["http://www.mendeley.com/documents/?uuid=b8a19ddb-3ae9-4cb8-93f9-ed515d59f23f"]},{"id":"ITEM-2","itemData":{"abstract":"For nearly a century, successive authorities in Mali have created a ‘local’ identity in southern Kayes that naturalises state authority and justifies various interventions in the name of ‘development’. This identity has been used as a pretext for agricultural development policies that attempt to limit people's geographical and political mobility and access to one of the region's most valuable natural resources – gold. Populations in southern Kayes, however, through artisanal gold mining (orpaillage), migration and transnational protest movements, have resisted both this ‘identity’ and the state interventions influenced by it, constructing competing political systems that challenge official discourse and state power. Today, as both governance and resistance to it become increasingly transnational, questions about the meaning of ‘local’ and ‘localness’ have become particularly salient. Rather than disappearing, however, the category has become entrenched in new power hierarchies that include migrant hometown associations, NGOs, mining companies and state governments.","author":[{"dropping-particle":"","family":"Dell","given":"Matthew","non-dropping-particle":"","parse-names":false,"suffix":""}],"container-title":"Journal of Intercultural Studies","id":"ITEM-2","issue":"5","issued":{"date-parts":[["2013"]]},"page":"584-603","title":"Undermining the ‘local’: migration, development and gold in southern Kayes","type":"article-journal","volume":"34"},"uris":["http://www.mendeley.com/documents/?uuid=53082f94-a03d-4f15-b058-64e0f38789dc"]},{"id":"ITEM-3","itemData":{"author":[{"dropping-particle":"","family":"Barrett","given":"C.B.","non-dropping-particle":"","parse-names":false,"suffix":""},{"dropping-particle":"","family":"Reardon","given":"T","non-dropping-particle":"","parse-names":false,"suffix":""},{"dropping-particle":"","family":"Webb","given":"P","non-dropping-particle":"","parse-names":false,"suffix":""}],"container-title":"Food Policy","id":"ITEM-3","issue":"4","issued":{"date-parts":[["2001"]]},"page":"315-331","title":"Nonfarm income diversification and household livelihood strategies in rural Africa: concepts, dynamics, and policy implications","type":"article-journal","volume":"26"},"uris":["http://www.mendeley.com/documents/?uuid=e6c05622-70f1-4f2f-9828-84332b2eb0ce"]}],"mendeley":{"formattedCitation":"(Barrett, Reardon, &amp; Webb, 2001; Dell, 2013; Maconachie &amp; Binns, 2007)","manualFormatting":"(Barrett et al, 2001; Dell, 2013; Maconachie &amp; Binns, 2007)","plainTextFormattedCitation":"(Barrett, Reardon, &amp; Webb, 2001; Dell, 2013; Maconachie &amp; Binns, 2007)","previouslyFormattedCitation":"(Barrett, Reardon, &amp; Webb, 2001; Dell, 2013; Maconachie &amp; Binns, 2007)"},"properties":{"noteIndex":0},"schema":"https://github.com/citation-style-language/schema/raw/master/csl-citation.json"}</w:instrText>
      </w:r>
      <w:r w:rsidRPr="004E053C">
        <w:rPr>
          <w:rFonts w:cstheme="majorHAnsi"/>
          <w:bCs/>
          <w:sz w:val="22"/>
          <w:szCs w:val="22"/>
          <w:lang w:val="en-GB"/>
        </w:rPr>
        <w:fldChar w:fldCharType="separate"/>
      </w:r>
      <w:r w:rsidRPr="004E053C">
        <w:rPr>
          <w:rFonts w:cstheme="majorHAnsi"/>
          <w:bCs/>
          <w:noProof/>
          <w:sz w:val="22"/>
          <w:szCs w:val="22"/>
          <w:lang w:val="en-GB"/>
        </w:rPr>
        <w:t>(Barrett et al, 2001; Dell, 2013; Maconachie &amp; Binns, 2007)</w:t>
      </w:r>
      <w:r w:rsidRPr="004E053C">
        <w:rPr>
          <w:rFonts w:cstheme="majorHAnsi"/>
          <w:bCs/>
          <w:sz w:val="22"/>
          <w:szCs w:val="22"/>
          <w:lang w:val="en-GB"/>
        </w:rPr>
        <w:fldChar w:fldCharType="end"/>
      </w:r>
      <w:r w:rsidRPr="004E053C">
        <w:rPr>
          <w:rFonts w:cstheme="majorHAnsi"/>
          <w:bCs/>
          <w:sz w:val="22"/>
          <w:szCs w:val="22"/>
          <w:lang w:val="en-GB"/>
        </w:rPr>
        <w:t xml:space="preserve"> which, along with patterns of trade, consumption and investment, results in multiple connections between locations </w:t>
      </w:r>
      <w:r w:rsidRPr="004E053C">
        <w:rPr>
          <w:rFonts w:cstheme="majorHAnsi"/>
          <w:bCs/>
          <w:sz w:val="22"/>
          <w:szCs w:val="22"/>
          <w:lang w:val="en-GB"/>
        </w:rPr>
        <w:fldChar w:fldCharType="begin" w:fldLock="1"/>
      </w:r>
      <w:r w:rsidRPr="004E053C">
        <w:rPr>
          <w:rFonts w:cstheme="majorHAnsi"/>
          <w:bCs/>
          <w:sz w:val="22"/>
          <w:szCs w:val="22"/>
          <w:lang w:val="en-GB"/>
        </w:rPr>
        <w:instrText>ADDIN CSL_CITATION {"citationItems":[{"id":"ITEM-1","itemData":{"abstract":"This article discusses the character of mineral resource governance at the margins of the state in Tanzania and the way artisanal gold miners are incorporated into mineral sector transformation. The landscape of mineral resource exploitation has changed dramatically over the past 20 years: processes of economic liberalisation have heralded massive foreign investment in large-scale gold mining, while also stimulating artisanal activities. Against this background, the article shows how artisanal gold miners are affected by contradictory processes: some have become integrated with state institutions and legal processes, while others, the large majority, are either further excluded or incorporated in ways that exacerbate insecurity and exploitation, underpinned by socio-economic inequalities. These processes are compounded by the actions of large-scale and medium-scale gold mining companies and by poor local governance. It is open to debate whether this will bring improved integration and welfare for artisanal mining communities or new forms of exclusion, although evidence suggests the latter.","author":[{"dropping-particle":"","family":"Fisher","given":"Eleanor","non-dropping-particle":"","parse-names":false,"suffix":""}],"container-title":"Development Southern Africa","id":"ITEM-1","issue":"2","issued":{"date-parts":[["2008"]]},"page":"199-213","title":"Artisanal gold mining at the margins of mineral resource governance: a case from Tanzania","type":"article-journal","volume":"25"},"uris":["http://www.mendeley.com/documents/?uuid=d69ff845-1a60-35d1-a9fa-13b7239fa210"]}],"mendeley":{"formattedCitation":"(Fisher, 2008)","plainTextFormattedCitation":"(Fisher, 2008)","previouslyFormattedCitation":"(Fisher, 2008)"},"properties":{"noteIndex":0},"schema":"https://github.com/citation-style-language/schema/raw/master/csl-citation.json"}</w:instrText>
      </w:r>
      <w:r w:rsidRPr="004E053C">
        <w:rPr>
          <w:rFonts w:cstheme="majorHAnsi"/>
          <w:bCs/>
          <w:sz w:val="22"/>
          <w:szCs w:val="22"/>
          <w:lang w:val="en-GB"/>
        </w:rPr>
        <w:fldChar w:fldCharType="separate"/>
      </w:r>
      <w:r w:rsidRPr="004E053C">
        <w:rPr>
          <w:rFonts w:cstheme="majorHAnsi"/>
          <w:bCs/>
          <w:noProof/>
          <w:sz w:val="22"/>
          <w:szCs w:val="22"/>
          <w:lang w:val="en-GB"/>
        </w:rPr>
        <w:t>(Fisher, 2008)</w:t>
      </w:r>
      <w:r w:rsidRPr="004E053C">
        <w:rPr>
          <w:rFonts w:cstheme="majorHAnsi"/>
          <w:bCs/>
          <w:sz w:val="22"/>
          <w:szCs w:val="22"/>
          <w:lang w:val="en-GB"/>
        </w:rPr>
        <w:fldChar w:fldCharType="end"/>
      </w:r>
      <w:r w:rsidRPr="004E053C">
        <w:rPr>
          <w:rFonts w:cstheme="majorHAnsi"/>
          <w:bCs/>
          <w:sz w:val="22"/>
          <w:szCs w:val="22"/>
          <w:lang w:val="en-GB"/>
        </w:rPr>
        <w:t xml:space="preserve">. It also means that the </w:t>
      </w:r>
      <w:r w:rsidRPr="004E053C">
        <w:rPr>
          <w:rFonts w:cstheme="majorHAnsi"/>
          <w:sz w:val="22"/>
          <w:szCs w:val="22"/>
          <w:lang w:val="en-GB"/>
        </w:rPr>
        <w:t xml:space="preserve">majority of miners do not normally live with their families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{"citationItems":[{"id":"ITEM-1","itemData":{"author":[{"dropping-particle":"","family":"Kuramoto","given":"Juana. R.","non-dropping-particle":"","parse-names":false,"suffix":""}],"id":"ITEM-1","issued":{"date-parts":[["2001"]]},"number-of-pages":"53","publisher-place":"Lima","title":"Artisanal and Informal Mining in Peru","type":"report"},"uris":["http://www.mendeley.com/documents/?uuid=489402d4-ec6a-45a8-a0bc-b72da8278da6"]}],"mendeley":{"formattedCitation":"(Kuramoto, 2001)","plainTextFormattedCitation":"(Kuramoto, 2001)","previouslyFormattedCitation":"(Kuramoto, 2001)"},"properties":{"noteIndex":0},"schema":"https://github.com/citation-style-language/schema/raw/master/csl-citation.json"}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(Kuramoto, 2001)</w:t>
      </w:r>
      <w:r w:rsidRPr="004E053C">
        <w:rPr>
          <w:rFonts w:cstheme="majorHAnsi"/>
          <w:sz w:val="22"/>
          <w:szCs w:val="22"/>
          <w:lang w:val="en-GB"/>
        </w:rPr>
        <w:fldChar w:fldCharType="end"/>
      </w:r>
      <w:r w:rsidRPr="004E053C">
        <w:rPr>
          <w:rFonts w:cstheme="majorHAnsi"/>
          <w:sz w:val="22"/>
          <w:szCs w:val="22"/>
          <w:lang w:val="en-GB"/>
        </w:rPr>
        <w:t xml:space="preserve">, although it has been noted that </w:t>
      </w:r>
      <w:r w:rsidRPr="004E053C">
        <w:rPr>
          <w:rFonts w:cstheme="majorHAnsi"/>
          <w:bCs/>
          <w:sz w:val="22"/>
          <w:szCs w:val="22"/>
          <w:lang w:val="en-GB"/>
        </w:rPr>
        <w:t xml:space="preserve">during gold rushes, entire families may move together </w:t>
      </w:r>
      <w:r w:rsidRPr="004E053C">
        <w:rPr>
          <w:rFonts w:cstheme="majorHAnsi"/>
          <w:bCs/>
          <w:sz w:val="22"/>
          <w:szCs w:val="22"/>
          <w:lang w:val="en-GB"/>
        </w:rPr>
        <w:fldChar w:fldCharType="begin" w:fldLock="1"/>
      </w:r>
      <w:r w:rsidR="002F0CEA">
        <w:rPr>
          <w:rFonts w:cstheme="majorHAnsi"/>
          <w:bCs/>
          <w:sz w:val="22"/>
          <w:szCs w:val="22"/>
          <w:lang w:val="en-GB"/>
        </w:rPr>
        <w:instrText>ADDIN CSL_CITATION {"citationItems":[{"id":"ITEM-1","itemData":{"abstract":"Over the past 10–15 years, several governments have implemented an array of technology, support‐related, sustainable livelihoods (SL) and poverty‐reduction projects for artisanal and small‐scale mining (ASM). In the majority of cases, however, these interventions have failed to facilitate improvements in the industry's productivity and raise the living standards of the sector's subsistence operators. This article argues that a poor understanding of the demographics of target populations has precipitated these outcomes. In order to strengthen policy and assistance in the sector, governments must determine, with greater precision, the number of people operating in ASM regions, their origins and ethnic backgrounds, ages, and educational levels. This can be achieved by carrying out basic and localized census work before promoting ambitious sector‐specific projects aimed at improving working conditions in the industry.","author":[{"dropping-particle":"","family":"Hilson","given":"G","non-dropping-particle":"","parse-names":false,"suffix":""}],"container-title":"Natural Resources Forum","id":"ITEM-1","issue":"2","issued":{"date-parts":[["2005"]]},"page":"144-153","title":"Strengthening artisanal mining research and policy through baseline census activities","type":"article-journal","volume":"29"},"uris":["http://www.mendeley.com/documents/?uuid=447f796c-6b24-49d4-babb-b2a3e2351b39"]}],"mendeley":{"formattedCitation":"(G Hilson, 2005)","manualFormatting":"(Hilson, 2005)","plainTextFormattedCitation":"(G Hilson, 2005)","previouslyFormattedCitation":"(G Hilson, 2005)"},"properties":{"noteIndex":0},"schema":"https://github.com/citation-style-language/schema/raw/master/csl-citation.json"}</w:instrText>
      </w:r>
      <w:r w:rsidRPr="004E053C">
        <w:rPr>
          <w:rFonts w:cstheme="majorHAnsi"/>
          <w:bCs/>
          <w:sz w:val="22"/>
          <w:szCs w:val="22"/>
          <w:lang w:val="en-GB"/>
        </w:rPr>
        <w:fldChar w:fldCharType="separate"/>
      </w:r>
      <w:r w:rsidRPr="004E053C">
        <w:rPr>
          <w:rFonts w:cstheme="majorHAnsi"/>
          <w:bCs/>
          <w:noProof/>
          <w:sz w:val="22"/>
          <w:szCs w:val="22"/>
          <w:lang w:val="en-GB"/>
        </w:rPr>
        <w:t>(Hilson, 2005)</w:t>
      </w:r>
      <w:r w:rsidRPr="004E053C">
        <w:rPr>
          <w:rFonts w:cstheme="majorHAnsi"/>
          <w:bCs/>
          <w:sz w:val="22"/>
          <w:szCs w:val="22"/>
          <w:lang w:val="en-GB"/>
        </w:rPr>
        <w:fldChar w:fldCharType="end"/>
      </w:r>
      <w:r w:rsidRPr="004E053C">
        <w:rPr>
          <w:rFonts w:cstheme="majorHAnsi"/>
          <w:bCs/>
          <w:sz w:val="22"/>
          <w:szCs w:val="22"/>
          <w:lang w:val="en-GB"/>
        </w:rPr>
        <w:t>.</w:t>
      </w:r>
      <w:r w:rsidRPr="004E053C">
        <w:rPr>
          <w:rFonts w:eastAsia="Times New Roman" w:cs="Times New Roman"/>
          <w:sz w:val="20"/>
          <w:szCs w:val="20"/>
          <w:lang w:val="en-GB" w:eastAsia="zh-CN"/>
        </w:rPr>
        <w:t xml:space="preserve"> </w:t>
      </w:r>
      <w:r w:rsidRPr="004E053C">
        <w:rPr>
          <w:rFonts w:cstheme="majorHAnsi"/>
          <w:bCs/>
          <w:sz w:val="22"/>
          <w:szCs w:val="22"/>
          <w:lang w:val="en-GB"/>
        </w:rPr>
        <w:t>Despite the acknowledgement of these broad trends, there is no existing analysis within the ASM literature that considers mining communities on a multi-sited basis, choosing instead to focus on the community of origin or of destination. In the following sections I will illustrate why this represents a gap in knowledge regarding ASM communities and the livelihoods that are incorporated within them.</w:t>
      </w:r>
    </w:p>
    <w:p w14:paraId="53052B47" w14:textId="77777777" w:rsidR="00D36963" w:rsidRPr="004E053C" w:rsidRDefault="00D36963" w:rsidP="004E053C">
      <w:pPr>
        <w:widowControl w:val="0"/>
        <w:autoSpaceDE w:val="0"/>
        <w:autoSpaceDN w:val="0"/>
        <w:adjustRightInd w:val="0"/>
        <w:spacing w:line="360" w:lineRule="auto"/>
        <w:jc w:val="both"/>
        <w:rPr>
          <w:rFonts w:cstheme="majorHAnsi"/>
          <w:bCs/>
          <w:sz w:val="22"/>
          <w:szCs w:val="22"/>
          <w:lang w:val="en-GB"/>
        </w:rPr>
      </w:pPr>
    </w:p>
    <w:p w14:paraId="085A1C7C" w14:textId="77777777" w:rsidR="00D36963" w:rsidRPr="004E053C" w:rsidRDefault="00D36963" w:rsidP="004E053C">
      <w:pPr>
        <w:pStyle w:val="Heading3"/>
        <w:rPr>
          <w:rFonts w:asciiTheme="minorHAnsi" w:hAnsiTheme="minorHAnsi"/>
        </w:rPr>
      </w:pPr>
      <w:r w:rsidRPr="004E053C">
        <w:rPr>
          <w:rFonts w:asciiTheme="minorHAnsi" w:hAnsiTheme="minorHAnsi"/>
        </w:rPr>
        <w:t>2.4.2. The formation of ASM communities</w:t>
      </w:r>
    </w:p>
    <w:p w14:paraId="040384C9" w14:textId="77777777" w:rsidR="00D36963" w:rsidRPr="004E053C" w:rsidRDefault="00D36963" w:rsidP="004E053C">
      <w:pPr>
        <w:spacing w:line="360" w:lineRule="auto"/>
        <w:jc w:val="both"/>
        <w:rPr>
          <w:rFonts w:eastAsia="Times New Roman" w:cs="Times New Roman"/>
          <w:sz w:val="20"/>
          <w:szCs w:val="20"/>
          <w:lang w:val="en-GB" w:eastAsia="zh-CN"/>
        </w:rPr>
      </w:pPr>
    </w:p>
    <w:p w14:paraId="1609CE4A" w14:textId="2E573441" w:rsidR="00D36963" w:rsidRPr="004E053C" w:rsidRDefault="00D36963" w:rsidP="004E053C">
      <w:pPr>
        <w:autoSpaceDE w:val="0"/>
        <w:autoSpaceDN w:val="0"/>
        <w:adjustRightInd w:val="0"/>
        <w:spacing w:line="360" w:lineRule="auto"/>
        <w:jc w:val="both"/>
        <w:rPr>
          <w:rFonts w:cstheme="minorHAnsi"/>
          <w:color w:val="000000" w:themeColor="text1"/>
          <w:sz w:val="22"/>
          <w:szCs w:val="22"/>
          <w:lang w:val="en-GB"/>
        </w:rPr>
      </w:pPr>
      <w:r w:rsidRPr="004E053C">
        <w:rPr>
          <w:rFonts w:eastAsia="Times New Roman" w:cstheme="majorHAnsi"/>
          <w:color w:val="000000" w:themeColor="text1"/>
          <w:sz w:val="22"/>
          <w:szCs w:val="22"/>
          <w:shd w:val="clear" w:color="auto" w:fill="FFFFFF"/>
          <w:lang w:val="en-GB"/>
        </w:rPr>
        <w:lastRenderedPageBreak/>
        <w:t xml:space="preserve">ASM often invokes images of gold rushes and boomtowns, </w:t>
      </w:r>
      <w:r w:rsidRPr="004E053C">
        <w:rPr>
          <w:rFonts w:eastAsia="Times New Roman" w:cstheme="majorHAnsi"/>
          <w:sz w:val="22"/>
          <w:szCs w:val="22"/>
          <w:bdr w:val="none" w:sz="0" w:space="0" w:color="auto" w:frame="1"/>
          <w:lang w:val="en-GB"/>
        </w:rPr>
        <w:t xml:space="preserve">and it is clear that the high mobility of ASM </w:t>
      </w:r>
      <w:r w:rsidRPr="004E053C">
        <w:rPr>
          <w:rFonts w:eastAsia="Times New Roman" w:cstheme="minorHAnsi"/>
          <w:sz w:val="22"/>
          <w:szCs w:val="22"/>
          <w:bdr w:val="none" w:sz="0" w:space="0" w:color="auto" w:frame="1"/>
          <w:lang w:val="en-GB"/>
        </w:rPr>
        <w:t xml:space="preserve">livelihoods shapes mining communities </w:t>
      </w:r>
      <w:r w:rsidRPr="004E053C">
        <w:rPr>
          <w:rFonts w:eastAsia="Times New Roman" w:cstheme="minorHAnsi"/>
          <w:sz w:val="22"/>
          <w:szCs w:val="22"/>
          <w:bdr w:val="none" w:sz="0" w:space="0" w:color="auto" w:frame="1"/>
          <w:lang w:val="en-GB"/>
        </w:rPr>
        <w:fldChar w:fldCharType="begin" w:fldLock="1"/>
      </w:r>
      <w:r w:rsidRPr="004E053C">
        <w:rPr>
          <w:rFonts w:eastAsia="Times New Roman" w:cstheme="minorHAnsi"/>
          <w:sz w:val="22"/>
          <w:szCs w:val="22"/>
          <w:bdr w:val="none" w:sz="0" w:space="0" w:color="auto" w:frame="1"/>
          <w:lang w:val="en-GB"/>
        </w:rPr>
        <w:instrText>ADDIN CSL_CITATION {"citationItems":[{"id":"ITEM-1","itemData":{"abstract":"This working paper discusses the relevance of the frontier concept to the establishment of gold mining camps in West Africa since the mid-1990s. Exploring the example of the artisanal and small- scale (gold) mining (ASM), I will examine econo- mic, social and cultural aspects of mobile mining communities, their internal social relationships and conflicts with local communities and the state. Local miners establish mobile camps on a very particular internal African frontier (Werthmann 2009, Grätz 2010, Panella 2010, Werthmann and Grätz 2013). I will compare three mining sites and discuss their situation against the background of classical and recent anthropological studies on migration, social innovation and local resource management.","author":[{"dropping-particle":"","family":"Grätz","given":"Tilo","non-dropping-particle":"","parse-names":false,"suffix":""}],"collection-title":"ZMO Working Paper Series","id":"ITEM-1","issued":{"date-parts":[["2013"]]},"number":"10","publisher-place":"Berlin","title":"The \"frontier\" revisited: gold mining camps and mining communities in West Africa","type":"report"},"uris":["http://www.mendeley.com/documents/?uuid=512afbc5-0e56-43dc-9ce4-6f5656806c76"]}],"mendeley":{"formattedCitation":"(Grätz, 2013)","plainTextFormattedCitation":"(Grätz, 2013)","previouslyFormattedCitation":"(Grätz, 2013)"},"properties":{"noteIndex":0},"schema":"https://github.com/citation-style-language/schema/raw/master/csl-citation.json"}</w:instrText>
      </w:r>
      <w:r w:rsidRPr="004E053C">
        <w:rPr>
          <w:rFonts w:eastAsia="Times New Roman" w:cstheme="minorHAnsi"/>
          <w:sz w:val="22"/>
          <w:szCs w:val="22"/>
          <w:bdr w:val="none" w:sz="0" w:space="0" w:color="auto" w:frame="1"/>
          <w:lang w:val="en-GB"/>
        </w:rPr>
        <w:fldChar w:fldCharType="separate"/>
      </w:r>
      <w:r w:rsidRPr="004E053C">
        <w:rPr>
          <w:rFonts w:eastAsia="Times New Roman" w:cstheme="minorHAnsi"/>
          <w:noProof/>
          <w:sz w:val="22"/>
          <w:szCs w:val="22"/>
          <w:bdr w:val="none" w:sz="0" w:space="0" w:color="auto" w:frame="1"/>
          <w:lang w:val="en-GB"/>
        </w:rPr>
        <w:t>(Grätz, 2013)</w:t>
      </w:r>
      <w:r w:rsidRPr="004E053C">
        <w:rPr>
          <w:rFonts w:eastAsia="Times New Roman" w:cstheme="minorHAnsi"/>
          <w:sz w:val="22"/>
          <w:szCs w:val="22"/>
          <w:bdr w:val="none" w:sz="0" w:space="0" w:color="auto" w:frame="1"/>
          <w:lang w:val="en-GB"/>
        </w:rPr>
        <w:fldChar w:fldCharType="end"/>
      </w:r>
      <w:r w:rsidRPr="004E053C">
        <w:rPr>
          <w:rFonts w:eastAsia="Times New Roman" w:cstheme="minorHAnsi"/>
          <w:sz w:val="22"/>
          <w:szCs w:val="22"/>
          <w:bdr w:val="none" w:sz="0" w:space="0" w:color="auto" w:frame="1"/>
          <w:lang w:val="en-GB"/>
        </w:rPr>
        <w:t xml:space="preserve">. </w:t>
      </w:r>
      <w:r w:rsidRPr="004E053C">
        <w:rPr>
          <w:rFonts w:eastAsia="Times New Roman" w:cstheme="minorHAnsi"/>
          <w:color w:val="000000" w:themeColor="text1"/>
          <w:sz w:val="22"/>
          <w:szCs w:val="22"/>
          <w:shd w:val="clear" w:color="auto" w:fill="FFFFFF"/>
          <w:lang w:val="en-GB"/>
        </w:rPr>
        <w:t xml:space="preserve">Unsurprisingly, </w:t>
      </w:r>
      <w:r w:rsidRPr="004E053C">
        <w:rPr>
          <w:rFonts w:cstheme="minorHAnsi"/>
          <w:sz w:val="22"/>
          <w:szCs w:val="22"/>
          <w:lang w:val="en-GB"/>
        </w:rPr>
        <w:t xml:space="preserve">the literature is full of descriptions of the ASM communities that emerge as a result of in-migration. </w:t>
      </w:r>
      <w:r w:rsidRPr="004E053C">
        <w:rPr>
          <w:rFonts w:cstheme="minorHAnsi"/>
          <w:bCs/>
          <w:sz w:val="22"/>
          <w:szCs w:val="22"/>
          <w:lang w:val="en-GB"/>
        </w:rPr>
        <w:t xml:space="preserve">Sites in </w:t>
      </w:r>
      <w:r w:rsidRPr="004E053C">
        <w:rPr>
          <w:rFonts w:cstheme="minorHAnsi"/>
          <w:sz w:val="22"/>
          <w:szCs w:val="22"/>
          <w:lang w:val="en-GB"/>
        </w:rPr>
        <w:t xml:space="preserve">Ghana, for example, are described as ‘teeming with people of diverse </w:t>
      </w:r>
      <w:r w:rsidRPr="004E053C">
        <w:rPr>
          <w:rFonts w:cstheme="minorHAnsi"/>
          <w:color w:val="000000" w:themeColor="text1"/>
          <w:sz w:val="22"/>
          <w:szCs w:val="22"/>
          <w:lang w:val="en-GB"/>
        </w:rPr>
        <w:t xml:space="preserve">identities in terms of nationality, ethnicity, age and gender who possess differing skills, capital and interests’ </w:t>
      </w:r>
      <w:r w:rsidRPr="004E053C">
        <w:rPr>
          <w:rFonts w:cstheme="minorHAnsi"/>
          <w:color w:val="000000" w:themeColor="text1"/>
          <w:sz w:val="22"/>
          <w:szCs w:val="22"/>
          <w:lang w:val="en-GB"/>
        </w:rPr>
        <w:fldChar w:fldCharType="begin" w:fldLock="1"/>
      </w:r>
      <w:r w:rsidRPr="004E053C">
        <w:rPr>
          <w:rFonts w:cstheme="minorHAnsi"/>
          <w:color w:val="000000" w:themeColor="text1"/>
          <w:sz w:val="22"/>
          <w:szCs w:val="22"/>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2014)","manualFormatting":"(Nyame &amp; Grant, 2014, p.79)","plainTextFormattedCitation":"(F. K. Nyame &amp; Grant, 2014)","previouslyFormattedCitation":"(F. K. Nyame &amp; Grant, 2014)"},"properties":{"noteIndex":0},"schema":"https://github.com/citation-style-language/schema/raw/master/csl-citation.json"}</w:instrText>
      </w:r>
      <w:r w:rsidRPr="004E053C">
        <w:rPr>
          <w:rFonts w:cstheme="minorHAnsi"/>
          <w:color w:val="000000" w:themeColor="text1"/>
          <w:sz w:val="22"/>
          <w:szCs w:val="22"/>
          <w:lang w:val="en-GB"/>
        </w:rPr>
        <w:fldChar w:fldCharType="separate"/>
      </w:r>
      <w:r w:rsidRPr="004E053C">
        <w:rPr>
          <w:rFonts w:cstheme="minorHAnsi"/>
          <w:noProof/>
          <w:color w:val="000000" w:themeColor="text1"/>
          <w:sz w:val="22"/>
          <w:szCs w:val="22"/>
          <w:lang w:val="en-GB"/>
        </w:rPr>
        <w:t>(Nyame &amp; Grant, 2014, p.79)</w:t>
      </w:r>
      <w:r w:rsidRPr="004E053C">
        <w:rPr>
          <w:rFonts w:cstheme="minorHAnsi"/>
          <w:color w:val="000000" w:themeColor="text1"/>
          <w:sz w:val="22"/>
          <w:szCs w:val="22"/>
          <w:lang w:val="en-GB"/>
        </w:rPr>
        <w:fldChar w:fldCharType="end"/>
      </w:r>
      <w:r w:rsidRPr="004E053C">
        <w:rPr>
          <w:rFonts w:cstheme="minorHAnsi"/>
          <w:color w:val="000000" w:themeColor="text1"/>
          <w:sz w:val="22"/>
          <w:szCs w:val="22"/>
          <w:lang w:val="en-GB"/>
        </w:rPr>
        <w:t xml:space="preserve">. Similarly, work in Suriname highlights the </w:t>
      </w:r>
      <w:r w:rsidRPr="004E053C">
        <w:rPr>
          <w:rFonts w:cstheme="minorHAnsi"/>
          <w:sz w:val="22"/>
          <w:szCs w:val="22"/>
          <w:lang w:val="en-GB"/>
        </w:rPr>
        <w:t>rapid social change in Amazonian mine sites as a result of migration</w:t>
      </w:r>
      <w:r w:rsidR="00BF36CA" w:rsidRPr="004E053C">
        <w:rPr>
          <w:rFonts w:cstheme="minorHAnsi"/>
          <w:sz w:val="22"/>
          <w:szCs w:val="22"/>
          <w:lang w:val="en-GB"/>
        </w:rPr>
        <w:t xml:space="preserve"> </w:t>
      </w:r>
      <w:r w:rsidR="00BF36CA" w:rsidRPr="004E053C">
        <w:rPr>
          <w:rFonts w:cstheme="minorHAnsi"/>
          <w:sz w:val="22"/>
          <w:szCs w:val="22"/>
          <w:lang w:val="en-GB"/>
        </w:rPr>
        <w:fldChar w:fldCharType="begin" w:fldLock="1"/>
      </w:r>
      <w:r w:rsidR="007A757C" w:rsidRPr="004E053C">
        <w:rPr>
          <w:rFonts w:cstheme="minorHAnsi"/>
          <w:sz w:val="22"/>
          <w:szCs w:val="22"/>
          <w:lang w:val="en-GB"/>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2009)","plainTextFormattedCitation":"(De Theije &amp; Heemskerk, 2009)","previouslyFormattedCitation":"(De Theije &amp; Heemskerk, 2009)"},"properties":{"noteIndex":0},"schema":"https://github.com/citation-style-language/schema/raw/master/csl-citation.json"}</w:instrText>
      </w:r>
      <w:r w:rsidR="00BF36CA" w:rsidRPr="004E053C">
        <w:rPr>
          <w:rFonts w:cstheme="minorHAnsi"/>
          <w:sz w:val="22"/>
          <w:szCs w:val="22"/>
          <w:lang w:val="en-GB"/>
        </w:rPr>
        <w:fldChar w:fldCharType="separate"/>
      </w:r>
      <w:r w:rsidR="00BF36CA" w:rsidRPr="004E053C">
        <w:rPr>
          <w:rFonts w:cstheme="minorHAnsi"/>
          <w:noProof/>
          <w:sz w:val="22"/>
          <w:szCs w:val="22"/>
          <w:lang w:val="en-GB"/>
        </w:rPr>
        <w:t>(De Theije &amp; Heemskerk, 2009)</w:t>
      </w:r>
      <w:r w:rsidR="00BF36CA" w:rsidRPr="004E053C">
        <w:rPr>
          <w:rFonts w:cstheme="minorHAnsi"/>
          <w:sz w:val="22"/>
          <w:szCs w:val="22"/>
          <w:lang w:val="en-GB"/>
        </w:rPr>
        <w:fldChar w:fldCharType="end"/>
      </w:r>
      <w:r w:rsidR="00BF36CA" w:rsidRPr="004E053C">
        <w:rPr>
          <w:rFonts w:cstheme="minorHAnsi"/>
          <w:sz w:val="22"/>
          <w:szCs w:val="22"/>
          <w:lang w:val="en-GB"/>
        </w:rPr>
        <w:t>.</w:t>
      </w:r>
      <w:r w:rsidRPr="004E053C">
        <w:rPr>
          <w:rFonts w:cstheme="minorHAnsi"/>
          <w:sz w:val="22"/>
          <w:szCs w:val="22"/>
          <w:lang w:val="en-GB"/>
        </w:rPr>
        <w:t xml:space="preserve"> </w:t>
      </w:r>
      <w:r w:rsidRPr="004E053C">
        <w:rPr>
          <w:rFonts w:cstheme="majorHAnsi"/>
          <w:color w:val="000000" w:themeColor="text1"/>
          <w:sz w:val="22"/>
          <w:szCs w:val="22"/>
          <w:lang w:val="en-GB"/>
        </w:rPr>
        <w:t xml:space="preserve">When conceptualising mining settlements, it is useful to consider </w:t>
      </w:r>
      <w:r w:rsidRPr="004E053C">
        <w:rPr>
          <w:rFonts w:eastAsia="Times New Roman" w:cstheme="majorHAnsi"/>
          <w:color w:val="000000" w:themeColor="text1"/>
          <w:sz w:val="22"/>
          <w:szCs w:val="22"/>
          <w:shd w:val="clear" w:color="auto" w:fill="FFFFFF"/>
          <w:lang w:val="en-GB"/>
        </w:rPr>
        <w:t>Gr</w:t>
      </w:r>
      <w:r w:rsidR="00655033" w:rsidRPr="004E053C">
        <w:rPr>
          <w:rFonts w:eastAsia="Times New Roman" w:cstheme="minorHAnsi"/>
          <w:noProof/>
          <w:sz w:val="22"/>
          <w:szCs w:val="22"/>
          <w:bdr w:val="none" w:sz="0" w:space="0" w:color="auto" w:frame="1"/>
          <w:lang w:val="en-GB"/>
        </w:rPr>
        <w:t>ä</w:t>
      </w:r>
      <w:r w:rsidRPr="004E053C">
        <w:rPr>
          <w:rFonts w:eastAsia="Times New Roman" w:cstheme="majorHAnsi"/>
          <w:color w:val="000000" w:themeColor="text1"/>
          <w:sz w:val="22"/>
          <w:szCs w:val="22"/>
          <w:shd w:val="clear" w:color="auto" w:fill="FFFFFF"/>
          <w:lang w:val="en-GB"/>
        </w:rPr>
        <w:t xml:space="preserve">tz’s </w:t>
      </w:r>
      <w:r w:rsidRPr="004E053C">
        <w:rPr>
          <w:rFonts w:eastAsia="Times New Roman" w:cstheme="majorHAnsi"/>
          <w:color w:val="000000" w:themeColor="text1"/>
          <w:sz w:val="22"/>
          <w:szCs w:val="22"/>
          <w:shd w:val="clear" w:color="auto" w:fill="FFFFFF"/>
          <w:lang w:val="en-GB"/>
        </w:rPr>
        <w:fldChar w:fldCharType="begin" w:fldLock="1"/>
      </w:r>
      <w:r w:rsidRPr="004E053C">
        <w:rPr>
          <w:rFonts w:eastAsia="Times New Roman" w:cstheme="majorHAnsi"/>
          <w:color w:val="000000" w:themeColor="text1"/>
          <w:sz w:val="22"/>
          <w:szCs w:val="22"/>
          <w:shd w:val="clear" w:color="auto" w:fill="FFFFFF"/>
          <w:lang w:val="en-GB"/>
        </w:rPr>
        <w:instrText>ADDIN CSL_CITATION {"citationItems":[{"id":"ITEM-1","itemData":{"abstract":"This working paper discusses the relevance of the frontier concept to the establishment of gold mining camps in West Africa since the mid-1990s. Exploring the example of the artisanal and small- scale (gold) mining (ASM), I will examine econo- mic, social and cultural aspects of mobile mining communities, their internal social relationships and conflicts with local communities and the state. Local miners establish mobile camps on a very particular internal African frontier (Werthmann 2009, Grätz 2010, Panella 2010, Werthmann and Grätz 2013). I will compare three mining sites and discuss their situation against the background of classical and recent anthropological studies on migration, social innovation and local resource management.","author":[{"dropping-particle":"","family":"Grätz","given":"Tilo","non-dropping-particle":"","parse-names":false,"suffix":""}],"collection-title":"ZMO Working Paper Series","id":"ITEM-1","issued":{"date-parts":[["2013"]]},"number":"10","publisher-place":"Berlin","title":"The \"frontier\" revisited: gold mining camps and mining communities in West Africa","type":"report"},"uris":["http://www.mendeley.com/documents/?uuid=512afbc5-0e56-43dc-9ce4-6f5656806c76"]}],"mendeley":{"formattedCitation":"(Grätz, 2013)","manualFormatting":"(2013)","plainTextFormattedCitation":"(Grätz, 2013)","previouslyFormattedCitation":"(Grätz, 2013)"},"properties":{"noteIndex":0},"schema":"https://github.com/citation-style-language/schema/raw/master/csl-citation.json"}</w:instrText>
      </w:r>
      <w:r w:rsidRPr="004E053C">
        <w:rPr>
          <w:rFonts w:eastAsia="Times New Roman" w:cstheme="majorHAnsi"/>
          <w:color w:val="000000" w:themeColor="text1"/>
          <w:sz w:val="22"/>
          <w:szCs w:val="22"/>
          <w:shd w:val="clear" w:color="auto" w:fill="FFFFFF"/>
          <w:lang w:val="en-GB"/>
        </w:rPr>
        <w:fldChar w:fldCharType="separate"/>
      </w:r>
      <w:r w:rsidRPr="004E053C">
        <w:rPr>
          <w:rFonts w:eastAsia="Times New Roman" w:cstheme="majorHAnsi"/>
          <w:noProof/>
          <w:color w:val="000000" w:themeColor="text1"/>
          <w:sz w:val="22"/>
          <w:szCs w:val="22"/>
          <w:shd w:val="clear" w:color="auto" w:fill="FFFFFF"/>
          <w:lang w:val="en-GB"/>
        </w:rPr>
        <w:t>(2013)</w:t>
      </w:r>
      <w:r w:rsidRPr="004E053C">
        <w:rPr>
          <w:rFonts w:eastAsia="Times New Roman" w:cstheme="majorHAnsi"/>
          <w:color w:val="000000" w:themeColor="text1"/>
          <w:sz w:val="22"/>
          <w:szCs w:val="22"/>
          <w:shd w:val="clear" w:color="auto" w:fill="FFFFFF"/>
          <w:lang w:val="en-GB"/>
        </w:rPr>
        <w:fldChar w:fldCharType="end"/>
      </w:r>
      <w:r w:rsidRPr="004E053C">
        <w:rPr>
          <w:rFonts w:eastAsia="Times New Roman" w:cstheme="majorHAnsi"/>
          <w:color w:val="000000" w:themeColor="text1"/>
          <w:sz w:val="22"/>
          <w:szCs w:val="22"/>
          <w:shd w:val="clear" w:color="auto" w:fill="FFFFFF"/>
          <w:lang w:val="en-GB"/>
        </w:rPr>
        <w:t xml:space="preserve"> distinction between primary and secondary frontiers. The first are boomtowns that have only recently had an influx of miners </w:t>
      </w:r>
      <w:r w:rsidRPr="004E053C">
        <w:rPr>
          <w:rFonts w:eastAsia="Times New Roman" w:cstheme="majorHAnsi"/>
          <w:color w:val="000000" w:themeColor="text1"/>
          <w:sz w:val="22"/>
          <w:szCs w:val="22"/>
          <w:shd w:val="clear" w:color="auto" w:fill="FFFFFF"/>
          <w:lang w:val="en-GB"/>
        </w:rPr>
        <w:fldChar w:fldCharType="begin" w:fldLock="1"/>
      </w:r>
      <w:r w:rsidRPr="004E053C">
        <w:rPr>
          <w:rFonts w:eastAsia="Times New Roman" w:cstheme="majorHAnsi"/>
          <w:color w:val="000000" w:themeColor="text1"/>
          <w:sz w:val="22"/>
          <w:szCs w:val="22"/>
          <w:shd w:val="clear" w:color="auto" w:fill="FFFFFF"/>
          <w:lang w:val="en-GB"/>
        </w:rPr>
        <w:instrText>ADDIN CSL_CITATION {"citationItems":[{"id":"ITEM-1","itemData":{"abstract":"This working paper discusses the relevance of the frontier concept to the establishment of gold mining camps in West Africa since the mid-1990s. Exploring the example of the artisanal and small- scale (gold) mining (ASM), I will examine econo- mic, social and cultural aspects of mobile mining communities, their internal social relationships and conflicts with local communities and the state. Local miners establish mobile camps on a very particular internal African frontier (Werthmann 2009, Grätz 2010, Panella 2010, Werthmann and Grätz 2013). I will compare three mining sites and discuss their situation against the background of classical and recent anthropological studies on migration, social innovation and local resource management.","author":[{"dropping-particle":"","family":"Grätz","given":"Tilo","non-dropping-particle":"","parse-names":false,"suffix":""}],"collection-title":"ZMO Working Paper Series","id":"ITEM-1","issued":{"date-parts":[["2013"]]},"number":"10","publisher-place":"Berlin","title":"The \"frontier\" revisited: gold mining camps and mining communities in West Africa","type":"report"},"uris":["http://www.mendeley.com/documents/?uuid=512afbc5-0e56-43dc-9ce4-6f5656806c76"]}],"mendeley":{"formattedCitation":"(Grätz, 2013)","manualFormatting":"(Ibid.)","plainTextFormattedCitation":"(Grätz, 2013)","previouslyFormattedCitation":"(Grätz, 2013)"},"properties":{"noteIndex":0},"schema":"https://github.com/citation-style-language/schema/raw/master/csl-citation.json"}</w:instrText>
      </w:r>
      <w:r w:rsidRPr="004E053C">
        <w:rPr>
          <w:rFonts w:eastAsia="Times New Roman" w:cstheme="majorHAnsi"/>
          <w:color w:val="000000" w:themeColor="text1"/>
          <w:sz w:val="22"/>
          <w:szCs w:val="22"/>
          <w:shd w:val="clear" w:color="auto" w:fill="FFFFFF"/>
          <w:lang w:val="en-GB"/>
        </w:rPr>
        <w:fldChar w:fldCharType="separate"/>
      </w:r>
      <w:r w:rsidRPr="004E053C">
        <w:rPr>
          <w:rFonts w:eastAsia="Times New Roman" w:cstheme="majorHAnsi"/>
          <w:noProof/>
          <w:color w:val="000000" w:themeColor="text1"/>
          <w:sz w:val="22"/>
          <w:szCs w:val="22"/>
          <w:shd w:val="clear" w:color="auto" w:fill="FFFFFF"/>
          <w:lang w:val="en-GB"/>
        </w:rPr>
        <w:t>(Ibid.)</w:t>
      </w:r>
      <w:r w:rsidRPr="004E053C">
        <w:rPr>
          <w:rFonts w:eastAsia="Times New Roman" w:cstheme="majorHAnsi"/>
          <w:color w:val="000000" w:themeColor="text1"/>
          <w:sz w:val="22"/>
          <w:szCs w:val="22"/>
          <w:shd w:val="clear" w:color="auto" w:fill="FFFFFF"/>
          <w:lang w:val="en-GB"/>
        </w:rPr>
        <w:fldChar w:fldCharType="end"/>
      </w:r>
      <w:r w:rsidRPr="004E053C">
        <w:rPr>
          <w:rFonts w:eastAsia="Times New Roman" w:cstheme="majorHAnsi"/>
          <w:color w:val="000000" w:themeColor="text1"/>
          <w:sz w:val="22"/>
          <w:szCs w:val="22"/>
          <w:shd w:val="clear" w:color="auto" w:fill="FFFFFF"/>
          <w:lang w:val="en-GB"/>
        </w:rPr>
        <w:t xml:space="preserve">, and they are recognised as specific mineral-rich locations that experience massive influxes of miners as a result of an increase in international commodity prices </w:t>
      </w:r>
      <w:r w:rsidRPr="004E053C">
        <w:rPr>
          <w:rFonts w:eastAsia="Times New Roman" w:cstheme="majorHAnsi"/>
          <w:color w:val="000000" w:themeColor="text1"/>
          <w:sz w:val="22"/>
          <w:szCs w:val="22"/>
          <w:shd w:val="clear" w:color="auto" w:fill="FFFFFF"/>
          <w:lang w:val="en-GB"/>
        </w:rPr>
        <w:fldChar w:fldCharType="begin" w:fldLock="1"/>
      </w:r>
      <w:r w:rsidRPr="004E053C">
        <w:rPr>
          <w:rFonts w:eastAsia="Times New Roman" w:cstheme="majorHAnsi"/>
          <w:color w:val="000000" w:themeColor="text1"/>
          <w:sz w:val="22"/>
          <w:szCs w:val="22"/>
          <w:shd w:val="clear" w:color="auto" w:fill="FFFFFF"/>
          <w:lang w:val="en-GB"/>
        </w:rPr>
        <w:instrText>ADDIN CSL_CITATION {"citationItems":[{"id":"ITEM-1","itemData":{"abstract":"This article studies the transformative nature of ‘artisanal frontier mining’ in view of sub-Saharan Africa's mining history. Artisanal gold production has generated livelihood earnings for millions of people in sub-Saharan Africa. Yet we must go beyond a study of artisanal mining as an individual livelihood choice and consider the sector's internal dynamics. In this sense, the concept of ‘labour transformation’ is helpful. It refers to a process in which individuals' skill acquisition, economic exchange, psychological reorientation, and social positioning evolve towards a shared occupational identity and collective professional norms, leaving considerable scope for self-governance amongst artisanal miners. This process is captured in the notion of the ‘frontier’, which in our case refers to occupational rather than geographic locational change. However, the frontier is necessarily of limited temporal duration given the existence of gold as a non-renewable resource, the depth of the gold supply sinking beyond the exploratory and extractive reach of artisanal miners, and the expanding interests of foreign mining corporations and the state. Our argument is illustrated through a comparison of the artisanal mining experiences of two neighbouring countries, Tanzania and the Democratic Republic of Congo (DRC), whose artisanal labour patterns are remarkably similar to each other despite their very different national political contexts and the DRC's recent experience of conflict mineral production.","author":[{"dropping-particle":"","family":"Bryceson","given":"D.","non-dropping-particle":"","parse-names":false,"suffix":""},{"dropping-particle":"","family":"Geenen","given":"S.","non-dropping-particle":"","parse-names":false,"suffix":""}],"container-title":"African Affairs","id":"ITEM-1","issue":"459","issued":{"date-parts":[["2016"]]},"page":"296-317","title":"Artisanal frontier mining of gold in Africa: Labour transformation in Tanzania and the Democratic Republic of Congo","type":"article-journal","volume":"115"},"uris":["http://www.mendeley.com/documents/?uuid=e8db07fb-4578-4ee3-9200-60a5775cc168"]}],"mendeley":{"formattedCitation":"(D. Bryceson &amp; Geenen, 2016)","manualFormatting":"(Bryceson &amp; Geenen, 2016)","plainTextFormattedCitation":"(D. Bryceson &amp; Geenen, 2016)","previouslyFormattedCitation":"(D. Bryceson &amp; Geenen, 2016)"},"properties":{"noteIndex":0},"schema":"https://github.com/citation-style-language/schema/raw/master/csl-citation.json"}</w:instrText>
      </w:r>
      <w:r w:rsidRPr="004E053C">
        <w:rPr>
          <w:rFonts w:eastAsia="Times New Roman" w:cstheme="majorHAnsi"/>
          <w:color w:val="000000" w:themeColor="text1"/>
          <w:sz w:val="22"/>
          <w:szCs w:val="22"/>
          <w:shd w:val="clear" w:color="auto" w:fill="FFFFFF"/>
          <w:lang w:val="en-GB"/>
        </w:rPr>
        <w:fldChar w:fldCharType="separate"/>
      </w:r>
      <w:r w:rsidRPr="004E053C">
        <w:rPr>
          <w:rFonts w:eastAsia="Times New Roman" w:cstheme="majorHAnsi"/>
          <w:noProof/>
          <w:color w:val="000000" w:themeColor="text1"/>
          <w:sz w:val="22"/>
          <w:szCs w:val="22"/>
          <w:shd w:val="clear" w:color="auto" w:fill="FFFFFF"/>
          <w:lang w:val="en-GB"/>
        </w:rPr>
        <w:t>(Bryceson &amp; Geenen, 2016)</w:t>
      </w:r>
      <w:r w:rsidRPr="004E053C">
        <w:rPr>
          <w:rFonts w:eastAsia="Times New Roman" w:cstheme="majorHAnsi"/>
          <w:color w:val="000000" w:themeColor="text1"/>
          <w:sz w:val="22"/>
          <w:szCs w:val="22"/>
          <w:shd w:val="clear" w:color="auto" w:fill="FFFFFF"/>
          <w:lang w:val="en-GB"/>
        </w:rPr>
        <w:fldChar w:fldCharType="end"/>
      </w:r>
      <w:r w:rsidRPr="004E053C">
        <w:rPr>
          <w:rFonts w:eastAsia="Times New Roman" w:cstheme="majorHAnsi"/>
          <w:color w:val="000000" w:themeColor="text1"/>
          <w:sz w:val="22"/>
          <w:szCs w:val="22"/>
          <w:shd w:val="clear" w:color="auto" w:fill="FFFFFF"/>
          <w:lang w:val="en-GB"/>
        </w:rPr>
        <w:t xml:space="preserve">. In the latter, termed as secondary frontiers, there is instead a longer tradition of mining in which both local people and local authorities are involved </w:t>
      </w:r>
      <w:r w:rsidRPr="004E053C">
        <w:rPr>
          <w:rFonts w:eastAsia="Times New Roman" w:cstheme="majorHAnsi"/>
          <w:color w:val="000000" w:themeColor="text1"/>
          <w:sz w:val="22"/>
          <w:szCs w:val="22"/>
          <w:shd w:val="clear" w:color="auto" w:fill="FFFFFF"/>
          <w:lang w:val="en-GB"/>
        </w:rPr>
        <w:fldChar w:fldCharType="begin" w:fldLock="1"/>
      </w:r>
      <w:r w:rsidRPr="004E053C">
        <w:rPr>
          <w:rFonts w:eastAsia="Times New Roman" w:cstheme="majorHAnsi"/>
          <w:color w:val="000000" w:themeColor="text1"/>
          <w:sz w:val="22"/>
          <w:szCs w:val="22"/>
          <w:shd w:val="clear" w:color="auto" w:fill="FFFFFF"/>
          <w:lang w:val="en-GB"/>
        </w:rPr>
        <w:instrText>ADDIN CSL_CITATION {"citationItems":[{"id":"ITEM-1","itemData":{"abstract":"This working paper discusses the relevance of the frontier concept to the establishment of gold mining camps in West Africa since the mid-1990s. Exploring the example of the artisanal and small- scale (gold) mining (ASM), I will examine econo- mic, social and cultural aspects of mobile mining communities, their internal social relationships and conflicts with local communities and the state. Local miners establish mobile camps on a very particular internal African frontier (Werthmann 2009, Grätz 2010, Panella 2010, Werthmann and Grätz 2013). I will compare three mining sites and discuss their situation against the background of classical and recent anthropological studies on migration, social innovation and local resource management.","author":[{"dropping-particle":"","family":"Grätz","given":"Tilo","non-dropping-particle":"","parse-names":false,"suffix":""}],"collection-title":"ZMO Working Paper Series","id":"ITEM-1","issued":{"date-parts":[["2013"]]},"number":"10","publisher-place":"Berlin","title":"The \"frontier\" revisited: gold mining camps and mining communities in West Africa","type":"report"},"uris":["http://www.mendeley.com/documents/?uuid=512afbc5-0e56-43dc-9ce4-6f5656806c76"]}],"mendeley":{"formattedCitation":"(Grätz, 2013)","plainTextFormattedCitation":"(Grätz, 2013)","previouslyFormattedCitation":"(Grätz, 2013)"},"properties":{"noteIndex":0},"schema":"https://github.com/citation-style-language/schema/raw/master/csl-citation.json"}</w:instrText>
      </w:r>
      <w:r w:rsidRPr="004E053C">
        <w:rPr>
          <w:rFonts w:eastAsia="Times New Roman" w:cstheme="majorHAnsi"/>
          <w:color w:val="000000" w:themeColor="text1"/>
          <w:sz w:val="22"/>
          <w:szCs w:val="22"/>
          <w:shd w:val="clear" w:color="auto" w:fill="FFFFFF"/>
          <w:lang w:val="en-GB"/>
        </w:rPr>
        <w:fldChar w:fldCharType="separate"/>
      </w:r>
      <w:r w:rsidRPr="004E053C">
        <w:rPr>
          <w:rFonts w:eastAsia="Times New Roman" w:cstheme="majorHAnsi"/>
          <w:noProof/>
          <w:color w:val="000000" w:themeColor="text1"/>
          <w:sz w:val="22"/>
          <w:szCs w:val="22"/>
          <w:shd w:val="clear" w:color="auto" w:fill="FFFFFF"/>
          <w:lang w:val="en-GB"/>
        </w:rPr>
        <w:t>(Grätz, 2013)</w:t>
      </w:r>
      <w:r w:rsidRPr="004E053C">
        <w:rPr>
          <w:rFonts w:eastAsia="Times New Roman" w:cstheme="majorHAnsi"/>
          <w:color w:val="000000" w:themeColor="text1"/>
          <w:sz w:val="22"/>
          <w:szCs w:val="22"/>
          <w:shd w:val="clear" w:color="auto" w:fill="FFFFFF"/>
          <w:lang w:val="en-GB"/>
        </w:rPr>
        <w:fldChar w:fldCharType="end"/>
      </w:r>
      <w:r w:rsidR="00E65D31" w:rsidRPr="004E053C">
        <w:rPr>
          <w:rFonts w:eastAsia="Times New Roman" w:cstheme="majorHAnsi"/>
          <w:color w:val="000000" w:themeColor="text1"/>
          <w:sz w:val="22"/>
          <w:szCs w:val="22"/>
          <w:shd w:val="clear" w:color="auto" w:fill="FFFFFF"/>
          <w:lang w:val="en-GB"/>
        </w:rPr>
        <w:t>.</w:t>
      </w:r>
      <w:r w:rsidRPr="004E053C">
        <w:rPr>
          <w:rFonts w:eastAsia="Times New Roman" w:cstheme="majorHAnsi"/>
          <w:color w:val="000000" w:themeColor="text1"/>
          <w:sz w:val="22"/>
          <w:szCs w:val="22"/>
          <w:shd w:val="clear" w:color="auto" w:fill="FFFFFF"/>
          <w:lang w:val="en-GB"/>
        </w:rPr>
        <w:t xml:space="preserve"> For example, when </w:t>
      </w:r>
      <w:r w:rsidRPr="004E053C">
        <w:rPr>
          <w:rFonts w:cstheme="majorHAnsi"/>
          <w:color w:val="000000" w:themeColor="text1"/>
          <w:sz w:val="22"/>
          <w:szCs w:val="22"/>
          <w:lang w:val="en-GB"/>
        </w:rPr>
        <w:t xml:space="preserve">Hilson et al </w:t>
      </w:r>
      <w:r w:rsidRPr="004E053C">
        <w:rPr>
          <w:rFonts w:cstheme="majorHAnsi"/>
          <w:color w:val="000000" w:themeColor="text1"/>
          <w:sz w:val="22"/>
          <w:szCs w:val="22"/>
          <w:lang w:val="en-GB"/>
        </w:rPr>
        <w:fldChar w:fldCharType="begin" w:fldLock="1"/>
      </w:r>
      <w:r w:rsidRPr="004E053C">
        <w:rPr>
          <w:rFonts w:cstheme="majorHAnsi"/>
          <w:color w:val="000000" w:themeColor="text1"/>
          <w:sz w:val="22"/>
          <w:szCs w:val="22"/>
          <w:lang w:val="en-GB"/>
        </w:rPr>
        <w:instrText>ADDIN CSL_CITATION {"citationItems":[{"id":"ITEM-1","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Affairs","id":"ITEM-1","issue":"424","issued":{"date-parts":[["2007"]]},"page":"413-436","title":"To move or not to move’: reflections on the resettlement of artisanal miners in the western region of Ghana","type":"article-journal","volume":"106"},"uris":["http://www.mendeley.com/documents/?uuid=8ef2711f-ce75-4c5a-8a00-8e27b49f07cf"]}],"mendeley":{"formattedCitation":"(G. Hilson et al., 2007)","manualFormatting":"(2007)","plainTextFormattedCitation":"(G. Hilson et al., 2007)","previouslyFormattedCitation":"(G. Hilson et al., 2007)"},"properties":{"noteIndex":0},"schema":"https://github.com/citation-style-language/schema/raw/master/csl-citation.json"}</w:instrText>
      </w:r>
      <w:r w:rsidRPr="004E053C">
        <w:rPr>
          <w:rFonts w:cstheme="majorHAnsi"/>
          <w:color w:val="000000" w:themeColor="text1"/>
          <w:sz w:val="22"/>
          <w:szCs w:val="22"/>
          <w:lang w:val="en-GB"/>
        </w:rPr>
        <w:fldChar w:fldCharType="separate"/>
      </w:r>
      <w:r w:rsidRPr="004E053C">
        <w:rPr>
          <w:rFonts w:cstheme="majorHAnsi"/>
          <w:noProof/>
          <w:color w:val="000000" w:themeColor="text1"/>
          <w:sz w:val="22"/>
          <w:szCs w:val="22"/>
          <w:lang w:val="en-GB"/>
        </w:rPr>
        <w:t>(2007)</w:t>
      </w:r>
      <w:r w:rsidRPr="004E053C">
        <w:rPr>
          <w:rFonts w:cstheme="majorHAnsi"/>
          <w:color w:val="000000" w:themeColor="text1"/>
          <w:sz w:val="22"/>
          <w:szCs w:val="22"/>
          <w:lang w:val="en-GB"/>
        </w:rPr>
        <w:fldChar w:fldCharType="end"/>
      </w:r>
      <w:r w:rsidRPr="004E053C">
        <w:rPr>
          <w:rFonts w:cstheme="majorHAnsi"/>
          <w:color w:val="000000" w:themeColor="text1"/>
          <w:sz w:val="22"/>
          <w:szCs w:val="22"/>
          <w:lang w:val="en-GB"/>
        </w:rPr>
        <w:t xml:space="preserve"> describe the </w:t>
      </w:r>
      <w:r w:rsidRPr="004E053C">
        <w:rPr>
          <w:rFonts w:eastAsia="Times New Roman" w:cstheme="majorHAnsi"/>
          <w:color w:val="000000" w:themeColor="text1"/>
          <w:sz w:val="22"/>
          <w:szCs w:val="22"/>
          <w:shd w:val="clear" w:color="auto" w:fill="FFFFFF"/>
          <w:lang w:val="en-GB"/>
        </w:rPr>
        <w:t xml:space="preserve">Ghanaian town of </w:t>
      </w:r>
      <w:r w:rsidRPr="004E053C">
        <w:rPr>
          <w:rFonts w:cstheme="majorHAnsi"/>
          <w:color w:val="000000" w:themeColor="text1"/>
          <w:sz w:val="22"/>
          <w:szCs w:val="22"/>
          <w:lang w:val="en-GB"/>
        </w:rPr>
        <w:t xml:space="preserve">Prestea it is clear that the non-native inhabitants have been living there so long that they have become firmly rooted in the community. Similar observations have been made of the Brazilian miners who put down roots in Suriname, deciding to stay and integrate into mining communities that lack the violence of their hometowns </w:t>
      </w:r>
      <w:r w:rsidR="00BF36CA" w:rsidRPr="004E053C">
        <w:rPr>
          <w:rFonts w:cstheme="majorHAnsi"/>
          <w:color w:val="000000" w:themeColor="text1"/>
          <w:sz w:val="22"/>
          <w:szCs w:val="22"/>
          <w:lang w:val="en-GB"/>
        </w:rPr>
        <w:fldChar w:fldCharType="begin" w:fldLock="1"/>
      </w:r>
      <w:r w:rsidR="007A757C" w:rsidRPr="004E053C">
        <w:rPr>
          <w:rFonts w:cstheme="majorHAnsi"/>
          <w:color w:val="000000" w:themeColor="text1"/>
          <w:sz w:val="22"/>
          <w:szCs w:val="22"/>
          <w:lang w:val="en-GB"/>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2009)","plainTextFormattedCitation":"(De Theije &amp; Heemskerk, 2009)","previouslyFormattedCitation":"(De Theije &amp; Heemskerk, 2009)"},"properties":{"noteIndex":0},"schema":"https://github.com/citation-style-language/schema/raw/master/csl-citation.json"}</w:instrText>
      </w:r>
      <w:r w:rsidR="00BF36CA" w:rsidRPr="004E053C">
        <w:rPr>
          <w:rFonts w:cstheme="majorHAnsi"/>
          <w:color w:val="000000" w:themeColor="text1"/>
          <w:sz w:val="22"/>
          <w:szCs w:val="22"/>
          <w:lang w:val="en-GB"/>
        </w:rPr>
        <w:fldChar w:fldCharType="separate"/>
      </w:r>
      <w:r w:rsidR="00BF36CA" w:rsidRPr="004E053C">
        <w:rPr>
          <w:rFonts w:cstheme="majorHAnsi"/>
          <w:noProof/>
          <w:color w:val="000000" w:themeColor="text1"/>
          <w:sz w:val="22"/>
          <w:szCs w:val="22"/>
          <w:lang w:val="en-GB"/>
        </w:rPr>
        <w:t>(De Theije &amp; Heemskerk, 2009)</w:t>
      </w:r>
      <w:r w:rsidR="00BF36CA" w:rsidRPr="004E053C">
        <w:rPr>
          <w:rFonts w:cstheme="majorHAnsi"/>
          <w:color w:val="000000" w:themeColor="text1"/>
          <w:sz w:val="22"/>
          <w:szCs w:val="22"/>
          <w:lang w:val="en-GB"/>
        </w:rPr>
        <w:fldChar w:fldCharType="end"/>
      </w:r>
      <w:r w:rsidR="00BF36CA" w:rsidRPr="004E053C">
        <w:rPr>
          <w:rFonts w:cstheme="majorHAnsi"/>
          <w:color w:val="000000" w:themeColor="text1"/>
          <w:sz w:val="22"/>
          <w:szCs w:val="22"/>
          <w:lang w:val="en-GB"/>
        </w:rPr>
        <w:t>.</w:t>
      </w:r>
      <w:r w:rsidRPr="004E053C">
        <w:rPr>
          <w:rFonts w:cstheme="majorHAnsi"/>
          <w:color w:val="000000" w:themeColor="text1"/>
          <w:sz w:val="22"/>
          <w:szCs w:val="22"/>
          <w:lang w:val="en-GB"/>
        </w:rPr>
        <w:t xml:space="preserve"> </w:t>
      </w:r>
      <w:r w:rsidRPr="004E053C">
        <w:rPr>
          <w:rFonts w:eastAsia="Times New Roman" w:cstheme="majorHAnsi"/>
          <w:color w:val="000000" w:themeColor="text1"/>
          <w:sz w:val="22"/>
          <w:szCs w:val="22"/>
          <w:shd w:val="clear" w:color="auto" w:fill="FFFFFF"/>
          <w:lang w:val="en-GB"/>
        </w:rPr>
        <w:t xml:space="preserve">However, while secondary frontiers may </w:t>
      </w:r>
      <w:r w:rsidR="00655033" w:rsidRPr="004E053C">
        <w:rPr>
          <w:rFonts w:eastAsia="Times New Roman" w:cstheme="majorHAnsi"/>
          <w:color w:val="000000" w:themeColor="text1"/>
          <w:sz w:val="22"/>
          <w:szCs w:val="22"/>
          <w:shd w:val="clear" w:color="auto" w:fill="FFFFFF"/>
          <w:lang w:val="en-GB"/>
        </w:rPr>
        <w:t>offer</w:t>
      </w:r>
      <w:r w:rsidRPr="004E053C">
        <w:rPr>
          <w:rFonts w:eastAsia="Times New Roman" w:cstheme="majorHAnsi"/>
          <w:color w:val="000000" w:themeColor="text1"/>
          <w:sz w:val="22"/>
          <w:szCs w:val="22"/>
          <w:shd w:val="clear" w:color="auto" w:fill="FFFFFF"/>
          <w:lang w:val="en-GB"/>
        </w:rPr>
        <w:t xml:space="preserve"> relative stability, they are still subject to influxes of miners during rush periods, which is likely to have an impact on social cohesion.</w:t>
      </w:r>
    </w:p>
    <w:p w14:paraId="113BBA5D" w14:textId="77777777" w:rsidR="00D36963" w:rsidRPr="004E053C" w:rsidRDefault="00D36963" w:rsidP="004E053C">
      <w:pPr>
        <w:spacing w:line="360" w:lineRule="auto"/>
        <w:jc w:val="both"/>
        <w:rPr>
          <w:rFonts w:eastAsia="Times New Roman" w:cstheme="majorHAnsi"/>
          <w:color w:val="000000" w:themeColor="text1"/>
          <w:sz w:val="22"/>
          <w:szCs w:val="22"/>
          <w:shd w:val="clear" w:color="auto" w:fill="FFFFFF"/>
          <w:lang w:val="en-GB"/>
        </w:rPr>
      </w:pPr>
    </w:p>
    <w:p w14:paraId="3B692E38" w14:textId="58F22320" w:rsidR="00D36963" w:rsidRPr="004E053C" w:rsidRDefault="00D36963" w:rsidP="004E053C">
      <w:pPr>
        <w:spacing w:line="360" w:lineRule="auto"/>
        <w:jc w:val="both"/>
        <w:rPr>
          <w:rFonts w:cstheme="majorHAnsi"/>
          <w:bCs/>
          <w:sz w:val="22"/>
          <w:szCs w:val="22"/>
          <w:lang w:val="en-GB"/>
        </w:rPr>
      </w:pPr>
      <w:r w:rsidRPr="004E053C">
        <w:rPr>
          <w:rFonts w:eastAsia="Times New Roman" w:cstheme="majorHAnsi"/>
          <w:color w:val="000000" w:themeColor="text1"/>
          <w:sz w:val="22"/>
          <w:szCs w:val="22"/>
          <w:shd w:val="clear" w:color="auto" w:fill="FFFFFF"/>
          <w:lang w:val="en-GB"/>
        </w:rPr>
        <w:t xml:space="preserve">Grätz’s typology is useful to keep in mind, being particularly pertinent for two of the locations studied during fieldwork. However, while frontier studies such as his consider the impact of in-migration into new areas </w:t>
      </w:r>
      <w:r w:rsidRPr="004E053C">
        <w:rPr>
          <w:rFonts w:eastAsia="Times New Roman" w:cstheme="majorHAnsi"/>
          <w:color w:val="000000" w:themeColor="text1"/>
          <w:sz w:val="22"/>
          <w:szCs w:val="22"/>
          <w:shd w:val="clear" w:color="auto" w:fill="FFFFFF"/>
          <w:lang w:val="en-GB"/>
        </w:rPr>
        <w:fldChar w:fldCharType="begin" w:fldLock="1"/>
      </w:r>
      <w:r w:rsidRPr="004E053C">
        <w:rPr>
          <w:rFonts w:eastAsia="Times New Roman" w:cstheme="majorHAnsi"/>
          <w:color w:val="000000" w:themeColor="text1"/>
          <w:sz w:val="22"/>
          <w:szCs w:val="22"/>
          <w:shd w:val="clear" w:color="auto" w:fill="FFFFFF"/>
          <w:lang w:val="en-GB"/>
        </w:rPr>
        <w:instrText>ADDIN CSL_CITATION {"citationItems":[{"id":"ITEM-1","itemData":{"author":[{"dropping-particle":"","family":"Kopytoff","given":"Igor","non-dropping-particle":"","parse-names":false,"suffix":""}],"id":"ITEM-1","issued":{"date-parts":[["1987"]]},"publisher":"Indiana University Press","publisher-place":"Bloomington, IA","title":"The African Frontier: The Reproduction of Traditional African Societies","type":"book"},"uris":["http://www.mendeley.com/documents/?uuid=3b37e23e-e8e7-45a1-bc47-c1f9219b9bb3"]},{"id":"ITEM-2","itemData":{"abstract":"This working paper discusses the relevance of the frontier concept to the establishment of gold mining camps in West Africa since the mid-1990s. Exploring the example of the artisanal and small- scale (gold) mining (ASM), I will examine econo- mic, social and cultural aspects of mobile mining communities, their internal social relationships and conflicts with local communities and the state. Local miners establish mobile camps on a very particular internal African frontier (Werthmann 2009, Grätz 2010, Panella 2010, Werthmann and Grätz 2013). I will compare three mining sites and discuss their situation against the background of classical and recent anthropological studies on migration, social innovation and local resource management.","author":[{"dropping-particle":"","family":"Grätz","given":"Tilo","non-dropping-particle":"","parse-names":false,"suffix":""}],"collection-title":"ZMO Working Paper Series","id":"ITEM-2","issued":{"date-parts":[["2013"]]},"number":"10","publisher-place":"Berlin","title":"The \"frontier\" revisited: gold mining camps and mining communities in West Africa","type":"report"},"uris":["http://www.mendeley.com/documents/?uuid=512afbc5-0e56-43dc-9ce4-6f5656806c76"]}],"mendeley":{"formattedCitation":"(Grätz, 2013; Kopytoff, 1987)","plainTextFormattedCitation":"(Grätz, 2013; Kopytoff, 1987)","previouslyFormattedCitation":"(Grätz, 2013; Kopytoff, 1987)"},"properties":{"noteIndex":0},"schema":"https://github.com/citation-style-language/schema/raw/master/csl-citation.json"}</w:instrText>
      </w:r>
      <w:r w:rsidRPr="004E053C">
        <w:rPr>
          <w:rFonts w:eastAsia="Times New Roman" w:cstheme="majorHAnsi"/>
          <w:color w:val="000000" w:themeColor="text1"/>
          <w:sz w:val="22"/>
          <w:szCs w:val="22"/>
          <w:shd w:val="clear" w:color="auto" w:fill="FFFFFF"/>
          <w:lang w:val="en-GB"/>
        </w:rPr>
        <w:fldChar w:fldCharType="separate"/>
      </w:r>
      <w:r w:rsidRPr="004E053C">
        <w:rPr>
          <w:rFonts w:eastAsia="Times New Roman" w:cstheme="majorHAnsi"/>
          <w:noProof/>
          <w:color w:val="000000" w:themeColor="text1"/>
          <w:sz w:val="22"/>
          <w:szCs w:val="22"/>
          <w:shd w:val="clear" w:color="auto" w:fill="FFFFFF"/>
          <w:lang w:val="en-GB"/>
        </w:rPr>
        <w:t>(Grätz, 2013; Kopytoff, 1987)</w:t>
      </w:r>
      <w:r w:rsidRPr="004E053C">
        <w:rPr>
          <w:rFonts w:eastAsia="Times New Roman" w:cstheme="majorHAnsi"/>
          <w:color w:val="000000" w:themeColor="text1"/>
          <w:sz w:val="22"/>
          <w:szCs w:val="22"/>
          <w:shd w:val="clear" w:color="auto" w:fill="FFFFFF"/>
          <w:lang w:val="en-GB"/>
        </w:rPr>
        <w:fldChar w:fldCharType="end"/>
      </w:r>
      <w:r w:rsidRPr="004E053C">
        <w:rPr>
          <w:rFonts w:eastAsia="Times New Roman" w:cstheme="majorHAnsi"/>
          <w:color w:val="000000" w:themeColor="text1"/>
          <w:sz w:val="22"/>
          <w:szCs w:val="22"/>
          <w:shd w:val="clear" w:color="auto" w:fill="FFFFFF"/>
          <w:lang w:val="en-GB"/>
        </w:rPr>
        <w:t xml:space="preserve">, they do so from a very spatially bound viewpoint. Grätz </w:t>
      </w:r>
      <w:r w:rsidRPr="004E053C">
        <w:rPr>
          <w:rFonts w:eastAsia="Times New Roman" w:cstheme="majorHAnsi"/>
          <w:color w:val="000000" w:themeColor="text1"/>
          <w:sz w:val="22"/>
          <w:szCs w:val="22"/>
          <w:shd w:val="clear" w:color="auto" w:fill="FFFFFF"/>
          <w:lang w:val="en-GB"/>
        </w:rPr>
        <w:fldChar w:fldCharType="begin" w:fldLock="1"/>
      </w:r>
      <w:r w:rsidRPr="004E053C">
        <w:rPr>
          <w:rFonts w:eastAsia="Times New Roman" w:cstheme="majorHAnsi"/>
          <w:color w:val="000000" w:themeColor="text1"/>
          <w:sz w:val="22"/>
          <w:szCs w:val="22"/>
          <w:shd w:val="clear" w:color="auto" w:fill="FFFFFF"/>
          <w:lang w:val="en-GB"/>
        </w:rPr>
        <w:instrText>ADDIN CSL_CITATION {"citationItems":[{"id":"ITEM-1","itemData":{"abstract":"This working paper discusses the relevance of the frontier concept to the establishment of gold mining camps in West Africa since the mid-1990s. Exploring the example of the artisanal and small- scale (gold) mining (ASM), I will examine econo- mic, social and cultural aspects of mobile mining communities, their internal social relationships and conflicts with local communities and the state. Local miners establish mobile camps on a very particular internal African frontier (Werthmann 2009, Grätz 2010, Panella 2010, Werthmann and Grätz 2013). I will compare three mining sites and discuss their situation against the background of classical and recent anthropological studies on migration, social innovation and local resource management.","author":[{"dropping-particle":"","family":"Grätz","given":"Tilo","non-dropping-particle":"","parse-names":false,"suffix":""}],"collection-title":"ZMO Working Paper Series","id":"ITEM-1","issued":{"date-parts":[["2013"]]},"number":"10","publisher-place":"Berlin","title":"The \"frontier\" revisited: gold mining camps and mining communities in West Africa","type":"report"},"uris":["http://www.mendeley.com/documents/?uuid=512afbc5-0e56-43dc-9ce4-6f5656806c76"]}],"mendeley":{"formattedCitation":"(Grätz, 2013)","manualFormatting":"(2013)","plainTextFormattedCitation":"(Grätz, 2013)","previouslyFormattedCitation":"(Grätz, 2013)"},"properties":{"noteIndex":0},"schema":"https://github.com/citation-style-language/schema/raw/master/csl-citation.json"}</w:instrText>
      </w:r>
      <w:r w:rsidRPr="004E053C">
        <w:rPr>
          <w:rFonts w:eastAsia="Times New Roman" w:cstheme="majorHAnsi"/>
          <w:color w:val="000000" w:themeColor="text1"/>
          <w:sz w:val="22"/>
          <w:szCs w:val="22"/>
          <w:shd w:val="clear" w:color="auto" w:fill="FFFFFF"/>
          <w:lang w:val="en-GB"/>
        </w:rPr>
        <w:fldChar w:fldCharType="separate"/>
      </w:r>
      <w:r w:rsidRPr="004E053C">
        <w:rPr>
          <w:rFonts w:eastAsia="Times New Roman" w:cstheme="majorHAnsi"/>
          <w:noProof/>
          <w:color w:val="000000" w:themeColor="text1"/>
          <w:sz w:val="22"/>
          <w:szCs w:val="22"/>
          <w:shd w:val="clear" w:color="auto" w:fill="FFFFFF"/>
          <w:lang w:val="en-GB"/>
        </w:rPr>
        <w:t>(2013)</w:t>
      </w:r>
      <w:r w:rsidRPr="004E053C">
        <w:rPr>
          <w:rFonts w:eastAsia="Times New Roman" w:cstheme="majorHAnsi"/>
          <w:color w:val="000000" w:themeColor="text1"/>
          <w:sz w:val="22"/>
          <w:szCs w:val="22"/>
          <w:shd w:val="clear" w:color="auto" w:fill="FFFFFF"/>
          <w:lang w:val="en-GB"/>
        </w:rPr>
        <w:fldChar w:fldCharType="end"/>
      </w:r>
      <w:r w:rsidRPr="004E053C">
        <w:rPr>
          <w:rFonts w:eastAsia="Times New Roman" w:cstheme="majorHAnsi"/>
          <w:color w:val="000000" w:themeColor="text1"/>
          <w:sz w:val="22"/>
          <w:szCs w:val="22"/>
          <w:shd w:val="clear" w:color="auto" w:fill="FFFFFF"/>
          <w:lang w:val="en-GB"/>
        </w:rPr>
        <w:t xml:space="preserve"> conducted ethnography into life on mining frontiers, observing both the economic and cultural transformation that occurs there, but he was still focused on the social field as it occurs within the spatially-bound mining site. Thus while he acknowledges that there are many patterns of communication, perception and social affiliation brought to destination communities that exist alongside novel, innovative features </w:t>
      </w:r>
      <w:r w:rsidRPr="004E053C">
        <w:rPr>
          <w:rFonts w:eastAsia="Times New Roman" w:cstheme="majorHAnsi"/>
          <w:color w:val="000000" w:themeColor="text1"/>
          <w:sz w:val="22"/>
          <w:szCs w:val="22"/>
          <w:shd w:val="clear" w:color="auto" w:fill="FFFFFF"/>
          <w:lang w:val="en-GB"/>
        </w:rPr>
        <w:fldChar w:fldCharType="begin" w:fldLock="1"/>
      </w:r>
      <w:r w:rsidRPr="004E053C">
        <w:rPr>
          <w:rFonts w:eastAsia="Times New Roman" w:cstheme="majorHAnsi"/>
          <w:color w:val="000000" w:themeColor="text1"/>
          <w:sz w:val="22"/>
          <w:szCs w:val="22"/>
          <w:shd w:val="clear" w:color="auto" w:fill="FFFFFF"/>
          <w:lang w:val="en-GB"/>
        </w:rPr>
        <w:instrText>ADDIN CSL_CITATION {"citationItems":[{"id":"ITEM-1","itemData":{"abstract":"This working paper discusses the relevance of the frontier concept to the establishment of gold mining camps in West Africa since the mid-1990s. Exploring the example of the artisanal and small- scale (gold) mining (ASM), I will examine econo- mic, social and cultural aspects of mobile mining communities, their internal social relationships and conflicts with local communities and the state. Local miners establish mobile camps on a very particular internal African frontier (Werthmann 2009, Grätz 2010, Panella 2010, Werthmann and Grätz 2013). I will compare three mining sites and discuss their situation against the background of classical and recent anthropological studies on migration, social innovation and local resource management.","author":[{"dropping-particle":"","family":"Grätz","given":"Tilo","non-dropping-particle":"","parse-names":false,"suffix":""}],"collection-title":"ZMO Working Paper Series","id":"ITEM-1","issued":{"date-parts":[["2013"]]},"number":"10","publisher-place":"Berlin","title":"The \"frontier\" revisited: gold mining camps and mining communities in West Africa","type":"report"},"uris":["http://www.mendeley.com/documents/?uuid=512afbc5-0e56-43dc-9ce4-6f5656806c76"]}],"mendeley":{"formattedCitation":"(Grätz, 2013)","manualFormatting":"(Ibid.)","plainTextFormattedCitation":"(Grätz, 2013)","previouslyFormattedCitation":"(Grätz, 2013)"},"properties":{"noteIndex":0},"schema":"https://github.com/citation-style-language/schema/raw/master/csl-citation.json"}</w:instrText>
      </w:r>
      <w:r w:rsidRPr="004E053C">
        <w:rPr>
          <w:rFonts w:eastAsia="Times New Roman" w:cstheme="majorHAnsi"/>
          <w:color w:val="000000" w:themeColor="text1"/>
          <w:sz w:val="22"/>
          <w:szCs w:val="22"/>
          <w:shd w:val="clear" w:color="auto" w:fill="FFFFFF"/>
          <w:lang w:val="en-GB"/>
        </w:rPr>
        <w:fldChar w:fldCharType="separate"/>
      </w:r>
      <w:r w:rsidRPr="004E053C">
        <w:rPr>
          <w:rFonts w:eastAsia="Times New Roman" w:cstheme="majorHAnsi"/>
          <w:noProof/>
          <w:color w:val="000000" w:themeColor="text1"/>
          <w:sz w:val="22"/>
          <w:szCs w:val="22"/>
          <w:shd w:val="clear" w:color="auto" w:fill="FFFFFF"/>
          <w:lang w:val="en-GB"/>
        </w:rPr>
        <w:t>(Ibid.)</w:t>
      </w:r>
      <w:r w:rsidRPr="004E053C">
        <w:rPr>
          <w:rFonts w:eastAsia="Times New Roman" w:cstheme="majorHAnsi"/>
          <w:color w:val="000000" w:themeColor="text1"/>
          <w:sz w:val="22"/>
          <w:szCs w:val="22"/>
          <w:shd w:val="clear" w:color="auto" w:fill="FFFFFF"/>
          <w:lang w:val="en-GB"/>
        </w:rPr>
        <w:fldChar w:fldCharType="end"/>
      </w:r>
      <w:r w:rsidRPr="004E053C">
        <w:rPr>
          <w:rFonts w:eastAsia="Times New Roman" w:cstheme="majorHAnsi"/>
          <w:color w:val="000000" w:themeColor="text1"/>
          <w:sz w:val="22"/>
          <w:szCs w:val="22"/>
          <w:shd w:val="clear" w:color="auto" w:fill="FFFFFF"/>
          <w:lang w:val="en-GB"/>
        </w:rPr>
        <w:t xml:space="preserve">, he does not consider a broadened social field that incorporates origin communities. This is important as it may have implications for the extent to which a given individual embeds themselves in the community. Similarly, </w:t>
      </w:r>
      <w:r w:rsidRPr="004E053C">
        <w:rPr>
          <w:rFonts w:cstheme="majorHAnsi"/>
          <w:bCs/>
          <w:sz w:val="22"/>
          <w:szCs w:val="22"/>
          <w:lang w:val="en-GB"/>
        </w:rPr>
        <w:t xml:space="preserve">there has been extensive work on the impact of Brazilian miners working in Suriname, but this has predominantly focused on the relationships within camps in Suriname rather than any enduring connections with home, despite the acknowledgment that many do intend to eventually return to Brazil </w:t>
      </w:r>
      <w:r w:rsidR="00BF36CA" w:rsidRPr="004E053C">
        <w:rPr>
          <w:rFonts w:cstheme="majorHAnsi"/>
          <w:bCs/>
          <w:sz w:val="22"/>
          <w:szCs w:val="22"/>
          <w:lang w:val="en-GB"/>
        </w:rPr>
        <w:fldChar w:fldCharType="begin" w:fldLock="1"/>
      </w:r>
      <w:r w:rsidR="007A757C" w:rsidRPr="004E053C">
        <w:rPr>
          <w:rFonts w:cstheme="majorHAnsi"/>
          <w:bCs/>
          <w:sz w:val="22"/>
          <w:szCs w:val="22"/>
          <w:lang w:val="en-GB"/>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id":"ITEM-2","itemData":{"author":[{"dropping-particle":"","family":"Heemskerk","given":"Marieke","non-dropping-particle":"","parse-names":false,"suffix":""},{"dropping-particle":"","family":"Theije","given":"Marjo","non-dropping-particle":"de","parse-names":false,"suffix":""}],"container-title":"L’acte De Colloque Amaz’hommes","editor":[{"dropping-particle":"","family":"Visigalli","given":"E.B.","non-dropping-particle":"","parse-names":false,"suffix":""},{"dropping-particle":"","family":"Roosevelt","given":"A","non-dropping-particle":"","parse-names":false,"suffix":""}],"id":"ITEM-2","issued":{"date-parts":[["2010"]]},"page":"353-365","publisher":"Ibis Rouge","publisher-place":"Cayenne","title":"Transforming land tenure systems in the quest for gold: Aluku, Wayana, and the State in the Suriname – French Guiana border region.","type":"chapter"},"uris":["http://www.mendeley.com/documents/?uuid=efd7b085-cf4b-4cff-b07c-de50c65024dc"]}],"mendeley":{"formattedCitation":"(De Theije &amp; Heemskerk, 2009; Heemskerk &amp; de Theije, 2010)","plainTextFormattedCitation":"(De Theije &amp; Heemskerk, 2009; Heemskerk &amp; de Theije, 2010)","previouslyFormattedCitation":"(De Theije &amp; Heemskerk, 2009; Heemskerk &amp; de Theije, 2010)"},"properties":{"noteIndex":0},"schema":"https://github.com/citation-style-language/schema/raw/master/csl-citation.json"}</w:instrText>
      </w:r>
      <w:r w:rsidR="00BF36CA" w:rsidRPr="004E053C">
        <w:rPr>
          <w:rFonts w:cstheme="majorHAnsi"/>
          <w:bCs/>
          <w:sz w:val="22"/>
          <w:szCs w:val="22"/>
          <w:lang w:val="en-GB"/>
        </w:rPr>
        <w:fldChar w:fldCharType="separate"/>
      </w:r>
      <w:r w:rsidR="00BF36CA" w:rsidRPr="004E053C">
        <w:rPr>
          <w:rFonts w:cstheme="majorHAnsi"/>
          <w:bCs/>
          <w:noProof/>
          <w:sz w:val="22"/>
          <w:szCs w:val="22"/>
          <w:lang w:val="en-GB"/>
        </w:rPr>
        <w:t>(De Theije &amp; Heemskerk, 2009; Heemskerk &amp; de Theije, 2010)</w:t>
      </w:r>
      <w:r w:rsidR="00BF36CA" w:rsidRPr="004E053C">
        <w:rPr>
          <w:rFonts w:cstheme="majorHAnsi"/>
          <w:bCs/>
          <w:sz w:val="22"/>
          <w:szCs w:val="22"/>
          <w:lang w:val="en-GB"/>
        </w:rPr>
        <w:fldChar w:fldCharType="end"/>
      </w:r>
      <w:r w:rsidRPr="004E053C">
        <w:rPr>
          <w:rFonts w:cstheme="majorHAnsi"/>
          <w:bCs/>
          <w:sz w:val="22"/>
          <w:szCs w:val="22"/>
          <w:lang w:val="en-GB"/>
        </w:rPr>
        <w:t xml:space="preserve">. </w:t>
      </w:r>
      <w:r w:rsidRPr="004E053C">
        <w:rPr>
          <w:rFonts w:cstheme="minorHAnsi"/>
          <w:bCs/>
          <w:sz w:val="22"/>
          <w:szCs w:val="22"/>
          <w:lang w:val="en-GB"/>
        </w:rPr>
        <w:t xml:space="preserve">In her work on Burkina Faso, Werthmann </w:t>
      </w:r>
      <w:r w:rsidRPr="004E053C">
        <w:rPr>
          <w:rFonts w:cstheme="minorHAnsi"/>
          <w:bCs/>
          <w:sz w:val="22"/>
          <w:szCs w:val="22"/>
          <w:lang w:val="en-GB"/>
        </w:rPr>
        <w:fldChar w:fldCharType="begin" w:fldLock="1"/>
      </w:r>
      <w:r w:rsidRPr="004E053C">
        <w:rPr>
          <w:rFonts w:cstheme="min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Pr="004E053C">
        <w:rPr>
          <w:rFonts w:cstheme="minorHAnsi"/>
          <w:bCs/>
          <w:sz w:val="22"/>
          <w:szCs w:val="22"/>
          <w:lang w:val="en-GB"/>
        </w:rPr>
        <w:fldChar w:fldCharType="separate"/>
      </w:r>
      <w:r w:rsidRPr="004E053C">
        <w:rPr>
          <w:rFonts w:cstheme="minorHAnsi"/>
          <w:bCs/>
          <w:noProof/>
          <w:sz w:val="22"/>
          <w:szCs w:val="22"/>
          <w:lang w:val="en-GB"/>
        </w:rPr>
        <w:t>(2010)</w:t>
      </w:r>
      <w:r w:rsidRPr="004E053C">
        <w:rPr>
          <w:rFonts w:cstheme="minorHAnsi"/>
          <w:bCs/>
          <w:sz w:val="22"/>
          <w:szCs w:val="22"/>
          <w:lang w:val="en-GB"/>
        </w:rPr>
        <w:fldChar w:fldCharType="end"/>
      </w:r>
      <w:r w:rsidRPr="004E053C">
        <w:rPr>
          <w:rFonts w:cstheme="minorHAnsi"/>
          <w:bCs/>
          <w:sz w:val="22"/>
          <w:szCs w:val="22"/>
          <w:lang w:val="en-GB"/>
        </w:rPr>
        <w:t xml:space="preserve"> recognises ASM communities as being inherently translocal, with residents often having met in </w:t>
      </w:r>
      <w:r w:rsidRPr="004E053C">
        <w:rPr>
          <w:rFonts w:cstheme="minorHAnsi"/>
          <w:bCs/>
          <w:sz w:val="22"/>
          <w:szCs w:val="22"/>
          <w:lang w:val="en-GB"/>
        </w:rPr>
        <w:lastRenderedPageBreak/>
        <w:t>previous camps. However, her analysis only focuses on the destination mining camp in relation to other mining camps</w:t>
      </w:r>
      <w:r w:rsidRPr="004E053C">
        <w:rPr>
          <w:rFonts w:cstheme="minorHAnsi"/>
          <w:bCs/>
          <w:sz w:val="22"/>
          <w:szCs w:val="22"/>
          <w:lang w:val="en-GB"/>
        </w:rPr>
        <w:fldChar w:fldCharType="begin" w:fldLock="1"/>
      </w:r>
      <w:r w:rsidRPr="004E053C">
        <w:rPr>
          <w:rFonts w:cstheme="min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 (Ibid.)","plainTextFormattedCitation":"(Werthmann, 2010)","previouslyFormattedCitation":"(Werthmann, 2010)"},"properties":{"noteIndex":0},"schema":"https://github.com/citation-style-language/schema/raw/master/csl-citation.json"}</w:instrText>
      </w:r>
      <w:r w:rsidRPr="004E053C">
        <w:rPr>
          <w:rFonts w:cstheme="minorHAnsi"/>
          <w:bCs/>
          <w:sz w:val="22"/>
          <w:szCs w:val="22"/>
          <w:lang w:val="en-GB"/>
        </w:rPr>
        <w:fldChar w:fldCharType="separate"/>
      </w:r>
      <w:r w:rsidRPr="004E053C">
        <w:rPr>
          <w:rFonts w:cstheme="minorHAnsi"/>
          <w:bCs/>
          <w:noProof/>
          <w:sz w:val="22"/>
          <w:szCs w:val="22"/>
          <w:lang w:val="en-GB"/>
        </w:rPr>
        <w:t xml:space="preserve"> (Ibid.)</w:t>
      </w:r>
      <w:r w:rsidRPr="004E053C">
        <w:rPr>
          <w:rFonts w:cstheme="minorHAnsi"/>
          <w:bCs/>
          <w:sz w:val="22"/>
          <w:szCs w:val="22"/>
          <w:lang w:val="en-GB"/>
        </w:rPr>
        <w:fldChar w:fldCharType="end"/>
      </w:r>
      <w:r w:rsidRPr="004E053C">
        <w:rPr>
          <w:rFonts w:cstheme="minorHAnsi"/>
          <w:bCs/>
          <w:sz w:val="22"/>
          <w:szCs w:val="22"/>
          <w:lang w:val="en-GB"/>
        </w:rPr>
        <w:t>.</w:t>
      </w:r>
    </w:p>
    <w:p w14:paraId="4D1EE92B" w14:textId="77777777" w:rsidR="00D36963" w:rsidRPr="004E053C" w:rsidRDefault="00D36963" w:rsidP="004E053C">
      <w:pPr>
        <w:autoSpaceDE w:val="0"/>
        <w:autoSpaceDN w:val="0"/>
        <w:adjustRightInd w:val="0"/>
        <w:spacing w:line="360" w:lineRule="auto"/>
        <w:jc w:val="both"/>
        <w:rPr>
          <w:rFonts w:cstheme="minorHAnsi"/>
          <w:color w:val="000000"/>
          <w:sz w:val="22"/>
          <w:szCs w:val="22"/>
          <w:lang w:val="en-GB" w:eastAsia="zh-CN"/>
        </w:rPr>
      </w:pPr>
    </w:p>
    <w:p w14:paraId="35E3F3C2" w14:textId="2B82AE92" w:rsidR="00D36963" w:rsidRPr="004E053C" w:rsidRDefault="00D36963" w:rsidP="004E053C">
      <w:pPr>
        <w:spacing w:line="360" w:lineRule="auto"/>
        <w:jc w:val="both"/>
        <w:rPr>
          <w:rFonts w:eastAsia="Times New Roman" w:cstheme="majorHAnsi"/>
          <w:color w:val="000000" w:themeColor="text1"/>
          <w:sz w:val="22"/>
          <w:szCs w:val="22"/>
          <w:shd w:val="clear" w:color="auto" w:fill="FFFFFF"/>
          <w:lang w:val="en-GB"/>
        </w:rPr>
      </w:pPr>
      <w:r w:rsidRPr="004E053C">
        <w:rPr>
          <w:rFonts w:eastAsia="Times New Roman" w:cstheme="majorHAnsi"/>
          <w:color w:val="000000" w:themeColor="text1"/>
          <w:sz w:val="22"/>
          <w:szCs w:val="22"/>
          <w:shd w:val="clear" w:color="auto" w:fill="FFFFFF"/>
          <w:lang w:val="en-GB"/>
        </w:rPr>
        <w:t>There has been relatively little discussion in the literature about the various livelihood trajectories that coexist in mining sites. As articles tend to focus on one specific feature of ASM, they can often inadvertently present miners as a homogenous group. For example</w:t>
      </w:r>
      <w:r w:rsidRPr="004E053C">
        <w:rPr>
          <w:rFonts w:eastAsia="Times New Roman" w:cstheme="majorHAnsi"/>
          <w:sz w:val="22"/>
          <w:szCs w:val="22"/>
          <w:shd w:val="clear" w:color="auto" w:fill="FFFFFF"/>
          <w:lang w:val="en-GB"/>
        </w:rPr>
        <w:t>, while</w:t>
      </w:r>
      <w:r w:rsidRPr="004E053C">
        <w:rPr>
          <w:rFonts w:eastAsia="Times New Roman" w:cstheme="majorHAnsi"/>
          <w:sz w:val="22"/>
          <w:szCs w:val="22"/>
          <w:lang w:val="en-GB"/>
        </w:rPr>
        <w:t xml:space="preserve"> Bryceson and Jønsson </w:t>
      </w:r>
      <w:r w:rsidRPr="004E053C">
        <w:rPr>
          <w:rFonts w:eastAsia="Times New Roman" w:cstheme="majorHAnsi"/>
          <w:sz w:val="22"/>
          <w:szCs w:val="22"/>
          <w:lang w:val="en-GB"/>
        </w:rPr>
        <w:fldChar w:fldCharType="begin" w:fldLock="1"/>
      </w:r>
      <w:r w:rsidRPr="004E053C">
        <w:rPr>
          <w:rFonts w:eastAsia="Times New Roman" w:cstheme="majorHAnsi"/>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2010)","manualFormatting":"(2010)","plainTextFormattedCitation":"(D. F. Bryceson &amp; Jønsson, 2010)","previouslyFormattedCitation":"(D. F. Bryceson &amp; Jønsson, 2010)"},"properties":{"noteIndex":0},"schema":"https://github.com/citation-style-language/schema/raw/master/csl-citation.json"}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(2010)</w:t>
      </w:r>
      <w:r w:rsidRPr="004E053C">
        <w:rPr>
          <w:rFonts w:eastAsia="Times New Roman" w:cstheme="majorHAnsi"/>
          <w:sz w:val="22"/>
          <w:szCs w:val="22"/>
          <w:lang w:val="en-GB"/>
        </w:rPr>
        <w:fldChar w:fldCharType="end"/>
      </w:r>
      <w:r w:rsidRPr="004E053C">
        <w:rPr>
          <w:rFonts w:eastAsia="Times New Roman" w:cstheme="majorHAnsi"/>
          <w:sz w:val="22"/>
          <w:szCs w:val="22"/>
          <w:shd w:val="clear" w:color="auto" w:fill="FFFFFF"/>
          <w:lang w:val="en-GB"/>
        </w:rPr>
        <w:t xml:space="preserve"> noted that ‘career </w:t>
      </w:r>
      <w:r w:rsidRPr="004E053C">
        <w:rPr>
          <w:rFonts w:eastAsia="Times New Roman" w:cstheme="majorHAnsi"/>
          <w:color w:val="000000" w:themeColor="text1"/>
          <w:sz w:val="22"/>
          <w:szCs w:val="22"/>
          <w:shd w:val="clear" w:color="auto" w:fill="FFFFFF"/>
          <w:lang w:val="en-GB"/>
        </w:rPr>
        <w:t xml:space="preserve">miners’ tend to move between mining sites frequently, they did not elaborate on this in relation to more rooted miners and residents. </w:t>
      </w:r>
      <w:r w:rsidRPr="004E053C">
        <w:rPr>
          <w:rFonts w:cs="Times New Roman"/>
          <w:sz w:val="22"/>
          <w:szCs w:val="22"/>
          <w:lang w:eastAsia="zh-CN"/>
        </w:rPr>
        <w:t>Divergent livelihood trajectories have however been discussed in relation to Suriname, as the local Maroon population tend to work in ASM only temporarily, but the Brazilian migrants are often miners for life</w:t>
      </w:r>
      <w:r w:rsidR="0032564B" w:rsidRPr="004E053C">
        <w:rPr>
          <w:rFonts w:cs="Times New Roman"/>
          <w:sz w:val="22"/>
          <w:szCs w:val="22"/>
          <w:lang w:eastAsia="zh-CN"/>
        </w:rPr>
        <w:t xml:space="preserve"> </w:t>
      </w:r>
      <w:r w:rsidR="0032564B" w:rsidRPr="004E053C">
        <w:rPr>
          <w:rFonts w:cs="Times New Roman"/>
          <w:sz w:val="22"/>
          <w:szCs w:val="22"/>
          <w:lang w:eastAsia="zh-CN"/>
        </w:rPr>
        <w:fldChar w:fldCharType="begin" w:fldLock="1"/>
      </w:r>
      <w:r w:rsidR="0032564B" w:rsidRPr="004E053C">
        <w:rPr>
          <w:rFonts w:cs="Times New Roman"/>
          <w:sz w:val="22"/>
          <w:szCs w:val="22"/>
          <w:lang w:eastAsia="zh-CN"/>
        </w:rPr>
        <w:instrText>ADDIN CSL_CITATION {"citationItems":[{"id":"ITEM-1","itemData":{"author":[{"dropping-particle":"","family":"Theije","given":"Marjo","non-dropping-particle":"De","parse-names":false,"suffix":""},{"dropping-particle":"","family":"Bal","given":"Ellen","non-dropping-particle":"","parse-names":false,"suffix":""}],"chapter-number":"4","container-title":"A World of Insecurity: Anthropological Perspectives on Human Security","editor":[{"dropping-particle":"","family":"Eriksen","given":"Thomas Hylland","non-dropping-particle":"","parse-names":false,"suffix":""},{"dropping-particle":"","family":"Bal","given":"Ellen","non-dropping-particle":"","parse-names":false,"suffix":""},{"dropping-particle":"","family":"Salemink","given":"Oscar","non-dropping-particle":"","parse-names":false,"suffix":""}],"id":"ITEM-1","issued":{"date-parts":[["2010"]]},"page":"66-88","publisher":"Pluto Press","publisher-place":"London, UK","title":"Flexible migrants. Brazilian gold miners and their quest for human security in Surinam","type":"chapter"},"uris":["http://www.mendeley.com/documents/?uuid=a0fe66b5-a57d-46fa-a5b9-03db4e85f100"]}],"mendeley":{"formattedCitation":"(De Theije &amp; Bal, 2010)","plainTextFormattedCitation":"(De Theije &amp; Bal, 2010)","previouslyFormattedCitation":"(De Theije &amp; Bal, 2010)"},"properties":{"noteIndex":0},"schema":"https://github.com/citation-style-language/schema/raw/master/csl-citation.json"}</w:instrText>
      </w:r>
      <w:r w:rsidR="0032564B" w:rsidRPr="004E053C">
        <w:rPr>
          <w:rFonts w:cs="Times New Roman"/>
          <w:sz w:val="22"/>
          <w:szCs w:val="22"/>
          <w:lang w:eastAsia="zh-CN"/>
        </w:rPr>
        <w:fldChar w:fldCharType="separate"/>
      </w:r>
      <w:r w:rsidR="0032564B" w:rsidRPr="004E053C">
        <w:rPr>
          <w:rFonts w:cs="Times New Roman"/>
          <w:noProof/>
          <w:sz w:val="22"/>
          <w:szCs w:val="22"/>
          <w:lang w:eastAsia="zh-CN"/>
        </w:rPr>
        <w:t>(De Theije &amp; Bal, 2010)</w:t>
      </w:r>
      <w:r w:rsidR="0032564B" w:rsidRPr="004E053C">
        <w:rPr>
          <w:rFonts w:cs="Times New Roman"/>
          <w:sz w:val="22"/>
          <w:szCs w:val="22"/>
          <w:lang w:eastAsia="zh-CN"/>
        </w:rPr>
        <w:fldChar w:fldCharType="end"/>
      </w:r>
      <w:r w:rsidRPr="004E053C">
        <w:rPr>
          <w:rFonts w:cs="Times New Roman"/>
          <w:sz w:val="22"/>
          <w:szCs w:val="22"/>
          <w:lang w:eastAsia="zh-CN"/>
        </w:rPr>
        <w:t>. There are also differences within the Brazilian migrant population. While some remain flexible and ready to move wherever there i</w:t>
      </w:r>
      <w:r w:rsidR="00BF36CA" w:rsidRPr="004E053C">
        <w:rPr>
          <w:rFonts w:cs="Times New Roman"/>
          <w:sz w:val="22"/>
          <w:szCs w:val="22"/>
          <w:lang w:eastAsia="zh-CN"/>
        </w:rPr>
        <w:t xml:space="preserve">s work </w:t>
      </w:r>
      <w:r w:rsidR="00BF36CA" w:rsidRPr="004E053C">
        <w:rPr>
          <w:rFonts w:cs="Times New Roman"/>
          <w:sz w:val="22"/>
          <w:szCs w:val="22"/>
          <w:lang w:eastAsia="zh-CN"/>
        </w:rPr>
        <w:fldChar w:fldCharType="begin" w:fldLock="1"/>
      </w:r>
      <w:r w:rsidR="00B12F90" w:rsidRPr="004E053C">
        <w:rPr>
          <w:rFonts w:cs="Times New Roman"/>
          <w:sz w:val="22"/>
          <w:szCs w:val="22"/>
          <w:lang w:eastAsia="zh-CN"/>
        </w:rPr>
        <w:instrText>ADDIN CSL_CITATION {"citationItems":[{"id":"ITEM-1","itemData":{"author":[{"dropping-particle":"","family":"Theije","given":"Marjo","non-dropping-particle":"De","parse-names":false,"suffix":""},{"dropping-particle":"","family":"Bal","given":"Ellen","non-dropping-particle":"","parse-names":false,"suffix":""}],"chapter-number":"4","container-title":"A World of Insecurity: Anthropological Perspectives on Human Security","editor":[{"dropping-particle":"","family":"Eriksen","given":"Thomas Hylland","non-dropping-particle":"","parse-names":false,"suffix":""},{"dropping-particle":"","family":"Bal","given":"Ellen","non-dropping-particle":"","parse-names":false,"suffix":""},{"dropping-particle":"","family":"Salemink","given":"Oscar","non-dropping-particle":"","parse-names":false,"suffix":""}],"id":"ITEM-1","issued":{"date-parts":[["2010"]]},"page":"66-88","publisher":"Pluto Press","publisher-place":"London, UK","title":"Flexible migrants. Brazilian gold miners and their quest for human security in Surinam","type":"chapter"},"uris":["http://www.mendeley.com/documents/?uuid=a0fe66b5-a57d-46fa-a5b9-03db4e85f100"]}],"mendeley":{"formattedCitation":"(De Theije &amp; Bal, 2010)","manualFormatting":"(Ibid.)","plainTextFormattedCitation":"(De Theije &amp; Bal, 2010)","previouslyFormattedCitation":"(De Theije &amp; Bal, 2010)"},"properties":{"noteIndex":0},"schema":"https://github.com/citation-style-language/schema/raw/master/csl-citation.json"}</w:instrText>
      </w:r>
      <w:r w:rsidR="00BF36CA" w:rsidRPr="004E053C">
        <w:rPr>
          <w:rFonts w:cs="Times New Roman"/>
          <w:sz w:val="22"/>
          <w:szCs w:val="22"/>
          <w:lang w:eastAsia="zh-CN"/>
        </w:rPr>
        <w:fldChar w:fldCharType="separate"/>
      </w:r>
      <w:r w:rsidR="0032564B" w:rsidRPr="004E053C">
        <w:rPr>
          <w:rFonts w:cs="Times New Roman"/>
          <w:noProof/>
          <w:sz w:val="22"/>
          <w:szCs w:val="22"/>
          <w:lang w:eastAsia="zh-CN"/>
        </w:rPr>
        <w:t>(Ibid.</w:t>
      </w:r>
      <w:r w:rsidR="00BF36CA" w:rsidRPr="004E053C">
        <w:rPr>
          <w:rFonts w:cs="Times New Roman"/>
          <w:noProof/>
          <w:sz w:val="22"/>
          <w:szCs w:val="22"/>
          <w:lang w:eastAsia="zh-CN"/>
        </w:rPr>
        <w:t>)</w:t>
      </w:r>
      <w:r w:rsidR="00BF36CA" w:rsidRPr="004E053C">
        <w:rPr>
          <w:rFonts w:cs="Times New Roman"/>
          <w:sz w:val="22"/>
          <w:szCs w:val="22"/>
          <w:lang w:eastAsia="zh-CN"/>
        </w:rPr>
        <w:fldChar w:fldCharType="end"/>
      </w:r>
      <w:r w:rsidRPr="004E053C">
        <w:rPr>
          <w:rFonts w:cs="Times New Roman"/>
          <w:sz w:val="22"/>
          <w:szCs w:val="22"/>
          <w:lang w:eastAsia="zh-CN"/>
        </w:rPr>
        <w:t xml:space="preserve">, others may eventually settle in the area, perhaps buying a house and starting a family with a Surinamese woman or man </w:t>
      </w:r>
      <w:r w:rsidR="00BF36CA" w:rsidRPr="004E053C">
        <w:rPr>
          <w:rFonts w:cs="Times New Roman"/>
          <w:sz w:val="22"/>
          <w:szCs w:val="22"/>
          <w:lang w:eastAsia="zh-CN"/>
        </w:rPr>
        <w:fldChar w:fldCharType="begin" w:fldLock="1"/>
      </w:r>
      <w:r w:rsidR="007A757C" w:rsidRPr="004E053C">
        <w:rPr>
          <w:rFonts w:cs="Times New Roman"/>
          <w:sz w:val="22"/>
          <w:szCs w:val="22"/>
          <w:lang w:eastAsia="zh-CN"/>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id":"ITEM-2","itemData":{"author":[{"dropping-particle":"","family":"Heemskerk","given":"Marieke","non-dropping-particle":"","parse-names":false,"suffix":""},{"dropping-particle":"","family":"Duijves","given":"Celine","non-dropping-particle":"","parse-names":false,"suffix":""}],"chapter-number":"6","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arjo","non-dropping-particle":"de","parse-names":false,"suffix":""}],"id":"ITEM-2","issued":{"date-parts":[["2013"]]},"publisher":"CEDLA","publisher-place":"Amsterdam","title":"Small-scale gold mining and conflict in Suriname","type":"chapter"},"uris":["http://www.mendeley.com/documents/?uuid=0f55ec0b-cab7-414a-b00f-0994d7882ac3"]}],"mendeley":{"formattedCitation":"(De Theije &amp; Heemskerk, 2009; Heemskerk &amp; Duijves, 2013)","plainTextFormattedCitation":"(De Theije &amp; Heemskerk, 2009; Heemskerk &amp; Duijves, 2013)","previouslyFormattedCitation":"(De Theije &amp; Heemskerk, 2009; Heemskerk &amp; Duijves, 2013)"},"properties":{"noteIndex":0},"schema":"https://github.com/citation-style-language/schema/raw/master/csl-citation.json"}</w:instrText>
      </w:r>
      <w:r w:rsidR="00BF36CA" w:rsidRPr="004E053C">
        <w:rPr>
          <w:rFonts w:cs="Times New Roman"/>
          <w:sz w:val="22"/>
          <w:szCs w:val="22"/>
          <w:lang w:eastAsia="zh-CN"/>
        </w:rPr>
        <w:fldChar w:fldCharType="separate"/>
      </w:r>
      <w:r w:rsidR="00BF36CA" w:rsidRPr="004E053C">
        <w:rPr>
          <w:rFonts w:cs="Times New Roman"/>
          <w:noProof/>
          <w:sz w:val="22"/>
          <w:szCs w:val="22"/>
          <w:lang w:eastAsia="zh-CN"/>
        </w:rPr>
        <w:t>(De Theije &amp; Heemskerk, 2009; Heemskerk &amp; Duijves, 2013)</w:t>
      </w:r>
      <w:r w:rsidR="00BF36CA" w:rsidRPr="004E053C">
        <w:rPr>
          <w:rFonts w:cs="Times New Roman"/>
          <w:sz w:val="22"/>
          <w:szCs w:val="22"/>
          <w:lang w:eastAsia="zh-CN"/>
        </w:rPr>
        <w:fldChar w:fldCharType="end"/>
      </w:r>
      <w:r w:rsidRPr="004E053C">
        <w:rPr>
          <w:rFonts w:eastAsia="Times New Roman" w:cstheme="majorHAnsi"/>
          <w:color w:val="000000" w:themeColor="text1"/>
          <w:sz w:val="22"/>
          <w:szCs w:val="22"/>
          <w:shd w:val="clear" w:color="auto" w:fill="FFFFFF"/>
          <w:lang w:val="en-GB"/>
        </w:rPr>
        <w:t xml:space="preserve">. An important point to note here is that the insecurity of life in some camps may discourage some miners from putting down roots or making long-term investments </w:t>
      </w:r>
      <w:r w:rsidR="00BF36CA" w:rsidRPr="004E053C">
        <w:rPr>
          <w:rFonts w:eastAsia="Times New Roman" w:cstheme="majorHAnsi"/>
          <w:color w:val="000000" w:themeColor="text1"/>
          <w:sz w:val="22"/>
          <w:szCs w:val="22"/>
          <w:shd w:val="clear" w:color="auto" w:fill="FFFFFF"/>
          <w:lang w:val="en-GB"/>
        </w:rPr>
        <w:fldChar w:fldCharType="begin" w:fldLock="1"/>
      </w:r>
      <w:r w:rsidR="005D0B08">
        <w:rPr>
          <w:rFonts w:eastAsia="Times New Roman" w:cstheme="majorHAnsi"/>
          <w:color w:val="000000" w:themeColor="text1"/>
          <w:sz w:val="22"/>
          <w:szCs w:val="22"/>
          <w:shd w:val="clear" w:color="auto" w:fill="FFFFFF"/>
          <w:lang w:val="en-GB"/>
        </w:rPr>
        <w:instrText>ADDIN CSL_CITATION {"citationItems":[{"id":"ITEM-1","itemData":{"author":[{"dropping-particle":"","family":"Seccatore","given":"Jacopo","non-dropping-particle":"","parse-names":false,"suffix":""},{"dropping-particle":"","family":"Theije","given":"Marjo","non-dropping-particle":"de","parse-names":false,"suffix":""}],"container-title":"Journal of Cleaner Production","id":"ITEM-1","issue":"15","issued":{"date-parts":[["2016"]]},"page":"107-119","title":"Socio-technical study of small-scale gold mining in Suriname","type":"article-journal","volume":"144"},"uris":["http://www.mendeley.com/documents/?uuid=234d821e-6a00-495e-87b8-b712ea592f1c"]},{"id":"ITEM-2","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-2","issued":{"date-parts":[["2013"]]},"page":"1-17","publisher":"Cuadernos del CEDLA no.26","publisher-place":"Amsterdam","title":"Small-scale gold mining in the Amazon","type":"chapter"},"uris":["http://www.mendeley.com/documents/?uuid=92fc2d78-55d0-4473-a651-4b870d4fb876"]}],"mendeley":{"formattedCitation":"(L. Cremers &amp; de Theije, 2013; Seccatore &amp; de Theije, 2016)","manualFormatting":"(Cremers &amp; de Theije, 2013; Seccatore &amp; de Theije, 2016)","plainTextFormattedCitation":"(L. Cremers &amp; de Theije, 2013; Seccatore &amp; de Theije, 2016)","previouslyFormattedCitation":"(L. Cremers &amp; de Theije, 2013; Seccatore &amp; de Theije, 2016)"},"properties":{"noteIndex":0},"schema":"https://github.com/citation-style-language/schema/raw/master/csl-citation.json"}</w:instrText>
      </w:r>
      <w:r w:rsidR="00BF36CA" w:rsidRPr="004E053C">
        <w:rPr>
          <w:rFonts w:eastAsia="Times New Roman" w:cstheme="majorHAnsi"/>
          <w:color w:val="000000" w:themeColor="text1"/>
          <w:sz w:val="22"/>
          <w:szCs w:val="22"/>
          <w:shd w:val="clear" w:color="auto" w:fill="FFFFFF"/>
          <w:lang w:val="en-GB"/>
        </w:rPr>
        <w:fldChar w:fldCharType="separate"/>
      </w:r>
      <w:r w:rsidR="00455773" w:rsidRPr="004E053C">
        <w:rPr>
          <w:rFonts w:eastAsia="Times New Roman" w:cstheme="majorHAnsi"/>
          <w:noProof/>
          <w:color w:val="000000" w:themeColor="text1"/>
          <w:sz w:val="22"/>
          <w:szCs w:val="22"/>
          <w:shd w:val="clear" w:color="auto" w:fill="FFFFFF"/>
          <w:lang w:val="en-GB"/>
        </w:rPr>
        <w:t>(</w:t>
      </w:r>
      <w:r w:rsidR="00EB10C1" w:rsidRPr="004E053C">
        <w:rPr>
          <w:rFonts w:eastAsia="Times New Roman" w:cstheme="majorHAnsi"/>
          <w:noProof/>
          <w:color w:val="000000" w:themeColor="text1"/>
          <w:sz w:val="22"/>
          <w:szCs w:val="22"/>
          <w:shd w:val="clear" w:color="auto" w:fill="FFFFFF"/>
          <w:lang w:val="en-GB"/>
        </w:rPr>
        <w:t>Cremers &amp; de Theije, 2013; Seccatore &amp; de Theije, 2016)</w:t>
      </w:r>
      <w:r w:rsidR="00BF36CA" w:rsidRPr="004E053C">
        <w:rPr>
          <w:rFonts w:eastAsia="Times New Roman" w:cstheme="majorHAnsi"/>
          <w:color w:val="000000" w:themeColor="text1"/>
          <w:sz w:val="22"/>
          <w:szCs w:val="22"/>
          <w:shd w:val="clear" w:color="auto" w:fill="FFFFFF"/>
          <w:lang w:val="en-GB"/>
        </w:rPr>
        <w:fldChar w:fldCharType="end"/>
      </w:r>
      <w:r w:rsidR="00762C4E" w:rsidRPr="004E053C">
        <w:rPr>
          <w:rFonts w:eastAsia="Times New Roman" w:cstheme="majorHAnsi"/>
          <w:color w:val="000000" w:themeColor="text1"/>
          <w:sz w:val="22"/>
          <w:szCs w:val="22"/>
          <w:shd w:val="clear" w:color="auto" w:fill="FFFFFF"/>
          <w:lang w:val="en-GB"/>
        </w:rPr>
        <w:t>, which</w:t>
      </w:r>
      <w:r w:rsidR="00FB7647" w:rsidRPr="004E053C">
        <w:rPr>
          <w:rFonts w:eastAsia="Times New Roman" w:cstheme="majorHAnsi"/>
          <w:color w:val="000000" w:themeColor="text1"/>
          <w:sz w:val="22"/>
          <w:szCs w:val="22"/>
          <w:shd w:val="clear" w:color="auto" w:fill="FFFFFF"/>
          <w:lang w:val="en-GB"/>
        </w:rPr>
        <w:t xml:space="preserve"> ensures that the transient nature of the community is maintained.</w:t>
      </w:r>
    </w:p>
    <w:p w14:paraId="050B2ADA" w14:textId="77777777" w:rsidR="00D36963" w:rsidRPr="004E053C" w:rsidRDefault="00D36963" w:rsidP="004E053C">
      <w:pPr>
        <w:spacing w:line="360" w:lineRule="auto"/>
        <w:jc w:val="both"/>
        <w:rPr>
          <w:rFonts w:eastAsia="Times New Roman" w:cstheme="majorHAnsi"/>
          <w:color w:val="000000" w:themeColor="text1"/>
          <w:sz w:val="22"/>
          <w:szCs w:val="22"/>
          <w:shd w:val="clear" w:color="auto" w:fill="FFFFFF"/>
          <w:lang w:val="en-GB"/>
        </w:rPr>
      </w:pPr>
    </w:p>
    <w:p w14:paraId="1877AAB7" w14:textId="73EAECAA" w:rsidR="00D36963" w:rsidRPr="004E053C" w:rsidRDefault="00D36963" w:rsidP="004E053C">
      <w:pPr>
        <w:spacing w:line="360" w:lineRule="auto"/>
        <w:jc w:val="both"/>
        <w:rPr>
          <w:rFonts w:eastAsia="Times New Roman" w:cstheme="majorHAnsi"/>
          <w:color w:val="000000" w:themeColor="text1"/>
          <w:sz w:val="22"/>
          <w:szCs w:val="22"/>
          <w:shd w:val="clear" w:color="auto" w:fill="FFFFFF"/>
          <w:lang w:val="en-GB"/>
        </w:rPr>
      </w:pPr>
      <w:r w:rsidRPr="004E053C">
        <w:rPr>
          <w:rFonts w:eastAsia="Times New Roman" w:cstheme="majorHAnsi"/>
          <w:color w:val="000000" w:themeColor="text1"/>
          <w:sz w:val="22"/>
          <w:szCs w:val="22"/>
          <w:shd w:val="clear" w:color="auto" w:fill="FFFFFF"/>
          <w:lang w:val="en-GB"/>
        </w:rPr>
        <w:t xml:space="preserve">Differences regarding the time of people’s arrival in mining sites have been explored extensively by Walsh </w:t>
      </w:r>
      <w:r w:rsidRPr="004E053C">
        <w:rPr>
          <w:rFonts w:eastAsia="Times New Roman" w:cstheme="majorHAnsi"/>
          <w:color w:val="000000" w:themeColor="text1"/>
          <w:sz w:val="22"/>
          <w:szCs w:val="22"/>
          <w:shd w:val="clear" w:color="auto" w:fill="FFFFFF"/>
          <w:lang w:val="en-GB"/>
        </w:rPr>
        <w:fldChar w:fldCharType="begin" w:fldLock="1"/>
      </w:r>
      <w:r w:rsidRPr="004E053C">
        <w:rPr>
          <w:rFonts w:eastAsia="Times New Roman" w:cstheme="majorHAnsi"/>
          <w:color w:val="000000" w:themeColor="text1"/>
          <w:sz w:val="22"/>
          <w:szCs w:val="22"/>
          <w:shd w:val="clear" w:color="auto" w:fill="FFFFFF"/>
          <w:lang w:val="en-GB"/>
        </w:rPr>
        <w:instrText>ADDIN CSL_CITATION {"citationItems":[{"id":"ITEM-1","itemData":{"abstract":"In the once booming, but now slumping, northern Malagasy sapphire mining town of Ambondromifehy, people make do in the face of uncertainty. As a place of internal migrants organized around the mining and trade of a commodity destined for complex and fickle foreign markets, this town features a wide range of distinctive arrangements and compromises. Of special concern here are the arrangements through which people strive to live responsibly – in accordance with traditional Malagasy norms of sociality – while still managing to make a living through work that can lead them astray. I argue that such distinctive arrangements owe a great deal to the particular articulations of place and mobility one finds problematized in a context like this one. The first articulation is well encapsulated in the experience of what Malagasy people term being very or ‘‘lost’’, a condition of mobile people who either don’t know or have no hope of returning to the places from which they have come. The second articulation is apparent in the experi- ence of being tavela or ‘‘left behind’’, the condition of people who find themselves staying put while the things, people and possibilities they value flow away from them. For the many people in Ambondromifehy who are managing either or both of these conditions and the circumstances that come with them, idealized systems of social and moral exchange – systems of responsibility – are inevitably forums for compromise.","author":[{"dropping-particle":"","family":"Walsh","given":"Andrew","non-dropping-particle":"","parse-names":false,"suffix":""}],"container-title":"Critique of Anthropology","id":"ITEM-1","issue":"2","issued":{"date-parts":[["2015"]]},"page":"235-251","title":"Lost and/or left behind in a Malagasy outpost of the “underworld of gemstones”","type":"article-journal","volume":"82"},"uris":["http://www.mendeley.com/documents/?uuid=45b8a6cb-89e3-448b-a578-9f6946f0e876"]}],"mendeley":{"formattedCitation":"(Walsh, 2015)","manualFormatting":"(2015)","plainTextFormattedCitation":"(Walsh, 2015)","previouslyFormattedCitation":"(Walsh, 2015)"},"properties":{"noteIndex":0},"schema":"https://github.com/citation-style-language/schema/raw/master/csl-citation.json"}</w:instrText>
      </w:r>
      <w:r w:rsidRPr="004E053C">
        <w:rPr>
          <w:rFonts w:eastAsia="Times New Roman" w:cstheme="majorHAnsi"/>
          <w:color w:val="000000" w:themeColor="text1"/>
          <w:sz w:val="22"/>
          <w:szCs w:val="22"/>
          <w:shd w:val="clear" w:color="auto" w:fill="FFFFFF"/>
          <w:lang w:val="en-GB"/>
        </w:rPr>
        <w:fldChar w:fldCharType="separate"/>
      </w:r>
      <w:r w:rsidRPr="004E053C">
        <w:rPr>
          <w:rFonts w:eastAsia="Times New Roman" w:cstheme="majorHAnsi"/>
          <w:noProof/>
          <w:color w:val="000000" w:themeColor="text1"/>
          <w:sz w:val="22"/>
          <w:szCs w:val="22"/>
          <w:shd w:val="clear" w:color="auto" w:fill="FFFFFF"/>
          <w:lang w:val="en-GB"/>
        </w:rPr>
        <w:t>(2015)</w:t>
      </w:r>
      <w:r w:rsidRPr="004E053C">
        <w:rPr>
          <w:rFonts w:eastAsia="Times New Roman" w:cstheme="majorHAnsi"/>
          <w:color w:val="000000" w:themeColor="text1"/>
          <w:sz w:val="22"/>
          <w:szCs w:val="22"/>
          <w:shd w:val="clear" w:color="auto" w:fill="FFFFFF"/>
          <w:lang w:val="en-GB"/>
        </w:rPr>
        <w:fldChar w:fldCharType="end"/>
      </w:r>
      <w:r w:rsidRPr="004E053C">
        <w:rPr>
          <w:rFonts w:eastAsia="Times New Roman" w:cstheme="majorHAnsi"/>
          <w:color w:val="000000" w:themeColor="text1"/>
          <w:sz w:val="22"/>
          <w:szCs w:val="22"/>
          <w:shd w:val="clear" w:color="auto" w:fill="FFFFFF"/>
          <w:lang w:val="en-GB"/>
        </w:rPr>
        <w:t xml:space="preserve"> with reference to a sapphire mining town in Madagascar. </w:t>
      </w:r>
      <w:r w:rsidRPr="004E053C">
        <w:rPr>
          <w:rFonts w:eastAsia="Times New Roman" w:cstheme="majorHAnsi"/>
          <w:sz w:val="22"/>
          <w:szCs w:val="22"/>
          <w:bdr w:val="none" w:sz="0" w:space="0" w:color="auto" w:frame="1"/>
          <w:lang w:val="en-GB"/>
        </w:rPr>
        <w:t xml:space="preserve">Walsh </w:t>
      </w:r>
      <w:r w:rsidRPr="004E053C">
        <w:rPr>
          <w:rFonts w:eastAsia="Times New Roman" w:cstheme="majorHAnsi"/>
          <w:sz w:val="22"/>
          <w:szCs w:val="22"/>
          <w:bdr w:val="none" w:sz="0" w:space="0" w:color="auto" w:frame="1"/>
          <w:lang w:val="en-GB"/>
        </w:rPr>
        <w:fldChar w:fldCharType="begin" w:fldLock="1"/>
      </w:r>
      <w:r w:rsidRPr="004E053C">
        <w:rPr>
          <w:rFonts w:eastAsia="Times New Roman" w:cstheme="majorHAnsi"/>
          <w:sz w:val="22"/>
          <w:szCs w:val="22"/>
          <w:bdr w:val="none" w:sz="0" w:space="0" w:color="auto" w:frame="1"/>
          <w:lang w:val="en-GB"/>
        </w:rPr>
        <w:instrText>ADDIN CSL_CITATION {"citationItems":[{"id":"ITEM-1","itemData":{"abstract":"In the once booming, but now slumping, northern Malagasy sapphire mining town of Ambondromifehy, people make do in the face of uncertainty. As a place of internal migrants organized around the mining and trade of a commodity destined for complex and fickle foreign markets, this town features a wide range of distinctive arrangements and compromises. Of special concern here are the arrangements through which people strive to live responsibly – in accordance with traditional Malagasy norms of sociality – while still managing to make a living through work that can lead them astray. I argue that such distinctive arrangements owe a great deal to the particular articulations of place and mobility one finds problematized in a context like this one. The first articulation is well encapsulated in the experience of what Malagasy people term being very or ‘‘lost’’, a condition of mobile people who either don’t know or have no hope of returning to the places from which they have come. The second articulation is apparent in the experi- ence of being tavela or ‘‘left behind’’, the condition of people who find themselves staying put while the things, people and possibilities they value flow away from them. For the many people in Ambondromifehy who are managing either or both of these conditions and the circumstances that come with them, idealized systems of social and moral exchange – systems of responsibility – are inevitably forums for compromise.","author":[{"dropping-particle":"","family":"Walsh","given":"Andrew","non-dropping-particle":"","parse-names":false,"suffix":""}],"container-title":"Critique of Anthropology","id":"ITEM-1","issue":"2","issued":{"date-parts":[["2015"]]},"page":"235-251","title":"Lost and/or left behind in a Malagasy outpost of the “underworld of gemstones”","type":"article-journal","volume":"82"},"uris":["http://www.mendeley.com/documents/?uuid=45b8a6cb-89e3-448b-a578-9f6946f0e876"]}],"mendeley":{"formattedCitation":"(Walsh, 2015)","manualFormatting":"(2015)","plainTextFormattedCitation":"(Walsh, 2015)","previouslyFormattedCitation":"(Walsh, 2015)"},"properties":{"noteIndex":0},"schema":"https://github.com/citation-style-language/schema/raw/master/csl-citation.json"}</w:instrText>
      </w:r>
      <w:r w:rsidRPr="004E053C">
        <w:rPr>
          <w:rFonts w:eastAsia="Times New Roman" w:cstheme="majorHAnsi"/>
          <w:sz w:val="22"/>
          <w:szCs w:val="22"/>
          <w:bdr w:val="none" w:sz="0" w:space="0" w:color="auto" w:frame="1"/>
          <w:lang w:val="en-GB"/>
        </w:rPr>
        <w:fldChar w:fldCharType="separate"/>
      </w:r>
      <w:r w:rsidRPr="004E053C">
        <w:rPr>
          <w:rFonts w:eastAsia="Times New Roman" w:cstheme="majorHAnsi"/>
          <w:noProof/>
          <w:sz w:val="22"/>
          <w:szCs w:val="22"/>
          <w:bdr w:val="none" w:sz="0" w:space="0" w:color="auto" w:frame="1"/>
          <w:lang w:val="en-GB"/>
        </w:rPr>
        <w:t>(2015)</w:t>
      </w:r>
      <w:r w:rsidRPr="004E053C">
        <w:rPr>
          <w:rFonts w:eastAsia="Times New Roman" w:cstheme="majorHAnsi"/>
          <w:sz w:val="22"/>
          <w:szCs w:val="22"/>
          <w:bdr w:val="none" w:sz="0" w:space="0" w:color="auto" w:frame="1"/>
          <w:lang w:val="en-GB"/>
        </w:rPr>
        <w:fldChar w:fldCharType="end"/>
      </w:r>
      <w:r w:rsidRPr="004E053C">
        <w:rPr>
          <w:rFonts w:eastAsia="Times New Roman" w:cstheme="majorHAnsi"/>
          <w:sz w:val="22"/>
          <w:szCs w:val="22"/>
          <w:bdr w:val="none" w:sz="0" w:space="0" w:color="auto" w:frame="1"/>
          <w:lang w:val="en-GB"/>
        </w:rPr>
        <w:t xml:space="preserve"> showed that while residents who arrived before the rush intended to establish themselves and stay long-term, new arrivals had little interest in rooting themselves in the community or within a system of mutual reciprocity or responsibility. Similarities were drawn with young migrants in urban areas who have been shown to view the prospect of anchoring in one place as risky, reducing their ability to make a speedy departure to a new location in the future </w:t>
      </w:r>
      <w:r w:rsidRPr="004E053C">
        <w:rPr>
          <w:rFonts w:eastAsia="Times New Roman" w:cstheme="majorHAnsi"/>
          <w:sz w:val="22"/>
          <w:szCs w:val="22"/>
          <w:bdr w:val="none" w:sz="0" w:space="0" w:color="auto" w:frame="1"/>
          <w:lang w:val="en-GB"/>
        </w:rPr>
        <w:fldChar w:fldCharType="begin" w:fldLock="1"/>
      </w:r>
      <w:r w:rsidRPr="004E053C">
        <w:rPr>
          <w:rFonts w:eastAsia="Times New Roman" w:cstheme="majorHAnsi"/>
          <w:sz w:val="22"/>
          <w:szCs w:val="22"/>
          <w:bdr w:val="none" w:sz="0" w:space="0" w:color="auto" w:frame="1"/>
          <w:lang w:val="en-GB"/>
        </w:rPr>
        <w:instrText>ADDIN CSL_CITATION {"citationItems":[{"id":"ITEM-1","itemData":{"author":[{"dropping-particle":"","family":"Simone","given":"AM","non-dropping-particle":"","parse-names":false,"suffix":""}],"chapter-number":"1","container-title":"Globalization and Urbanization in Africa","editor":[{"dropping-particle":"","family":"Falola","given":"Toyin","non-dropping-particle":"","parse-names":false,"suffix":""},{"dropping-particle":"","family":"Salm","given":"Seven J","non-dropping-particle":"","parse-names":false,"suffix":""}],"id":"ITEM-1","issued":{"date-parts":[["2004"]]},"page":"11-51","publisher":"Africa World Press Inc","publisher-place":"Trenton, NJ","title":"Critical dimensions of urban life in Africa","type":"chapter"},"uris":["http://www.mendeley.com/documents/?uuid=f6a1285c-8b7f-4db3-bd2c-4b8587f175e5"]}],"mendeley":{"formattedCitation":"(Simone, 2004)","plainTextFormattedCitation":"(Simone, 2004)","previouslyFormattedCitation":"(Simone, 2004)"},"properties":{"noteIndex":0},"schema":"https://github.com/citation-style-language/schema/raw/master/csl-citation.json"}</w:instrText>
      </w:r>
      <w:r w:rsidRPr="004E053C">
        <w:rPr>
          <w:rFonts w:eastAsia="Times New Roman" w:cstheme="majorHAnsi"/>
          <w:sz w:val="22"/>
          <w:szCs w:val="22"/>
          <w:bdr w:val="none" w:sz="0" w:space="0" w:color="auto" w:frame="1"/>
          <w:lang w:val="en-GB"/>
        </w:rPr>
        <w:fldChar w:fldCharType="separate"/>
      </w:r>
      <w:r w:rsidRPr="004E053C">
        <w:rPr>
          <w:rFonts w:eastAsia="Times New Roman" w:cstheme="majorHAnsi"/>
          <w:noProof/>
          <w:sz w:val="22"/>
          <w:szCs w:val="22"/>
          <w:bdr w:val="none" w:sz="0" w:space="0" w:color="auto" w:frame="1"/>
          <w:lang w:val="en-GB"/>
        </w:rPr>
        <w:t>(Simone, 2004)</w:t>
      </w:r>
      <w:r w:rsidRPr="004E053C">
        <w:rPr>
          <w:rFonts w:eastAsia="Times New Roman" w:cstheme="majorHAnsi"/>
          <w:sz w:val="22"/>
          <w:szCs w:val="22"/>
          <w:bdr w:val="none" w:sz="0" w:space="0" w:color="auto" w:frame="1"/>
          <w:lang w:val="en-GB"/>
        </w:rPr>
        <w:fldChar w:fldCharType="end"/>
      </w:r>
      <w:r w:rsidRPr="004E053C">
        <w:rPr>
          <w:rFonts w:eastAsia="Times New Roman" w:cstheme="majorHAnsi"/>
          <w:sz w:val="22"/>
          <w:szCs w:val="22"/>
          <w:bdr w:val="none" w:sz="0" w:space="0" w:color="auto" w:frame="1"/>
          <w:lang w:val="en-GB"/>
        </w:rPr>
        <w:t xml:space="preserve">. Walsh noted that this meant that rooted miners were eventually </w:t>
      </w:r>
      <w:r w:rsidR="00130A52">
        <w:rPr>
          <w:rFonts w:eastAsia="Times New Roman" w:cstheme="majorHAnsi"/>
          <w:sz w:val="22"/>
          <w:szCs w:val="22"/>
          <w:bdr w:val="none" w:sz="0" w:space="0" w:color="auto" w:frame="1"/>
          <w:lang w:val="en-GB"/>
        </w:rPr>
        <w:t xml:space="preserve">likely to find themselves ‘left </w:t>
      </w:r>
      <w:r w:rsidRPr="004E053C">
        <w:rPr>
          <w:rFonts w:eastAsia="Times New Roman" w:cstheme="majorHAnsi"/>
          <w:sz w:val="22"/>
          <w:szCs w:val="22"/>
          <w:bdr w:val="none" w:sz="0" w:space="0" w:color="auto" w:frame="1"/>
          <w:lang w:val="en-GB"/>
        </w:rPr>
        <w:t xml:space="preserve">behind’ by their more transient neighbours </w:t>
      </w:r>
      <w:r w:rsidRPr="004E053C">
        <w:rPr>
          <w:rFonts w:eastAsia="Times New Roman" w:cstheme="majorHAnsi"/>
          <w:sz w:val="22"/>
          <w:szCs w:val="22"/>
          <w:bdr w:val="none" w:sz="0" w:space="0" w:color="auto" w:frame="1"/>
          <w:lang w:val="en-GB"/>
        </w:rPr>
        <w:fldChar w:fldCharType="begin" w:fldLock="1"/>
      </w:r>
      <w:r w:rsidRPr="004E053C">
        <w:rPr>
          <w:rFonts w:eastAsia="Times New Roman" w:cstheme="majorHAnsi"/>
          <w:sz w:val="22"/>
          <w:szCs w:val="22"/>
          <w:bdr w:val="none" w:sz="0" w:space="0" w:color="auto" w:frame="1"/>
          <w:lang w:val="en-GB"/>
        </w:rPr>
        <w:instrText>ADDIN CSL_CITATION {"citationItems":[{"id":"ITEM-1","itemData":{"abstract":"In the once booming, but now slumping, northern Malagasy sapphire mining town of Ambondromifehy, people make do in the face of uncertainty. As a place of internal migrants organized around the mining and trade of a commodity destined for complex and fickle foreign markets, this town features a wide range of distinctive arrangements and compromises. Of special concern here are the arrangements through which people strive to live responsibly – in accordance with traditional Malagasy norms of sociality – while still managing to make a living through work that can lead them astray. I argue that such distinctive arrangements owe a great deal to the particular articulations of place and mobility one finds problematized in a context like this one. The first articulation is well encapsulated in the experience of what Malagasy people term being very or ‘‘lost’’, a condition of mobile people who either don’t know or have no hope of returning to the places from which they have come. The second articulation is apparent in the experi- ence of being tavela or ‘‘left behind’’, the condition of people who find themselves staying put while the things, people and possibilities they value flow away from them. For the many people in Ambondromifehy who are managing either or both of these conditions and the circumstances that come with them, idealized systems of social and moral exchange – systems of responsibility – are inevitably forums for compromise.","author":[{"dropping-particle":"","family":"Walsh","given":"Andrew","non-dropping-particle":"","parse-names":false,"suffix":""}],"container-title":"Critique of Anthropology","id":"ITEM-1","issue":"2","issued":{"date-parts":[["2015"]]},"page":"235-251","title":"Lost and/or left behind in a Malagasy outpost of the “underworld of gemstones”","type":"article-journal","volume":"82"},"uris":["http://www.mendeley.com/documents/?uuid=45b8a6cb-89e3-448b-a578-9f6946f0e876"]}],"mendeley":{"formattedCitation":"(Walsh, 2015)","manualFormatting":"(Walsh, 2015, p.30)","plainTextFormattedCitation":"(Walsh, 2015)","previouslyFormattedCitation":"(Walsh, 2015)"},"properties":{"noteIndex":0},"schema":"https://github.com/citation-style-language/schema/raw/master/csl-citation.json"}</w:instrText>
      </w:r>
      <w:r w:rsidRPr="004E053C">
        <w:rPr>
          <w:rFonts w:eastAsia="Times New Roman" w:cstheme="majorHAnsi"/>
          <w:sz w:val="22"/>
          <w:szCs w:val="22"/>
          <w:bdr w:val="none" w:sz="0" w:space="0" w:color="auto" w:frame="1"/>
          <w:lang w:val="en-GB"/>
        </w:rPr>
        <w:fldChar w:fldCharType="separate"/>
      </w:r>
      <w:r w:rsidRPr="004E053C">
        <w:rPr>
          <w:rFonts w:eastAsia="Times New Roman" w:cstheme="majorHAnsi"/>
          <w:noProof/>
          <w:sz w:val="22"/>
          <w:szCs w:val="22"/>
          <w:bdr w:val="none" w:sz="0" w:space="0" w:color="auto" w:frame="1"/>
          <w:lang w:val="en-GB"/>
        </w:rPr>
        <w:t>(Walsh, 2015, p.30)</w:t>
      </w:r>
      <w:r w:rsidRPr="004E053C">
        <w:rPr>
          <w:rFonts w:eastAsia="Times New Roman" w:cstheme="majorHAnsi"/>
          <w:sz w:val="22"/>
          <w:szCs w:val="22"/>
          <w:bdr w:val="none" w:sz="0" w:space="0" w:color="auto" w:frame="1"/>
          <w:lang w:val="en-GB"/>
        </w:rPr>
        <w:fldChar w:fldCharType="end"/>
      </w:r>
      <w:r w:rsidR="00E65D31" w:rsidRPr="004E053C">
        <w:rPr>
          <w:rFonts w:eastAsia="Times New Roman" w:cstheme="majorHAnsi"/>
          <w:sz w:val="22"/>
          <w:szCs w:val="22"/>
          <w:bdr w:val="none" w:sz="0" w:space="0" w:color="auto" w:frame="1"/>
          <w:lang w:val="en-GB"/>
        </w:rPr>
        <w:t>.</w:t>
      </w:r>
      <w:r w:rsidRPr="004E053C">
        <w:rPr>
          <w:rFonts w:eastAsia="Times New Roman" w:cstheme="majorHAnsi"/>
          <w:sz w:val="22"/>
          <w:szCs w:val="22"/>
          <w:bdr w:val="none" w:sz="0" w:space="0" w:color="auto" w:frame="1"/>
          <w:lang w:val="en-GB"/>
        </w:rPr>
        <w:t xml:space="preserve"> </w:t>
      </w:r>
      <w:r w:rsidRPr="004E053C">
        <w:rPr>
          <w:rFonts w:eastAsia="Times New Roman" w:cstheme="majorHAnsi"/>
          <w:color w:val="000000" w:themeColor="text1"/>
          <w:sz w:val="22"/>
          <w:szCs w:val="22"/>
          <w:shd w:val="clear" w:color="auto" w:fill="FFFFFF"/>
          <w:lang w:val="en-GB"/>
        </w:rPr>
        <w:t xml:space="preserve">Damonte’s </w:t>
      </w:r>
      <w:r w:rsidR="00BF36CA" w:rsidRPr="004E053C">
        <w:rPr>
          <w:rFonts w:eastAsia="Times New Roman" w:cstheme="majorHAnsi"/>
          <w:color w:val="000000" w:themeColor="text1"/>
          <w:sz w:val="22"/>
          <w:szCs w:val="22"/>
          <w:shd w:val="clear" w:color="auto" w:fill="FFFFFF"/>
          <w:lang w:val="en-GB"/>
        </w:rPr>
        <w:fldChar w:fldCharType="begin" w:fldLock="1"/>
      </w:r>
      <w:r w:rsidR="007A757C" w:rsidRPr="004E053C">
        <w:rPr>
          <w:rFonts w:eastAsia="Times New Roman" w:cstheme="majorHAnsi"/>
          <w:color w:val="000000" w:themeColor="text1"/>
          <w:sz w:val="22"/>
          <w:szCs w:val="22"/>
          <w:shd w:val="clear" w:color="auto" w:fill="FFFFFF"/>
          <w:lang w:val="en-GB"/>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Amazon","type":"article-journal","volume":"48"},"uris":["http://www.mendeley.com/documents/?uuid=fc7d8531-86b5-35b7-a817-8d0034336ad3"]},{"id":"ITEM-2","itemData":{"abstract":"The article analyzes the Peruvian government quest for small scale miners´ formalization in the Amazon as a political process that shows how state governance problems are reproduced in the realm of state margins. Why is the central State unable to regulate mining activities in Madre de Dios? And how have small- scale miners reacted to these state attempts to govern the region? It argues that small-scale mining in the Amazonian region of Madre de Dios in Peru has flourished in a social space where formal and informal institutions intertwine in a way barely 'legible' by the State, where miners through political agency have learned to contest, reinterpret and built alternatives to central State governance. From an Anthropological perspective, it shows the interplay between state policies, actions and violence, and local actor´s resistance, protests and collaboration in establishing hybrid institutions, rules and procedures, for achieving a non-centralized governance over the region in the realm of a chaotic mining expansion over fragile environments. Methodologically, this article draws on several sources of secondary data such as reports and audios and primary data collected using qualitative in particular ethnographic methods during several fieldwork visits to the region. This article contributes to the literature on state governance by showing central state governance problems and the importance of local people´s agency in achieving some control over unruly extractive expansion. It also shows how state problems on implementing specific policies such as mining formalization should be analyzed also as a governance problem in particular in regions where state apparatus are not well established as in the Amazonia.","author":[{"dropping-particle":"","family":"Damonte","given":"Gerardo","non-dropping-particle":"","parse-names":false,"suffix":""}],"container-title":"Development and Change","id":"ITEM-2","issue":"5","issued":{"date-parts":[["2018"]]},"page":"1314-1335","title":"Mining formalization at the margins of the state: small-scale miners and state governance in the Peruvian Amazon","type":"article-journal","volume":"49"},"uris":["http://www.mendeley.com/documents/?uuid=a40f3a30-0490-4f23-9ed0-7de3a0a19aeb"]}],"mendeley":{"formattedCitation":"(Damonte, 2016, 2018)","manualFormatting":"(2016; 2018)","plainTextFormattedCitation":"(Damonte, 2016, 2018)","previouslyFormattedCitation":"(Damonte, 2016, 2018)"},"properties":{"noteIndex":0},"schema":"https://github.com/citation-style-language/schema/raw/master/csl-citation.json"}</w:instrText>
      </w:r>
      <w:r w:rsidR="00BF36CA" w:rsidRPr="004E053C">
        <w:rPr>
          <w:rFonts w:eastAsia="Times New Roman" w:cstheme="majorHAnsi"/>
          <w:color w:val="000000" w:themeColor="text1"/>
          <w:sz w:val="22"/>
          <w:szCs w:val="22"/>
          <w:shd w:val="clear" w:color="auto" w:fill="FFFFFF"/>
          <w:lang w:val="en-GB"/>
        </w:rPr>
        <w:fldChar w:fldCharType="separate"/>
      </w:r>
      <w:r w:rsidR="00BF36CA" w:rsidRPr="004E053C">
        <w:rPr>
          <w:rFonts w:eastAsia="Times New Roman" w:cstheme="majorHAnsi"/>
          <w:noProof/>
          <w:color w:val="000000" w:themeColor="text1"/>
          <w:sz w:val="22"/>
          <w:szCs w:val="22"/>
          <w:shd w:val="clear" w:color="auto" w:fill="FFFFFF"/>
          <w:lang w:val="en-GB"/>
        </w:rPr>
        <w:t>(2016; 2018)</w:t>
      </w:r>
      <w:r w:rsidR="00BF36CA" w:rsidRPr="004E053C">
        <w:rPr>
          <w:rFonts w:eastAsia="Times New Roman" w:cstheme="majorHAnsi"/>
          <w:color w:val="000000" w:themeColor="text1"/>
          <w:sz w:val="22"/>
          <w:szCs w:val="22"/>
          <w:shd w:val="clear" w:color="auto" w:fill="FFFFFF"/>
          <w:lang w:val="en-GB"/>
        </w:rPr>
        <w:fldChar w:fldCharType="end"/>
      </w:r>
      <w:r w:rsidRPr="004E053C">
        <w:rPr>
          <w:rFonts w:eastAsia="Times New Roman" w:cstheme="majorHAnsi"/>
          <w:color w:val="000000" w:themeColor="text1"/>
          <w:sz w:val="22"/>
          <w:szCs w:val="22"/>
          <w:shd w:val="clear" w:color="auto" w:fill="FFFFFF"/>
          <w:lang w:val="en-GB"/>
        </w:rPr>
        <w:t xml:space="preserve"> work in Peru has also distinguished between ‘new’ and ‘old’ miners and highlighted the animosity that can emerge between migrants that arrived in the mining areas of Madre de Dios at different times. </w:t>
      </w:r>
      <w:r w:rsidRPr="004E053C">
        <w:rPr>
          <w:rFonts w:eastAsia="Times New Roman" w:cstheme="majorHAnsi"/>
          <w:sz w:val="22"/>
          <w:szCs w:val="22"/>
          <w:bdr w:val="none" w:sz="0" w:space="0" w:color="auto" w:frame="1"/>
          <w:lang w:val="en-GB"/>
        </w:rPr>
        <w:t>However, neither Walsh nor Damonte draw links between community dynamics and place identity, either at an individual or community level.</w:t>
      </w:r>
    </w:p>
    <w:p w14:paraId="41DCE6D4" w14:textId="77777777" w:rsidR="00D36963" w:rsidRPr="004E053C" w:rsidRDefault="00D36963" w:rsidP="004E053C">
      <w:pPr>
        <w:spacing w:line="360" w:lineRule="auto"/>
        <w:jc w:val="both"/>
        <w:rPr>
          <w:rFonts w:eastAsia="Times New Roman" w:cstheme="majorHAnsi"/>
          <w:sz w:val="22"/>
          <w:szCs w:val="22"/>
          <w:bdr w:val="none" w:sz="0" w:space="0" w:color="auto" w:frame="1"/>
          <w:lang w:val="en-GB"/>
        </w:rPr>
      </w:pPr>
    </w:p>
    <w:p w14:paraId="633E4FD8" w14:textId="1425FF64" w:rsidR="00FF7888" w:rsidRPr="004E053C" w:rsidRDefault="00D36963" w:rsidP="004E053C">
      <w:pPr>
        <w:pStyle w:val="Heading3"/>
        <w:rPr>
          <w:rFonts w:asciiTheme="minorHAnsi" w:hAnsiTheme="minorHAnsi"/>
          <w:bdr w:val="none" w:sz="0" w:space="0" w:color="auto" w:frame="1"/>
        </w:rPr>
      </w:pPr>
      <w:r w:rsidRPr="004E053C">
        <w:rPr>
          <w:rFonts w:asciiTheme="minorHAnsi" w:hAnsiTheme="minorHAnsi"/>
          <w:bdr w:val="none" w:sz="0" w:space="0" w:color="auto" w:frame="1"/>
        </w:rPr>
        <w:t>2.4.3. Life in mining communities</w:t>
      </w:r>
    </w:p>
    <w:p w14:paraId="10C367A3" w14:textId="77777777" w:rsidR="00912ED8" w:rsidRPr="004E053C" w:rsidRDefault="00912ED8" w:rsidP="004E053C">
      <w:pPr>
        <w:spacing w:line="360" w:lineRule="auto"/>
        <w:jc w:val="both"/>
        <w:rPr>
          <w:rFonts w:eastAsia="Times New Roman" w:cstheme="majorHAnsi"/>
          <w:sz w:val="22"/>
          <w:szCs w:val="22"/>
          <w:bdr w:val="none" w:sz="0" w:space="0" w:color="auto" w:frame="1"/>
          <w:lang w:val="en-GB"/>
        </w:rPr>
      </w:pPr>
    </w:p>
    <w:p w14:paraId="7DBFBA20" w14:textId="1FFC8151" w:rsidR="00D36963" w:rsidRPr="004E053C" w:rsidRDefault="00D36963" w:rsidP="004E053C">
      <w:pPr>
        <w:spacing w:line="360" w:lineRule="auto"/>
        <w:jc w:val="both"/>
        <w:rPr>
          <w:rFonts w:eastAsia="Times New Roman" w:cstheme="majorHAnsi"/>
          <w:sz w:val="22"/>
          <w:szCs w:val="22"/>
          <w:bdr w:val="none" w:sz="0" w:space="0" w:color="auto" w:frame="1"/>
          <w:lang w:val="en-GB"/>
        </w:rPr>
      </w:pPr>
      <w:r w:rsidRPr="004E053C">
        <w:rPr>
          <w:rFonts w:eastAsia="Times New Roman" w:cstheme="majorHAnsi"/>
          <w:sz w:val="22"/>
          <w:szCs w:val="22"/>
          <w:bdr w:val="none" w:sz="0" w:space="0" w:color="auto" w:frame="1"/>
          <w:lang w:val="en-GB"/>
        </w:rPr>
        <w:lastRenderedPageBreak/>
        <w:t>Whilst mining communities themselves are still under-researched, with the focus usually being on the causes and consequences of mining activity and related policies, there are some aspects of life in mining sites that have been well studied. Firstly, it is generally agreed that</w:t>
      </w:r>
      <w:r w:rsidRPr="004E053C">
        <w:rPr>
          <w:rFonts w:cstheme="majorHAnsi"/>
          <w:color w:val="000000" w:themeColor="text1"/>
          <w:sz w:val="22"/>
          <w:szCs w:val="22"/>
          <w:lang w:val="en-GB"/>
        </w:rPr>
        <w:t xml:space="preserve"> the high mobility of ASM results in communities that are inherently unstable and full of social dilemmas </w:t>
      </w:r>
      <w:r w:rsidRPr="004E053C">
        <w:rPr>
          <w:rFonts w:cstheme="majorHAnsi"/>
          <w:color w:val="000000" w:themeColor="text1"/>
          <w:sz w:val="22"/>
          <w:szCs w:val="22"/>
          <w:lang w:val="en-GB"/>
        </w:rPr>
        <w:fldChar w:fldCharType="begin" w:fldLock="1"/>
      </w:r>
      <w:r w:rsidR="005D0B08">
        <w:rPr>
          <w:rFonts w:cstheme="majorHAnsi"/>
          <w:color w:val="000000" w:themeColor="text1"/>
          <w:sz w:val="22"/>
          <w:szCs w:val="22"/>
          <w:lang w:val="en-GB"/>
        </w:rPr>
        <w:instrText>ADDIN CSL_CITATION {"citationItems":[{"id":"ITEM-1","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-1","issued":{"date-parts":[["2013"]]},"page":"1-17","publisher":"Cuadernos del CEDLA no.26","publisher-place":"Amsterdam","title":"Small-scale gold mining in the Amazon","type":"chapter"},"uris":["http://www.mendeley.com/documents/?uuid=92fc2d78-55d0-4473-a651-4b870d4fb876"]},{"id":"ITEM-2","itemData":{"abstract":"a b s t r a c t Millions of people worldwide are involved in artisanal and small-scale gold mining. Many of them live in conditions of poverty and insalubrities due to the mercury amalgamation of gold and the application of other rudimentary techniques. In spite of this, the sector has been nearly overlooked by resource economists. In this paper we analyze the sector based on a survey of the existing literature. We find some commonalities of artisanal and small-scale gold mining in different countries of the developing world as follows: low levels of mechanization and technology, labor intensiveness, low awareness of environmental degradation, poor training, high transience among some miners, and lack of financial savings. Moreover, with these commonalities in mind, we present some topics and challenges for a research agenda in the field of environmental, ecological, and development economics.","author":[{"dropping-particle":"","family":"Saldarriaga-Isaza","given":"Adrián","non-dropping-particle":"","parse-names":false,"suffix":""},{"dropping-particle":"","family":"Villegas-Palacio","given":"Clara","non-dropping-particle":"","parse-names":false,"suffix":""},{"dropping-particle":"","family":"Arango","given":"Santiago","non-dropping-particle":"","parse-names":false,"suffix":""}],"container-title":"Resources Policy","id":"ITEM-2","issue":"2","issued":{"date-parts":[["2013"]]},"page":"224-232","title":"The public good dilemma of a non-renewable common resource: a look at the facts of artisanal gold mining","type":"article-journal","volume":"38"},"uris":["http://www.mendeley.com/documents/?uuid=9112f4f7-b1fb-43ae-8ee5-daf59e85ff33"]}],"mendeley":{"formattedCitation":"(L. Cremers &amp; de Theije, 2013; Saldarriaga-Isaza et al., 2013)","manualFormatting":"(Cremers &amp; de Theije, 2013; Saldarriaga-Isaza et al., 2013)","plainTextFormattedCitation":"(L. Cremers &amp; de Theije, 2013; Saldarriaga-Isaza et al., 2013)","previouslyFormattedCitation":"(L. Cremers &amp; de Theije, 2013; Saldarriaga-Isaza et al., 2013)"},"properties":{"noteIndex":0},"schema":"https://github.com/citation-style-language/schema/raw/master/csl-citation.json"}</w:instrText>
      </w:r>
      <w:r w:rsidRPr="004E053C">
        <w:rPr>
          <w:rFonts w:cstheme="majorHAnsi"/>
          <w:color w:val="000000" w:themeColor="text1"/>
          <w:sz w:val="22"/>
          <w:szCs w:val="22"/>
          <w:lang w:val="en-GB"/>
        </w:rPr>
        <w:fldChar w:fldCharType="separate"/>
      </w:r>
      <w:r w:rsidR="00BF36CA" w:rsidRPr="004E053C">
        <w:rPr>
          <w:rFonts w:cstheme="majorHAnsi"/>
          <w:noProof/>
          <w:color w:val="000000" w:themeColor="text1"/>
          <w:sz w:val="22"/>
          <w:szCs w:val="22"/>
          <w:lang w:val="en-GB"/>
        </w:rPr>
        <w:t>(</w:t>
      </w:r>
      <w:r w:rsidR="00680892" w:rsidRPr="004E053C">
        <w:rPr>
          <w:rFonts w:cstheme="majorHAnsi"/>
          <w:noProof/>
          <w:color w:val="000000" w:themeColor="text1"/>
          <w:sz w:val="22"/>
          <w:szCs w:val="22"/>
          <w:lang w:val="en-GB"/>
        </w:rPr>
        <w:t>Cremers &amp; de Theije, 2013; Saldarriaga-Isaza et al., 2013)</w:t>
      </w:r>
      <w:r w:rsidRPr="004E053C">
        <w:rPr>
          <w:rFonts w:cstheme="majorHAnsi"/>
          <w:color w:val="000000" w:themeColor="text1"/>
          <w:sz w:val="22"/>
          <w:szCs w:val="22"/>
          <w:lang w:val="en-GB"/>
        </w:rPr>
        <w:fldChar w:fldCharType="end"/>
      </w:r>
      <w:r w:rsidRPr="004E053C">
        <w:rPr>
          <w:rFonts w:cstheme="majorHAnsi"/>
          <w:color w:val="000000" w:themeColor="text1"/>
          <w:sz w:val="22"/>
          <w:szCs w:val="22"/>
          <w:lang w:val="en-GB"/>
        </w:rPr>
        <w:t xml:space="preserve">. Mining communities are therefore seen as characterised by weak social ties, which can lead to depression, </w:t>
      </w:r>
      <w:r w:rsidRPr="004E053C">
        <w:rPr>
          <w:rFonts w:cstheme="majorHAnsi"/>
          <w:sz w:val="22"/>
          <w:szCs w:val="22"/>
          <w:lang w:val="en-GB"/>
        </w:rPr>
        <w:t xml:space="preserve">domestic violence and alcoholism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Seeling","given":"Andrea","non-dropping-particle":"","parse-names":false,"suffix":""}],"id":"ITEM-1","issued":{"date-parts":[["2002"]]},"number-of-pages":"33","publisher-place":"Birmingham","title":"Field Research into the socio-economic and social impact of artisanal and small-scale mining in Peru","type":"report"},"uris":["http://www.mendeley.com/documents/?uuid=f9f3549a-9bcd-37b8-93f3-416c5f58ec76"]}],"mendeley":{"formattedCitation":"(Seeling, 2002)","plainTextFormattedCitation":"(Seeling, 2002)","previouslyFormattedCitation":"(Seeling, 2002)"},"properties":{"noteIndex":0},"schema":"https://github.com/citation-style-language/schema/raw/master/csl-citation.json"}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(Seeling, 2002)</w:t>
      </w:r>
      <w:r w:rsidRPr="004E053C">
        <w:rPr>
          <w:rFonts w:cstheme="majorHAnsi"/>
          <w:sz w:val="22"/>
          <w:szCs w:val="22"/>
          <w:lang w:val="en-GB"/>
        </w:rPr>
        <w:fldChar w:fldCharType="end"/>
      </w:r>
      <w:r w:rsidRPr="004E053C">
        <w:rPr>
          <w:rFonts w:cstheme="majorHAnsi"/>
          <w:sz w:val="22"/>
          <w:szCs w:val="22"/>
          <w:lang w:val="en-GB"/>
        </w:rPr>
        <w:t xml:space="preserve">. Although this can lead to conflict within the communities, many researchers have pointed to the emergence of some form of mining ‘culture’ </w:t>
      </w:r>
      <w:r w:rsidR="00BF36CA"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id":"ITEM-2","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-2","issued":{"date-parts":[["2010"]]},"page":"111-132","publisher":"Brill","publisher-place":"Leiden","title":"Following the hills: gold mining camps as heterotopias","type":"chapter"},"uris":["http://www.mendeley.com/documents/?uuid=83603393-cc44-4264-a8c3-b78d02289a5a"]}],"mendeley":{"formattedCitation":"(De Theije &amp; Heemskerk, 2009; Werthmann, 2010)","manualFormatting":"(de Theije &amp; Heemskerk, 2009; Werthmann, 2010)","plainTextFormattedCitation":"(De Theije &amp; Heemskerk, 2009; Werthmann, 2010)","previouslyFormattedCitation":"(De Theije &amp; Heemskerk, 2009; Werthmann, 2010)"},"properties":{"noteIndex":0},"schema":"https://github.com/citation-style-language/schema/raw/master/csl-citation.json"}</w:instrText>
      </w:r>
      <w:r w:rsidR="00BF36CA" w:rsidRPr="004E053C">
        <w:rPr>
          <w:rFonts w:cstheme="majorHAnsi"/>
          <w:sz w:val="22"/>
          <w:szCs w:val="22"/>
          <w:lang w:val="en-GB"/>
        </w:rPr>
        <w:fldChar w:fldCharType="separate"/>
      </w:r>
      <w:r w:rsidR="000F1591" w:rsidRPr="004E053C">
        <w:rPr>
          <w:rFonts w:cstheme="majorHAnsi"/>
          <w:noProof/>
          <w:sz w:val="22"/>
          <w:szCs w:val="22"/>
          <w:lang w:val="en-GB"/>
        </w:rPr>
        <w:t>(d</w:t>
      </w:r>
      <w:r w:rsidR="00BF36CA" w:rsidRPr="004E053C">
        <w:rPr>
          <w:rFonts w:cstheme="majorHAnsi"/>
          <w:noProof/>
          <w:sz w:val="22"/>
          <w:szCs w:val="22"/>
          <w:lang w:val="en-GB"/>
        </w:rPr>
        <w:t>e Theije &amp; Heemskerk, 2009; Werthmann, 2010)</w:t>
      </w:r>
      <w:r w:rsidR="00BF36CA" w:rsidRPr="004E053C">
        <w:rPr>
          <w:rFonts w:cstheme="majorHAnsi"/>
          <w:sz w:val="22"/>
          <w:szCs w:val="22"/>
          <w:lang w:val="en-GB"/>
        </w:rPr>
        <w:fldChar w:fldCharType="end"/>
      </w:r>
      <w:r w:rsidRPr="004E053C">
        <w:rPr>
          <w:rFonts w:cstheme="majorHAnsi"/>
          <w:sz w:val="22"/>
          <w:szCs w:val="22"/>
          <w:lang w:val="en-GB"/>
        </w:rPr>
        <w:t xml:space="preserve">, albeit with different interpretations. </w:t>
      </w:r>
      <w:r w:rsidRPr="004E053C">
        <w:rPr>
          <w:rFonts w:eastAsia="Times New Roman" w:cstheme="majorHAnsi"/>
          <w:sz w:val="22"/>
          <w:szCs w:val="22"/>
          <w:shd w:val="clear" w:color="auto" w:fill="FFFFFF"/>
          <w:lang w:val="en-GB"/>
        </w:rPr>
        <w:t>Secondly</w:t>
      </w:r>
      <w:r w:rsidRPr="004E053C">
        <w:rPr>
          <w:rFonts w:eastAsia="Times New Roman" w:cstheme="majorHAnsi"/>
          <w:color w:val="000000" w:themeColor="text1"/>
          <w:sz w:val="22"/>
          <w:szCs w:val="22"/>
          <w:shd w:val="clear" w:color="auto" w:fill="FFFFFF"/>
          <w:lang w:val="en-GB"/>
        </w:rPr>
        <w:t xml:space="preserve">, many researchers have investigated the professional implications of weak social support networks, particularly in terms of getting access to the sector </w:t>
      </w:r>
      <w:r w:rsidRPr="004E053C">
        <w:rPr>
          <w:rFonts w:eastAsia="Times New Roman" w:cstheme="majorHAnsi"/>
          <w:color w:val="000000" w:themeColor="text1"/>
          <w:sz w:val="22"/>
          <w:szCs w:val="22"/>
          <w:shd w:val="clear" w:color="auto" w:fill="FFFFFF"/>
          <w:lang w:val="en-GB"/>
        </w:rPr>
        <w:fldChar w:fldCharType="begin" w:fldLock="1"/>
      </w:r>
      <w:r w:rsidRPr="004E053C">
        <w:rPr>
          <w:rFonts w:eastAsia="Times New Roman" w:cstheme="majorHAnsi"/>
          <w:color w:val="000000" w:themeColor="text1"/>
          <w:sz w:val="22"/>
          <w:szCs w:val="22"/>
          <w:shd w:val="clear" w:color="auto" w:fill="FFFFFF"/>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operators","type":"article-journal","volume":"1"},"uris":["http://www.mendeley.com/documents/?uuid=56fd2b4b-fd5a-31ef-a59e-d2c754808936"]},{"id":"ITEM-2","itemData":{"abstract":"African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Change","id":"ITEM-2","issue":"2","issued":{"date-parts":[["2009"]]},"page":"249-279","title":"Rushing for gold: mobility and small-scale mining in East Africa","type":"article-journal","volume":"40"},"uris":["http://www.mendeley.com/documents/?uuid=de9c4f73-7d08-4fe3-9443-72b7c45b2369"]}],"mendeley":{"formattedCitation":"(Jønsson &amp; Bryceson, 2009; F. K. Nyame &amp; Grant, 2014)","manualFormatting":"(Jønsson &amp; Bryceson, 2009; Nyame &amp; Grant, 2014)","plainTextFormattedCitation":"(Jønsson &amp; Bryceson, 2009; F. K. Nyame &amp; Grant, 2014)","previouslyFormattedCitation":"(Jønsson &amp; Bryceson, 2009; F. K. Nyame &amp; Grant, 2014)"},"properties":{"noteIndex":0},"schema":"https://github.com/citation-style-language/schema/raw/master/csl-citation.json"}</w:instrText>
      </w:r>
      <w:r w:rsidRPr="004E053C">
        <w:rPr>
          <w:rFonts w:eastAsia="Times New Roman" w:cstheme="majorHAnsi"/>
          <w:color w:val="000000" w:themeColor="text1"/>
          <w:sz w:val="22"/>
          <w:szCs w:val="22"/>
          <w:shd w:val="clear" w:color="auto" w:fill="FFFFFF"/>
          <w:lang w:val="en-GB"/>
        </w:rPr>
        <w:fldChar w:fldCharType="separate"/>
      </w:r>
      <w:r w:rsidRPr="004E053C">
        <w:rPr>
          <w:rFonts w:eastAsia="Times New Roman" w:cstheme="majorHAnsi"/>
          <w:noProof/>
          <w:color w:val="000000" w:themeColor="text1"/>
          <w:sz w:val="22"/>
          <w:szCs w:val="22"/>
          <w:shd w:val="clear" w:color="auto" w:fill="FFFFFF"/>
          <w:lang w:val="en-GB"/>
        </w:rPr>
        <w:t>(Jønsson &amp; Bryceson, 2009; Nyame &amp; Grant, 2014)</w:t>
      </w:r>
      <w:r w:rsidRPr="004E053C">
        <w:rPr>
          <w:rFonts w:eastAsia="Times New Roman" w:cstheme="majorHAnsi"/>
          <w:color w:val="000000" w:themeColor="text1"/>
          <w:sz w:val="22"/>
          <w:szCs w:val="22"/>
          <w:shd w:val="clear" w:color="auto" w:fill="FFFFFF"/>
          <w:lang w:val="en-GB"/>
        </w:rPr>
        <w:fldChar w:fldCharType="end"/>
      </w:r>
      <w:r w:rsidRPr="004E053C">
        <w:rPr>
          <w:rFonts w:cstheme="majorHAnsi"/>
          <w:color w:val="000000" w:themeColor="text1"/>
          <w:sz w:val="22"/>
          <w:szCs w:val="22"/>
          <w:lang w:val="en-GB"/>
        </w:rPr>
        <w:t>. Thirdly, and partly related to the building of professional networks, there has been a focus on the spending habits and social lifestyles of men within mining sites. I will briefly highlight the main arguments of each in the next few paragraphs</w:t>
      </w:r>
    </w:p>
    <w:p w14:paraId="3F546A91" w14:textId="77777777" w:rsidR="00D36963" w:rsidRPr="004E053C" w:rsidRDefault="00D36963" w:rsidP="004E053C">
      <w:pPr>
        <w:spacing w:line="360" w:lineRule="auto"/>
        <w:jc w:val="both"/>
        <w:rPr>
          <w:rFonts w:cstheme="majorHAnsi"/>
          <w:color w:val="000000" w:themeColor="text1"/>
          <w:sz w:val="22"/>
          <w:szCs w:val="22"/>
          <w:lang w:val="en-GB"/>
        </w:rPr>
      </w:pPr>
    </w:p>
    <w:p w14:paraId="248909C7" w14:textId="742EE7E0" w:rsidR="00D36963" w:rsidRPr="004E053C" w:rsidRDefault="00D36963" w:rsidP="004E053C">
      <w:pPr>
        <w:spacing w:line="360" w:lineRule="auto"/>
        <w:jc w:val="both"/>
        <w:rPr>
          <w:rFonts w:eastAsia="Times New Roman" w:cstheme="minorHAnsi"/>
          <w:sz w:val="22"/>
          <w:szCs w:val="22"/>
        </w:rPr>
      </w:pPr>
      <w:r w:rsidRPr="004E053C">
        <w:rPr>
          <w:rFonts w:eastAsia="Times New Roman" w:cstheme="minorHAnsi"/>
          <w:sz w:val="22"/>
          <w:szCs w:val="22"/>
          <w:bdr w:val="none" w:sz="0" w:space="0" w:color="auto" w:frame="1"/>
        </w:rPr>
        <w:t>The difficulties of leaving behind homes and family and adapt to a new life is well understood in the migration literature and is acknowledged in the context of ASM</w:t>
      </w:r>
      <w:r w:rsidR="00BF36CA" w:rsidRPr="004E053C">
        <w:rPr>
          <w:rFonts w:eastAsia="Times New Roman" w:cstheme="minorHAnsi"/>
          <w:sz w:val="22"/>
          <w:szCs w:val="22"/>
          <w:bdr w:val="none" w:sz="0" w:space="0" w:color="auto" w:frame="1"/>
        </w:rPr>
        <w:t xml:space="preserve"> </w:t>
      </w:r>
      <w:r w:rsidR="00BF36CA" w:rsidRPr="004E053C">
        <w:rPr>
          <w:rFonts w:eastAsia="Times New Roman" w:cstheme="minorHAnsi"/>
          <w:sz w:val="22"/>
          <w:szCs w:val="22"/>
          <w:bdr w:val="none" w:sz="0" w:space="0" w:color="auto" w:frame="1"/>
        </w:rPr>
        <w:fldChar w:fldCharType="begin" w:fldLock="1"/>
      </w:r>
      <w:r w:rsidR="007A757C" w:rsidRPr="004E053C">
        <w:rPr>
          <w:rFonts w:eastAsia="Times New Roman" w:cstheme="minorHAnsi"/>
          <w:sz w:val="22"/>
          <w:szCs w:val="22"/>
          <w:bdr w:val="none" w:sz="0" w:space="0" w:color="auto" w:frame="1"/>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2009)","plainTextFormattedCitation":"(De Theije &amp; Heemskerk, 2009)","previouslyFormattedCitation":"(De Theije &amp; Heemskerk, 2009)"},"properties":{"noteIndex":0},"schema":"https://github.com/citation-style-language/schema/raw/master/csl-citation.json"}</w:instrText>
      </w:r>
      <w:r w:rsidR="00BF36CA" w:rsidRPr="004E053C">
        <w:rPr>
          <w:rFonts w:eastAsia="Times New Roman" w:cstheme="minorHAnsi"/>
          <w:sz w:val="22"/>
          <w:szCs w:val="22"/>
          <w:bdr w:val="none" w:sz="0" w:space="0" w:color="auto" w:frame="1"/>
        </w:rPr>
        <w:fldChar w:fldCharType="separate"/>
      </w:r>
      <w:r w:rsidR="00BF36CA" w:rsidRPr="004E053C">
        <w:rPr>
          <w:rFonts w:eastAsia="Times New Roman" w:cstheme="minorHAnsi"/>
          <w:noProof/>
          <w:sz w:val="22"/>
          <w:szCs w:val="22"/>
          <w:bdr w:val="none" w:sz="0" w:space="0" w:color="auto" w:frame="1"/>
        </w:rPr>
        <w:t>(De Theije &amp; Heemskerk, 2009)</w:t>
      </w:r>
      <w:r w:rsidR="00BF36CA" w:rsidRPr="004E053C">
        <w:rPr>
          <w:rFonts w:eastAsia="Times New Roman" w:cstheme="minorHAnsi"/>
          <w:sz w:val="22"/>
          <w:szCs w:val="22"/>
          <w:bdr w:val="none" w:sz="0" w:space="0" w:color="auto" w:frame="1"/>
        </w:rPr>
        <w:fldChar w:fldCharType="end"/>
      </w:r>
      <w:r w:rsidRPr="004E053C">
        <w:rPr>
          <w:rFonts w:eastAsia="Times New Roman" w:cstheme="minorHAnsi"/>
          <w:sz w:val="22"/>
          <w:szCs w:val="22"/>
          <w:bdr w:val="none" w:sz="0" w:space="0" w:color="auto" w:frame="1"/>
        </w:rPr>
        <w:t xml:space="preserve">. However, de Theije and Bal </w:t>
      </w:r>
      <w:r w:rsidR="00BF36CA" w:rsidRPr="004E053C">
        <w:rPr>
          <w:rFonts w:eastAsia="Times New Roman" w:cstheme="minorHAnsi"/>
          <w:sz w:val="22"/>
          <w:szCs w:val="22"/>
          <w:bdr w:val="none" w:sz="0" w:space="0" w:color="auto" w:frame="1"/>
        </w:rPr>
        <w:fldChar w:fldCharType="begin" w:fldLock="1"/>
      </w:r>
      <w:r w:rsidR="000F1591" w:rsidRPr="004E053C">
        <w:rPr>
          <w:rFonts w:eastAsia="Times New Roman" w:cstheme="minorHAnsi"/>
          <w:sz w:val="22"/>
          <w:szCs w:val="22"/>
          <w:bdr w:val="none" w:sz="0" w:space="0" w:color="auto" w:frame="1"/>
        </w:rPr>
        <w:instrText>ADDIN CSL_CITATION {"citationItems":[{"id":"ITEM-1","itemData":{"author":[{"dropping-particle":"","family":"Theije","given":"Marjo","non-dropping-particle":"De","parse-names":false,"suffix":""},{"dropping-particle":"","family":"Bal","given":"Ellen","non-dropping-particle":"","parse-names":false,"suffix":""}],"chapter-number":"4","container-title":"A World of Insecurity: Anthropological Perspectives on Human Security","editor":[{"dropping-particle":"","family":"Eriksen","given":"Thomas Hylland","non-dropping-particle":"","parse-names":false,"suffix":""},{"dropping-particle":"","family":"Bal","given":"Ellen","non-dropping-particle":"","parse-names":false,"suffix":""},{"dropping-particle":"","family":"Salemink","given":"Oscar","non-dropping-particle":"","parse-names":false,"suffix":""}],"id":"ITEM-1","issued":{"date-parts":[["2010"]]},"page":"66-88","publisher":"Pluto Press","publisher-place":"London, UK","title":"Flexible migrants. Brazilian gold miners and their quest for human security in Surinam","type":"chapter"},"uris":["http://www.mendeley.com/documents/?uuid=a0fe66b5-a57d-46fa-a5b9-03db4e85f100"]}],"mendeley":{"formattedCitation":"(De Theije &amp; Bal, 2010)","manualFormatting":"(2010)","plainTextFormattedCitation":"(De Theije &amp; Bal, 2010)","previouslyFormattedCitation":"(De Theije &amp; Bal, 2010)"},"properties":{"noteIndex":0},"schema":"https://github.com/citation-style-language/schema/raw/master/csl-citation.json"}</w:instrText>
      </w:r>
      <w:r w:rsidR="00BF36CA" w:rsidRPr="004E053C">
        <w:rPr>
          <w:rFonts w:eastAsia="Times New Roman" w:cstheme="minorHAnsi"/>
          <w:sz w:val="22"/>
          <w:szCs w:val="22"/>
          <w:bdr w:val="none" w:sz="0" w:space="0" w:color="auto" w:frame="1"/>
        </w:rPr>
        <w:fldChar w:fldCharType="separate"/>
      </w:r>
      <w:r w:rsidR="00846B60" w:rsidRPr="004E053C">
        <w:rPr>
          <w:rFonts w:eastAsia="Times New Roman" w:cstheme="minorHAnsi"/>
          <w:noProof/>
          <w:sz w:val="22"/>
          <w:szCs w:val="22"/>
          <w:bdr w:val="none" w:sz="0" w:space="0" w:color="auto" w:frame="1"/>
        </w:rPr>
        <w:t>(2010)</w:t>
      </w:r>
      <w:r w:rsidR="00BF36CA" w:rsidRPr="004E053C">
        <w:rPr>
          <w:rFonts w:eastAsia="Times New Roman" w:cstheme="minorHAnsi"/>
          <w:sz w:val="22"/>
          <w:szCs w:val="22"/>
          <w:bdr w:val="none" w:sz="0" w:space="0" w:color="auto" w:frame="1"/>
        </w:rPr>
        <w:fldChar w:fldCharType="end"/>
      </w:r>
      <w:r w:rsidRPr="004E053C">
        <w:rPr>
          <w:rFonts w:eastAsia="Times New Roman" w:cstheme="minorHAnsi"/>
          <w:sz w:val="22"/>
          <w:szCs w:val="22"/>
          <w:bdr w:val="none" w:sz="0" w:space="0" w:color="auto" w:frame="1"/>
        </w:rPr>
        <w:t xml:space="preserve"> have argued that the absence</w:t>
      </w:r>
      <w:r w:rsidRPr="004E053C">
        <w:rPr>
          <w:rFonts w:eastAsia="Times New Roman" w:cstheme="minorHAnsi"/>
          <w:sz w:val="22"/>
          <w:szCs w:val="22"/>
        </w:rPr>
        <w:t xml:space="preserve"> of a close-knit community, the lack of attachment to local surroundings provides miners with a certain level of freedom that opens up new possibilities. The Brazilian migrant miners in their study maintained an adaptable nature, and whilst they were not rooted in their location and lacked a sense of belonging, they could move on whenever necessary. This is closely related to Walsh’s observations of the transient miners in his study on Madagascar. </w:t>
      </w:r>
      <w:r w:rsidRPr="004E053C">
        <w:rPr>
          <w:rFonts w:cstheme="minorHAnsi"/>
          <w:color w:val="000000" w:themeColor="text1"/>
          <w:sz w:val="22"/>
          <w:szCs w:val="22"/>
        </w:rPr>
        <w:t xml:space="preserve">In his study of a </w:t>
      </w:r>
      <w:r w:rsidR="0032564B" w:rsidRPr="004E053C">
        <w:rPr>
          <w:rFonts w:cstheme="minorHAnsi"/>
          <w:color w:val="000000" w:themeColor="text1"/>
          <w:sz w:val="22"/>
          <w:szCs w:val="22"/>
        </w:rPr>
        <w:t>sapphire</w:t>
      </w:r>
      <w:r w:rsidRPr="004E053C">
        <w:rPr>
          <w:rFonts w:cstheme="minorHAnsi"/>
          <w:color w:val="000000" w:themeColor="text1"/>
          <w:sz w:val="22"/>
          <w:szCs w:val="22"/>
        </w:rPr>
        <w:t xml:space="preserve"> mining town</w:t>
      </w:r>
      <w:r w:rsidRPr="004E053C">
        <w:rPr>
          <w:rFonts w:cstheme="minorHAnsi"/>
          <w:sz w:val="22"/>
          <w:szCs w:val="22"/>
        </w:rPr>
        <w:t xml:space="preserve">, </w:t>
      </w:r>
      <w:r w:rsidRPr="004E053C">
        <w:rPr>
          <w:rFonts w:eastAsia="Times New Roman" w:cstheme="minorHAnsi"/>
          <w:sz w:val="22"/>
          <w:szCs w:val="22"/>
        </w:rPr>
        <w:t>Walsh</w:t>
      </w:r>
      <w:r w:rsidRPr="004E053C">
        <w:rPr>
          <w:rFonts w:eastAsia="Times New Roman" w:cstheme="minorHAnsi"/>
          <w:color w:val="FF0000"/>
          <w:sz w:val="22"/>
          <w:szCs w:val="22"/>
        </w:rPr>
        <w:t xml:space="preserve"> </w:t>
      </w:r>
      <w:r w:rsidRPr="004E053C">
        <w:rPr>
          <w:rFonts w:cstheme="minorHAnsi"/>
          <w:color w:val="000000" w:themeColor="text1"/>
          <w:sz w:val="22"/>
          <w:szCs w:val="22"/>
        </w:rPr>
        <w:fldChar w:fldCharType="begin" w:fldLock="1"/>
      </w:r>
      <w:r w:rsidRPr="004E053C">
        <w:rPr>
          <w:rFonts w:cstheme="minorHAnsi"/>
          <w:color w:val="000000" w:themeColor="text1"/>
          <w:sz w:val="22"/>
          <w:szCs w:val="22"/>
        </w:rPr>
        <w:instrText>ADDIN CSL_CITATION {"citationItems":[{"id":"ITEM-1","itemData":{"author":[{"dropping-particle":"","family":"Walsh","given":"Andrew","non-dropping-particle":"","parse-names":false,"suffix":""}],"container-title":"Africa: The Journal of the International African Institute","id":"ITEM-1","issue":"2","issued":{"date-parts":[["2012"]]},"page":"235-251","title":"After the rush: living with uncertainty in a Malagasy rural town, Africa","type":"article-journal","volume":"82"},"uris":["http://www.mendeley.com/documents/?uuid=cd2c67d7-e16d-478c-bb1b-5e15dca23af5"]}],"mendeley":{"formattedCitation":"(Walsh, 2012)","manualFormatting":"(2012)","plainTextFormattedCitation":"(Walsh, 2012)","previouslyFormattedCitation":"(Walsh, 2012)"},"properties":{"noteIndex":0},"schema":"https://github.com/citation-style-language/schema/raw/master/csl-citation.json"}</w:instrText>
      </w:r>
      <w:r w:rsidRPr="004E053C">
        <w:rPr>
          <w:rFonts w:cstheme="minorHAnsi"/>
          <w:color w:val="000000" w:themeColor="text1"/>
          <w:sz w:val="22"/>
          <w:szCs w:val="22"/>
        </w:rPr>
        <w:fldChar w:fldCharType="separate"/>
      </w:r>
      <w:r w:rsidRPr="004E053C">
        <w:rPr>
          <w:rFonts w:cstheme="minorHAnsi"/>
          <w:noProof/>
          <w:color w:val="000000" w:themeColor="text1"/>
          <w:sz w:val="22"/>
          <w:szCs w:val="22"/>
        </w:rPr>
        <w:t>(2012)</w:t>
      </w:r>
      <w:r w:rsidRPr="004E053C">
        <w:rPr>
          <w:rFonts w:cstheme="minorHAnsi"/>
          <w:color w:val="000000" w:themeColor="text1"/>
          <w:sz w:val="22"/>
          <w:szCs w:val="22"/>
        </w:rPr>
        <w:fldChar w:fldCharType="end"/>
      </w:r>
      <w:r w:rsidRPr="004E053C">
        <w:rPr>
          <w:rFonts w:cstheme="minorHAnsi"/>
          <w:color w:val="000000" w:themeColor="text1"/>
          <w:sz w:val="22"/>
          <w:szCs w:val="22"/>
        </w:rPr>
        <w:t xml:space="preserve"> showed how newly-arrived young miners disregarded local taboos and the forms of</w:t>
      </w:r>
      <w:r w:rsidRPr="004E053C">
        <w:rPr>
          <w:rFonts w:eastAsia="Times New Roman" w:cstheme="minorHAnsi"/>
          <w:color w:val="000000" w:themeColor="text1"/>
          <w:sz w:val="22"/>
          <w:szCs w:val="22"/>
          <w:shd w:val="clear" w:color="auto" w:fill="FFFFFF"/>
        </w:rPr>
        <w:t xml:space="preserve"> authority established by settled migrant miners. </w:t>
      </w:r>
      <w:r w:rsidRPr="004E053C">
        <w:rPr>
          <w:rFonts w:cstheme="minorHAnsi"/>
          <w:color w:val="000000" w:themeColor="text1"/>
          <w:sz w:val="22"/>
          <w:szCs w:val="22"/>
        </w:rPr>
        <w:t xml:space="preserve">Walsh viewed the apparent freedom and autonomy of the transient miner as being explicitly opposed to the inflexible institutions and hierarchical relationships that are usually required for long-term social reproduction </w:t>
      </w:r>
      <w:r w:rsidRPr="004E053C">
        <w:rPr>
          <w:rFonts w:cstheme="minorHAnsi"/>
          <w:color w:val="000000" w:themeColor="text1"/>
          <w:sz w:val="22"/>
          <w:szCs w:val="22"/>
        </w:rPr>
        <w:fldChar w:fldCharType="begin" w:fldLock="1"/>
      </w:r>
      <w:r w:rsidR="00517F61" w:rsidRPr="004E053C">
        <w:rPr>
          <w:rFonts w:cstheme="minorHAnsi"/>
          <w:color w:val="000000" w:themeColor="text1"/>
          <w:sz w:val="22"/>
          <w:szCs w:val="22"/>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id":"ITEM-2","itemData":{"author":[{"dropping-particle":"","family":"Day","given":"Sophie","non-dropping-particle":"","parse-names":false,"suffix":""},{"dropping-particle":"","family":"Papataxiarchis","given":"Evthymios","non-dropping-particle":"","parse-names":false,"suffix":""},{"dropping-particle":"","family":"Stewart","given":"Michael","non-dropping-particle":"","parse-names":false,"suffix":""}],"id":"ITEM-2","issued":{"date-parts":[["1999"]]},"publisher":"Westview Press","publisher-place":"Boulder","title":"Lilies of the Field: Marginal People Who Live for the Moment","type":"book"},"uris":["http://www.mendeley.com/documents/?uuid=59cba9c1-1345-4769-a825-87f8e55fe750"]}],"mendeley":{"formattedCitation":"(Day, Papataxiarchis, &amp; Stewart, 1999; Walsh, 2003)","manualFormatting":"(Day et al, 1999; Walsh, 2003)","plainTextFormattedCitation":"(Day, Papataxiarchis, &amp; Stewart, 1999; Walsh, 2003)","previouslyFormattedCitation":"(Day, Papataxiarchis, &amp; Stewart, 1999; Walsh, 2003)"},"properties":{"noteIndex":0},"schema":"https://github.com/citation-style-language/schema/raw/master/csl-citation.json"}</w:instrText>
      </w:r>
      <w:r w:rsidRPr="004E053C">
        <w:rPr>
          <w:rFonts w:cstheme="minorHAnsi"/>
          <w:color w:val="000000" w:themeColor="text1"/>
          <w:sz w:val="22"/>
          <w:szCs w:val="22"/>
        </w:rPr>
        <w:fldChar w:fldCharType="separate"/>
      </w:r>
      <w:r w:rsidRPr="004E053C">
        <w:rPr>
          <w:rFonts w:cstheme="minorHAnsi"/>
          <w:noProof/>
          <w:color w:val="000000" w:themeColor="text1"/>
          <w:sz w:val="22"/>
          <w:szCs w:val="22"/>
        </w:rPr>
        <w:t>(Day et al, 1999; Walsh, 2003)</w:t>
      </w:r>
      <w:r w:rsidRPr="004E053C">
        <w:rPr>
          <w:rFonts w:cstheme="minorHAnsi"/>
          <w:color w:val="000000" w:themeColor="text1"/>
          <w:sz w:val="22"/>
          <w:szCs w:val="22"/>
        </w:rPr>
        <w:fldChar w:fldCharType="end"/>
      </w:r>
      <w:r w:rsidRPr="004E053C">
        <w:rPr>
          <w:rFonts w:cstheme="minorHAnsi"/>
          <w:color w:val="000000" w:themeColor="text1"/>
          <w:sz w:val="22"/>
          <w:szCs w:val="22"/>
        </w:rPr>
        <w:t xml:space="preserve">. </w:t>
      </w:r>
      <w:r w:rsidRPr="004E053C">
        <w:rPr>
          <w:rFonts w:eastAsia="Times New Roman" w:cstheme="minorHAnsi"/>
          <w:color w:val="000000" w:themeColor="text1"/>
          <w:sz w:val="22"/>
          <w:szCs w:val="22"/>
        </w:rPr>
        <w:t xml:space="preserve">This apparent rejection of local societal norms led to a certain level of animosity within the community. </w:t>
      </w:r>
      <w:r w:rsidRPr="004E053C">
        <w:rPr>
          <w:rFonts w:cstheme="minorHAnsi"/>
          <w:sz w:val="22"/>
          <w:szCs w:val="22"/>
        </w:rPr>
        <w:t xml:space="preserve">However, while Grätz </w:t>
      </w:r>
      <w:r w:rsidRPr="004E053C">
        <w:rPr>
          <w:rFonts w:cstheme="minorHAnsi"/>
          <w:sz w:val="22"/>
          <w:szCs w:val="22"/>
        </w:rPr>
        <w:fldChar w:fldCharType="begin" w:fldLock="1"/>
      </w:r>
      <w:r w:rsidRPr="004E053C">
        <w:rPr>
          <w:rFonts w:cstheme="minorHAnsi"/>
          <w:sz w:val="22"/>
          <w:szCs w:val="22"/>
        </w:rPr>
        <w:instrText>ADDIN CSL_CITATION {"citationItems":[{"id":"ITEM-1","itemData":{"abstract":"The paper explores the life and work of young male gold miners in Northern Benin, West Africa. It describes modes of organisation, norms and rules of mining teams as well as the situation in the region's mining camps at large. Despite various internal conflicts and a high degree of social fluctuation and uncertainty due to repeated state interventions, the social field of gold mining is marked by cohesion and viable patterns of risk sharing. © 2009 Elsevier Ltd. All rights reserved.","author":[{"dropping-particle":"","family":"Grätz","given":"Tilo","non-dropping-particle":"","parse-names":false,"suffix":""}],"container-title":"Resources Policy","id":"ITEM-1","issued":{"date-parts":[["2009"]]},"title":"Moralities, risk and rules in West African artisanal gold mining communities: A case study of Northern Benin","type":"article-journal"},"uris":["http://www.mendeley.com/documents/?uuid=ce8980ff-88a3-3fb2-b6c3-ca1f45808b55"]}],"mendeley":{"formattedCitation":"(Grätz, 2009)","manualFormatting":"(2009)","plainTextFormattedCitation":"(Grätz, 2009)","previouslyFormattedCitation":"(Grätz, 2009)"},"properties":{"noteIndex":0},"schema":"https://github.com/citation-style-language/schema/raw/master/csl-citation.json"}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(2009)</w:t>
      </w:r>
      <w:r w:rsidRPr="004E053C">
        <w:rPr>
          <w:rFonts w:cstheme="minorHAnsi"/>
          <w:sz w:val="22"/>
          <w:szCs w:val="22"/>
        </w:rPr>
        <w:fldChar w:fldCharType="end"/>
      </w:r>
      <w:r w:rsidRPr="004E053C">
        <w:rPr>
          <w:rFonts w:cstheme="minorHAnsi"/>
          <w:sz w:val="22"/>
          <w:szCs w:val="22"/>
        </w:rPr>
        <w:t xml:space="preserve"> noted that some miners might be inclined to earn more at the expense of others, through theft or betrayal for example, he found stronger evidence of the development of norms of reciprocity, moral obligations and solidarity within the mining communities. </w:t>
      </w:r>
    </w:p>
    <w:p w14:paraId="3848ED9C" w14:textId="77777777" w:rsidR="00D36963" w:rsidRPr="004E053C" w:rsidRDefault="00D36963" w:rsidP="004E053C">
      <w:pPr>
        <w:spacing w:line="360" w:lineRule="auto"/>
        <w:jc w:val="both"/>
        <w:rPr>
          <w:rFonts w:eastAsia="Times New Roman" w:cstheme="majorHAnsi"/>
          <w:color w:val="000000" w:themeColor="text1"/>
          <w:sz w:val="22"/>
          <w:szCs w:val="22"/>
          <w:lang w:val="en-GB"/>
        </w:rPr>
      </w:pPr>
    </w:p>
    <w:p w14:paraId="60D05D1A" w14:textId="4BCBEB2A" w:rsidR="00D36963" w:rsidRPr="004E053C" w:rsidRDefault="00D36963" w:rsidP="004E053C">
      <w:pPr>
        <w:spacing w:line="360" w:lineRule="auto"/>
        <w:jc w:val="both"/>
        <w:rPr>
          <w:rFonts w:eastAsia="Times New Roman" w:cstheme="minorHAnsi"/>
          <w:color w:val="FF0000"/>
          <w:sz w:val="22"/>
          <w:szCs w:val="22"/>
          <w:lang w:val="en-GB" w:eastAsia="zh-CN"/>
        </w:rPr>
      </w:pPr>
      <w:r w:rsidRPr="004E053C">
        <w:rPr>
          <w:rFonts w:eastAsia="Times New Roman" w:cstheme="minorHAnsi"/>
          <w:sz w:val="22"/>
          <w:szCs w:val="22"/>
          <w:bdr w:val="none" w:sz="0" w:space="0" w:color="auto" w:frame="1"/>
          <w:lang w:val="en-GB"/>
        </w:rPr>
        <w:t>Although one might expect ASM commu</w:t>
      </w:r>
      <w:r w:rsidR="0032564B" w:rsidRPr="004E053C">
        <w:rPr>
          <w:rFonts w:eastAsia="Times New Roman" w:cstheme="minorHAnsi"/>
          <w:sz w:val="22"/>
          <w:szCs w:val="22"/>
          <w:bdr w:val="none" w:sz="0" w:space="0" w:color="auto" w:frame="1"/>
          <w:lang w:val="en-GB"/>
        </w:rPr>
        <w:t>nities to be inherently violent</w:t>
      </w:r>
      <w:r w:rsidRPr="004E053C">
        <w:rPr>
          <w:rFonts w:eastAsia="Times New Roman" w:cstheme="minorHAnsi"/>
          <w:sz w:val="22"/>
          <w:szCs w:val="22"/>
          <w:bdr w:val="none" w:sz="0" w:space="0" w:color="auto" w:frame="1"/>
          <w:lang w:val="en-GB"/>
        </w:rPr>
        <w:t xml:space="preserve"> and dangerous, </w:t>
      </w:r>
      <w:r w:rsidR="00846B60" w:rsidRPr="004E053C">
        <w:rPr>
          <w:rFonts w:eastAsia="Times New Roman" w:cstheme="minorHAnsi"/>
          <w:sz w:val="22"/>
          <w:szCs w:val="22"/>
          <w:bdr w:val="none" w:sz="0" w:space="0" w:color="auto" w:frame="1"/>
          <w:lang w:val="en-GB"/>
        </w:rPr>
        <w:t xml:space="preserve">examples from Latin America show that </w:t>
      </w:r>
      <w:r w:rsidRPr="004E053C">
        <w:rPr>
          <w:rFonts w:eastAsia="Times New Roman" w:cstheme="minorHAnsi"/>
          <w:sz w:val="22"/>
          <w:szCs w:val="22"/>
          <w:bdr w:val="none" w:sz="0" w:space="0" w:color="auto" w:frame="1"/>
          <w:lang w:val="en-GB"/>
        </w:rPr>
        <w:t xml:space="preserve">they are far from anarchic </w:t>
      </w:r>
      <w:r w:rsidR="00846B60" w:rsidRPr="004E053C">
        <w:rPr>
          <w:rFonts w:eastAsia="Times New Roman" w:cstheme="minorHAnsi"/>
          <w:sz w:val="22"/>
          <w:szCs w:val="22"/>
          <w:bdr w:val="none" w:sz="0" w:space="0" w:color="auto" w:frame="1"/>
          <w:lang w:val="en-GB"/>
        </w:rPr>
        <w:fldChar w:fldCharType="begin" w:fldLock="1"/>
      </w:r>
      <w:r w:rsidR="002F0CEA">
        <w:rPr>
          <w:rFonts w:eastAsia="Times New Roman" w:cstheme="minorHAnsi"/>
          <w:sz w:val="22"/>
          <w:szCs w:val="22"/>
          <w:bdr w:val="none" w:sz="0" w:space="0" w:color="auto" w:frame="1"/>
          <w:lang w:val="en-GB"/>
        </w:rPr>
        <w:instrText>ADDIN CSL_CITATION {"citationItems":[{"id":"ITEM-1","itemData":{"author":[{"dropping-particle":"","family":"Theije","given":"Marjo","non-dropping-particle":"De","parse-names":false,"suffix":""}],"container-title":"In and Out of Suriname: Language, Mobility and Identity","editor":[{"dropping-particle":"","family":"Carlin","given":"E B","non-dropping-particle":"","parse-names":false,"suffix":""},{"dropping-particle":"","family":"Léglise","given":"I","non-dropping-particle":"","parse-names":false,"suffix":""},{"dropping-particle":"","family":"Migge","given":"B","non-dropping-particle":"","parse-names":false,"suffix":""},{"dropping-particle":"","family":"Tjon Sie Fat","given":"P B","non-dropping-particle":"","parse-names":false,"suffix":""}],"id":"ITEM-1","issued":{"date-parts":[["2014"]]},"page":"58-75","publisher":"Brill","publisher-place":"Leiden, Boston","title":"Small-scale gold mining and trans-frontier commerce on the Lawa River","type":"chapter"},"uris":["http://www.mendeley.com/documents/?uuid=006beca6-620a-42b4-9c2b-e25e96f50506"]}],"mendeley":{"formattedCitation":"(De Theije, 2014)","plainTextFormattedCitation":"(De Theije, 2014)","previouslyFormattedCitation":"(De Theije, 2014)"},"properties":{"noteIndex":0},"schema":"https://github.com/citation-style-language/schema/raw/master/csl-citation.json"}</w:instrText>
      </w:r>
      <w:r w:rsidR="00846B60" w:rsidRPr="004E053C">
        <w:rPr>
          <w:rFonts w:eastAsia="Times New Roman" w:cstheme="minorHAnsi"/>
          <w:sz w:val="22"/>
          <w:szCs w:val="22"/>
          <w:bdr w:val="none" w:sz="0" w:space="0" w:color="auto" w:frame="1"/>
          <w:lang w:val="en-GB"/>
        </w:rPr>
        <w:fldChar w:fldCharType="separate"/>
      </w:r>
      <w:r w:rsidR="002F0CEA" w:rsidRPr="002F0CEA">
        <w:rPr>
          <w:rFonts w:eastAsia="Times New Roman" w:cstheme="minorHAnsi"/>
          <w:noProof/>
          <w:sz w:val="22"/>
          <w:szCs w:val="22"/>
          <w:bdr w:val="none" w:sz="0" w:space="0" w:color="auto" w:frame="1"/>
          <w:lang w:val="en-GB"/>
        </w:rPr>
        <w:t>(De Theije, 2014)</w:t>
      </w:r>
      <w:r w:rsidR="00846B60" w:rsidRPr="004E053C">
        <w:rPr>
          <w:rFonts w:eastAsia="Times New Roman" w:cstheme="minorHAnsi"/>
          <w:sz w:val="22"/>
          <w:szCs w:val="22"/>
          <w:bdr w:val="none" w:sz="0" w:space="0" w:color="auto" w:frame="1"/>
          <w:lang w:val="en-GB"/>
        </w:rPr>
        <w:fldChar w:fldCharType="end"/>
      </w:r>
      <w:r w:rsidRPr="004E053C">
        <w:rPr>
          <w:rFonts w:eastAsia="Times New Roman" w:cstheme="minorHAnsi"/>
          <w:sz w:val="22"/>
          <w:szCs w:val="22"/>
          <w:bdr w:val="none" w:sz="0" w:space="0" w:color="auto" w:frame="1"/>
          <w:lang w:val="en-GB"/>
        </w:rPr>
        <w:t xml:space="preserve">. </w:t>
      </w:r>
      <w:r w:rsidRPr="004E053C">
        <w:rPr>
          <w:rFonts w:eastAsia="Times New Roman" w:cstheme="minorHAnsi"/>
          <w:sz w:val="22"/>
          <w:szCs w:val="22"/>
          <w:lang w:val="en-GB" w:eastAsia="zh-CN"/>
        </w:rPr>
        <w:t xml:space="preserve">Aside from introducing new food, customs, technological methods and ways of working, Brazilian migrant miners in Suriname also constantly challenge the limits of legality, resulting in </w:t>
      </w:r>
      <w:r w:rsidRPr="004E053C">
        <w:rPr>
          <w:rFonts w:cstheme="minorHAnsi"/>
          <w:sz w:val="22"/>
          <w:szCs w:val="22"/>
          <w:lang w:eastAsia="zh-CN"/>
        </w:rPr>
        <w:t xml:space="preserve">a common ‘mining law’ based </w:t>
      </w:r>
      <w:r w:rsidRPr="004E053C">
        <w:rPr>
          <w:rFonts w:cstheme="minorHAnsi"/>
          <w:sz w:val="22"/>
          <w:szCs w:val="22"/>
          <w:lang w:eastAsia="zh-CN"/>
        </w:rPr>
        <w:lastRenderedPageBreak/>
        <w:t xml:space="preserve">on customary land claims, formal land titles, practical considerations, and practical experience brought by the Brazilians </w:t>
      </w:r>
      <w:r w:rsidR="00846B60" w:rsidRPr="004E053C">
        <w:rPr>
          <w:rFonts w:cstheme="minorHAnsi"/>
          <w:sz w:val="22"/>
          <w:szCs w:val="22"/>
          <w:lang w:eastAsia="zh-CN"/>
        </w:rPr>
        <w:fldChar w:fldCharType="begin" w:fldLock="1"/>
      </w:r>
      <w:r w:rsidR="007A757C" w:rsidRPr="004E053C">
        <w:rPr>
          <w:rFonts w:cstheme="minorHAnsi"/>
          <w:sz w:val="22"/>
          <w:szCs w:val="22"/>
          <w:lang w:eastAsia="zh-CN"/>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2009)","manualFormatting":"(de Theije &amp; Heemskerk, 2009)","plainTextFormattedCitation":"(De Theije &amp; Heemskerk, 2009)","previouslyFormattedCitation":"(De Theije &amp; Heemskerk, 2009)"},"properties":{"noteIndex":0},"schema":"https://github.com/citation-style-language/schema/raw/master/csl-citation.json"}</w:instrText>
      </w:r>
      <w:r w:rsidR="00846B60" w:rsidRPr="004E053C">
        <w:rPr>
          <w:rFonts w:cstheme="minorHAnsi"/>
          <w:sz w:val="22"/>
          <w:szCs w:val="22"/>
          <w:lang w:eastAsia="zh-CN"/>
        </w:rPr>
        <w:fldChar w:fldCharType="separate"/>
      </w:r>
      <w:r w:rsidR="00846B60" w:rsidRPr="004E053C">
        <w:rPr>
          <w:rFonts w:cstheme="minorHAnsi"/>
          <w:noProof/>
          <w:sz w:val="22"/>
          <w:szCs w:val="22"/>
          <w:lang w:eastAsia="zh-CN"/>
        </w:rPr>
        <w:t>(de Theije &amp; Heemskerk, 2009)</w:t>
      </w:r>
      <w:r w:rsidR="00846B60" w:rsidRPr="004E053C">
        <w:rPr>
          <w:rFonts w:cstheme="minorHAnsi"/>
          <w:sz w:val="22"/>
          <w:szCs w:val="22"/>
          <w:lang w:eastAsia="zh-CN"/>
        </w:rPr>
        <w:fldChar w:fldCharType="end"/>
      </w:r>
      <w:r w:rsidRPr="004E053C">
        <w:rPr>
          <w:rFonts w:eastAsia="Times New Roman" w:cstheme="minorHAnsi"/>
          <w:sz w:val="22"/>
          <w:szCs w:val="22"/>
          <w:lang w:val="en-GB" w:eastAsia="zh-CN"/>
        </w:rPr>
        <w:t xml:space="preserve">. </w:t>
      </w:r>
      <w:r w:rsidR="00C66190">
        <w:rPr>
          <w:rFonts w:cstheme="minorHAnsi"/>
          <w:sz w:val="22"/>
          <w:szCs w:val="22"/>
          <w:lang w:eastAsia="zh-CN"/>
        </w:rPr>
        <w:t>De Thei</w:t>
      </w:r>
      <w:r w:rsidR="0094176C" w:rsidRPr="004E053C">
        <w:rPr>
          <w:rFonts w:cstheme="minorHAnsi"/>
          <w:sz w:val="22"/>
          <w:szCs w:val="22"/>
          <w:lang w:eastAsia="zh-CN"/>
        </w:rPr>
        <w:t xml:space="preserve">je and Heemskerk </w:t>
      </w:r>
      <w:r w:rsidR="0094176C" w:rsidRPr="004E053C">
        <w:rPr>
          <w:rFonts w:cstheme="minorHAnsi"/>
          <w:sz w:val="22"/>
          <w:szCs w:val="22"/>
          <w:lang w:eastAsia="zh-CN"/>
        </w:rPr>
        <w:fldChar w:fldCharType="begin" w:fldLock="1"/>
      </w:r>
      <w:r w:rsidR="00B12F90" w:rsidRPr="004E053C">
        <w:rPr>
          <w:rFonts w:cstheme="minorHAnsi"/>
          <w:sz w:val="22"/>
          <w:szCs w:val="22"/>
          <w:lang w:eastAsia="zh-CN"/>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2009)","manualFormatting":"(2009)","plainTextFormattedCitation":"(De Theije &amp; Heemskerk, 2009)","previouslyFormattedCitation":"(De Theije &amp; Heemskerk, 2009)"},"properties":{"noteIndex":0},"schema":"https://github.com/citation-style-language/schema/raw/master/csl-citation.json"}</w:instrText>
      </w:r>
      <w:r w:rsidR="0094176C" w:rsidRPr="004E053C">
        <w:rPr>
          <w:rFonts w:cstheme="minorHAnsi"/>
          <w:sz w:val="22"/>
          <w:szCs w:val="22"/>
          <w:lang w:eastAsia="zh-CN"/>
        </w:rPr>
        <w:fldChar w:fldCharType="separate"/>
      </w:r>
      <w:r w:rsidR="0094176C" w:rsidRPr="004E053C">
        <w:rPr>
          <w:rFonts w:cstheme="minorHAnsi"/>
          <w:noProof/>
          <w:sz w:val="22"/>
          <w:szCs w:val="22"/>
          <w:lang w:eastAsia="zh-CN"/>
        </w:rPr>
        <w:t>(2009)</w:t>
      </w:r>
      <w:r w:rsidR="0094176C" w:rsidRPr="004E053C">
        <w:rPr>
          <w:rFonts w:cstheme="minorHAnsi"/>
          <w:sz w:val="22"/>
          <w:szCs w:val="22"/>
          <w:lang w:eastAsia="zh-CN"/>
        </w:rPr>
        <w:fldChar w:fldCharType="end"/>
      </w:r>
      <w:r w:rsidRPr="004E053C">
        <w:rPr>
          <w:rFonts w:cstheme="minorHAnsi"/>
          <w:sz w:val="22"/>
          <w:szCs w:val="22"/>
          <w:lang w:eastAsia="zh-CN"/>
        </w:rPr>
        <w:t xml:space="preserve"> argue that mutual dependency forces both parties to overcome prejudices and other obstacles between them in the formation of the local mining cultu</w:t>
      </w:r>
      <w:r w:rsidR="0094176C" w:rsidRPr="004E053C">
        <w:rPr>
          <w:rFonts w:cstheme="minorHAnsi"/>
          <w:sz w:val="22"/>
          <w:szCs w:val="22"/>
          <w:lang w:eastAsia="zh-CN"/>
        </w:rPr>
        <w:t>re.</w:t>
      </w:r>
      <w:r w:rsidRPr="004E053C">
        <w:rPr>
          <w:rFonts w:eastAsia="Times New Roman" w:cstheme="minorHAnsi"/>
          <w:color w:val="FF0000"/>
          <w:sz w:val="22"/>
          <w:szCs w:val="22"/>
          <w:lang w:val="en-GB" w:eastAsia="zh-CN"/>
        </w:rPr>
        <w:t xml:space="preserve"> </w:t>
      </w:r>
      <w:r w:rsidRPr="004E053C">
        <w:rPr>
          <w:rFonts w:eastAsia="Times New Roman" w:cstheme="minorHAnsi"/>
          <w:sz w:val="22"/>
          <w:szCs w:val="22"/>
          <w:lang w:val="en-GB" w:eastAsia="zh-CN"/>
        </w:rPr>
        <w:t xml:space="preserve">Further, within these mining settlements, a mining culture develops, with a code of conduct very different from that in mainstream society, such as carrying a gun or visiting sex workers. While de Theije and Heemskerk </w:t>
      </w:r>
      <w:r w:rsidR="00846B60" w:rsidRPr="004E053C">
        <w:rPr>
          <w:rFonts w:cstheme="minorHAnsi"/>
          <w:sz w:val="22"/>
          <w:szCs w:val="22"/>
          <w:lang w:eastAsia="zh-CN"/>
        </w:rPr>
        <w:fldChar w:fldCharType="begin" w:fldLock="1"/>
      </w:r>
      <w:r w:rsidR="007A757C" w:rsidRPr="004E053C">
        <w:rPr>
          <w:rFonts w:cstheme="minorHAnsi"/>
          <w:sz w:val="22"/>
          <w:szCs w:val="22"/>
          <w:lang w:eastAsia="zh-CN"/>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2009)","manualFormatting":"(2009)","plainTextFormattedCitation":"(De Theije &amp; Heemskerk, 2009)","previouslyFormattedCitation":"(De Theije &amp; Heemskerk, 2009)"},"properties":{"noteIndex":0},"schema":"https://github.com/citation-style-language/schema/raw/master/csl-citation.json"}</w:instrText>
      </w:r>
      <w:r w:rsidR="00846B60" w:rsidRPr="004E053C">
        <w:rPr>
          <w:rFonts w:cstheme="minorHAnsi"/>
          <w:sz w:val="22"/>
          <w:szCs w:val="22"/>
          <w:lang w:eastAsia="zh-CN"/>
        </w:rPr>
        <w:fldChar w:fldCharType="separate"/>
      </w:r>
      <w:r w:rsidR="00846B60" w:rsidRPr="004E053C">
        <w:rPr>
          <w:rFonts w:cstheme="minorHAnsi"/>
          <w:noProof/>
          <w:sz w:val="22"/>
          <w:szCs w:val="22"/>
          <w:lang w:eastAsia="zh-CN"/>
        </w:rPr>
        <w:t>(2009)</w:t>
      </w:r>
      <w:r w:rsidR="00846B60" w:rsidRPr="004E053C">
        <w:rPr>
          <w:rFonts w:cstheme="minorHAnsi"/>
          <w:sz w:val="22"/>
          <w:szCs w:val="22"/>
          <w:lang w:eastAsia="zh-CN"/>
        </w:rPr>
        <w:fldChar w:fldCharType="end"/>
      </w:r>
      <w:r w:rsidRPr="004E053C">
        <w:rPr>
          <w:rFonts w:eastAsia="Times New Roman" w:cstheme="minorHAnsi"/>
          <w:sz w:val="22"/>
          <w:szCs w:val="22"/>
          <w:lang w:val="en-GB" w:eastAsia="zh-CN"/>
        </w:rPr>
        <w:t xml:space="preserve"> argue that the specific culture is un</w:t>
      </w:r>
      <w:r w:rsidR="0094176C" w:rsidRPr="004E053C">
        <w:rPr>
          <w:rFonts w:eastAsia="Times New Roman" w:cstheme="minorHAnsi"/>
          <w:sz w:val="22"/>
          <w:szCs w:val="22"/>
          <w:lang w:val="en-GB" w:eastAsia="zh-CN"/>
        </w:rPr>
        <w:t xml:space="preserve">ique to each mine site, </w:t>
      </w:r>
      <w:r w:rsidRPr="004E053C">
        <w:rPr>
          <w:rFonts w:eastAsia="Times New Roman" w:cstheme="minorHAnsi"/>
          <w:sz w:val="22"/>
          <w:szCs w:val="22"/>
          <w:lang w:val="en-GB" w:eastAsia="zh-CN"/>
        </w:rPr>
        <w:t xml:space="preserve">they acknowledge </w:t>
      </w:r>
      <w:r w:rsidR="0094176C" w:rsidRPr="004E053C">
        <w:rPr>
          <w:rFonts w:eastAsia="Times New Roman" w:cstheme="minorHAnsi"/>
          <w:sz w:val="22"/>
          <w:szCs w:val="22"/>
          <w:lang w:val="en-GB" w:eastAsia="zh-CN"/>
        </w:rPr>
        <w:t xml:space="preserve">that </w:t>
      </w:r>
      <w:r w:rsidRPr="004E053C">
        <w:rPr>
          <w:rFonts w:eastAsia="Times New Roman" w:cstheme="minorHAnsi"/>
          <w:sz w:val="22"/>
          <w:szCs w:val="22"/>
          <w:lang w:val="en-GB" w:eastAsia="zh-CN"/>
        </w:rPr>
        <w:t>a sense of</w:t>
      </w:r>
      <w:r w:rsidRPr="004E053C">
        <w:rPr>
          <w:rFonts w:cstheme="minorHAnsi"/>
          <w:sz w:val="22"/>
          <w:szCs w:val="22"/>
          <w:lang w:eastAsia="zh-CN"/>
        </w:rPr>
        <w:t xml:space="preserve"> solidarity forms between them due to shared hardships, including labour accidents, occasional violence, tropical diseases malaria and the lack of a stable home environment. This is similar to observations of mining camps in </w:t>
      </w:r>
      <w:r w:rsidR="00C66190">
        <w:rPr>
          <w:rFonts w:cstheme="minorHAnsi"/>
          <w:sz w:val="22"/>
          <w:szCs w:val="22"/>
          <w:lang w:eastAsia="zh-CN"/>
        </w:rPr>
        <w:t>Bur</w:t>
      </w:r>
      <w:r w:rsidR="00C66190" w:rsidRPr="004E053C">
        <w:rPr>
          <w:rFonts w:cstheme="minorHAnsi"/>
          <w:sz w:val="22"/>
          <w:szCs w:val="22"/>
          <w:lang w:eastAsia="zh-CN"/>
        </w:rPr>
        <w:t>kina</w:t>
      </w:r>
      <w:r w:rsidRPr="004E053C">
        <w:rPr>
          <w:rFonts w:cstheme="minorHAnsi"/>
          <w:sz w:val="22"/>
          <w:szCs w:val="22"/>
          <w:lang w:eastAsia="zh-CN"/>
        </w:rPr>
        <w:t xml:space="preserve"> Faso, </w:t>
      </w:r>
      <w:r w:rsidRPr="004E053C">
        <w:rPr>
          <w:rFonts w:cstheme="majorHAnsi"/>
          <w:bCs/>
          <w:sz w:val="22"/>
          <w:szCs w:val="22"/>
          <w:lang w:val="en-GB"/>
        </w:rPr>
        <w:t>where the mining population behave in ways far outside the norms of do</w:t>
      </w:r>
      <w:r w:rsidR="00846B60" w:rsidRPr="004E053C">
        <w:rPr>
          <w:rFonts w:cstheme="majorHAnsi"/>
          <w:bCs/>
          <w:sz w:val="22"/>
          <w:szCs w:val="22"/>
          <w:lang w:val="en-GB"/>
        </w:rPr>
        <w:t xml:space="preserve">minant society </w:t>
      </w:r>
      <w:r w:rsidR="00846B60" w:rsidRPr="004E053C">
        <w:rPr>
          <w:rFonts w:cstheme="majorHAnsi"/>
          <w:bCs/>
          <w:sz w:val="22"/>
          <w:szCs w:val="22"/>
          <w:lang w:val="en-GB"/>
        </w:rPr>
        <w:fldChar w:fldCharType="begin" w:fldLock="1"/>
      </w:r>
      <w:r w:rsidR="000F1591" w:rsidRPr="004E053C">
        <w:rPr>
          <w:rFonts w:cstheme="maj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2010)","plainTextFormattedCitation":"(Werthmann, 2010)","previouslyFormattedCitation":"(Werthmann, 2010)"},"properties":{"noteIndex":0},"schema":"https://github.com/citation-style-language/schema/raw/master/csl-citation.json"}</w:instrText>
      </w:r>
      <w:r w:rsidR="00846B60" w:rsidRPr="004E053C">
        <w:rPr>
          <w:rFonts w:cstheme="majorHAnsi"/>
          <w:bCs/>
          <w:sz w:val="22"/>
          <w:szCs w:val="22"/>
          <w:lang w:val="en-GB"/>
        </w:rPr>
        <w:fldChar w:fldCharType="separate"/>
      </w:r>
      <w:r w:rsidR="00846B60" w:rsidRPr="004E053C">
        <w:rPr>
          <w:rFonts w:cstheme="majorHAnsi"/>
          <w:bCs/>
          <w:noProof/>
          <w:sz w:val="22"/>
          <w:szCs w:val="22"/>
          <w:lang w:val="en-GB"/>
        </w:rPr>
        <w:t>(Werthmann, 2010)</w:t>
      </w:r>
      <w:r w:rsidR="00846B60" w:rsidRPr="004E053C">
        <w:rPr>
          <w:rFonts w:cstheme="majorHAnsi"/>
          <w:bCs/>
          <w:sz w:val="22"/>
          <w:szCs w:val="22"/>
          <w:lang w:val="en-GB"/>
        </w:rPr>
        <w:fldChar w:fldCharType="end"/>
      </w:r>
      <w:r w:rsidR="00846B60" w:rsidRPr="004E053C">
        <w:rPr>
          <w:rFonts w:cstheme="majorHAnsi"/>
          <w:bCs/>
          <w:sz w:val="22"/>
          <w:szCs w:val="22"/>
          <w:lang w:val="en-GB"/>
        </w:rPr>
        <w:t>.</w:t>
      </w:r>
      <w:r w:rsidRPr="004E053C">
        <w:rPr>
          <w:rFonts w:cstheme="majorHAnsi"/>
          <w:bCs/>
          <w:sz w:val="22"/>
          <w:szCs w:val="22"/>
          <w:lang w:val="en-GB"/>
        </w:rPr>
        <w:t xml:space="preserve"> </w:t>
      </w:r>
    </w:p>
    <w:p w14:paraId="349089B6" w14:textId="77777777" w:rsidR="00D36963" w:rsidRPr="004E053C" w:rsidRDefault="00D36963" w:rsidP="004E053C">
      <w:pPr>
        <w:spacing w:line="360" w:lineRule="auto"/>
        <w:jc w:val="both"/>
        <w:rPr>
          <w:rFonts w:cstheme="majorHAnsi"/>
          <w:color w:val="FF0000"/>
          <w:sz w:val="22"/>
          <w:szCs w:val="22"/>
          <w:lang w:val="en-GB"/>
        </w:rPr>
      </w:pPr>
    </w:p>
    <w:p w14:paraId="27FFC7BC" w14:textId="77777777" w:rsidR="00D36963" w:rsidRPr="004E053C" w:rsidRDefault="00D36963" w:rsidP="004E053C">
      <w:pPr>
        <w:spacing w:line="360" w:lineRule="auto"/>
        <w:jc w:val="both"/>
        <w:rPr>
          <w:rFonts w:cstheme="majorHAnsi"/>
          <w:color w:val="000000"/>
          <w:sz w:val="22"/>
          <w:szCs w:val="22"/>
          <w:lang w:val="en-GB"/>
        </w:rPr>
      </w:pPr>
      <w:r w:rsidRPr="004E053C">
        <w:rPr>
          <w:rFonts w:cstheme="majorHAnsi"/>
          <w:sz w:val="22"/>
          <w:szCs w:val="22"/>
          <w:lang w:val="en-GB"/>
        </w:rPr>
        <w:t xml:space="preserve">Although the knowledge of women in mining communities is relatively low, it is argued that their presence has a calming effect in these unstable mining areas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{"citationItems":[{"id":"ITEM-1","itemData":{"author":[{"dropping-particle":"","family":"Hinton","given":"Jennifer Jean","non-dropping-particle":"","parse-names":false,"suffix":""},{"dropping-particle":"","family":"Veiga","given":"Marcello M","non-dropping-particle":"","parse-names":false,"suffix":""},{"dropping-particle":"","family":"Beinhoff","given":"Christian","non-dropping-particle":"","parse-names":false,"suffix":""}],"chapter-number":"11","container-title":"Socio-economic Impacts of Artisanal and Small-scale Mining in Developing Countries","editor":[{"dropping-particle":"","family":"Hilson","given":"Gavin","non-dropping-particle":"","parse-names":false,"suffix":""}],"id":"ITEM-1","issued":{"date-parts":[["2003"]]},"publisher":"CRC Press","publisher-place":"Boca Raton, FL","title":"Women and artisanal mining: gender roles and the road ahead","type":"chapter"},"uris":["http://www.mendeley.com/documents/?uuid=f9b78383-9b62-4509-a8a9-d75f9d188391"]}],"mendeley":{"formattedCitation":"(Jennifer Jean Hinton et al., 2003)","manualFormatting":"(Hinton et al., 2003)","plainTextFormattedCitation":"(Jennifer Jean Hinton et al., 2003)","previouslyFormattedCitation":"(Jennifer Jean Hinton et al., 2003)"},"properties":{"noteIndex":0},"schema":"https://github.com/citation-style-language/schema/raw/master/csl-citation.json"}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(Hinton et al., 2003)</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sz w:val="22"/>
          <w:szCs w:val="22"/>
          <w:lang w:val="en-GB"/>
        </w:rPr>
        <w:t xml:space="preserve">Women play a crucial role in creating and maintaining social capital in low-income communities </w:t>
      </w:r>
      <w:r w:rsidRPr="004E053C">
        <w:rPr>
          <w:rFonts w:cstheme="majorHAnsi"/>
          <w:color w:val="000000"/>
          <w:sz w:val="22"/>
          <w:szCs w:val="22"/>
          <w:lang w:val="en-GB"/>
        </w:rPr>
        <w:fldChar w:fldCharType="begin" w:fldLock="1"/>
      </w:r>
      <w:r w:rsidRPr="004E053C">
        <w:rPr>
          <w:rFonts w:cstheme="majorHAnsi"/>
          <w:color w:val="000000"/>
          <w:sz w:val="22"/>
          <w:szCs w:val="22"/>
          <w:lang w:val="en-GB"/>
        </w:rPr>
        <w:instrText>ADDIN CSL_CITATION {"citationItems":[{"id":"ITEM-1","itemData":{"author":[{"dropping-particle":"","family":"Mayer","given":"M","non-dropping-particle":"","parse-names":false,"suffix":""},{"dropping-particle":"","family":"Rankin","given":"KN","non-dropping-particle":"","parse-names":false,"suffix":""}],"container-title":"Antipode","id":"ITEM-1","issue":"4","issued":{"date-parts":[["2002"]]},"page":"804-808","title":"Social capital and (community) development: a north/south perspective","type":"article-journal","volume":"34"},"uris":["http://www.mendeley.com/documents/?uuid=c7883006-3676-474f-99c3-2882bf3015a0"]},{"id":"ITEM-2","itemData":{"author":[{"dropping-particle":"","family":"Molyneux","given":"Maxine","non-dropping-particle":"","parse-names":false,"suffix":""}],"container-title":"Development and Change","id":"ITEM-2","issue":"2","issued":{"date-parts":[["2002"]]},"page":"167-188","title":"Gender and the silences of social capital: lessons from Latin America","type":"article-journal","volume":"33"},"uris":["http://www.mendeley.com/documents/?uuid=f5e7dbc8-4cfa-46d8-9595-b98d63131729"]},{"id":"ITEM-3","itemData":{"author":[{"dropping-particle":"","family":"Jenkins","given":"K.","non-dropping-particle":"","parse-names":false,"suffix":""}],"container-title":"The Extractive Industries and Society","id":"ITEM-3","issue":"2","issued":{"date-parts":[["2014"]]},"page":"329-339","title":"Women, mining and development: an emerging research agenda","type":"article-journal","volume":"1"},"uris":["http://www.mendeley.com/documents/?uuid=76cd3f85-7688-4868-9a1e-e4d63b669a48"]}],"mendeley":{"formattedCitation":"(Jenkins, 2014; Mayer &amp; Rankin, 2002; Molyneux, 2002)","plainTextFormattedCitation":"(Jenkins, 2014; Mayer &amp; Rankin, 2002; Molyneux, 2002)","previouslyFormattedCitation":"(Jenkins, 2014; Mayer &amp; Rankin, 2002; Molyneux, 2002)"},"properties":{"noteIndex":0},"schema":"https://github.com/citation-style-language/schema/raw/master/csl-citation.json"}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(Jenkins, 2014; Mayer &amp; Rankin, 2002; Molyneux, 2002)</w:t>
      </w:r>
      <w:r w:rsidRPr="004E053C">
        <w:rPr>
          <w:rFonts w:cstheme="majorHAnsi"/>
          <w:color w:val="000000"/>
          <w:sz w:val="22"/>
          <w:szCs w:val="22"/>
          <w:lang w:val="en-GB"/>
        </w:rPr>
        <w:fldChar w:fldCharType="end"/>
      </w:r>
      <w:r w:rsidRPr="004E053C">
        <w:rPr>
          <w:rFonts w:cstheme="majorHAnsi"/>
          <w:color w:val="000000"/>
          <w:sz w:val="22"/>
          <w:szCs w:val="22"/>
          <w:lang w:val="en-GB"/>
        </w:rPr>
        <w:t xml:space="preserve">, and within mining settlements they are increasingly seen as the lynchpins of the community </w:t>
      </w:r>
      <w:r w:rsidRPr="004E053C">
        <w:rPr>
          <w:rFonts w:cstheme="majorHAnsi"/>
          <w:color w:val="000000"/>
          <w:sz w:val="22"/>
          <w:szCs w:val="22"/>
          <w:lang w:val="en-GB"/>
        </w:rPr>
        <w:fldChar w:fldCharType="begin" w:fldLock="1"/>
      </w:r>
      <w:r w:rsidRPr="004E053C">
        <w:rPr>
          <w:rFonts w:cstheme="majorHAnsi"/>
          <w:color w:val="000000"/>
          <w:sz w:val="22"/>
          <w:szCs w:val="22"/>
          <w:lang w:val="en-GB"/>
        </w:rPr>
        <w:instrText>ADDIN CSL_CITATION {"citationItems":[{"id":"ITEM-1","itemData":{"author":[{"dropping-particle":"","family":"Eftimie","given":"A","non-dropping-particle":"","parse-names":false,"suffix":""},{"dropping-particle":"","family":"Heller","given":"K","non-dropping-particle":"","parse-names":false,"suffix":""},{"dropping-particle":"","family":"Strongman","given":"J","non-dropping-particle":"","parse-names":false,"suffix":""},{"dropping-particle":"","family":"Hinton","given":"J","non-dropping-particle":"","parse-names":false,"suffix":""},{"dropping-particle":"","family":"Lahiri-Dutt","given":"K","non-dropping-particle":"","parse-names":false,"suffix":""},{"dropping-particle":"","family":"Mutemeri","given":"N","non-dropping-particle":"","parse-names":false,"suffix":""}],"id":"ITEM-1","issued":{"date-parts":[["2012"]]},"publisher-place":"Washington D.C.","title":"Gender Dimensions of Artisanal and Small-scale Mining: A Rapid Assessment Toolkit","type":"report"},"uris":["http://www.mendeley.com/documents/?uuid=bccd6b7a-0186-45cc-9f73-0cd0942d1615"]}],"mendeley":{"formattedCitation":"(Eftimie et al., 2012)","plainTextFormattedCitation":"(Eftimie et al., 2012)","previouslyFormattedCitation":"(Eftimie et al., 2012)"},"properties":{"noteIndex":0},"schema":"https://github.com/citation-style-language/schema/raw/master/csl-citation.json"}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(Eftimie et al., 2012)</w:t>
      </w:r>
      <w:r w:rsidRPr="004E053C">
        <w:rPr>
          <w:rFonts w:cstheme="majorHAnsi"/>
          <w:color w:val="000000"/>
          <w:sz w:val="22"/>
          <w:szCs w:val="22"/>
          <w:lang w:val="en-GB"/>
        </w:rPr>
        <w:fldChar w:fldCharType="end"/>
      </w:r>
      <w:r w:rsidRPr="004E053C">
        <w:rPr>
          <w:rFonts w:cstheme="majorHAnsi"/>
          <w:color w:val="000000"/>
          <w:sz w:val="22"/>
          <w:szCs w:val="22"/>
          <w:lang w:val="en-GB"/>
        </w:rPr>
        <w:t xml:space="preserve">. </w:t>
      </w:r>
      <w:r w:rsidRPr="004E053C">
        <w:rPr>
          <w:rFonts w:cstheme="majorHAnsi"/>
          <w:sz w:val="22"/>
          <w:szCs w:val="22"/>
          <w:lang w:val="en-GB"/>
        </w:rPr>
        <w:t xml:space="preserve">Through their roles as spouses of miners, cooks, shopkeepers and other service providers, women play a pivotal role in the health and wellbeing of households, as well as the wider ASM community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{"citationItems":[{"id":"ITEM-1","itemData":{"author":[{"dropping-particle":"","family":"Hinton","given":"Jennifer Jean","non-dropping-particle":"","parse-names":false,"suffix":""},{"dropping-particle":"","family":"Veiga","given":"Marcello M","non-dropping-particle":"","parse-names":false,"suffix":""},{"dropping-particle":"","family":"Beinhoff","given":"Christian","non-dropping-particle":"","parse-names":false,"suffix":""}],"chapter-number":"11","container-title":"Socio-economic Impacts of Artisanal and Small-scale Mining in Developing Countries","editor":[{"dropping-particle":"","family":"Hilson","given":"Gavin","non-dropping-particle":"","parse-names":false,"suffix":""}],"id":"ITEM-1","issued":{"date-parts":[["2003"]]},"publisher":"CRC Press","publisher-place":"Boca Raton, FL","title":"Women and artisanal mining: gender roles and the road ahead","type":"chapter"},"uris":["http://www.mendeley.com/documents/?uuid=f9b78383-9b62-4509-a8a9-d75f9d188391"]}],"mendeley":{"formattedCitation":"(Jennifer Jean Hinton et al., 2003)","manualFormatting":"(Hinton et al., 2003)","plainTextFormattedCitation":"(Jennifer Jean Hinton et al., 2003)","previouslyFormattedCitation":"(Jennifer Jean Hinton et al., 2003)"},"properties":{"noteIndex":0},"schema":"https://github.com/citation-style-language/schema/raw/master/csl-citation.json"}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(Hinton et al., 2003)</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sz w:val="22"/>
          <w:szCs w:val="22"/>
          <w:lang w:val="en-GB"/>
        </w:rPr>
        <w:t xml:space="preserve">Furthermore, Hinton et al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{"citationItems":[{"id":"ITEM-1","itemData":{"author":[{"dropping-particle":"","family":"Hinton","given":"Jennifer Jean","non-dropping-particle":"","parse-names":false,"suffix":""},{"dropping-particle":"","family":"Veiga","given":"Marcello M","non-dropping-particle":"","parse-names":false,"suffix":""},{"dropping-particle":"","family":"Beinhoff","given":"Christian","non-dropping-particle":"","parse-names":false,"suffix":""}],"chapter-number":"11","container-title":"Socio-economic Impacts of Artisanal and Small-scale Mining in Developing Countries","editor":[{"dropping-particle":"","family":"Hilson","given":"Gavin","non-dropping-particle":"","parse-names":false,"suffix":""}],"id":"ITEM-1","issued":{"date-parts":[["2003"]]},"publisher":"CRC Press","publisher-place":"Boca Raton, FL","title":"Women and artisanal mining: gender roles and the road ahead","type":"chapter"},"uris":["http://www.mendeley.com/documents/?uuid=f9b78383-9b62-4509-a8a9-d75f9d188391"]}],"mendeley":{"formattedCitation":"(Jennifer Jean Hinton et al., 2003)","manualFormatting":"(2003)","plainTextFormattedCitation":"(Jennifer Jean Hinton et al., 2003)","previouslyFormattedCitation":"(Jennifer Jean Hinton et al., 2003)"},"properties":{"noteIndex":0},"schema":"https://github.com/citation-style-language/schema/raw/master/csl-citation.json"}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(2003)</w:t>
      </w:r>
      <w:r w:rsidRPr="004E053C">
        <w:rPr>
          <w:rFonts w:cstheme="majorHAnsi"/>
          <w:sz w:val="22"/>
          <w:szCs w:val="22"/>
          <w:lang w:val="en-GB"/>
        </w:rPr>
        <w:fldChar w:fldCharType="end"/>
      </w:r>
      <w:r w:rsidRPr="004E053C">
        <w:rPr>
          <w:rFonts w:cstheme="majorHAnsi"/>
          <w:color w:val="000000"/>
          <w:sz w:val="22"/>
          <w:szCs w:val="22"/>
          <w:lang w:val="en-GB"/>
        </w:rPr>
        <w:t xml:space="preserve"> argued that within ASM communities, women are critical to community stability, cohesiveness and morale, acting as primary agents in facilitating change. This is particularly true </w:t>
      </w:r>
      <w:r w:rsidRPr="004E053C">
        <w:rPr>
          <w:rFonts w:cstheme="majorHAnsi"/>
          <w:sz w:val="22"/>
          <w:szCs w:val="22"/>
          <w:lang w:val="en-GB"/>
        </w:rPr>
        <w:t xml:space="preserve">during the resource depletion phase of mining boomtowns and is seen as critical to the development of more stable, resilient communities in the face of rapid change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{"citationItems":[{"id":"ITEM-1","itemData":{"author":[{"dropping-particle":"","family":"Hinton","given":"Jennifer Jean","non-dropping-particle":"","parse-names":false,"suffix":""},{"dropping-particle":"","family":"Veiga","given":"Marcello M","non-dropping-particle":"","parse-names":false,"suffix":""},{"dropping-particle":"","family":"Beinhoff","given":"Christian","non-dropping-particle":"","parse-names":false,"suffix":""}],"chapter-number":"11","container-title":"Socio-economic Impacts of Artisanal and Small-scale Mining in Developing Countries","editor":[{"dropping-particle":"","family":"Hilson","given":"Gavin","non-dropping-particle":"","parse-names":false,"suffix":""}],"id":"ITEM-1","issued":{"date-parts":[["2003"]]},"publisher":"CRC Press","publisher-place":"Boca Raton, FL","title":"Women and artisanal mining: gender roles and the road ahead","type":"chapter"},"uris":["http://www.mendeley.com/documents/?uuid=f9b78383-9b62-4509-a8a9-d75f9d188391"]}],"mendeley":{"formattedCitation":"(Jennifer Jean Hinton et al., 2003)","manualFormatting":"(Ibid.)","plainTextFormattedCitation":"(Jennifer Jean Hinton et al., 2003)","previouslyFormattedCitation":"(Jennifer Jean Hinton et al., 2003)"},"properties":{"noteIndex":0},"schema":"https://github.com/citation-style-language/schema/raw/master/csl-citation.json"}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(Ibid.)</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sz w:val="22"/>
          <w:szCs w:val="22"/>
          <w:lang w:val="en-GB"/>
        </w:rPr>
        <w:t xml:space="preserve">However, the same analysis has not been applied to the translocal ASM community, although it would seem logical to assume that women’s roles in origin communities follow a similar pattern. For example, Perks </w:t>
      </w:r>
      <w:r w:rsidRPr="004E053C">
        <w:rPr>
          <w:rFonts w:cstheme="majorHAnsi"/>
          <w:color w:val="000000"/>
          <w:sz w:val="22"/>
          <w:szCs w:val="22"/>
          <w:lang w:val="en-GB"/>
        </w:rPr>
        <w:fldChar w:fldCharType="begin" w:fldLock="1"/>
      </w:r>
      <w:r w:rsidRPr="004E053C">
        <w:rPr>
          <w:rFonts w:cstheme="majorHAnsi"/>
          <w:color w:val="000000"/>
          <w:sz w:val="22"/>
          <w:szCs w:val="22"/>
          <w:lang w:val="en-GB"/>
        </w:rPr>
        <w:instrText>ADDIN CSL_CITATION {"citationItems":[{"id":"ITEM-1","itemData":{"author":[{"dropping-particle":"","family":"Perks","given":"Rachel","non-dropping-particle":"","parse-names":false,"suffix":""}],"chapter-number":"10","container-title":"Gendering the Field: Towards Sustainable Livelihoods for Mining Communities","editor":[{"dropping-particle":"","family":"Lahiri-Dutt","given":"Kuntala","non-dropping-particle":"","parse-names":false,"suffix":""}],"id":"ITEM-1","issued":{"date-parts":[["2011"]]},"page":"177-196","publisher":"ANU Press","publisher-place":"Canberra","title":"Towards post-conflict transition: women and artisanal mining in the Democratic Republic of Congo","type":"chapter"},"uris":["http://www.mendeley.com/documents/?uuid=aebf62e3-9e32-497e-990b-e7aec01e66e3"]}],"mendeley":{"formattedCitation":"(Perks, 2011)","manualFormatting":"(2011)","plainTextFormattedCitation":"(Perks, 2011)","previouslyFormattedCitation":"(Perks, 2011)"},"properties":{"noteIndex":0},"schema":"https://github.com/citation-style-language/schema/raw/master/csl-citation.json"}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(2011)</w:t>
      </w:r>
      <w:r w:rsidRPr="004E053C">
        <w:rPr>
          <w:rFonts w:cstheme="majorHAnsi"/>
          <w:color w:val="000000"/>
          <w:sz w:val="22"/>
          <w:szCs w:val="22"/>
          <w:lang w:val="en-GB"/>
        </w:rPr>
        <w:fldChar w:fldCharType="end"/>
      </w:r>
      <w:r w:rsidRPr="004E053C">
        <w:rPr>
          <w:rFonts w:cstheme="majorHAnsi"/>
          <w:color w:val="000000"/>
          <w:sz w:val="22"/>
          <w:szCs w:val="22"/>
          <w:lang w:val="en-GB"/>
        </w:rPr>
        <w:t xml:space="preserve"> noted that women constitute a bridge between two very different development contexts, rural development and ASM, suggesting that using a translocal approach to ASM livelihoods analysis will allow this to be emphasised.</w:t>
      </w:r>
    </w:p>
    <w:p w14:paraId="1A9E4F1E" w14:textId="77777777" w:rsidR="00D36963" w:rsidRPr="004E053C" w:rsidRDefault="00D36963" w:rsidP="004E053C">
      <w:pPr>
        <w:spacing w:line="360" w:lineRule="auto"/>
        <w:jc w:val="both"/>
        <w:rPr>
          <w:rFonts w:cstheme="majorHAnsi"/>
          <w:sz w:val="22"/>
          <w:szCs w:val="22"/>
          <w:highlight w:val="yellow"/>
          <w:lang w:val="en-GB"/>
        </w:rPr>
      </w:pPr>
    </w:p>
    <w:p w14:paraId="464DE0E1" w14:textId="29991AC3" w:rsidR="00D36963" w:rsidRPr="004E053C" w:rsidRDefault="007A7DCE" w:rsidP="004E053C">
      <w:pPr>
        <w:spacing w:line="360" w:lineRule="auto"/>
        <w:jc w:val="both"/>
        <w:rPr>
          <w:rFonts w:eastAsia="Times New Roman" w:cstheme="majorHAnsi"/>
          <w:sz w:val="22"/>
          <w:szCs w:val="22"/>
          <w:lang w:val="en-GB"/>
        </w:rPr>
      </w:pPr>
      <w:r>
        <w:rPr>
          <w:rFonts w:cstheme="majorHAnsi"/>
          <w:sz w:val="22"/>
          <w:szCs w:val="22"/>
          <w:lang w:val="en-GB"/>
        </w:rPr>
        <w:t>Many researchers</w:t>
      </w:r>
      <w:r w:rsidR="00D36963" w:rsidRPr="004E053C">
        <w:rPr>
          <w:rFonts w:cstheme="majorHAnsi"/>
          <w:sz w:val="22"/>
          <w:szCs w:val="22"/>
          <w:lang w:val="en-GB"/>
        </w:rPr>
        <w:t xml:space="preserve"> have written about the role of social networks for securing work and achieving success in ASM </w:t>
      </w:r>
      <w:r w:rsidR="00D36963" w:rsidRPr="004E053C">
        <w:rPr>
          <w:rFonts w:cstheme="majorHAnsi"/>
          <w:sz w:val="22"/>
          <w:szCs w:val="22"/>
          <w:lang w:val="en-GB"/>
        </w:rPr>
        <w:fldChar w:fldCharType="begin" w:fldLock="1"/>
      </w:r>
      <w:r w:rsidR="00D36963" w:rsidRPr="004E053C">
        <w:rPr>
          <w:rFonts w:cstheme="majorHAnsi"/>
          <w:sz w:val="22"/>
          <w:szCs w:val="22"/>
          <w:lang w:val="en-GB"/>
        </w:rPr>
        <w:instrText>ADDIN CSL_CITATION {"citationItems":[{"id":"ITEM-1","itemData":{"abstract":"African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Change","id":"ITEM-1","issue":"2","issued":{"date-parts":[["2009"]]},"page":"249-279","title":"Rushing for gold: mobility and small-scale mining in East Africa","type":"article-journal","volume":"40"},"uris":["http://www.mendeley.com/documents/?uuid=de9c4f73-7d08-4fe3-9443-72b7c45b2369"]},{"id":"ITEM-2","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-2","issued":{"date-parts":[["2010"]]},"page":"111-132","publisher":"Brill","publisher-place":"Leiden","title":"Following the hills: gold mining camps as heterotopias","type":"chapter"},"uris":["http://www.mendeley.com/documents/?uuid=83603393-cc44-4264-a8c3-b78d02289a5a"]}],"mendeley":{"formattedCitation":"(Jønsson &amp; Bryceson, 2009; Werthmann, 2010)","plainTextFormattedCitation":"(Jønsson &amp; Bryceson, 2009; Werthmann, 2010)","previouslyFormattedCitation":"(Jønsson &amp; Bryceson, 2009; Werthmann, 2010)"},"properties":{"noteIndex":0},"schema":"https://github.com/citation-style-language/schema/raw/master/csl-citation.json"}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(Jønsson &amp; Bryceson, 2009; Werthmann, 2010)</w:t>
      </w:r>
      <w:r w:rsidR="00D36963" w:rsidRPr="004E053C">
        <w:rPr>
          <w:rFonts w:cstheme="majorHAnsi"/>
          <w:sz w:val="22"/>
          <w:szCs w:val="22"/>
          <w:lang w:val="en-GB"/>
        </w:rPr>
        <w:fldChar w:fldCharType="end"/>
      </w:r>
      <w:r w:rsidR="00D36963" w:rsidRPr="004E053C">
        <w:rPr>
          <w:rFonts w:cstheme="majorHAnsi"/>
          <w:sz w:val="22"/>
          <w:szCs w:val="22"/>
          <w:lang w:val="en-GB"/>
        </w:rPr>
        <w:t xml:space="preserve">. </w:t>
      </w:r>
      <w:r w:rsidR="00D36963" w:rsidRPr="004E053C">
        <w:rPr>
          <w:rFonts w:cstheme="majorHAnsi"/>
          <w:color w:val="000000"/>
          <w:sz w:val="22"/>
          <w:szCs w:val="22"/>
          <w:lang w:val="en-GB"/>
        </w:rPr>
        <w:t xml:space="preserve">These social networks may be composed of kinship ties or professional relationships made ‘on the job’ elsewhere </w:t>
      </w:r>
      <w:r w:rsidR="00D36963" w:rsidRPr="004E053C">
        <w:rPr>
          <w:rFonts w:cstheme="majorHAnsi"/>
          <w:color w:val="000000"/>
          <w:sz w:val="22"/>
          <w:szCs w:val="22"/>
          <w:lang w:val="en-GB"/>
        </w:rPr>
        <w:fldChar w:fldCharType="begin" w:fldLock="1"/>
      </w:r>
      <w:r w:rsidR="00D36963" w:rsidRPr="004E053C">
        <w:rPr>
          <w:rFonts w:cstheme="majorHAnsi"/>
          <w:color w:val="000000"/>
          <w:sz w:val="22"/>
          <w:szCs w:val="22"/>
          <w:lang w:val="en-GB"/>
        </w:rPr>
        <w:instrText>ADDIN CSL_CITATION {"citationItems":[{"id":"ITEM-1","itemData":{"abstract":"Combining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Studies","id":"ITEM-1","issue":"Part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transformation","type":"article-journal","volume":"47"},"uris":["http://www.mendeley.com/documents/?uuid=fb82d0a5-64cc-4673-b8d8-4ea22e3fb839"]}],"mendeley":{"formattedCitation":"(Verbrugge, 2016)","plainTextFormattedCitation":"(Verbrugge, 2016)","previouslyFormattedCitation":"(Verbrugge, 2016)"},"properties":{"noteIndex":0},"schema":"https://github.com/citation-style-language/schema/raw/master/csl-citation.json"}</w:instrText>
      </w:r>
      <w:r w:rsidR="00D36963" w:rsidRPr="004E053C">
        <w:rPr>
          <w:rFonts w:cstheme="majorHAnsi"/>
          <w:color w:val="000000"/>
          <w:sz w:val="22"/>
          <w:szCs w:val="22"/>
          <w:lang w:val="en-GB"/>
        </w:rPr>
        <w:fldChar w:fldCharType="separate"/>
      </w:r>
      <w:r w:rsidR="00D36963" w:rsidRPr="004E053C">
        <w:rPr>
          <w:rFonts w:cstheme="majorHAnsi"/>
          <w:noProof/>
          <w:color w:val="000000"/>
          <w:sz w:val="22"/>
          <w:szCs w:val="22"/>
          <w:lang w:val="en-GB"/>
        </w:rPr>
        <w:t>(Verbrugge, 2016)</w:t>
      </w:r>
      <w:r w:rsidR="00D36963" w:rsidRPr="004E053C">
        <w:rPr>
          <w:rFonts w:cstheme="majorHAnsi"/>
          <w:color w:val="000000"/>
          <w:sz w:val="22"/>
          <w:szCs w:val="22"/>
          <w:lang w:val="en-GB"/>
        </w:rPr>
        <w:fldChar w:fldCharType="end"/>
      </w:r>
      <w:r w:rsidR="00D36963" w:rsidRPr="004E053C">
        <w:rPr>
          <w:rFonts w:cstheme="majorHAnsi"/>
          <w:color w:val="000000"/>
          <w:sz w:val="22"/>
          <w:szCs w:val="22"/>
          <w:lang w:val="en-GB"/>
        </w:rPr>
        <w:t xml:space="preserve">. While </w:t>
      </w:r>
      <w:r w:rsidR="00C66190" w:rsidRPr="004E053C">
        <w:rPr>
          <w:rFonts w:cstheme="majorHAnsi"/>
          <w:sz w:val="22"/>
          <w:szCs w:val="22"/>
          <w:lang w:val="en-GB"/>
        </w:rPr>
        <w:t>Name</w:t>
      </w:r>
      <w:r w:rsidR="00D36963" w:rsidRPr="004E053C">
        <w:rPr>
          <w:rFonts w:cstheme="majorHAnsi"/>
          <w:sz w:val="22"/>
          <w:szCs w:val="22"/>
          <w:lang w:val="en-GB"/>
        </w:rPr>
        <w:t xml:space="preserve"> and Grant </w:t>
      </w:r>
      <w:r w:rsidR="00D36963" w:rsidRPr="004E053C">
        <w:rPr>
          <w:rFonts w:cstheme="majorHAnsi"/>
          <w:sz w:val="22"/>
          <w:szCs w:val="22"/>
          <w:lang w:val="en-GB"/>
        </w:rPr>
        <w:fldChar w:fldCharType="begin" w:fldLock="1"/>
      </w:r>
      <w:r w:rsidR="00D36963" w:rsidRPr="004E053C">
        <w:rPr>
          <w:rFonts w:cstheme="majorHAnsi"/>
          <w:sz w:val="22"/>
          <w:szCs w:val="22"/>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2014)","manualFormatting":"(2014)","plainTextFormattedCitation":"(F. K. Nyame &amp; Grant, 2014)","previouslyFormattedCitation":"(F. K. Nyame &amp; Grant, 2014)"},"properties":{"noteIndex":0},"schema":"https://github.com/citation-style-language/schema/raw/master/csl-citation.json"}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(2014)</w:t>
      </w:r>
      <w:r w:rsidR="00D36963" w:rsidRPr="004E053C">
        <w:rPr>
          <w:rFonts w:cstheme="majorHAnsi"/>
          <w:sz w:val="22"/>
          <w:szCs w:val="22"/>
          <w:lang w:val="en-GB"/>
        </w:rPr>
        <w:fldChar w:fldCharType="end"/>
      </w:r>
      <w:r w:rsidR="00E65D31" w:rsidRPr="004E053C">
        <w:rPr>
          <w:rFonts w:cstheme="majorHAnsi"/>
          <w:sz w:val="22"/>
          <w:szCs w:val="22"/>
          <w:lang w:val="en-GB"/>
        </w:rPr>
        <w:t xml:space="preserve"> </w:t>
      </w:r>
      <w:r w:rsidR="00D36963" w:rsidRPr="004E053C">
        <w:rPr>
          <w:rFonts w:cstheme="majorHAnsi"/>
          <w:sz w:val="22"/>
          <w:szCs w:val="22"/>
          <w:lang w:val="en-GB"/>
        </w:rPr>
        <w:t xml:space="preserve">showed that newcomers needed to negotiate land access with local people and integrate into their new place of work by establishing strong bonds and adapting to local norms and practices, </w:t>
      </w:r>
      <w:r w:rsidR="00D36963" w:rsidRPr="004E053C">
        <w:rPr>
          <w:rFonts w:eastAsia="Times New Roman" w:cstheme="majorHAnsi"/>
          <w:color w:val="000000" w:themeColor="text1"/>
          <w:sz w:val="22"/>
          <w:szCs w:val="22"/>
          <w:shd w:val="clear" w:color="auto" w:fill="FFFFFF"/>
          <w:lang w:val="en-GB"/>
        </w:rPr>
        <w:t xml:space="preserve">Walsh </w:t>
      </w:r>
      <w:r w:rsidR="00D36963" w:rsidRPr="004E053C">
        <w:rPr>
          <w:rFonts w:eastAsia="Times New Roman" w:cstheme="majorHAnsi"/>
          <w:color w:val="000000" w:themeColor="text1"/>
          <w:sz w:val="22"/>
          <w:szCs w:val="22"/>
          <w:shd w:val="clear" w:color="auto" w:fill="FFFFFF"/>
          <w:lang w:val="en-GB"/>
        </w:rPr>
        <w:fldChar w:fldCharType="begin" w:fldLock="1"/>
      </w:r>
      <w:r w:rsidR="00D36963" w:rsidRPr="004E053C">
        <w:rPr>
          <w:rFonts w:eastAsia="Times New Roman" w:cstheme="majorHAnsi"/>
          <w:color w:val="000000" w:themeColor="text1"/>
          <w:sz w:val="22"/>
          <w:szCs w:val="22"/>
          <w:shd w:val="clear" w:color="auto" w:fill="FFFFFF"/>
          <w:lang w:val="en-GB"/>
        </w:rPr>
        <w:instrText>ADDIN CSL_CITATION {"citationItems":[{"id":"ITEM-1","itemData":{"author":[{"dropping-particle":"","family":"Walsh","given":"Andrew","non-dropping-particle":"","parse-names":false,"suffix":""}],"container-title":"Africa: The Journal of the International African Institute","id":"ITEM-1","issue":"2","issued":{"date-parts":[["2012"]]},"page":"235-251","title":"After the rush: living with uncertainty in a Malagasy rural town, Africa","type":"article-journal","volume":"82"},"uris":["http://www.mendeley.com/documents/?uuid=cd2c67d7-e16d-478c-bb1b-5e15dca23af5"]}],"mendeley":{"formattedCitation":"(Walsh, 2012)","manualFormatting":"(2012)","plainTextFormattedCitation":"(Walsh, 2012)","previouslyFormattedCitation":"(Walsh, 2012)"},"properties":{"noteIndex":0},"schema":"https://github.com/citation-style-language/schema/raw/master/csl-citation.json"}</w:instrText>
      </w:r>
      <w:r w:rsidR="00D36963" w:rsidRPr="004E053C">
        <w:rPr>
          <w:rFonts w:eastAsia="Times New Roman" w:cstheme="majorHAnsi"/>
          <w:color w:val="000000" w:themeColor="text1"/>
          <w:sz w:val="22"/>
          <w:szCs w:val="22"/>
          <w:shd w:val="clear" w:color="auto" w:fill="FFFFFF"/>
          <w:lang w:val="en-GB"/>
        </w:rPr>
        <w:fldChar w:fldCharType="separate"/>
      </w:r>
      <w:r w:rsidR="00D36963" w:rsidRPr="004E053C">
        <w:rPr>
          <w:rFonts w:eastAsia="Times New Roman" w:cstheme="majorHAnsi"/>
          <w:noProof/>
          <w:color w:val="000000" w:themeColor="text1"/>
          <w:sz w:val="22"/>
          <w:szCs w:val="22"/>
          <w:shd w:val="clear" w:color="auto" w:fill="FFFFFF"/>
          <w:lang w:val="en-GB"/>
        </w:rPr>
        <w:t>(2012)</w:t>
      </w:r>
      <w:r w:rsidR="00D36963" w:rsidRPr="004E053C">
        <w:rPr>
          <w:rFonts w:eastAsia="Times New Roman" w:cstheme="majorHAnsi"/>
          <w:color w:val="000000" w:themeColor="text1"/>
          <w:sz w:val="22"/>
          <w:szCs w:val="22"/>
          <w:shd w:val="clear" w:color="auto" w:fill="FFFFFF"/>
          <w:lang w:val="en-GB"/>
        </w:rPr>
        <w:fldChar w:fldCharType="end"/>
      </w:r>
      <w:r w:rsidR="00D36963" w:rsidRPr="004E053C">
        <w:rPr>
          <w:rFonts w:eastAsia="Times New Roman" w:cstheme="majorHAnsi"/>
          <w:color w:val="000000" w:themeColor="text1"/>
          <w:sz w:val="22"/>
          <w:szCs w:val="22"/>
          <w:shd w:val="clear" w:color="auto" w:fill="FFFFFF"/>
          <w:lang w:val="en-GB"/>
        </w:rPr>
        <w:t xml:space="preserve"> has shown that others actively avoid strong work-based </w:t>
      </w:r>
      <w:r w:rsidR="00D36963" w:rsidRPr="004E053C">
        <w:rPr>
          <w:rFonts w:eastAsia="Times New Roman" w:cstheme="majorHAnsi"/>
          <w:color w:val="000000" w:themeColor="text1"/>
          <w:sz w:val="22"/>
          <w:szCs w:val="22"/>
          <w:shd w:val="clear" w:color="auto" w:fill="FFFFFF"/>
          <w:lang w:val="en-GB"/>
        </w:rPr>
        <w:lastRenderedPageBreak/>
        <w:t xml:space="preserve">relationships, wishing to remain free from obligations. However, for miners wanting to integrate, it is generally thought that both trust </w:t>
      </w:r>
      <w:r w:rsidR="00D36963" w:rsidRPr="004E053C">
        <w:rPr>
          <w:rFonts w:eastAsia="Times New Roman" w:cstheme="majorHAnsi"/>
          <w:color w:val="000000" w:themeColor="text1"/>
          <w:sz w:val="22"/>
          <w:szCs w:val="22"/>
          <w:shd w:val="clear" w:color="auto" w:fill="FFFFFF"/>
          <w:lang w:val="en-GB"/>
        </w:rPr>
        <w:fldChar w:fldCharType="begin" w:fldLock="1"/>
      </w:r>
      <w:r w:rsidR="00D36963" w:rsidRPr="004E053C">
        <w:rPr>
          <w:rFonts w:eastAsia="Times New Roman" w:cstheme="majorHAnsi"/>
          <w:color w:val="000000" w:themeColor="text1"/>
          <w:sz w:val="22"/>
          <w:szCs w:val="22"/>
          <w:shd w:val="clear" w:color="auto" w:fill="FFFFFF"/>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2014)","manualFormatting":"(Nyame &amp; Grant, 2014)","plainTextFormattedCitation":"(F. K. Nyame &amp; Grant, 2014)","previouslyFormattedCitation":"(F. K. Nyame &amp; Grant, 2014)"},"properties":{"noteIndex":0},"schema":"https://github.com/citation-style-language/schema/raw/master/csl-citation.json"}</w:instrText>
      </w:r>
      <w:r w:rsidR="00D36963" w:rsidRPr="004E053C">
        <w:rPr>
          <w:rFonts w:eastAsia="Times New Roman" w:cstheme="majorHAnsi"/>
          <w:color w:val="000000" w:themeColor="text1"/>
          <w:sz w:val="22"/>
          <w:szCs w:val="22"/>
          <w:shd w:val="clear" w:color="auto" w:fill="FFFFFF"/>
          <w:lang w:val="en-GB"/>
        </w:rPr>
        <w:fldChar w:fldCharType="separate"/>
      </w:r>
      <w:r w:rsidR="00D36963" w:rsidRPr="004E053C">
        <w:rPr>
          <w:rFonts w:eastAsia="Times New Roman" w:cstheme="majorHAnsi"/>
          <w:noProof/>
          <w:color w:val="000000" w:themeColor="text1"/>
          <w:sz w:val="22"/>
          <w:szCs w:val="22"/>
          <w:shd w:val="clear" w:color="auto" w:fill="FFFFFF"/>
          <w:lang w:val="en-GB"/>
        </w:rPr>
        <w:t>(Nyame &amp; Grant, 2014)</w:t>
      </w:r>
      <w:r w:rsidR="00D36963" w:rsidRPr="004E053C">
        <w:rPr>
          <w:rFonts w:eastAsia="Times New Roman" w:cstheme="majorHAnsi"/>
          <w:color w:val="000000" w:themeColor="text1"/>
          <w:sz w:val="22"/>
          <w:szCs w:val="22"/>
          <w:shd w:val="clear" w:color="auto" w:fill="FFFFFF"/>
          <w:lang w:val="en-GB"/>
        </w:rPr>
        <w:fldChar w:fldCharType="end"/>
      </w:r>
      <w:r w:rsidR="00D36963" w:rsidRPr="004E053C">
        <w:rPr>
          <w:rFonts w:eastAsia="Times New Roman" w:cstheme="majorHAnsi"/>
          <w:color w:val="000000" w:themeColor="text1"/>
          <w:sz w:val="22"/>
          <w:szCs w:val="22"/>
          <w:shd w:val="clear" w:color="auto" w:fill="FFFFFF"/>
          <w:lang w:val="en-GB"/>
        </w:rPr>
        <w:t xml:space="preserve"> and belonging </w:t>
      </w:r>
      <w:r w:rsidR="00D36963" w:rsidRPr="004E053C">
        <w:rPr>
          <w:rFonts w:eastAsia="Times New Roman" w:cstheme="majorHAnsi"/>
          <w:color w:val="000000" w:themeColor="text1"/>
          <w:sz w:val="22"/>
          <w:szCs w:val="22"/>
          <w:shd w:val="clear" w:color="auto" w:fill="FFFFFF"/>
          <w:lang w:val="en-GB"/>
        </w:rPr>
        <w:fldChar w:fldCharType="begin" w:fldLock="1"/>
      </w:r>
      <w:r w:rsidR="007A757C" w:rsidRPr="004E053C">
        <w:rPr>
          <w:rFonts w:eastAsia="Times New Roman" w:cstheme="majorHAnsi"/>
          <w:color w:val="000000" w:themeColor="text1"/>
          <w:sz w:val="22"/>
          <w:szCs w:val="22"/>
          <w:shd w:val="clear" w:color="auto" w:fill="FFFFFF"/>
          <w:lang w:val="en-GB"/>
        </w:rPr>
        <w:instrText>ADDIN CSL_CITATION {"citationItems":[{"id":"ITEM-1","itemData":{"abstract":"Drawing on ethnographic research and problem-centered interviews in Guinean mining areas, this paper presents a comparative reading of the conflicting conceptions of what constitutes a “mining community.” First, I explore how independent artisanal miners describe and identify their activity. The weight of autochthony conventions is discussed concerning their insertion both in the mining fields and in their living locations. Second, I focus the case study on how the corporate social responsibility (CSR) interventions toward the mining community, commissioned by a gold mining company in Guinea, are interpreted by the artisanal miners. The analysis of the deployed discourses and related interventions delineate what is defined as the mining community in CSR programs, and how these interventions shape new understandings of the company</w:instrText>
      </w:r>
      <w:r w:rsidR="007A757C" w:rsidRPr="004E053C">
        <w:rPr>
          <w:rFonts w:ascii="Times New Roman" w:eastAsia="Times New Roman" w:hAnsi="Times New Roman" w:cs="Times New Roman"/>
          <w:color w:val="000000" w:themeColor="text1"/>
          <w:sz w:val="22"/>
          <w:szCs w:val="22"/>
          <w:shd w:val="clear" w:color="auto" w:fill="FFFFFF"/>
          <w:rtl/>
          <w:lang w:val="en-GB" w:bidi="he-IL"/>
        </w:rPr>
        <w:instrText>׳</w:instrText>
      </w:r>
      <w:r w:rsidR="007A757C" w:rsidRPr="004E053C">
        <w:rPr>
          <w:rFonts w:eastAsia="Times New Roman" w:cstheme="majorHAnsi"/>
          <w:color w:val="000000" w:themeColor="text1"/>
          <w:sz w:val="22"/>
          <w:szCs w:val="22"/>
          <w:shd w:val="clear" w:color="auto" w:fill="FFFFFF"/>
          <w:lang w:val="en-GB"/>
        </w:rPr>
        <w:instrText>s territory among the miners. Using a boundary work approach, the paper shows how CSR interventions symbolically transpose the spatial concession border into symbolic and social boundaries among the artisanal mineworkers. CSR discourses and interventions transform “trespassers” into “foreigners”, as opposed to “natives”, who are often viewed as “traditional sedentary workers” by the mining company. In doing this, CSR programs reinforce and standardize autochthony-based relations, and extend autochthony boundaries in all segments of the gold mining socio-technical system. The attachment of these initially separated categories creates an idealized figure of “traditional” artisanal mining, while also stigmatizing the itinerant artisanal miners. As a consequence, I will discuss the emergence of conflict situations regarding access to mining spaces and resources within the surrounding villages.","author":[{"dropping-particle":"","family":"Bolay","given":"M","non-dropping-particle":"","parse-names":false,"suffix":""}],"container-title":"Resources Policy","id":"ITEM-1","issued":{"date-parts":[["2014"]]},"page":"117-127","title":"When miners become 'foreigners': competing categorizations within gold mining spaces in Guinea","type":"article-journal","volume":"40"},"uris":["http://www.mendeley.com/documents/?uuid=a4b4d418-a55f-4ce2-ba28-2f3d70bd4c11"]}],"mendeley":{"formattedCitation":"(Bolay, 2014)","plainTextFormattedCitation":"(Bolay, 2014)","previouslyFormattedCitation":"(Bolay, 2014)"},"properties":{"noteIndex":0},"schema":"https://github.com/citation-style-language/schema/raw/master/csl-citation.json"}</w:instrText>
      </w:r>
      <w:r w:rsidR="00D36963" w:rsidRPr="004E053C">
        <w:rPr>
          <w:rFonts w:eastAsia="Times New Roman" w:cstheme="majorHAnsi"/>
          <w:color w:val="000000" w:themeColor="text1"/>
          <w:sz w:val="22"/>
          <w:szCs w:val="22"/>
          <w:shd w:val="clear" w:color="auto" w:fill="FFFFFF"/>
          <w:lang w:val="en-GB"/>
        </w:rPr>
        <w:fldChar w:fldCharType="separate"/>
      </w:r>
      <w:r w:rsidR="00D36963" w:rsidRPr="004E053C">
        <w:rPr>
          <w:rFonts w:eastAsia="Times New Roman" w:cstheme="majorHAnsi"/>
          <w:noProof/>
          <w:color w:val="000000" w:themeColor="text1"/>
          <w:sz w:val="22"/>
          <w:szCs w:val="22"/>
          <w:shd w:val="clear" w:color="auto" w:fill="FFFFFF"/>
          <w:lang w:val="en-GB"/>
        </w:rPr>
        <w:t>(Bolay, 2014)</w:t>
      </w:r>
      <w:r w:rsidR="00D36963" w:rsidRPr="004E053C">
        <w:rPr>
          <w:rFonts w:eastAsia="Times New Roman" w:cstheme="majorHAnsi"/>
          <w:color w:val="000000" w:themeColor="text1"/>
          <w:sz w:val="22"/>
          <w:szCs w:val="22"/>
          <w:shd w:val="clear" w:color="auto" w:fill="FFFFFF"/>
          <w:lang w:val="en-GB"/>
        </w:rPr>
        <w:fldChar w:fldCharType="end"/>
      </w:r>
      <w:r w:rsidR="00D36963" w:rsidRPr="004E053C">
        <w:rPr>
          <w:rFonts w:eastAsia="Times New Roman" w:cstheme="majorHAnsi"/>
          <w:color w:val="000000" w:themeColor="text1"/>
          <w:sz w:val="22"/>
          <w:szCs w:val="22"/>
          <w:shd w:val="clear" w:color="auto" w:fill="FFFFFF"/>
          <w:lang w:val="en-GB"/>
        </w:rPr>
        <w:t xml:space="preserve"> can take time to gr</w:t>
      </w:r>
      <w:r w:rsidR="00D36963" w:rsidRPr="004E053C">
        <w:rPr>
          <w:rFonts w:eastAsia="Times New Roman" w:cstheme="majorHAnsi"/>
          <w:sz w:val="22"/>
          <w:szCs w:val="22"/>
          <w:shd w:val="clear" w:color="auto" w:fill="FFFFFF"/>
          <w:lang w:val="en-GB"/>
        </w:rPr>
        <w:t xml:space="preserve">ow. </w:t>
      </w:r>
      <w:r w:rsidR="00D36963" w:rsidRPr="004E053C">
        <w:rPr>
          <w:rFonts w:cstheme="majorHAnsi"/>
          <w:sz w:val="22"/>
          <w:szCs w:val="22"/>
          <w:lang w:val="en-GB"/>
        </w:rPr>
        <w:t xml:space="preserve">Drawing on his observations in Benin, Grätz </w:t>
      </w:r>
      <w:r w:rsidR="00D36963" w:rsidRPr="004E053C">
        <w:rPr>
          <w:rFonts w:cstheme="majorHAnsi"/>
          <w:sz w:val="22"/>
          <w:szCs w:val="22"/>
          <w:lang w:val="en-GB"/>
        </w:rPr>
        <w:fldChar w:fldCharType="begin" w:fldLock="1"/>
      </w:r>
      <w:r w:rsidR="00D36963" w:rsidRPr="004E053C">
        <w:rPr>
          <w:rFonts w:cstheme="majorHAnsi"/>
          <w:sz w:val="22"/>
          <w:szCs w:val="22"/>
          <w:lang w:val="en-GB"/>
        </w:rPr>
        <w:instrText>ADDIN CSL_CITATION {"citationItems":[{"id":"ITEM-1","itemData":{"abstract":"The paper explores the life and work of young male gold miners in Northern Benin, West Africa. It describes modes of organisation, norms and rules of mining teams as well as the situation in the region's mining camps at large. Despite various internal conflicts and a high degree of social fluctuation and uncertainty due to repeated state interventions, the social field of gold mining is marked by cohesion and viable patterns of risk sharing. © 2009 Elsevier Ltd. All rights reserved.","author":[{"dropping-particle":"","family":"Grätz","given":"Tilo","non-dropping-particle":"","parse-names":false,"suffix":""}],"container-title":"Resources Policy","id":"ITEM-1","issued":{"date-parts":[["2009"]]},"title":"Moralities, risk and rules in West African artisanal gold mining communities: A case study of Northern Benin","type":"article-journal"},"uris":["http://www.mendeley.com/documents/?uuid=ce8980ff-88a3-3fb2-b6c3-ca1f45808b55"]}],"mendeley":{"formattedCitation":"(Grätz, 2009)","manualFormatting":"(2009)","plainTextFormattedCitation":"(Grätz, 2009)","previouslyFormattedCitation":"(Grätz, 2009)"},"properties":{"noteIndex":0},"schema":"https://github.com/citation-style-language/schema/raw/master/csl-citation.json"}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(2009)</w:t>
      </w:r>
      <w:r w:rsidR="00D36963" w:rsidRPr="004E053C">
        <w:rPr>
          <w:rFonts w:cstheme="majorHAnsi"/>
          <w:sz w:val="22"/>
          <w:szCs w:val="22"/>
          <w:lang w:val="en-GB"/>
        </w:rPr>
        <w:fldChar w:fldCharType="end"/>
      </w:r>
      <w:r w:rsidR="00D36963" w:rsidRPr="004E053C">
        <w:rPr>
          <w:rFonts w:cstheme="majorHAnsi"/>
          <w:sz w:val="22"/>
          <w:szCs w:val="22"/>
          <w:lang w:val="en-GB"/>
        </w:rPr>
        <w:t xml:space="preserve"> illustrated that through both working together and sharing leisure time, new miners become friends and can often build strong ties due to the intensive working relationship</w:t>
      </w:r>
      <w:r w:rsidR="00D36963" w:rsidRPr="004E053C">
        <w:rPr>
          <w:rFonts w:eastAsia="Times New Roman" w:cstheme="majorHAnsi"/>
          <w:sz w:val="22"/>
          <w:szCs w:val="22"/>
          <w:lang w:val="en-GB"/>
        </w:rPr>
        <w:t xml:space="preserve">. He highlighted the use of nicknames and the notable lack of miners attempting to maximise their own income at the expense of others as key indicators of these strong relationships </w:t>
      </w:r>
      <w:r w:rsidR="00D36963" w:rsidRPr="004E053C">
        <w:rPr>
          <w:rFonts w:eastAsia="Times New Roman" w:cstheme="majorHAnsi"/>
          <w:sz w:val="22"/>
          <w:szCs w:val="22"/>
          <w:lang w:val="en-GB"/>
        </w:rPr>
        <w:fldChar w:fldCharType="begin" w:fldLock="1"/>
      </w:r>
      <w:r w:rsidR="00D36963" w:rsidRPr="004E053C">
        <w:rPr>
          <w:rFonts w:eastAsia="Times New Roman" w:cstheme="majorHAnsi"/>
          <w:sz w:val="22"/>
          <w:szCs w:val="22"/>
          <w:lang w:val="en-GB"/>
        </w:rPr>
        <w:instrText>ADDIN CSL_CITATION {"citationItems":[{"id":"ITEM-1","itemData":{"author":[{"dropping-particle":"","family":"Grätz","given":"Tilo","non-dropping-particle":"","parse-names":false,"suffix":""}],"container-title":"Africa: Journal of the International African Institute","id":"ITEM-1","issue":"2","issued":{"date-parts":[["2004"]]},"page":"146-172","title":"Gold Trading Networks and the Creation of Trust: A Case Study from Northern Benin","type":"article-journal","volume":"74"},"uris":["http://www.mendeley.com/documents/?uuid=d39d6dd5-3b2d-4d7c-8419-5ff8daa54c5d"]},{"id":"ITEM-2","itemData":{"abstract":"The article addresses friendship relations among male artisanal gold miners in West Africa, exemplified by case studies from Northern Benin. I will argue that friendship is an important element in understanding the fluid social configurations in the mining region. In the new social environment, immigrants develop new ties among themselves and to the local societies. I will explore the general logic of friendship bonds in that area and discuss their integrative strength as well as their limits. In the context of gold mining, strategies of economic as well as social risk minimisation incline many migrants to create friendship bonds. Parity in income sharing is more likely to be established among friends than among kinsmen. Friendship is specifically relevant to integrate people of very different regional, ethnic and social backgrounds. Despite the many divergent interests between different economic actors, locals and immigrants, there are multiple bonds which give rise to different levels of social integration","author":[{"dropping-particle":"","family":"Grätz","given":"Tilo","non-dropping-particle":"","parse-names":false,"suffix":""}],"container-title":"Africa Spectrum","id":"ITEM-2","issue":"1","issued":{"date-parts":[["2004"]]},"page":"95-117","title":"Friendship ties among young artisanal gold miners in northern Benin","type":"article-journal","volume":"39"},"uris":["http://www.mendeley.com/documents/?uuid=631c2928-d206-4553-9dc8-cdef02d54887"]}],"mendeley":{"formattedCitation":"(Grätz, 2004b, 2004a)","manualFormatting":"(Grätz, 2004a, 2004b)","plainTextFormattedCitation":"(Grätz, 2004b, 2004a)","previouslyFormattedCitation":"(Grätz, 2004b, 2004a)"},"properties":{"noteIndex":0},"schema":"https://github.com/citation-style-language/schema/raw/master/csl-citation.json"}</w:instrText>
      </w:r>
      <w:r w:rsidR="00D36963" w:rsidRPr="004E053C">
        <w:rPr>
          <w:rFonts w:eastAsia="Times New Roman" w:cstheme="majorHAnsi"/>
          <w:sz w:val="22"/>
          <w:szCs w:val="22"/>
          <w:lang w:val="en-GB"/>
        </w:rPr>
        <w:fldChar w:fldCharType="separate"/>
      </w:r>
      <w:r w:rsidR="00D36963" w:rsidRPr="004E053C">
        <w:rPr>
          <w:rFonts w:eastAsia="Times New Roman" w:cstheme="majorHAnsi"/>
          <w:noProof/>
          <w:sz w:val="22"/>
          <w:szCs w:val="22"/>
          <w:lang w:val="en-GB"/>
        </w:rPr>
        <w:t>(Grätz, 2004a, 2004b)</w:t>
      </w:r>
      <w:r w:rsidR="00D36963" w:rsidRPr="004E053C">
        <w:rPr>
          <w:rFonts w:eastAsia="Times New Roman" w:cstheme="majorHAnsi"/>
          <w:sz w:val="22"/>
          <w:szCs w:val="22"/>
          <w:lang w:val="en-GB"/>
        </w:rPr>
        <w:fldChar w:fldCharType="end"/>
      </w:r>
      <w:r w:rsidR="00D36963" w:rsidRPr="004E053C">
        <w:rPr>
          <w:rFonts w:eastAsia="Times New Roman" w:cstheme="majorHAnsi"/>
          <w:sz w:val="22"/>
          <w:szCs w:val="22"/>
          <w:lang w:val="en-GB"/>
        </w:rPr>
        <w:t>.</w:t>
      </w:r>
    </w:p>
    <w:p w14:paraId="34B8ED4F" w14:textId="77777777" w:rsidR="00D36963" w:rsidRPr="004E053C" w:rsidRDefault="00D36963" w:rsidP="004E053C">
      <w:pPr>
        <w:spacing w:line="360" w:lineRule="auto"/>
        <w:jc w:val="both"/>
        <w:rPr>
          <w:rFonts w:eastAsia="Times New Roman" w:cstheme="majorHAnsi"/>
          <w:sz w:val="22"/>
          <w:szCs w:val="22"/>
          <w:lang w:val="en-GB"/>
        </w:rPr>
      </w:pPr>
    </w:p>
    <w:p w14:paraId="3574B3CF" w14:textId="4CEAEB16" w:rsidR="00D36963" w:rsidRPr="004E053C" w:rsidRDefault="00D36963" w:rsidP="004E053C">
      <w:pPr>
        <w:spacing w:line="360" w:lineRule="auto"/>
        <w:jc w:val="both"/>
        <w:rPr>
          <w:rFonts w:cstheme="majorHAnsi"/>
          <w:bCs/>
          <w:color w:val="FF0000"/>
          <w:kern w:val="36"/>
          <w:sz w:val="22"/>
          <w:szCs w:val="22"/>
          <w:lang w:val="en-GB"/>
        </w:rPr>
      </w:pPr>
      <w:r w:rsidRPr="004E053C">
        <w:rPr>
          <w:rFonts w:cstheme="majorHAnsi"/>
          <w:sz w:val="22"/>
          <w:szCs w:val="22"/>
          <w:lang w:val="en-GB"/>
        </w:rPr>
        <w:t>An important area of study linked to my research has be</w:t>
      </w:r>
      <w:r w:rsidR="00FF7888" w:rsidRPr="004E053C">
        <w:rPr>
          <w:rFonts w:cstheme="majorHAnsi"/>
          <w:sz w:val="22"/>
          <w:szCs w:val="22"/>
          <w:lang w:val="en-GB"/>
        </w:rPr>
        <w:t>en on the excessive consumption</w:t>
      </w:r>
      <w:r w:rsidRPr="004E053C">
        <w:rPr>
          <w:rFonts w:cstheme="majorHAnsi"/>
          <w:sz w:val="22"/>
          <w:szCs w:val="22"/>
          <w:lang w:val="en-GB"/>
        </w:rPr>
        <w:t xml:space="preserve"> habits of male miners in mining communities.</w:t>
      </w:r>
      <w:r w:rsidRPr="004E053C">
        <w:rPr>
          <w:rFonts w:cstheme="majorHAnsi"/>
          <w:color w:val="FF0000"/>
          <w:sz w:val="22"/>
          <w:szCs w:val="22"/>
          <w:lang w:val="en-GB"/>
        </w:rPr>
        <w:t xml:space="preserve"> </w:t>
      </w:r>
      <w:r w:rsidRPr="004E053C">
        <w:rPr>
          <w:rFonts w:eastAsia="Times New Roman" w:cstheme="majorHAnsi"/>
          <w:sz w:val="22"/>
          <w:szCs w:val="22"/>
          <w:lang w:val="en-GB"/>
        </w:rPr>
        <w:t xml:space="preserve">Rather than investing in their new community or saving money, young miners are generally believed to spend their earnings in extravagant ways </w:t>
      </w:r>
      <w:r w:rsidR="000F1591" w:rsidRPr="004E053C">
        <w:rPr>
          <w:rFonts w:eastAsia="Times New Roman" w:cstheme="majorHAnsi"/>
          <w:sz w:val="22"/>
          <w:szCs w:val="22"/>
          <w:lang w:val="en-GB"/>
        </w:rPr>
        <w:fldChar w:fldCharType="begin" w:fldLock="1"/>
      </w:r>
      <w:r w:rsidR="000F1591" w:rsidRPr="004E053C">
        <w:rPr>
          <w:rFonts w:eastAsia="Times New Roman" w:cstheme="majorHAnsi"/>
          <w:sz w:val="22"/>
          <w:szCs w:val="22"/>
          <w:lang w:val="en-GB"/>
        </w:rPr>
        <w:instrText>ADDIN CSL_CITATION {"citationItems":[{"id":"ITEM-1","itemData":{"abstract":"The article addresses friendship relations among male artisanal gold miners in West Africa, exemplified by case studies from Northern Benin. I will argue that friendship is an important element in understanding the fluid social configurations in the mining region. In the new social environment, immigrants develop new ties among themselves and to the local societies. I will explore the general logic of friendship bonds in that area and discuss their integrative strength as well as their limits. In the context of gold mining, strategies of economic as well as social risk minimisation incline many migrants to create friendship bonds. Parity in income sharing is more likely to be established among friends than among kinsmen. Friendship is specifically relevant to integrate people of very different regional, ethnic and social backgrounds. Despite the many divergent interests between different economic actors, locals and immigrants, there are multiple bonds which give rise to different levels of social integration","author":[{"dropping-particle":"","family":"Grätz","given":"Tilo","non-dropping-particle":"","parse-names":false,"suffix":""}],"container-title":"Africa Spectrum","id":"ITEM-1","issue":"1","issued":{"date-parts":[["2004"]]},"page":"95-117","title":"Friendship ties among young artisanal gold miners in northern Benin","type":"article-journal","volume":"39"},"uris":["http://www.mendeley.com/documents/?uuid=631c2928-d206-4553-9dc8-cdef02d54887"]},{"id":"ITEM-2","itemData":{"abstract":"This working paper discusses the relevance of the frontier concept to the establishment of gold mining camps in West Africa since the mid-1990s. Exploring the example of the artisanal and small- scale (gold) mining (ASM), I will examine econo- mic, social and cultural aspects of mobile mining communities, their internal social relationships and conflicts with local communities and the state. Local miners establish mobile camps on a very particular internal African frontier (Werthmann 2009, Grätz 2010, Panella 2010, Werthmann and Grätz 2013). I will compare three mining sites and discuss their situation against the background of classical and recent anthropological studies on migration, social innovation and local resource management.","author":[{"dropping-particle":"","family":"Grätz","given":"Tilo","non-dropping-particle":"","parse-names":false,"suffix":""}],"collection-title":"ZMO Working Paper Series","id":"ITEM-2","issued":{"date-parts":[["2013"]]},"number":"10","publisher-place":"Berlin","title":"The \"frontier\" revisited: gold mining camps and mining communities in West Africa","type":"report"},"uris":["http://www.mendeley.com/documents/?uuid=512afbc5-0e56-43dc-9ce4-6f5656806c76"]},{"id":"ITEM-3","itemData":{"abstract":"In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Ethnologist","id":"ITEM-3","issue":"2","issued":{"date-parts":[["2003"]]},"page":"290-305","title":"\"Hot money” and daring consumption in a northern Malagasy mining town","type":"article-journal","volume":"30"},"uris":["http://www.mendeley.com/documents/?uuid=e221bdbc-373c-4a27-aef2-b563e761557e"]},{"id":"ITEM-4","itemData":{"author":[{"dropping-particle":"","family":"Theije","given":"Marjo","non-dropping-particle":"De","parse-names":false,"suffix":""},{"dropping-particle":"","family":"Bal","given":"Ellen","non-dropping-particle":"","parse-names":false,"suffix":""}],"chapter-number":"4","container-title":"A World of Insecurity: Anthropological Perspectives on Human Security","editor":[{"dropping-particle":"","family":"Eriksen","given":"Thomas Hylland","non-dropping-particle":"","parse-names":false,"suffix":""},{"dropping-particle":"","family":"Bal","given":"Ellen","non-dropping-particle":"","parse-names":false,"suffix":""},{"dropping-particle":"","family":"Salemink","given":"Oscar","non-dropping-particle":"","parse-names":false,"suffix":""}],"id":"ITEM-4","issued":{"date-parts":[["2010"]]},"page":"66-88","publisher":"Pluto Press","publisher-place":"London, UK","title":"Flexible migrants. Brazilian gold miners and their quest for human security in Surinam","type":"chapter"},"uris":["http://www.mendeley.com/documents/?uuid=a0fe66b5-a57d-46fa-a5b9-03db4e85f100"]}],"mendeley":{"formattedCitation":"(De Theije &amp; Bal, 2010; Grätz, 2004a, 2013; Walsh, 2003)","manualFormatting":"(de Theije &amp; Bal, 2010; Grätz, 2004a, 2013; Walsh, 2003)","plainTextFormattedCitation":"(De Theije &amp; Bal, 2010; Grätz, 2004a, 2013; Walsh, 2003)","previouslyFormattedCitation":"(De Theije &amp; Bal, 2010; Grätz, 2004a, 2013; Walsh, 2003)"},"properties":{"noteIndex":0},"schema":"https://github.com/citation-style-language/schema/raw/master/csl-citation.json"}</w:instrText>
      </w:r>
      <w:r w:rsidR="000F1591" w:rsidRPr="004E053C">
        <w:rPr>
          <w:rFonts w:eastAsia="Times New Roman" w:cstheme="majorHAnsi"/>
          <w:sz w:val="22"/>
          <w:szCs w:val="22"/>
          <w:lang w:val="en-GB"/>
        </w:rPr>
        <w:fldChar w:fldCharType="separate"/>
      </w:r>
      <w:r w:rsidR="000F1591" w:rsidRPr="004E053C">
        <w:rPr>
          <w:rFonts w:eastAsia="Times New Roman" w:cstheme="majorHAnsi"/>
          <w:noProof/>
          <w:sz w:val="22"/>
          <w:szCs w:val="22"/>
          <w:lang w:val="en-GB"/>
        </w:rPr>
        <w:t>(de Theije &amp; Bal, 2010; Grätz, 2004a, 2013; Walsh, 2003)</w:t>
      </w:r>
      <w:r w:rsidR="000F1591" w:rsidRPr="004E053C">
        <w:rPr>
          <w:rFonts w:eastAsia="Times New Roman" w:cstheme="majorHAnsi"/>
          <w:sz w:val="22"/>
          <w:szCs w:val="22"/>
          <w:lang w:val="en-GB"/>
        </w:rPr>
        <w:fldChar w:fldCharType="end"/>
      </w:r>
      <w:r w:rsidR="000F1591" w:rsidRPr="004E053C">
        <w:rPr>
          <w:rFonts w:eastAsia="Times New Roman" w:cstheme="majorHAnsi"/>
          <w:sz w:val="22"/>
          <w:szCs w:val="22"/>
          <w:lang w:val="en-GB"/>
        </w:rPr>
        <w:t>.</w:t>
      </w:r>
      <w:r w:rsidRPr="004E053C">
        <w:rPr>
          <w:rFonts w:eastAsia="Times New Roman" w:cstheme="majorHAnsi"/>
          <w:sz w:val="22"/>
          <w:szCs w:val="22"/>
          <w:lang w:val="en-GB"/>
        </w:rPr>
        <w:t xml:space="preserve"> Such spending has the potential to lead to friction within the community. Whereas investing in a local area may contribute to the formation of an enduring, locality-based moral order, spending it all on extravagant consumption or sending it in the form of remittances to distant locales prevents this </w:t>
      </w:r>
      <w:r w:rsidRPr="004E053C">
        <w:rPr>
          <w:rFonts w:eastAsia="Times New Roman" w:cstheme="majorHAnsi"/>
          <w:sz w:val="22"/>
          <w:szCs w:val="22"/>
          <w:lang w:val="en-GB"/>
        </w:rPr>
        <w:fldChar w:fldCharType="begin" w:fldLock="1"/>
      </w:r>
      <w:r w:rsidRPr="004E053C">
        <w:rPr>
          <w:rFonts w:eastAsia="Times New Roman"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town","type":"article-journal","volume":"30"},"uris":["http://www.mendeley.com/documents/?uuid=e221bdbc-373c-4a27-aef2-b563e761557e"]}],"mendeley":{"formattedCitation":"(Walsh, 2003)","plainTextFormattedCitation":"(Walsh, 2003)","previouslyFormattedCitation":"(Walsh, 2003)"},"properties":{"noteIndex":0},"schema":"https://github.com/citation-style-language/schema/raw/master/csl-citation.json"}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(Walsh, 2003)</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w:t>
      </w:r>
      <w:r w:rsidRPr="004E053C">
        <w:rPr>
          <w:rFonts w:cstheme="majorHAnsi"/>
          <w:sz w:val="22"/>
          <w:szCs w:val="22"/>
          <w:lang w:val="en-GB"/>
        </w:rPr>
        <w:t>However, evidence fro</w:t>
      </w:r>
      <w:r w:rsidR="000F1591" w:rsidRPr="004E053C">
        <w:rPr>
          <w:rFonts w:cstheme="majorHAnsi"/>
          <w:sz w:val="22"/>
          <w:szCs w:val="22"/>
          <w:lang w:val="en-GB"/>
        </w:rPr>
        <w:t xml:space="preserve">m Burkina Faso </w:t>
      </w:r>
      <w:r w:rsidR="000F1591" w:rsidRPr="004E053C">
        <w:rPr>
          <w:rFonts w:cstheme="majorHAnsi"/>
          <w:sz w:val="22"/>
          <w:szCs w:val="22"/>
          <w:lang w:val="en-GB"/>
        </w:rPr>
        <w:fldChar w:fldCharType="begin" w:fldLock="1"/>
      </w:r>
      <w:r w:rsidR="000F1591" w:rsidRPr="004E053C">
        <w:rPr>
          <w:rFonts w:cstheme="majorHAnsi"/>
          <w:sz w:val="22"/>
          <w:szCs w:val="22"/>
          <w:lang w:val="en-GB"/>
        </w:rPr>
        <w:instrText>ADDIN CSL_CITATION {"citationItems":[{"id":"ITEM-1","itemData":{"author":[{"dropping-particle":"","family":"Werthmann","given":"Katja","non-dropping-particle":"","parse-names":false,"suffix":""}],"container-title":"Resources Policy","id":"ITEM-1","issued":{"date-parts":[["2009"]]},"page":"18-23","title":"Working in a boom-town: Female perspectives on gold-mining in Burkina Faso","type":"article-journal","volume":"34"},"uris":["http://www.mendeley.com/documents/?uuid=da98f8ff-10f1-45ed-adfd-29236ef7847f"]}],"mendeley":{"formattedCitation":"(Werthmann, 2009)","plainTextFormattedCitation":"(Werthmann, 2009)","previouslyFormattedCitation":"(Werthmann, 2009)"},"properties":{"noteIndex":0},"schema":"https://github.com/citation-style-language/schema/raw/master/csl-citation.json"}</w:instrText>
      </w:r>
      <w:r w:rsidR="000F1591" w:rsidRPr="004E053C">
        <w:rPr>
          <w:rFonts w:cstheme="majorHAnsi"/>
          <w:sz w:val="22"/>
          <w:szCs w:val="22"/>
          <w:lang w:val="en-GB"/>
        </w:rPr>
        <w:fldChar w:fldCharType="separate"/>
      </w:r>
      <w:r w:rsidR="000F1591" w:rsidRPr="004E053C">
        <w:rPr>
          <w:rFonts w:cstheme="majorHAnsi"/>
          <w:noProof/>
          <w:sz w:val="22"/>
          <w:szCs w:val="22"/>
          <w:lang w:val="en-GB"/>
        </w:rPr>
        <w:t>(Werthmann, 2009)</w:t>
      </w:r>
      <w:r w:rsidR="000F1591" w:rsidRPr="004E053C">
        <w:rPr>
          <w:rFonts w:cstheme="majorHAnsi"/>
          <w:sz w:val="22"/>
          <w:szCs w:val="22"/>
          <w:lang w:val="en-GB"/>
        </w:rPr>
        <w:fldChar w:fldCharType="end"/>
      </w:r>
      <w:r w:rsidRPr="004E053C">
        <w:rPr>
          <w:rFonts w:cstheme="majorHAnsi"/>
          <w:sz w:val="22"/>
          <w:szCs w:val="22"/>
          <w:lang w:val="en-GB"/>
        </w:rPr>
        <w:t xml:space="preserve"> and Suriname </w:t>
      </w:r>
      <w:r w:rsidR="000F1591"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2009)","manualFormatting":"(de Theije &amp; Heemskerk, 2009)","plainTextFormattedCitation":"(De Theije &amp; Heemskerk, 2009)","previouslyFormattedCitation":"(De Theije &amp; Heemskerk, 2009)"},"properties":{"noteIndex":0},"schema":"https://github.com/citation-style-language/schema/raw/master/csl-citation.json"}</w:instrText>
      </w:r>
      <w:r w:rsidR="000F1591" w:rsidRPr="004E053C">
        <w:rPr>
          <w:rFonts w:cstheme="majorHAnsi"/>
          <w:sz w:val="22"/>
          <w:szCs w:val="22"/>
          <w:lang w:val="en-GB"/>
        </w:rPr>
        <w:fldChar w:fldCharType="separate"/>
      </w:r>
      <w:r w:rsidR="000F1591" w:rsidRPr="004E053C">
        <w:rPr>
          <w:rFonts w:cstheme="majorHAnsi"/>
          <w:noProof/>
          <w:sz w:val="22"/>
          <w:szCs w:val="22"/>
          <w:lang w:val="en-GB"/>
        </w:rPr>
        <w:t>(de Theije &amp; Heemskerk, 2009)</w:t>
      </w:r>
      <w:r w:rsidR="000F1591" w:rsidRPr="004E053C">
        <w:rPr>
          <w:rFonts w:cstheme="majorHAnsi"/>
          <w:sz w:val="22"/>
          <w:szCs w:val="22"/>
          <w:lang w:val="en-GB"/>
        </w:rPr>
        <w:fldChar w:fldCharType="end"/>
      </w:r>
      <w:r w:rsidR="000F1591" w:rsidRPr="004E053C">
        <w:rPr>
          <w:rFonts w:cstheme="majorHAnsi"/>
          <w:sz w:val="22"/>
          <w:szCs w:val="22"/>
          <w:lang w:val="en-GB"/>
        </w:rPr>
        <w:t xml:space="preserve"> </w:t>
      </w:r>
      <w:r w:rsidR="00852FF1" w:rsidRPr="004E053C">
        <w:rPr>
          <w:rFonts w:cstheme="majorHAnsi"/>
          <w:sz w:val="22"/>
          <w:szCs w:val="22"/>
          <w:lang w:val="en-GB"/>
        </w:rPr>
        <w:t xml:space="preserve">shows that women and girls tend to be </w:t>
      </w:r>
      <w:r w:rsidRPr="004E053C">
        <w:rPr>
          <w:rFonts w:cstheme="majorHAnsi"/>
          <w:sz w:val="22"/>
          <w:szCs w:val="22"/>
          <w:lang w:val="en-GB"/>
        </w:rPr>
        <w:t xml:space="preserve">less interested in excessive consumption. Walsh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town","type":"article-journal","volume":"30"},"uris":["http://www.mendeley.com/documents/?uuid=e221bdbc-373c-4a27-aef2-b563e761557e"]}],"mendeley":{"formattedCitation":"(Walsh, 2003)","manualFormatting":"(2003)","plainTextFormattedCitation":"(Walsh, 2003)","previouslyFormattedCitation":"(Walsh, 2003)"},"properties":{"noteIndex":0},"schema":"https://github.com/citation-style-language/schema/raw/master/csl-citation.json"}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(2003)</w:t>
      </w:r>
      <w:r w:rsidRPr="004E053C">
        <w:rPr>
          <w:rFonts w:cstheme="majorHAnsi"/>
          <w:sz w:val="22"/>
          <w:szCs w:val="22"/>
          <w:lang w:val="en-GB"/>
        </w:rPr>
        <w:fldChar w:fldCharType="end"/>
      </w:r>
      <w:r w:rsidR="00852FF1" w:rsidRPr="004E053C">
        <w:rPr>
          <w:rFonts w:cstheme="majorHAnsi"/>
          <w:sz w:val="22"/>
          <w:szCs w:val="22"/>
          <w:lang w:val="en-GB"/>
        </w:rPr>
        <w:t xml:space="preserve"> argues that the</w:t>
      </w:r>
      <w:r w:rsidRPr="004E053C">
        <w:rPr>
          <w:rFonts w:cstheme="majorHAnsi"/>
          <w:sz w:val="22"/>
          <w:szCs w:val="22"/>
          <w:lang w:val="en-GB"/>
        </w:rPr>
        <w:t xml:space="preserve"> </w:t>
      </w:r>
      <w:r w:rsidR="00FF7888" w:rsidRPr="004E053C">
        <w:rPr>
          <w:rFonts w:eastAsia="Times New Roman" w:cstheme="majorHAnsi"/>
          <w:sz w:val="22"/>
          <w:szCs w:val="22"/>
          <w:lang w:val="en-GB"/>
        </w:rPr>
        <w:t>conspicuous</w:t>
      </w:r>
      <w:r w:rsidRPr="004E053C">
        <w:rPr>
          <w:rFonts w:eastAsia="Times New Roman" w:cstheme="majorHAnsi"/>
          <w:sz w:val="22"/>
          <w:szCs w:val="22"/>
          <w:lang w:val="en-GB"/>
        </w:rPr>
        <w:t xml:space="preserve"> consumption </w:t>
      </w:r>
      <w:r w:rsidR="00852FF1" w:rsidRPr="004E053C">
        <w:rPr>
          <w:rFonts w:eastAsia="Times New Roman" w:cstheme="majorHAnsi"/>
          <w:sz w:val="22"/>
          <w:szCs w:val="22"/>
          <w:lang w:val="en-GB"/>
        </w:rPr>
        <w:t xml:space="preserve">of these young men </w:t>
      </w:r>
      <w:r w:rsidRPr="004E053C">
        <w:rPr>
          <w:rFonts w:eastAsia="Times New Roman" w:cstheme="majorHAnsi"/>
          <w:sz w:val="22"/>
          <w:szCs w:val="22"/>
          <w:lang w:val="en-GB"/>
        </w:rPr>
        <w:t>reflects an unwillingness amongst to be rooted in place. This is interesting as it links consumption and investment to th</w:t>
      </w:r>
      <w:r w:rsidR="00852FF1" w:rsidRPr="004E053C">
        <w:rPr>
          <w:rFonts w:eastAsia="Times New Roman" w:cstheme="majorHAnsi"/>
          <w:sz w:val="22"/>
          <w:szCs w:val="22"/>
          <w:lang w:val="en-GB"/>
        </w:rPr>
        <w:t xml:space="preserve">e development of the community. However, </w:t>
      </w:r>
      <w:r w:rsidRPr="004E053C">
        <w:rPr>
          <w:rFonts w:eastAsia="Times New Roman" w:cstheme="majorHAnsi"/>
          <w:sz w:val="22"/>
          <w:szCs w:val="22"/>
          <w:lang w:val="en-GB"/>
        </w:rPr>
        <w:t>the spatial boundaries of the study are exceptionally narrow and do not consider flows of remittances between locations, despite the fact that this is known to be a key reason why people engage in ASM. Amongst other things, this masks the understanding of the role women play in ASM livelihood strategies.</w:t>
      </w:r>
    </w:p>
    <w:p w14:paraId="5922EA4F" w14:textId="77777777" w:rsidR="00D36963" w:rsidRPr="004E053C" w:rsidRDefault="00D36963" w:rsidP="004E053C">
      <w:pPr>
        <w:spacing w:line="360" w:lineRule="auto"/>
        <w:jc w:val="both"/>
        <w:rPr>
          <w:rFonts w:eastAsia="Times New Roman" w:cstheme="majorHAnsi"/>
          <w:sz w:val="22"/>
          <w:szCs w:val="22"/>
          <w:lang w:val="en-GB"/>
        </w:rPr>
      </w:pPr>
    </w:p>
    <w:p w14:paraId="2B83B7EF" w14:textId="3D83C61E" w:rsidR="00D36963" w:rsidRPr="004E053C" w:rsidRDefault="00D36963" w:rsidP="004E053C">
      <w:pPr>
        <w:spacing w:line="360" w:lineRule="auto"/>
        <w:jc w:val="both"/>
        <w:rPr>
          <w:rFonts w:eastAsia="Times New Roman" w:cstheme="majorHAnsi"/>
          <w:color w:val="333333"/>
          <w:sz w:val="22"/>
          <w:szCs w:val="22"/>
          <w:lang w:val="en-GB"/>
        </w:rPr>
      </w:pPr>
      <w:r w:rsidRPr="004E053C">
        <w:rPr>
          <w:rFonts w:cstheme="majorHAnsi"/>
          <w:bCs/>
          <w:sz w:val="22"/>
          <w:szCs w:val="22"/>
          <w:lang w:val="en-GB"/>
        </w:rPr>
        <w:t xml:space="preserve">In general, </w:t>
      </w:r>
      <w:r w:rsidRPr="004E053C">
        <w:rPr>
          <w:rFonts w:cstheme="majorHAnsi"/>
          <w:sz w:val="22"/>
          <w:szCs w:val="22"/>
          <w:lang w:val="en-GB"/>
        </w:rPr>
        <w:t xml:space="preserve">there has been little research on the miners’ communities of origin, other than the economic impact of remittances on household income and agricultural activities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ilson","given":"Gavin","non-dropping-particle":"","parse-names":false,"suffix":""},{"dropping-particle":"","family":"Garforth","given":"Chris","non-dropping-particle":"","parse-names":false,"suffix":""}],"container-title":"The Journal of Development Studies","id":"ITEM-1","issue":"3","issued":{"date-parts":[["2013"]]},"page":"348-364","title":"'Everyone now is concentrating on the mining': drivers and implications of rural economic transition in the eastern region of Ghana","type":"article-journal","volume":"49"},"uris":["http://www.mendeley.com/documents/?uuid=144ecbd2-a336-47a7-9ca9-283543d328fb"]},{"id":"ITEM-2","itemData":{"abstract":"Sierra Leone is currently emerging from a brutal civil war that lasted most of the 1990s, and now has the dubious distinction of being ranked among the world's poorest countries. As thousands of displaced people move back to their villages, a large proportion of the predominantly farm-based rural population are growing food crops for the first time in a decade. Alluvial diamond mining makes an important contribution to the national economy, though some would argue that Sierra Leone's diamonds are a 'resource curse'. Drawing upon research undertaken in the 1970s and also in the post-conflict period, the paper provides a longitudinal perspective on the complex links between the farming and mining sectors. Recent field research in Sierra Leone's Eastern Province, indicates that many links between farming and diamond mining have actually been maintained despite severe dislocation. These links could play a key role in rejuvenating market-oriented food production, providing the much-needed impetus for post-war rural development. In charting a future development trajectory, the paper recognizes the urgent need for an effective management scheme for both mining and marketing diamonds, given the potentially destabilizing effect on the country of the uncontrolled exploitation of this valuable resource. In this context, a recent community-based. integrated management initiative adopted by one local NGO, the Peace Diamond Alliance, is examined. If meaningful rural development is to be achieved among desperately poor communities, development strategies must be based on a detailed understanding of the nature of inter-locking livelihoods in the agricultural and mining sectors.","author":[{"dropping-particle":"","family":"Maconachie","given":"Roy","non-dropping-particle":"","parse-names":false,"suffix":""},{"dropping-particle":"","family":"Binns","given":"Tony","non-dropping-particle":"","parse-names":false,"suffix":""}],"container-title":"Journal of Rural Studies","id":"ITEM-2","issue":"3","issued":{"date-parts":[["2007"]]},"page":"367-380.","title":"’Farming miners’ or ‘mining farmers’? diamond mining and rural development in post-conflict Sierra Leone","type":"article-journal","volume":"23"},"uris":["http://www.mendeley.com/documents/?uuid=b8a19ddb-3ae9-4cb8-93f9-ed515d59f23f"]}],"mendeley":{"formattedCitation":"(Gavin Hilson &amp; Garforth, 2013; Maconachie &amp; Binns, 2007)","manualFormatting":"(Hilson &amp; Garforth, 2013; Maconachie &amp; Binns, 2007)","plainTextFormattedCitation":"(Gavin Hilson &amp; Garforth, 2013; Maconachie &amp; Binns, 2007)","previouslyFormattedCitation":"(Gavin Hilson &amp; Garforth, 2013; Maconachie &amp; Binns,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(Hilson &amp; Garforth, 2013; Maconachie &amp; Binns, 2007)</w:t>
      </w:r>
      <w:r w:rsidRPr="004E053C">
        <w:rPr>
          <w:rFonts w:cstheme="majorHAnsi"/>
          <w:sz w:val="22"/>
          <w:szCs w:val="22"/>
          <w:lang w:val="en-GB"/>
        </w:rPr>
        <w:fldChar w:fldCharType="end"/>
      </w:r>
      <w:r w:rsidRPr="004E053C">
        <w:rPr>
          <w:rFonts w:cstheme="majorHAnsi"/>
          <w:sz w:val="22"/>
          <w:szCs w:val="22"/>
          <w:lang w:val="en-GB"/>
        </w:rPr>
        <w:t xml:space="preserve">. While Dell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{"citationItems":[{"id":"ITEM-1","itemData":{"abstract":"For nearly a century, successive authorities in Mali have created a ‘local’ identity in southern Kayes that naturalises state authority and justifies various interventions in the name of ‘development’. This identity has been used as a pretext for agricultural development policies that attempt to limit people's geographical and political mobility and access to one of the region's most valuable natural resources – gold. Populations in southern Kayes, however, through artisanal gold mining (orpaillage), migration and transnational protest movements, have resisted both this ‘identity’ and the state interventions influenced by it, constructing competing political systems that challenge official discourse and state power. Today, as both governance and resistance to it become increasingly transnational, questions about the meaning of ‘local’ and ‘localness’ have become particularly salient. Rather than disappearing, however, the category has become entrenched in new power hierarchies that include migrant hometown associations, NGOs, mining companies and state governments.","author":[{"dropping-particle":"","family":"Dell","given":"Matthew","non-dropping-particle":"","parse-names":false,"suffix":""}],"container-title":"Journal of Intercultural Studies","id":"ITEM-1","issue":"5","issued":{"date-parts":[["2013"]]},"page":"584-603","title":"Undermining the ‘local’: migration, development and gold in southern Kayes","type":"article-journal","volume":"34"},"uris":["http://www.mendeley.com/documents/?uuid=53082f94-a03d-4f15-b058-64e0f38789dc"]}],"mendeley":{"formattedCitation":"(Dell, 2013)","manualFormatting":"(2013)","plainTextFormattedCitation":"(Dell, 2013)","previouslyFormattedCitation":"(Dell, 2013)"},"properties":{"noteIndex":0},"schema":"https://github.com/citation-style-language/schema/raw/master/csl-citation.json"}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(2013)</w:t>
      </w:r>
      <w:r w:rsidRPr="004E053C">
        <w:rPr>
          <w:rFonts w:cstheme="majorHAnsi"/>
          <w:sz w:val="22"/>
          <w:szCs w:val="22"/>
          <w:lang w:val="en-GB"/>
        </w:rPr>
        <w:fldChar w:fldCharType="end"/>
      </w:r>
      <w:r w:rsidRPr="004E053C">
        <w:rPr>
          <w:rFonts w:cstheme="majorHAnsi"/>
          <w:sz w:val="22"/>
          <w:szCs w:val="22"/>
          <w:lang w:val="en-GB"/>
        </w:rPr>
        <w:t xml:space="preserve"> has drawn on the migration literature to show that migrants change communities of origin when they migrate, he explored their relationships with the political elite and large-scale mining companies, rather than with each other. This lack of focus of communities of origin is p</w:t>
      </w:r>
      <w:r w:rsidR="00F67D08">
        <w:rPr>
          <w:rFonts w:cstheme="majorHAnsi"/>
          <w:sz w:val="22"/>
          <w:szCs w:val="22"/>
          <w:lang w:val="en-GB"/>
        </w:rPr>
        <w:t>art of the reason that women have tended to be</w:t>
      </w:r>
      <w:r w:rsidRPr="004E053C">
        <w:rPr>
          <w:rFonts w:cstheme="majorHAnsi"/>
          <w:sz w:val="22"/>
          <w:szCs w:val="22"/>
          <w:lang w:val="en-GB"/>
        </w:rPr>
        <w:t xml:space="preserve"> under-represented in the ASM literature. People who remain in origin communities are often thought of as constituting ‘left-behind</w:t>
      </w:r>
      <w:r w:rsidR="00FF7888" w:rsidRPr="004E053C">
        <w:rPr>
          <w:rFonts w:cstheme="majorHAnsi"/>
          <w:sz w:val="22"/>
          <w:szCs w:val="22"/>
          <w:lang w:val="en-GB"/>
        </w:rPr>
        <w:t>’</w:t>
      </w:r>
      <w:r w:rsidRPr="004E053C">
        <w:rPr>
          <w:rFonts w:cstheme="majorHAnsi"/>
          <w:sz w:val="22"/>
          <w:szCs w:val="22"/>
          <w:lang w:val="en-GB"/>
        </w:rPr>
        <w:t xml:space="preserve"> communities, but Jønsson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{"citationItems":[{"id":"ITEM-1","itemData":{"author":[{"dropping-particle":"","family":"Jónsson","given":"Gunvor","non-dropping-particle":"","parse-names":false,"suffix":""}],"container-title":"Spaces in Movement. New Perspectives on Migration in African Settings","editor":[{"dropping-particle":"","family":"Abdalla","given":"E.B.M","non-dropping-particle":"","parse-names":false,"suffix":""},{"dropping-particle":"","family":"Dias barros","given":"D","non-dropping-particle":"","parse-names":false,"suffix":""},{"dropping-particle":"","family":"Berthet","given":"M","non-dropping-particle":"","parse-names":false,"suffix":""}],"id":"ITEM-1","issued":{"date-parts":[["2014"]]},"page":"145-164","publisher":"Rüdiger Köppe","publisher-place":"Verlag","title":"Non-migant, sedentary, immobile or \"left behind\"? reflections on the absence of migration","type":"chapter"},"uris":["http://www.mendeley.com/documents/?uuid=3572bc97-3aba-4388-96d5-097231ac15ef"]}],"mendeley":{"formattedCitation":"(Jónsson, 2014)","manualFormatting":"(2014)","plainTextFormattedCitation":"(Jónsson, 2014)","previouslyFormattedCitation":"(Jónsson,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(2014)</w:t>
      </w:r>
      <w:r w:rsidRPr="004E053C">
        <w:rPr>
          <w:rFonts w:cstheme="majorHAnsi"/>
          <w:sz w:val="22"/>
          <w:szCs w:val="22"/>
          <w:lang w:val="en-GB"/>
        </w:rPr>
        <w:fldChar w:fldCharType="end"/>
      </w:r>
      <w:r w:rsidRPr="004E053C">
        <w:rPr>
          <w:rFonts w:eastAsia="Times New Roman" w:cstheme="majorHAnsi"/>
          <w:sz w:val="22"/>
          <w:szCs w:val="22"/>
          <w:lang w:val="en-GB"/>
        </w:rPr>
        <w:t xml:space="preserve"> argued that this term implies they are incapable of movement when we know that actually many women do engage in ASM, even if little is known about them. Outside of the ASM literature, Mondain and Daigne </w:t>
      </w:r>
      <w:r w:rsidRPr="004E053C">
        <w:rPr>
          <w:rFonts w:eastAsia="Times New Roman" w:cstheme="majorHAnsi"/>
          <w:sz w:val="22"/>
          <w:szCs w:val="22"/>
          <w:lang w:val="en-GB"/>
        </w:rPr>
        <w:fldChar w:fldCharType="begin" w:fldLock="1"/>
      </w:r>
      <w:r w:rsidRPr="004E053C">
        <w:rPr>
          <w:rFonts w:eastAsia="Times New Roman" w:cstheme="majorHAnsi"/>
          <w:sz w:val="22"/>
          <w:szCs w:val="22"/>
          <w:lang w:val="en-GB"/>
        </w:rPr>
        <w:instrText>ADDIN CSL_CITATION {"citationItems":[{"id":"ITEM-1","itemData":{"abstract":"When analysing migration processes, particular problems arise due to the phenomenon of migration rarely being addressed holistically – largely because of its complexity. This is evident in the study of South–North migrations, where the majority of existing research has been through an economic perspective often neglecting the sociocultural dimensions. In this article, we consider the situation of men and women in West Africa who do not migrate despite living in communities saturated by intense emigration to European or other Northern countries. We review the existing literature on ‘those left behind’ in general, and more specifically in the West African context and then, based on a case study in Senegal, we examine the processes that lead some people to stay behind, while others migrate. In this article, we discuss and deconstruct the label ‘left-behind’ as found in the literature and discuss it based on qualitative interviews conducted in a community in Senegal.","author":[{"dropping-particle":"","family":"Mondain","given":"Nathalie","non-dropping-particle":"","parse-names":false,"suffix":""},{"dropping-particle":"","family":"Daigne","given":"Alioune","non-dropping-particle":"","parse-names":false,"suffix":""}],"container-title":"Journal of Intercultural Studies","id":"ITEM-1","issue":"5","issued":{"date-parts":[["2013"]]},"page":"503-516","title":"Discerning the reality of ‘those left behind’ in contemporary migration processes in sub-Saharan Africa: some theoretical reflections in the light of data from Senegal","type":"article-journal","volume":"34"},"uris":["http://www.mendeley.com/documents/?uuid=808438ab-7a72-44d3-b9db-0cdc5adb0872"]}],"mendeley":{"formattedCitation":"(Mondain &amp; Daigne, 2013)","manualFormatting":"(2013)","plainTextFormattedCitation":"(Mondain &amp; Daigne, 2013)","previouslyFormattedCitation":"(Mondain &amp; Daigne, 2013)"},"properties":{"noteIndex":0},"schema":"https://github.com/citation-style-language/schema/raw/master/csl-citation.json"}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(2013)</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suggested that the term ‘household strategy’ in relation to livelihoods and migration is something of a misnomer, as it </w:t>
      </w:r>
      <w:r w:rsidRPr="004E053C">
        <w:rPr>
          <w:rFonts w:eastAsia="Times New Roman" w:cstheme="majorHAnsi"/>
          <w:sz w:val="22"/>
          <w:szCs w:val="22"/>
          <w:lang w:val="en-GB"/>
        </w:rPr>
        <w:lastRenderedPageBreak/>
        <w:t>supposes the existence of a consensus within households. Thus, women may not necessarily agree with their household’s livelihood strategy and</w:t>
      </w:r>
      <w:r w:rsidR="00FF7888" w:rsidRPr="004E053C">
        <w:rPr>
          <w:rFonts w:eastAsia="Times New Roman" w:cstheme="majorHAnsi"/>
          <w:sz w:val="22"/>
          <w:szCs w:val="22"/>
          <w:lang w:val="en-GB"/>
        </w:rPr>
        <w:t xml:space="preserve"> this may partly be due to the e</w:t>
      </w:r>
      <w:r w:rsidRPr="004E053C">
        <w:rPr>
          <w:rFonts w:eastAsia="Times New Roman" w:cstheme="majorHAnsi"/>
          <w:sz w:val="22"/>
          <w:szCs w:val="22"/>
          <w:lang w:val="en-GB"/>
        </w:rPr>
        <w:t xml:space="preserve">ffects that strategy has on their own experience of autonomy. For example, while male migration may increase a woman’s autonomy, at least during their husband’s absence, other women suffer from increasing ties of material dependency </w:t>
      </w:r>
      <w:r w:rsidRPr="004E053C">
        <w:rPr>
          <w:rFonts w:eastAsia="Times New Roman" w:cstheme="majorHAnsi"/>
          <w:sz w:val="22"/>
          <w:szCs w:val="22"/>
          <w:lang w:val="en-GB"/>
        </w:rPr>
        <w:fldChar w:fldCharType="begin" w:fldLock="1"/>
      </w:r>
      <w:r w:rsidRPr="004E053C">
        <w:rPr>
          <w:rFonts w:eastAsia="Times New Roman" w:cstheme="majorHAnsi"/>
          <w:sz w:val="22"/>
          <w:szCs w:val="22"/>
          <w:lang w:val="en-GB"/>
        </w:rPr>
        <w:instrText>ADDIN CSL_CITATION {"citationItems":[{"id":"ITEM-1","itemData":{"abstract":"When analysing migration processes, particular problems arise due to the phenomenon of migration rarely being addressed holistically – largely because of its complexity. This is evident in the study of South–North migrations, where the majority of existing research has been through an economic perspective often neglecting the sociocultural dimensions. In this article, we consider the situation of men and women in West Africa who do not migrate despite living in communities saturated by intense emigration to European or other Northern countries. We review the existing literature on ‘those left behind’ in general, and more specifically in the West African context and then, based on a case study in Senegal, we examine the processes that lead some people to stay behind, while others migrate. In this article, we discuss and deconstruct the label ‘left-behind’ as found in the literature and discuss it based on qualitative interviews conducted in a community in Senegal.","author":[{"dropping-particle":"","family":"Mondain","given":"Nathalie","non-dropping-particle":"","parse-names":false,"suffix":""},{"dropping-particle":"","family":"Daigne","given":"Alioune","non-dropping-particle":"","parse-names":false,"suffix":""}],"container-title":"Journal of Intercultural Studies","id":"ITEM-1","issue":"5","issued":{"date-parts":[["2013"]]},"page":"503-516","title":"Discerning the reality of ‘those left behind’ in contemporary migration processes in sub-Saharan Africa: some theoretical reflections in the light of data from Senegal","type":"article-journal","volume":"34"},"uris":["http://www.mendeley.com/documents/?uuid=808438ab-7a72-44d3-b9db-0cdc5adb0872"]}],"mendeley":{"formattedCitation":"(Mondain &amp; Daigne, 2013)","manualFormatting":"(Ibid.)","plainTextFormattedCitation":"(Mondain &amp; Daigne, 2013)","previouslyFormattedCitation":"(Mondain &amp; Daigne, 2013)"},"properties":{"noteIndex":0},"schema":"https://github.com/citation-style-language/schema/raw/master/csl-citation.json"}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(Ibid.)</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They have also commented on the impact of outmigration on other non-migrating community members, showing that they often view migration as robbing the community of its life force </w:t>
      </w:r>
      <w:r w:rsidRPr="004E053C">
        <w:rPr>
          <w:rFonts w:eastAsia="Times New Roman" w:cstheme="majorHAnsi"/>
          <w:sz w:val="22"/>
          <w:szCs w:val="22"/>
          <w:lang w:val="en-GB"/>
        </w:rPr>
        <w:fldChar w:fldCharType="begin" w:fldLock="1"/>
      </w:r>
      <w:r w:rsidRPr="004E053C">
        <w:rPr>
          <w:rFonts w:eastAsia="Times New Roman" w:cstheme="majorHAnsi"/>
          <w:sz w:val="22"/>
          <w:szCs w:val="22"/>
          <w:lang w:val="en-GB"/>
        </w:rPr>
        <w:instrText>ADDIN CSL_CITATION {"citationItems":[{"id":"ITEM-1","itemData":{"abstract":"When analysing migration processes, particular problems arise due to the phenomenon of migration rarely being addressed holistically – largely because of its complexity. This is evident in the study of South–North migrations, where the majority of existing research has been through an economic perspective often neglecting the sociocultural dimensions. In this article, we consider the situation of men and women in West Africa who do not migrate despite living in communities saturated by intense emigration to European or other Northern countries. We review the existing literature on ‘those left behind’ in general, and more specifically in the West African context and then, based on a case study in Senegal, we examine the processes that lead some people to stay behind, while others migrate. In this article, we discuss and deconstruct the label ‘left-behind’ as found in the literature and discuss it based on qualitative interviews conducted in a community in Senegal.","author":[{"dropping-particle":"","family":"Mondain","given":"Nathalie","non-dropping-particle":"","parse-names":false,"suffix":""},{"dropping-particle":"","family":"Daigne","given":"Alioune","non-dropping-particle":"","parse-names":false,"suffix":""}],"container-title":"Journal of Intercultural Studies","id":"ITEM-1","issue":"5","issued":{"date-parts":[["2013"]]},"page":"503-516","title":"Discerning the reality of ‘those left behind’ in contemporary migration processes in sub-Saharan Africa: some theoretical reflections in the light of data from Senegal","type":"article-journal","volume":"34"},"uris":["http://www.mendeley.com/documents/?uuid=808438ab-7a72-44d3-b9db-0cdc5adb0872"]}],"mendeley":{"formattedCitation":"(Mondain &amp; Daigne, 2013)","manualFormatting":"(Ibid.)","plainTextFormattedCitation":"(Mondain &amp; Daigne, 2013)","previouslyFormattedCitation":"(Mondain &amp; Daigne, 2013)"},"properties":{"noteIndex":0},"schema":"https://github.com/citation-style-language/schema/raw/master/csl-citation.json"}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(Ibid.)</w:t>
      </w:r>
      <w:r w:rsidRPr="004E053C">
        <w:rPr>
          <w:rFonts w:eastAsia="Times New Roman" w:cstheme="majorHAnsi"/>
          <w:sz w:val="22"/>
          <w:szCs w:val="22"/>
          <w:lang w:val="en-GB"/>
        </w:rPr>
        <w:fldChar w:fldCharType="end"/>
      </w:r>
      <w:r w:rsidR="00E65D31" w:rsidRPr="004E053C">
        <w:rPr>
          <w:rFonts w:eastAsia="Times New Roman" w:cstheme="majorHAnsi"/>
          <w:sz w:val="22"/>
          <w:szCs w:val="22"/>
          <w:lang w:val="en-GB"/>
        </w:rPr>
        <w:t>.</w:t>
      </w:r>
      <w:r w:rsidRPr="004E053C">
        <w:rPr>
          <w:rFonts w:eastAsia="Times New Roman" w:cstheme="majorHAnsi"/>
          <w:sz w:val="22"/>
          <w:szCs w:val="22"/>
          <w:lang w:val="en-GB"/>
        </w:rPr>
        <w:t xml:space="preserve"> Such dynamics have not been considered directly in terms of ASM, which is due to the lack of focus on the wider social field of translocal ASM communities. As noted earlier, Werthmann </w:t>
      </w:r>
      <w:r w:rsidRPr="004E053C">
        <w:rPr>
          <w:rFonts w:eastAsia="Times New Roman" w:cstheme="majorHAnsi"/>
          <w:sz w:val="22"/>
          <w:szCs w:val="22"/>
          <w:lang w:val="en-GB"/>
        </w:rPr>
        <w:fldChar w:fldCharType="begin" w:fldLock="1"/>
      </w:r>
      <w:r w:rsidRPr="004E053C">
        <w:rPr>
          <w:rFonts w:eastAsia="Times New Roman" w:cstheme="majorHAnsi"/>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(2010)</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has acknowledged that the fluidity of ASM builds a translocal mining community, but she limits this understanding to the interconnections between various mining sites and does not consider communities of origin. </w:t>
      </w:r>
      <w:r w:rsidR="000F1591" w:rsidRPr="004E053C">
        <w:rPr>
          <w:rFonts w:cstheme="majorHAnsi"/>
          <w:sz w:val="22"/>
          <w:szCs w:val="22"/>
          <w:lang w:val="en-GB"/>
        </w:rPr>
        <w:t xml:space="preserve">Dell </w:t>
      </w:r>
      <w:r w:rsidR="000F1591" w:rsidRPr="004E053C">
        <w:rPr>
          <w:rFonts w:cstheme="majorHAnsi"/>
          <w:sz w:val="22"/>
          <w:szCs w:val="22"/>
          <w:lang w:val="en-GB"/>
        </w:rPr>
        <w:fldChar w:fldCharType="begin" w:fldLock="1"/>
      </w:r>
      <w:r w:rsidR="000F1591" w:rsidRPr="004E053C">
        <w:rPr>
          <w:rFonts w:cstheme="majorHAnsi"/>
          <w:sz w:val="22"/>
          <w:szCs w:val="22"/>
          <w:lang w:val="en-GB"/>
        </w:rPr>
        <w:instrText>ADDIN CSL_CITATION {"citationItems":[{"id":"ITEM-1","itemData":{"abstract":"For nearly a century, successive authorities in Mali have created a ‘local’ identity in southern Kayes that naturalises state authority and justifies various interventions in the name of ‘development’. This identity has been used as a pretext for agricultural development policies that attempt to limit people's geographical and political mobility and access to one of the region's most valuable natural resources – gold. Populations in southern Kayes, however, through artisanal gold mining (orpaillage), migration and transnational protest movements, have resisted both this ‘identity’ and the state interventions influenced by it, constructing competing political systems that challenge official discourse and state power. Today, as both governance and resistance to it become increasingly transnational, questions about the meaning of ‘local’ and ‘localness’ have become particularly salient. Rather than disappearing, however, the category has become entrenched in new power hierarchies that include migrant hometown associations, NGOs, mining companies and state governments.","author":[{"dropping-particle":"","family":"Dell","given":"Matthew","non-dropping-particle":"","parse-names":false,"suffix":""}],"container-title":"Journal of Intercultural Studies","id":"ITEM-1","issue":"5","issued":{"date-parts":[["2013"]]},"page":"584-603","title":"Undermining the ‘local’: migration, development and gold in southern Kayes","type":"article-journal","volume":"34"},"uris":["http://www.mendeley.com/documents/?uuid=53082f94-a03d-4f15-b058-64e0f38789dc"]}],"mendeley":{"formattedCitation":"(Dell, 2013)","manualFormatting":"(2013)","plainTextFormattedCitation":"(Dell, 2013)","previouslyFormattedCitation":"(Dell, 2013)"},"properties":{"noteIndex":0},"schema":"https://github.com/citation-style-language/schema/raw/master/csl-citation.json"}</w:instrText>
      </w:r>
      <w:r w:rsidR="000F1591" w:rsidRPr="004E053C">
        <w:rPr>
          <w:rFonts w:cstheme="majorHAnsi"/>
          <w:sz w:val="22"/>
          <w:szCs w:val="22"/>
          <w:lang w:val="en-GB"/>
        </w:rPr>
        <w:fldChar w:fldCharType="separate"/>
      </w:r>
      <w:r w:rsidR="000F1591" w:rsidRPr="004E053C">
        <w:rPr>
          <w:rFonts w:cstheme="majorHAnsi"/>
          <w:noProof/>
          <w:sz w:val="22"/>
          <w:szCs w:val="22"/>
          <w:lang w:val="en-GB"/>
        </w:rPr>
        <w:t>(2013)</w:t>
      </w:r>
      <w:r w:rsidR="000F1591" w:rsidRPr="004E053C">
        <w:rPr>
          <w:rFonts w:cstheme="majorHAnsi"/>
          <w:sz w:val="22"/>
          <w:szCs w:val="22"/>
          <w:lang w:val="en-GB"/>
        </w:rPr>
        <w:fldChar w:fldCharType="end"/>
      </w:r>
      <w:r w:rsidRPr="004E053C">
        <w:rPr>
          <w:rFonts w:cstheme="majorHAnsi"/>
          <w:sz w:val="22"/>
          <w:szCs w:val="22"/>
          <w:lang w:val="en-GB"/>
        </w:rPr>
        <w:t xml:space="preserve"> has however argued that a multi-sited analysis of mining migrants should provide an understan</w:t>
      </w:r>
      <w:r w:rsidR="00130A52">
        <w:rPr>
          <w:rFonts w:cstheme="majorHAnsi"/>
          <w:sz w:val="22"/>
          <w:szCs w:val="22"/>
          <w:lang w:val="en-GB"/>
        </w:rPr>
        <w:t xml:space="preserve">ding of how those who are ‘left </w:t>
      </w:r>
      <w:r w:rsidRPr="004E053C">
        <w:rPr>
          <w:rFonts w:cstheme="majorHAnsi"/>
          <w:sz w:val="22"/>
          <w:szCs w:val="22"/>
          <w:lang w:val="en-GB"/>
        </w:rPr>
        <w:t xml:space="preserve">behind’ contribute to the success of migrant livelihoods and also how that migration changes the community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{"citationItems":[{"id":"ITEM-1","itemData":{"abstract":"When analysing migration processes, particular problems arise due to the phenomenon of migration rarely being addressed holistically – largely because of its complexity. This is evident in the study of South–North migrations, where the majority of existing research has been through an economic perspective often neglecting the sociocultural dimensions. In this article, we consider the situation of men and women in West Africa who do not migrate despite living in communities saturated by intense emigration to European or other Northern countries. We review the existing literature on ‘those left behind’ in general, and more specifically in the West African context and then, based on a case study in Senegal, we examine the processes that lead some people to stay behind, while others migrate. In this article, we discuss and deconstruct the label ‘left-behind’ as found in the literature and discuss it based on qualitative interviews conducted in a community in Senegal.","author":[{"dropping-particle":"","family":"Mondain","given":"Nathalie","non-dropping-particle":"","parse-names":false,"suffix":""},{"dropping-particle":"","family":"Daigne","given":"Alioune","non-dropping-particle":"","parse-names":false,"suffix":""}],"container-title":"Journal of Intercultural Studies","id":"ITEM-1","issue":"5","issued":{"date-parts":[["2013"]]},"page":"503-516","title":"Discerning the reality of ‘those left behind’ in contemporary migration processes in sub-Saharan Africa: some theoretical reflections in the light of data from Senegal","type":"article-journal","volume":"34"},"uris":["http://www.mendeley.com/documents/?uuid=808438ab-7a72-44d3-b9db-0cdc5adb0872"]}],"mendeley":{"formattedCitation":"(Mondain &amp; Daigne, 2013)","plainTextFormattedCitation":"(Mondain &amp; Daigne, 2013)","previouslyFormattedCitation":"(Mondain &amp; Daigne, 2013)"},"properties":{"noteIndex":0},"schema":"https://github.com/citation-style-language/schema/raw/master/csl-citation.json"}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(Mondain &amp; Daigne, 2013)</w:t>
      </w:r>
      <w:r w:rsidRPr="004E053C">
        <w:rPr>
          <w:rFonts w:cstheme="majorHAnsi"/>
          <w:sz w:val="22"/>
          <w:szCs w:val="22"/>
          <w:lang w:val="en-GB"/>
        </w:rPr>
        <w:fldChar w:fldCharType="end"/>
      </w:r>
      <w:r w:rsidRPr="004E053C">
        <w:rPr>
          <w:rFonts w:eastAsia="Times New Roman" w:cstheme="majorHAnsi"/>
          <w:color w:val="333333"/>
          <w:sz w:val="22"/>
          <w:szCs w:val="22"/>
          <w:lang w:val="en-GB"/>
        </w:rPr>
        <w:t>.</w:t>
      </w:r>
    </w:p>
    <w:p w14:paraId="7734207D" w14:textId="77777777" w:rsidR="00D36963" w:rsidRPr="004E053C" w:rsidRDefault="00D36963" w:rsidP="004E053C">
      <w:pPr>
        <w:spacing w:line="360" w:lineRule="auto"/>
        <w:jc w:val="both"/>
        <w:rPr>
          <w:rFonts w:cstheme="majorHAnsi"/>
          <w:sz w:val="22"/>
          <w:szCs w:val="22"/>
          <w:lang w:val="en-GB"/>
        </w:rPr>
      </w:pPr>
    </w:p>
    <w:p w14:paraId="25CF655B" w14:textId="77777777" w:rsidR="00D36963" w:rsidRPr="004E053C" w:rsidRDefault="00D36963" w:rsidP="004E053C">
      <w:pPr>
        <w:pStyle w:val="Heading2"/>
        <w:spacing w:before="0" w:line="360" w:lineRule="auto"/>
        <w:jc w:val="both"/>
        <w:rPr>
          <w:lang w:val="en-GB"/>
        </w:rPr>
      </w:pPr>
      <w:bookmarkStart w:id="23" w:name="_Toc424671875"/>
      <w:bookmarkStart w:id="24" w:name="_Toc428636325"/>
      <w:bookmarkStart w:id="25" w:name="_Toc33293079"/>
      <w:r w:rsidRPr="004E053C">
        <w:rPr>
          <w:lang w:val="en-GB"/>
        </w:rPr>
        <w:t>2.5. Mining and identity</w:t>
      </w:r>
      <w:bookmarkEnd w:id="23"/>
      <w:bookmarkEnd w:id="24"/>
      <w:bookmarkEnd w:id="25"/>
    </w:p>
    <w:p w14:paraId="207016F9" w14:textId="77777777" w:rsidR="00D36963" w:rsidRPr="004E053C" w:rsidRDefault="00D36963" w:rsidP="004E053C">
      <w:pPr>
        <w:spacing w:line="360" w:lineRule="auto"/>
        <w:jc w:val="both"/>
        <w:rPr>
          <w:rFonts w:cstheme="majorHAnsi"/>
          <w:b/>
          <w:bCs/>
          <w:color w:val="1F1F1F"/>
          <w:sz w:val="22"/>
          <w:szCs w:val="22"/>
          <w:lang w:val="en-GB"/>
        </w:rPr>
      </w:pPr>
    </w:p>
    <w:p w14:paraId="072E09CE" w14:textId="22C65784" w:rsidR="00D36963" w:rsidRPr="004E053C" w:rsidRDefault="00D36963" w:rsidP="004E053C">
      <w:pPr>
        <w:spacing w:line="360" w:lineRule="auto"/>
        <w:jc w:val="both"/>
        <w:rPr>
          <w:rFonts w:cstheme="majorHAnsi"/>
          <w:b/>
          <w:bCs/>
          <w:color w:val="1F1F1F"/>
          <w:sz w:val="22"/>
          <w:szCs w:val="22"/>
          <w:lang w:val="en-GB"/>
        </w:rPr>
      </w:pPr>
      <w:r w:rsidRPr="004E053C">
        <w:rPr>
          <w:rFonts w:cstheme="majorHAnsi"/>
          <w:sz w:val="22"/>
          <w:szCs w:val="22"/>
          <w:lang w:val="en-GB"/>
        </w:rPr>
        <w:t>The focus on ASM a</w:t>
      </w:r>
      <w:r w:rsidR="00277027">
        <w:rPr>
          <w:rFonts w:cstheme="majorHAnsi"/>
          <w:sz w:val="22"/>
          <w:szCs w:val="22"/>
          <w:lang w:val="en-GB"/>
        </w:rPr>
        <w:t xml:space="preserve">s purely transitory and poverty </w:t>
      </w:r>
      <w:r w:rsidRPr="004E053C">
        <w:rPr>
          <w:rFonts w:cstheme="majorHAnsi"/>
          <w:sz w:val="22"/>
          <w:szCs w:val="22"/>
          <w:lang w:val="en-GB"/>
        </w:rPr>
        <w:t xml:space="preserve">driven obscures those who do not see their involvement in the sector as temporary. It also rather ignores the fact that ASM can offer wealth creation and the chance of social mobility, resulting in the sector being socially segmented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Studies","id":"ITEM-1","issue":"Part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transformation","type":"article-journal","volume":"47"},"uris":["http://www.mendeley.com/documents/?uuid=fb82d0a5-64cc-4673-b8d8-4ea22e3fb839"]}],"mendeley":{"formattedCitation":"(Verbrugge, 2016)","plainTextFormattedCitation":"(Verbrugge, 2016)","previouslyFormattedCitation":"(Verbrugge, 2016)"},"properties":{"noteIndex":0},"schema":"https://github.com/citation-style-language/schema/raw/master/csl-citation.json"}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(Verbrugge, 2016)</w:t>
      </w:r>
      <w:r w:rsidRPr="004E053C">
        <w:rPr>
          <w:rFonts w:cstheme="majorHAnsi"/>
          <w:sz w:val="22"/>
          <w:szCs w:val="22"/>
          <w:lang w:val="en-GB"/>
        </w:rPr>
        <w:fldChar w:fldCharType="end"/>
      </w:r>
      <w:r w:rsidRPr="004E053C">
        <w:rPr>
          <w:rFonts w:cstheme="majorHAnsi"/>
          <w:sz w:val="22"/>
          <w:szCs w:val="22"/>
          <w:lang w:val="en-GB"/>
        </w:rPr>
        <w:t xml:space="preserve">. This section will introduce the discussions on identity in the ASM literature, which have primarily centered on the development of a professional identity. It shows however that the literature has rarely considered the illegal nature of the mining profession when exploring issues concerning identity. The last section highlights some existing evidence on how both migration and the views of dominant society may affect identity. Both are shown to be as yet, relatively under researched.  </w:t>
      </w:r>
    </w:p>
    <w:p w14:paraId="0C3AD1EC" w14:textId="77777777" w:rsidR="00D36963" w:rsidRPr="004E053C" w:rsidRDefault="00D36963" w:rsidP="004E053C">
      <w:pPr>
        <w:spacing w:line="360" w:lineRule="auto"/>
        <w:jc w:val="both"/>
        <w:rPr>
          <w:rFonts w:cstheme="majorHAnsi"/>
          <w:b/>
          <w:bCs/>
          <w:color w:val="1F1F1F"/>
          <w:sz w:val="22"/>
          <w:szCs w:val="22"/>
          <w:lang w:val="en-GB"/>
        </w:rPr>
      </w:pPr>
    </w:p>
    <w:p w14:paraId="4793F30C" w14:textId="7D9C19FD" w:rsidR="00D36963" w:rsidRPr="004E053C" w:rsidRDefault="00D36963" w:rsidP="004E053C">
      <w:pPr>
        <w:spacing w:line="360" w:lineRule="auto"/>
        <w:jc w:val="both"/>
        <w:rPr>
          <w:rFonts w:cstheme="majorHAnsi"/>
          <w:sz w:val="22"/>
          <w:szCs w:val="22"/>
          <w:lang w:val="en-GB"/>
        </w:rPr>
      </w:pPr>
      <w:r w:rsidRPr="004E053C">
        <w:rPr>
          <w:rFonts w:cstheme="majorHAnsi"/>
          <w:sz w:val="22"/>
          <w:szCs w:val="22"/>
          <w:lang w:val="en-GB"/>
        </w:rPr>
        <w:t xml:space="preserve">There are plenty of miners across the world who view ASM as a profession or vocation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Policy","id":"ITEM-1","issue":"1-2","issued":{"date-parts":[["2009"]]},"page":"24-31","title":"Recognizing and nurturing artisanal mining as a viable livelihood","type":"article-journal","volume":"34"},"uris":["http://www.mendeley.com/documents/?uuid=5831bb71-6055-493f-9a5a-64dcd06bad59"]},{"id":"ITEM-2","itemData":{"author":[{"dropping-particle":"","family":"Seeling","given":"Andrea","non-dropping-particle":"","parse-names":false,"suffix":""}],"id":"ITEM-2","issued":{"date-parts":[["2002"]]},"number-of-pages":"33","publisher-place":"Birmingham","title":"Field Research into the socio-economic and social impact of artisanal and small-scale mining in Peru","type":"report"},"uris":["http://www.mendeley.com/documents/?uuid=f9f3549a-9bcd-37b8-93f3-416c5f58ec76"]}],"mendeley":{"formattedCitation":"(Seeling, 2002; Tschakert, 2009)","manualFormatting":"(Seeling, 2002; Tschakert, 2009; de Theije and Heemskerk, 2009)","plainTextFormattedCitation":"(Seeling, 2002; Tschakert, 2009)","previouslyFormattedCitation":"(Seeling, 2002; Tschakert,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(Seeling, 2002; Tschakert, 2009; de Theije and Heemskerk, 2009)</w:t>
      </w:r>
      <w:r w:rsidRPr="004E053C">
        <w:rPr>
          <w:rFonts w:cstheme="majorHAnsi"/>
          <w:sz w:val="22"/>
          <w:szCs w:val="22"/>
          <w:lang w:val="en-GB"/>
        </w:rPr>
        <w:fldChar w:fldCharType="end"/>
      </w:r>
      <w:r w:rsidRPr="004E053C">
        <w:rPr>
          <w:rFonts w:cstheme="majorHAnsi"/>
          <w:sz w:val="22"/>
          <w:szCs w:val="22"/>
          <w:lang w:val="en-GB"/>
        </w:rPr>
        <w:t xml:space="preserve">, and have social mobility aspirations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Change","id":"ITEM-1","issue":"2","issued":{"date-parts":[["2009"]]},"page":"249-279","title":"Rushing for gold: mobility and small-scale mining in East Africa","type":"article-journal","volume":"40"},"uris":["http://www.mendeley.com/documents/?uuid=de9c4f73-7d08-4fe3-9443-72b7c45b2369"]}],"mendeley":{"formattedCitation":"(Jønsson &amp; Bryceson, 2009)","plainTextFormattedCitation":"(Jønsson &amp; Bryceson, 2009)","previouslyFormattedCitation":"(Jønsson &amp; Bryceson,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(Jønsson &amp; Bryceson, 2009)</w:t>
      </w:r>
      <w:r w:rsidRPr="004E053C">
        <w:rPr>
          <w:rFonts w:cstheme="majorHAnsi"/>
          <w:sz w:val="22"/>
          <w:szCs w:val="22"/>
          <w:lang w:val="en-GB"/>
        </w:rPr>
        <w:fldChar w:fldCharType="end"/>
      </w:r>
      <w:r w:rsidRPr="004E053C">
        <w:rPr>
          <w:rFonts w:cstheme="majorHAnsi"/>
          <w:sz w:val="22"/>
          <w:szCs w:val="22"/>
          <w:lang w:val="en-GB"/>
        </w:rPr>
        <w:t xml:space="preserve">. Banchirigah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paper argues that artisanal mining communities are somewhat bound to their operations, and helps explain why formalisation, alternative livelihood projects and military intervention-the traditional strategies employed by governments to tackle illegal mining-have proved ineffective. Findings from recent research carried out in Noyem (Eastern Region of Ghana) are used to illustrate why illegal artisanal mining is such a deeply rooted activity in sub-Saharan Africa. The analysis provides four explanations in support of this: a heavy involvement of traditional leaders in operations; the mindsets of many operators toward alternative income-earning activities; the numerous and diverse range of employment opportunities provided by the sector; and the level of investment in operations. © 2007 Elsevier Ltd. All rights reserved.","author":[{"dropping-particle":"","family":"Banchirigah","given":"Sadia Mohammed","non-dropping-particle":"","parse-names":false,"suffix":""}],"container-title":"Resources Policy","id":"ITEM-1","issue":"1","issued":{"date-parts":[["2008"]]},"page":"29-38","title":"Challenges with eradicating illegal mining in Ghana: a perspective from the grassroots","type":"article-journal","volume":"33"},"uris":["http://www.mendeley.com/documents/?uuid=2da23185-b489-444d-82dd-fb3c99389883"]}],"mendeley":{"formattedCitation":"(Banchirigah, 2008)","manualFormatting":"(2008)","plainTextFormattedCitation":"(Banchirigah, 2008)","previouslyFormattedCitation":"(Banchirigah, 2008)"},"properties":{"noteIndex":0},"schema":"https://github.com/citation-style-language/schema/raw/master/csl-citation.json"}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(2008)</w:t>
      </w:r>
      <w:r w:rsidRPr="004E053C">
        <w:rPr>
          <w:rFonts w:cstheme="majorHAnsi"/>
          <w:sz w:val="22"/>
          <w:szCs w:val="22"/>
          <w:lang w:val="en-GB"/>
        </w:rPr>
        <w:fldChar w:fldCharType="end"/>
      </w:r>
      <w:r w:rsidRPr="004E053C">
        <w:rPr>
          <w:rFonts w:cstheme="majorHAnsi"/>
          <w:sz w:val="22"/>
          <w:szCs w:val="22"/>
          <w:lang w:val="en-GB"/>
        </w:rPr>
        <w:t xml:space="preserve">, has noted that many miners </w:t>
      </w:r>
      <w:r w:rsidR="00D45AB8">
        <w:rPr>
          <w:rFonts w:cstheme="majorHAnsi"/>
          <w:sz w:val="22"/>
          <w:szCs w:val="22"/>
          <w:lang w:val="en-GB"/>
        </w:rPr>
        <w:t xml:space="preserve">in Ghana </w:t>
      </w:r>
      <w:r w:rsidRPr="004E053C">
        <w:rPr>
          <w:rFonts w:cstheme="majorHAnsi"/>
          <w:sz w:val="22"/>
          <w:szCs w:val="22"/>
          <w:lang w:val="en-GB"/>
        </w:rPr>
        <w:t xml:space="preserve">insist that they enjoy their work, despite the documented hardship. The strong mining identity means that policies to discourage working in the ASM sector through offering alternative livelihoods ultimately fail as the reasons for involvement in ASM are far more complex than simply poverty alleviation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Policy","id":"ITEM-1","issue":"1-2","issued":{"date-parts":[["2009"]]},"page":"24-31","title":"Recognizing and nurturing artisanal mining as a viable livelihood","type":"article-journal","volume":"34"},"uris":["http://www.mendeley.com/documents/?uuid=5831bb71-6055-493f-9a5a-64dcd06bad59"]},{"id":"ITEM-2","itemData":{"abstract":"This paper argues that artisanal mining communities are somewhat bound to their operations, and helps explain why formalisation, alternative livelihood projects and military intervention-the traditional strategies employed by governments to tackle illegal mining-have proved ineffective. Findings from recent research carried out in Noyem (Eastern Region of Ghana) are used to illustrate why illegal artisanal mining is such a deeply rooted activity in sub-Saharan Africa. The analysis provides four explanations in support of this: a heavy involvement of traditional leaders in operations; the mindsets of many operators toward alternative income-earning activities; the numerous and diverse range of employment opportunities provided by the sector; and the level of investment in operations. © 2007 Elsevier Ltd. All rights reserved.","author":[{"dropping-particle":"","family":"Banchirigah","given":"Sadia Mohammed","non-dropping-particle":"","parse-names":false,"suffix":""}],"container-title":"Resources Policy","id":"ITEM-2","issue":"1","issued":{"date-parts":[["2008"]]},"page":"29-38","title":"Challenges with eradicating illegal mining in Ghana: a perspective from the grassroots","type":"article-journal","volume":"33"},"uris":["http://www.mendeley.com/documents/?uuid=2da23185-b489-444d-82dd-fb3c99389883"]},{"id":"ITEM-3","itemData":{"abstract":"This paper critiques the approach being taken in Ghana to implement Alternative Livelihood (AL) projects in mining communities. The rapid insurgence of illegal artisanal gold mining has forced policymakers to think more creatively about ways in which to deal with mounting unemployment in the country’s rural areas. Most of the economic activities being promoted, however, have proved highly unpopular with target groups. The adopted policy approaches reflect how little in tune the organisations championing AL activities are with the mindsets and ambitions of rural populations.","author":[{"dropping-particle":"","family":"Hilson","given":"Gavin","non-dropping-particle":"","parse-names":false,"suffix":""},{"dropping-particle":"","family":"Banchirigah","given":"Sadia Mohammed","non-dropping-particle":"","parse-names":false,"suffix":""}],"container-title":"Journal of Development Studies","id":"ITEM-3","issue":"2","issued":{"date-parts":[["2009"]]},"page":"172-196","title":"Are alternative livelihood projects alleviating poverty in mining communities? Experiences from Ghana","type":"article-journal","volume":"45"},"uris":["http://www.mendeley.com/documents/?uuid=2620f817-3676-4358-afd5-01c808524c5d"]},{"id":"ITEM-4","itemData":{"abstract":"This article is one of three synthesis reports resulting from an integrated assessment (IA) of artisanal and small-scale gold mining (ASGM) in Ghana. Given the complexities that involve multiple drivers and diverse disciplines influencing ASGM, an IA framework was used to analyze economic, social, health, and environmental data and to co-develop evidence-based responses in collaboration with pertinent stakeholders. We look at both micro- and macro-economic processes surrounding ASGM, including causes, challenges, and consequences. At the micro-level, social and economic evidence suggests that the principal reasons whereby most people engage in ASGM involve “push” factors aimed at meeting livelihood goals. ASGM provides an important source of income for both proximate and distant communities, representing a means of survival for impoverished farmers as well as an engine for small business growth. However, miners and their families often end up in a “poverty trap” of low productivity and indebtedness, which reduce even further their economic options. At a macro level, Ghana’s ASGM activities contribute significantly to the national economy even though they are sometimes operating illegally and at a disadvantage compared to large-scale industrial mining companies. Nevertheless, complex issues of land tenure, social stability, mining regulation and taxation, and environmental degradation undermine the viability and sustainability of ASGM as a livelihood strategy. Although more research is needed to understand these complex relationships, we point to key findings and insights from social science and economics research that can guide policies and actions aimed to address the unique challenges of ASGM in Ghana and elsewhere.","author":[{"dropping-particle":"","family":"Wilson","given":"Mark L.","non-dropping-particle":"","parse-names":false,"suffix":""},{"dropping-particle":"","family":"Renne","given":"Elisha","non-dropping-particle":"","parse-names":false,"suffix":""},{"dropping-particle":"","family":"Roncoli","given":"Carla","non-dropping-particle":"","parse-names":false,"suffix":""},{"dropping-particle":"","family":"Agyei-Baffour","given":"Peter","non-dropping-particle":"","parse-names":false,"suffix":""},{"dropping-particle":"","family":"Tenkorang","given":"Emmanuel Yamoah","non-dropping-particle":"","parse-names":false,"suffix":""}],"container-title":"International Journal of Environmental Research and Public Health","id":"ITEM-4","issue":"7","issued":{"date-parts":[["2015"]]},"page":"8133–8156","title":"Integrated Assessment of Artisanal and Small-Scale gold mining in Ghana – Part 3: Social Sciences and Economics","type":"article-journal","volume":"27"},"uris":["http://www.mendeley.com/documents/?uuid=1bc895b5-8895-4a70-8044-6ee95aceb669"]}],"mendeley":{"formattedCitation":"(Banchirigah, 2008; Gavin Hilson &amp; Banchirigah, 2009; Tschakert, 2009; Wilson et al., 2015)","manualFormatting":"(Banchirigah, 2008; Hilson &amp; Banchirigah, 2009; Tschakert, 2009; Wilson et al., 2015)","plainTextFormattedCitation":"(Banchirigah, 2008; Gavin Hilson &amp; Banchirigah, 2009; Tschakert, 2009; Wilson et al., 2015)","previouslyFormattedCitation":"(Banchirigah, 2008; Gavin Hilson &amp; Banchirigah, 2009; Tschakert, 2009; Wilson et al., 2015)"},"properties":{"noteIndex":0},"schema":"https://github.com/citation-style-language/schema/raw/master/csl-citation.json"}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(Banchirigah, 2008; Hilson &amp; Banchirigah, 2009; Tschakert, 2009; Wilson et al., 2015)</w:t>
      </w:r>
      <w:r w:rsidRPr="004E053C">
        <w:rPr>
          <w:rFonts w:cstheme="majorHAnsi"/>
          <w:sz w:val="22"/>
          <w:szCs w:val="22"/>
          <w:lang w:val="en-GB"/>
        </w:rPr>
        <w:fldChar w:fldCharType="end"/>
      </w:r>
      <w:r w:rsidRPr="004E053C">
        <w:rPr>
          <w:rFonts w:cstheme="majorHAnsi"/>
          <w:sz w:val="22"/>
          <w:szCs w:val="22"/>
          <w:lang w:val="en-GB"/>
        </w:rPr>
        <w:t xml:space="preserve">. Similar </w:t>
      </w:r>
      <w:r w:rsidRPr="004E053C">
        <w:rPr>
          <w:rFonts w:cstheme="majorHAnsi"/>
          <w:sz w:val="22"/>
          <w:szCs w:val="22"/>
          <w:lang w:val="en-GB"/>
        </w:rPr>
        <w:lastRenderedPageBreak/>
        <w:t xml:space="preserve">problems can be faced when trying to formalise miners, as formalisation inevitably disrupts and breaks existing habits and practices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2016)","plainTextFormattedCitation":"(Salo et al., 2016)","previouslyFormattedCitation":"(Salo et al., 2016)"},"properties":{"noteIndex":0},"schema":"https://github.com/citation-style-language/schema/raw/master/csl-citation.json"}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(Salo et al., 2016)</w:t>
      </w:r>
      <w:r w:rsidRPr="004E053C">
        <w:rPr>
          <w:rFonts w:cstheme="majorHAnsi"/>
          <w:sz w:val="22"/>
          <w:szCs w:val="22"/>
          <w:lang w:val="en-GB"/>
        </w:rPr>
        <w:fldChar w:fldCharType="end"/>
      </w:r>
      <w:r w:rsidRPr="004E053C">
        <w:rPr>
          <w:rFonts w:cstheme="majorHAnsi"/>
          <w:sz w:val="22"/>
          <w:szCs w:val="22"/>
          <w:lang w:val="en-GB"/>
        </w:rPr>
        <w:t xml:space="preserve"> which is resisted due to the connections with identity and memory in particular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Salman","given":"T","non-dropping-particle":"","parse-names":false,"suffix":""},{"dropping-particle":"","family":"Carillo","given":"F","non-dropping-particle":"","parse-names":false,"suffix":""},{"dropping-particle":"","family":"Soruco","given":"C","non-dropping-particle":"","parse-names":false,"suffix":""}],"container-title":"The Extractive Industries and Society","id":"ITEM-1","issue":"2","issued":{"date-parts":[["2015"]]},"page":"360-367","title":"Small-scale mining cooperatives and the state in Bolivia: their histories and negotiation strategies","type":"article-journal","volume":"2"},"uris":["http://www.mendeley.com/documents/?uuid=d1258be0-6b0c-4770-9778-0fe6b4f3f638"]}],"mendeley":{"formattedCitation":"(Salman, Carillo, &amp; Soruco, 2015)","manualFormatting":"(Salman et al, 2015)","plainTextFormattedCitation":"(Salman, Carillo, &amp; Soruco, 2015)","previouslyFormattedCitation":"(Salman, Carillo, &amp; Soruco, 2015)"},"properties":{"noteIndex":0},"schema":"https://github.com/citation-style-language/schema/raw/master/csl-citation.json"}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(Salman et al, 2015)</w:t>
      </w:r>
      <w:r w:rsidRPr="004E053C">
        <w:rPr>
          <w:rFonts w:cstheme="majorHAnsi"/>
          <w:sz w:val="22"/>
          <w:szCs w:val="22"/>
          <w:lang w:val="en-GB"/>
        </w:rPr>
        <w:fldChar w:fldCharType="end"/>
      </w:r>
      <w:r w:rsidRPr="004E053C">
        <w:rPr>
          <w:rFonts w:cstheme="majorHAnsi"/>
          <w:sz w:val="22"/>
          <w:szCs w:val="22"/>
          <w:lang w:val="en-GB"/>
        </w:rPr>
        <w:t xml:space="preserve">. There is again very little understanding of women’s identity development as a result of ASM. While Fisher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Change","id":"ITEM-1","issue":"4","issued":{"date-parts":[["2007"]]},"page":"735-760","title":"Occupying the Margins: Labour Integration and Social Exclusion in Artisanal Mining in Tanzania","type":"article-journal","volume":"38"},"uris":["http://www.mendeley.com/documents/?uuid=ff3b0073-6334-3642-aaf4-12090b595d93"]}],"mendeley":{"formattedCitation":"(Fisher, 2007)","manualFormatting":"(2007)","plainTextFormattedCitation":"(Fisher, 2007)","previouslyFormattedCitation":"(Fisher,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(2007)</w:t>
      </w:r>
      <w:r w:rsidRPr="004E053C">
        <w:rPr>
          <w:rFonts w:cstheme="majorHAnsi"/>
          <w:sz w:val="22"/>
          <w:szCs w:val="22"/>
          <w:lang w:val="en-GB"/>
        </w:rPr>
        <w:fldChar w:fldCharType="end"/>
      </w:r>
      <w:r w:rsidRPr="004E053C">
        <w:rPr>
          <w:rFonts w:cstheme="majorHAnsi"/>
          <w:sz w:val="22"/>
          <w:szCs w:val="22"/>
          <w:lang w:val="en-GB"/>
        </w:rPr>
        <w:t xml:space="preserve"> has noted that gender differentiated migration plays an important role in identity formation and inclusion in mining</w:t>
      </w:r>
      <w:r w:rsidR="00D45AB8">
        <w:rPr>
          <w:rFonts w:cstheme="majorHAnsi"/>
          <w:sz w:val="22"/>
          <w:szCs w:val="22"/>
          <w:lang w:val="en-GB"/>
        </w:rPr>
        <w:t xml:space="preserve"> in Tanzania</w:t>
      </w:r>
      <w:r w:rsidRPr="004E053C">
        <w:rPr>
          <w:rFonts w:cstheme="majorHAnsi"/>
          <w:sz w:val="22"/>
          <w:szCs w:val="22"/>
          <w:lang w:val="en-GB"/>
        </w:rPr>
        <w:t xml:space="preserve">, she has mainly focused on how a shared mining identity can replace the men’s traditional farming identity that was lost through rural transformation. There is some evidence to suggest women’s commitment to an ASM identity is somewhat weaker, as Seeling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Seeling","given":"Andrea","non-dropping-particle":"","parse-names":false,"suffix":""}],"id":"ITEM-1","issued":{"date-parts":[["2002"]]},"number-of-pages":"33","publisher-place":"Birmingham","title":"Field Research into the socio-economic and social impact of artisanal and small-scale mining in Peru","type":"report"},"uris":["http://www.mendeley.com/documents/?uuid=f9f3549a-9bcd-37b8-93f3-416c5f58ec76"]}],"mendeley":{"formattedCitation":"(Seeling, 2002)","manualFormatting":"(2002)","plainTextFormattedCitation":"(Seeling, 2002)","previouslyFormattedCitation":"(Seeling, 2002)"},"properties":{"noteIndex":0},"schema":"https://github.com/citation-style-language/schema/raw/master/csl-citation.json"}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(2002)</w:t>
      </w:r>
      <w:r w:rsidRPr="004E053C">
        <w:rPr>
          <w:rFonts w:cstheme="majorHAnsi"/>
          <w:sz w:val="22"/>
          <w:szCs w:val="22"/>
          <w:lang w:val="en-GB"/>
        </w:rPr>
        <w:fldChar w:fldCharType="end"/>
      </w:r>
      <w:r w:rsidRPr="004E053C">
        <w:rPr>
          <w:rFonts w:cstheme="majorHAnsi"/>
          <w:sz w:val="22"/>
          <w:szCs w:val="22"/>
          <w:lang w:val="en-GB"/>
        </w:rPr>
        <w:t xml:space="preserve"> found women to be more eager to leave mining settlements for engagement in alternative, less strenuous, livelihood activities elsewhere.</w:t>
      </w:r>
    </w:p>
    <w:p w14:paraId="11DFE290" w14:textId="77777777" w:rsidR="00D36963" w:rsidRPr="004E053C" w:rsidRDefault="00D36963" w:rsidP="004E053C">
      <w:pPr>
        <w:spacing w:line="360" w:lineRule="auto"/>
        <w:jc w:val="both"/>
        <w:rPr>
          <w:rFonts w:cstheme="majorHAnsi"/>
          <w:sz w:val="22"/>
          <w:szCs w:val="22"/>
          <w:lang w:val="en-GB"/>
        </w:rPr>
      </w:pPr>
    </w:p>
    <w:p w14:paraId="55036190" w14:textId="4C068D6C" w:rsidR="00D36963" w:rsidRPr="004E053C" w:rsidRDefault="007A7DCE" w:rsidP="004E053C">
      <w:pPr>
        <w:spacing w:line="360" w:lineRule="auto"/>
        <w:jc w:val="both"/>
        <w:rPr>
          <w:rFonts w:cstheme="majorHAnsi"/>
          <w:bCs/>
          <w:sz w:val="22"/>
          <w:szCs w:val="22"/>
          <w:lang w:val="en-GB"/>
        </w:rPr>
      </w:pPr>
      <w:r>
        <w:rPr>
          <w:rFonts w:cstheme="majorHAnsi"/>
          <w:sz w:val="22"/>
          <w:szCs w:val="22"/>
          <w:lang w:val="en-GB"/>
        </w:rPr>
        <w:t>Several researchers</w:t>
      </w:r>
      <w:r w:rsidR="00D36963" w:rsidRPr="004E053C">
        <w:rPr>
          <w:rFonts w:cstheme="majorHAnsi"/>
          <w:sz w:val="22"/>
          <w:szCs w:val="22"/>
          <w:lang w:val="en-GB"/>
        </w:rPr>
        <w:t xml:space="preserve"> have discussed the collective identity characteristics that develop between ASM operatives due to their shared occupation </w:t>
      </w:r>
      <w:r w:rsidR="00D36963" w:rsidRPr="004E053C">
        <w:rPr>
          <w:rFonts w:cstheme="majorHAnsi"/>
          <w:sz w:val="22"/>
          <w:szCs w:val="22"/>
          <w:lang w:val="en-GB"/>
        </w:rPr>
        <w:fldChar w:fldCharType="begin" w:fldLock="1"/>
      </w:r>
      <w:r w:rsidR="00D36963" w:rsidRPr="004E053C">
        <w:rPr>
          <w:rFonts w:cstheme="majorHAnsi"/>
          <w:sz w:val="22"/>
          <w:szCs w:val="22"/>
          <w:lang w:val="en-GB"/>
        </w:rPr>
        <w:instrText>ADDIN CSL_CITATION {"citationItems":[{"id":"ITEM-1","itemData":{"abstract":"African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Change","id":"ITEM-1","issue":"2","issued":{"date-parts":[["2009"]]},"page":"249-279","title":"Rushing for gold: mobility and small-scale mining in East Africa","type":"article-journal","volume":"40"},"uris":["http://www.mendeley.com/documents/?uuid=de9c4f73-7d08-4fe3-9443-72b7c45b2369"]},{"id":"ITEM-2","itemData":{"abstract":"This article studies the transformative nature of ‘artisanal frontier mining’ in view of sub-Saharan Africa's mining history. Artisanal gold production has generated livelihood earnings for millions of people in sub-Saharan Africa. Yet we must go beyond a study of artisanal mining as an individual livelihood choice and consider the sector's internal dynamics. In this sense, the concept of ‘labour transformation’ is helpful. It refers to a process in which individuals' skill acquisition, economic exchange, psychological reorientation, and social positioning evolve towards a shared occupational identity and collective professional norms, leaving considerable scope for self-governance amongst artisanal miners. This process is captured in the notion of the ‘frontier’, which in our case refers to occupational rather than geographic locational change. However, the frontier is necessarily of limited temporal duration given the existence of gold as a non-renewable resource, the depth of the gold supply sinking beyond the exploratory and extractive reach of artisanal miners, and the expanding interests of foreign mining corporations and the state. Our argument is illustrated through a comparison of the artisanal mining experiences of two neighbouring countries, Tanzania and the Democratic Republic of Congo (DRC), whose artisanal labour patterns are remarkably similar to each other despite their very different national political contexts and the DRC's recent experience of conflict mineral production.","author":[{"dropping-particle":"","family":"Bryceson","given":"D.","non-dropping-particle":"","parse-names":false,"suffix":""},{"dropping-particle":"","family":"Geenen","given":"S.","non-dropping-particle":"","parse-names":false,"suffix":""}],"container-title":"African Affairs","id":"ITEM-2","issue":"459","issued":{"date-parts":[["2016"]]},"page":"296-317","title":"Artisanal frontier mining of gold in Africa: Labour transformation in Tanzania and the Democratic Republic of Congo","type":"article-journal","volume":"115"},"uris":["http://www.mendeley.com/documents/?uuid=e8db07fb-4578-4ee3-9200-60a5775cc168"]}],"mendeley":{"formattedCitation":"(D. Bryceson &amp; Geenen, 2016; Jønsson &amp; Bryceson, 2009)","manualFormatting":"(Bryceson &amp; Geenen, 2016; Jønsson &amp; Bryceson, 2009)","plainTextFormattedCitation":"(D. Bryceson &amp; Geenen, 2016; Jønsson &amp; Bryceson, 2009)","previouslyFormattedCitation":"(D. Bryceson &amp; Geenen, 2016; Jønsson &amp; Bryceson, 2009)"},"properties":{"noteIndex":0},"schema":"https://github.com/citation-style-language/schema/raw/master/csl-citation.json"}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(Bryceson &amp; Geenen, 2016; Jønsson &amp; Bryceson, 2009)</w:t>
      </w:r>
      <w:r w:rsidR="00D36963" w:rsidRPr="004E053C">
        <w:rPr>
          <w:rFonts w:cstheme="majorHAnsi"/>
          <w:sz w:val="22"/>
          <w:szCs w:val="22"/>
          <w:lang w:val="en-GB"/>
        </w:rPr>
        <w:fldChar w:fldCharType="end"/>
      </w:r>
      <w:r w:rsidR="00D36963" w:rsidRPr="004E053C">
        <w:rPr>
          <w:rFonts w:cstheme="majorHAnsi"/>
          <w:sz w:val="22"/>
          <w:szCs w:val="22"/>
          <w:lang w:val="en-GB"/>
        </w:rPr>
        <w:t xml:space="preserve">. </w:t>
      </w:r>
      <w:r w:rsidR="00D36963" w:rsidRPr="004E053C">
        <w:rPr>
          <w:rFonts w:cstheme="majorHAnsi"/>
          <w:bCs/>
          <w:sz w:val="22"/>
          <w:szCs w:val="22"/>
          <w:lang w:val="en-GB"/>
        </w:rPr>
        <w:t xml:space="preserve">Werthmann </w:t>
      </w:r>
      <w:r w:rsidR="00D36963" w:rsidRPr="004E053C">
        <w:rPr>
          <w:rFonts w:cstheme="majorHAnsi"/>
          <w:bCs/>
          <w:sz w:val="22"/>
          <w:szCs w:val="22"/>
          <w:lang w:val="en-GB"/>
        </w:rPr>
        <w:fldChar w:fldCharType="begin" w:fldLock="1"/>
      </w:r>
      <w:r w:rsidR="00D36963" w:rsidRPr="004E053C">
        <w:rPr>
          <w:rFonts w:cstheme="maj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00D36963" w:rsidRPr="004E053C">
        <w:rPr>
          <w:rFonts w:cstheme="majorHAnsi"/>
          <w:bCs/>
          <w:sz w:val="22"/>
          <w:szCs w:val="22"/>
          <w:lang w:val="en-GB"/>
        </w:rPr>
        <w:fldChar w:fldCharType="separate"/>
      </w:r>
      <w:r w:rsidR="00D36963" w:rsidRPr="004E053C">
        <w:rPr>
          <w:rFonts w:cstheme="majorHAnsi"/>
          <w:bCs/>
          <w:noProof/>
          <w:sz w:val="22"/>
          <w:szCs w:val="22"/>
          <w:lang w:val="en-GB"/>
        </w:rPr>
        <w:t>(2010)</w:t>
      </w:r>
      <w:r w:rsidR="00D36963" w:rsidRPr="004E053C">
        <w:rPr>
          <w:rFonts w:cstheme="majorHAnsi"/>
          <w:bCs/>
          <w:sz w:val="22"/>
          <w:szCs w:val="22"/>
          <w:lang w:val="en-GB"/>
        </w:rPr>
        <w:fldChar w:fldCharType="end"/>
      </w:r>
      <w:r w:rsidR="00D45AB8">
        <w:rPr>
          <w:rFonts w:cstheme="majorHAnsi"/>
          <w:bCs/>
          <w:sz w:val="22"/>
          <w:szCs w:val="22"/>
          <w:lang w:val="en-GB"/>
        </w:rPr>
        <w:t xml:space="preserve"> noted that in Burkina Faso this</w:t>
      </w:r>
      <w:r w:rsidR="00D36963" w:rsidRPr="004E053C">
        <w:rPr>
          <w:rFonts w:cstheme="majorHAnsi"/>
          <w:bCs/>
          <w:sz w:val="22"/>
          <w:szCs w:val="22"/>
          <w:lang w:val="en-GB"/>
        </w:rPr>
        <w:t xml:space="preserve"> is inherently different from the identity that forms in diaspora communities and highlights how within mining camps, ethnic and regional origin is often downplayed. </w:t>
      </w:r>
      <w:r w:rsidR="00D36963" w:rsidRPr="004E053C">
        <w:rPr>
          <w:rFonts w:eastAsia="Times New Roman" w:cstheme="majorHAnsi"/>
          <w:sz w:val="22"/>
          <w:szCs w:val="22"/>
          <w:lang w:val="en-GB"/>
        </w:rPr>
        <w:t xml:space="preserve">Gratz </w:t>
      </w:r>
      <w:r w:rsidR="00D36963" w:rsidRPr="004E053C">
        <w:rPr>
          <w:rFonts w:eastAsia="Times New Roman" w:cstheme="majorHAnsi"/>
          <w:sz w:val="22"/>
          <w:szCs w:val="22"/>
          <w:lang w:val="en-GB"/>
        </w:rPr>
        <w:fldChar w:fldCharType="begin" w:fldLock="1"/>
      </w:r>
      <w:r w:rsidR="00D36963" w:rsidRPr="004E053C">
        <w:rPr>
          <w:rFonts w:eastAsia="Times New Roman" w:cstheme="majorHAnsi"/>
          <w:sz w:val="22"/>
          <w:szCs w:val="22"/>
          <w:lang w:val="en-GB"/>
        </w:rPr>
        <w:instrText>ADDIN CSL_CITATION {"citationItems":[{"id":"ITEM-1","itemData":{"abstract":"The article addresses friendship relations among male artisanal gold miners in West Africa, exemplified by case studies from Northern Benin. I will argue that friendship is an important element in understanding the fluid social configurations in the mining region. In the new social environment, immigrants develop new ties among themselves and to the local societies. I will explore the general logic of friendship bonds in that area and discuss their integrative strength as well as their limits. In the context of gold mining, strategies of economic as well as social risk minimisation incline many migrants to create friendship bonds. Parity in income sharing is more likely to be established among friends than among kinsmen. Friendship is specifically relevant to integrate people of very different regional, ethnic and social backgrounds. Despite the many divergent interests between different economic actors, locals and immigrants, there are multiple bonds which give rise to different levels of social integration","author":[{"dropping-particle":"","family":"Grätz","given":"Tilo","non-dropping-particle":"","parse-names":false,"suffix":""}],"container-title":"Africa Spectrum","id":"ITEM-1","issue":"1","issued":{"date-parts":[["2004"]]},"page":"95-117","title":"Friendship ties among young artisanal gold miners in northern Benin","type":"article-journal","volume":"39"},"uris":["http://www.mendeley.com/documents/?uuid=631c2928-d206-4553-9dc8-cdef02d54887"]}],"mendeley":{"formattedCitation":"(Grätz, 2004a)","manualFormatting":"(2004a)","plainTextFormattedCitation":"(Grätz, 2004a)","previouslyFormattedCitation":"(Grätz, 2004a)"},"properties":{"noteIndex":0},"schema":"https://github.com/citation-style-language/schema/raw/master/csl-citation.json"}</w:instrText>
      </w:r>
      <w:r w:rsidR="00D36963" w:rsidRPr="004E053C">
        <w:rPr>
          <w:rFonts w:eastAsia="Times New Roman" w:cstheme="majorHAnsi"/>
          <w:sz w:val="22"/>
          <w:szCs w:val="22"/>
          <w:lang w:val="en-GB"/>
        </w:rPr>
        <w:fldChar w:fldCharType="separate"/>
      </w:r>
      <w:r w:rsidR="00D36963" w:rsidRPr="004E053C">
        <w:rPr>
          <w:rFonts w:eastAsia="Times New Roman" w:cstheme="majorHAnsi"/>
          <w:noProof/>
          <w:sz w:val="22"/>
          <w:szCs w:val="22"/>
          <w:lang w:val="en-GB"/>
        </w:rPr>
        <w:t>(2004a)</w:t>
      </w:r>
      <w:r w:rsidR="00D36963" w:rsidRPr="004E053C">
        <w:rPr>
          <w:rFonts w:eastAsia="Times New Roman" w:cstheme="majorHAnsi"/>
          <w:sz w:val="22"/>
          <w:szCs w:val="22"/>
          <w:lang w:val="en-GB"/>
        </w:rPr>
        <w:fldChar w:fldCharType="end"/>
      </w:r>
      <w:r w:rsidR="00D36963" w:rsidRPr="004E053C">
        <w:rPr>
          <w:rFonts w:eastAsia="Times New Roman" w:cstheme="majorHAnsi"/>
          <w:sz w:val="22"/>
          <w:szCs w:val="22"/>
          <w:lang w:val="en-GB"/>
        </w:rPr>
        <w:t xml:space="preserve"> also highlighted this in his observation that nicknames within mining sites </w:t>
      </w:r>
      <w:r w:rsidR="00D45AB8">
        <w:rPr>
          <w:rFonts w:eastAsia="Times New Roman" w:cstheme="majorHAnsi"/>
          <w:sz w:val="22"/>
          <w:szCs w:val="22"/>
          <w:lang w:val="en-GB"/>
        </w:rPr>
        <w:t xml:space="preserve">in Benin </w:t>
      </w:r>
      <w:r w:rsidR="00D36963" w:rsidRPr="004E053C">
        <w:rPr>
          <w:rFonts w:eastAsia="Times New Roman" w:cstheme="majorHAnsi"/>
          <w:sz w:val="22"/>
          <w:szCs w:val="22"/>
          <w:lang w:val="en-GB"/>
        </w:rPr>
        <w:t>rarely relate to ethnic identity, indicating that</w:t>
      </w:r>
      <w:r w:rsidR="00D36963" w:rsidRPr="004E053C">
        <w:rPr>
          <w:rFonts w:cstheme="majorHAnsi"/>
          <w:bCs/>
          <w:kern w:val="36"/>
          <w:sz w:val="22"/>
          <w:szCs w:val="22"/>
          <w:lang w:val="en-GB"/>
        </w:rPr>
        <w:t xml:space="preserve"> youths are judged according to their behaviour and ability at the mining site, rather than their origins. </w:t>
      </w:r>
      <w:r w:rsidR="00D36963" w:rsidRPr="004E053C">
        <w:rPr>
          <w:rFonts w:eastAsia="Times New Roman" w:cstheme="majorHAnsi"/>
          <w:sz w:val="22"/>
          <w:szCs w:val="22"/>
          <w:shd w:val="clear" w:color="auto" w:fill="FFFFFF"/>
          <w:lang w:val="en-GB"/>
        </w:rPr>
        <w:t xml:space="preserve">It has been argued that this collective identity is able to develop despite the illegality of the profession in question due to the weakness of the central state in the mining communities </w:t>
      </w:r>
      <w:r w:rsidR="00D36963" w:rsidRPr="004E053C">
        <w:rPr>
          <w:rFonts w:eastAsia="Times New Roman" w:cstheme="majorHAnsi"/>
          <w:sz w:val="22"/>
          <w:szCs w:val="22"/>
          <w:shd w:val="clear" w:color="auto" w:fill="FFFFFF"/>
          <w:lang w:val="en-GB"/>
        </w:rPr>
        <w:fldChar w:fldCharType="begin" w:fldLock="1"/>
      </w:r>
      <w:r w:rsidR="00D36963" w:rsidRPr="004E053C">
        <w:rPr>
          <w:rFonts w:eastAsia="Times New Roman" w:cstheme="majorHAnsi"/>
          <w:sz w:val="22"/>
          <w:szCs w:val="22"/>
          <w:shd w:val="clear" w:color="auto" w:fill="FFFFFF"/>
          <w:lang w:val="en-GB"/>
        </w:rPr>
        <w:instrText>ADDIN CSL_CITATION {"citationItems":[{"id":"ITEM-1","itemData":{"abstract":"This article studies the transformative nature of ‘artisanal frontier mining’ in view of sub-Saharan Africa's mining history. Artisanal gold production has generated livelihood earnings for millions of people in sub-Saharan Africa. Yet we must go beyond a study of artisanal mining as an individual livelihood choice and consider the sector's internal dynamics. In this sense, the concept of ‘labour transformation’ is helpful. It refers to a process in which individuals' skill acquisition, economic exchange, psychological reorientation, and social positioning evolve towards a shared occupational identity and collective professional norms, leaving considerable scope for self-governance amongst artisanal miners. This process is captured in the notion of the ‘frontier’, which in our case refers to occupational rather than geographic locational change. However, the frontier is necessarily of limited temporal duration given the existence of gold as a non-renewable resource, the depth of the gold supply sinking beyond the exploratory and extractive reach of artisanal miners, and the expanding interests of foreign mining corporations and the state. Our argument is illustrated through a comparison of the artisanal mining experiences of two neighbouring countries, Tanzania and the Democratic Republic of Congo (DRC), whose artisanal labour patterns are remarkably similar to each other despite their very different national political contexts and the DRC's recent experience of conflict mineral production.","author":[{"dropping-particle":"","family":"Bryceson","given":"D.","non-dropping-particle":"","parse-names":false,"suffix":""},{"dropping-particle":"","family":"Geenen","given":"S.","non-dropping-particle":"","parse-names":false,"suffix":""}],"container-title":"African Affairs","id":"ITEM-1","issue":"459","issued":{"date-parts":[["2016"]]},"page":"296-317","title":"Artisanal frontier mining of gold in Africa: Labour transformation in Tanzania and the Democratic Republic of Congo","type":"article-journal","volume":"115"},"uris":["http://www.mendeley.com/documents/?uuid=e8db07fb-4578-4ee3-9200-60a5775cc168"]}],"mendeley":{"formattedCitation":"(D. Bryceson &amp; Geenen, 2016)","manualFormatting":"(Bryceson &amp; Geenen, 2016)","plainTextFormattedCitation":"(D. Bryceson &amp; Geenen, 2016)","previouslyFormattedCitation":"(D. Bryceson &amp; Geenen, 2016)"},"properties":{"noteIndex":0},"schema":"https://github.com/citation-style-language/schema/raw/master/csl-citation.json"}</w:instrText>
      </w:r>
      <w:r w:rsidR="00D36963" w:rsidRPr="004E053C">
        <w:rPr>
          <w:rFonts w:eastAsia="Times New Roman" w:cstheme="majorHAnsi"/>
          <w:sz w:val="22"/>
          <w:szCs w:val="22"/>
          <w:shd w:val="clear" w:color="auto" w:fill="FFFFFF"/>
          <w:lang w:val="en-GB"/>
        </w:rPr>
        <w:fldChar w:fldCharType="separate"/>
      </w:r>
      <w:r w:rsidR="00D36963" w:rsidRPr="004E053C">
        <w:rPr>
          <w:rFonts w:eastAsia="Times New Roman" w:cstheme="majorHAnsi"/>
          <w:noProof/>
          <w:sz w:val="22"/>
          <w:szCs w:val="22"/>
          <w:shd w:val="clear" w:color="auto" w:fill="FFFFFF"/>
          <w:lang w:val="en-GB"/>
        </w:rPr>
        <w:t>(Bryceson &amp; Geenen, 2016)</w:t>
      </w:r>
      <w:r w:rsidR="00D36963" w:rsidRPr="004E053C">
        <w:rPr>
          <w:rFonts w:eastAsia="Times New Roman" w:cstheme="majorHAnsi"/>
          <w:sz w:val="22"/>
          <w:szCs w:val="22"/>
          <w:shd w:val="clear" w:color="auto" w:fill="FFFFFF"/>
          <w:lang w:val="en-GB"/>
        </w:rPr>
        <w:fldChar w:fldCharType="end"/>
      </w:r>
      <w:r w:rsidR="00D36963" w:rsidRPr="004E053C">
        <w:rPr>
          <w:rFonts w:eastAsia="Times New Roman" w:cstheme="majorHAnsi"/>
          <w:sz w:val="22"/>
          <w:szCs w:val="22"/>
          <w:shd w:val="clear" w:color="auto" w:fill="FFFFFF"/>
          <w:lang w:val="en-GB"/>
        </w:rPr>
        <w:t xml:space="preserve">. However, what has not been explore here is the possibility that the very fact that mining is illegal, and thus the operatives criminalised, may reinforce that collective identity. This has been hinted at by </w:t>
      </w:r>
      <w:r w:rsidR="00D36963" w:rsidRPr="004E053C">
        <w:rPr>
          <w:rFonts w:cstheme="majorHAnsi"/>
          <w:bCs/>
          <w:sz w:val="22"/>
          <w:szCs w:val="22"/>
          <w:lang w:val="en-GB"/>
        </w:rPr>
        <w:t xml:space="preserve">Werthmann </w:t>
      </w:r>
      <w:r w:rsidR="00D36963" w:rsidRPr="004E053C">
        <w:rPr>
          <w:rFonts w:cstheme="majorHAnsi"/>
          <w:bCs/>
          <w:sz w:val="22"/>
          <w:szCs w:val="22"/>
          <w:lang w:val="en-GB"/>
        </w:rPr>
        <w:fldChar w:fldCharType="begin" w:fldLock="1"/>
      </w:r>
      <w:r w:rsidR="00D36963" w:rsidRPr="004E053C">
        <w:rPr>
          <w:rFonts w:cstheme="maj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00D36963" w:rsidRPr="004E053C">
        <w:rPr>
          <w:rFonts w:cstheme="majorHAnsi"/>
          <w:bCs/>
          <w:sz w:val="22"/>
          <w:szCs w:val="22"/>
          <w:lang w:val="en-GB"/>
        </w:rPr>
        <w:fldChar w:fldCharType="separate"/>
      </w:r>
      <w:r w:rsidR="00D36963" w:rsidRPr="004E053C">
        <w:rPr>
          <w:rFonts w:cstheme="majorHAnsi"/>
          <w:bCs/>
          <w:noProof/>
          <w:sz w:val="22"/>
          <w:szCs w:val="22"/>
          <w:lang w:val="en-GB"/>
        </w:rPr>
        <w:t>(2010)</w:t>
      </w:r>
      <w:r w:rsidR="00D36963" w:rsidRPr="004E053C">
        <w:rPr>
          <w:rFonts w:cstheme="majorHAnsi"/>
          <w:bCs/>
          <w:sz w:val="22"/>
          <w:szCs w:val="22"/>
          <w:lang w:val="en-GB"/>
        </w:rPr>
        <w:fldChar w:fldCharType="end"/>
      </w:r>
      <w:r w:rsidR="00D45AB8">
        <w:rPr>
          <w:rFonts w:cstheme="majorHAnsi"/>
          <w:bCs/>
          <w:sz w:val="22"/>
          <w:szCs w:val="22"/>
          <w:lang w:val="en-GB"/>
        </w:rPr>
        <w:t xml:space="preserve"> in her work on Burkina Faso, as she</w:t>
      </w:r>
      <w:r w:rsidR="00D36963" w:rsidRPr="004E053C">
        <w:rPr>
          <w:rFonts w:cstheme="majorHAnsi"/>
          <w:bCs/>
          <w:sz w:val="22"/>
          <w:szCs w:val="22"/>
          <w:lang w:val="en-GB"/>
        </w:rPr>
        <w:t xml:space="preserve"> suggested that the collective awareness of being despised by the social mainstream leads to a ‘stigma’ management that contributed to some level of collective identity, although did not explore this in more detail. She did note that the miners were linked by relationships that extended beyond one particular locality </w:t>
      </w:r>
      <w:r w:rsidR="00D36963" w:rsidRPr="004E053C">
        <w:rPr>
          <w:rFonts w:cstheme="majorHAnsi"/>
          <w:bCs/>
          <w:sz w:val="22"/>
          <w:szCs w:val="22"/>
          <w:lang w:val="en-GB"/>
        </w:rPr>
        <w:fldChar w:fldCharType="begin" w:fldLock="1"/>
      </w:r>
      <w:r w:rsidR="00D36963" w:rsidRPr="004E053C">
        <w:rPr>
          <w:rFonts w:cstheme="maj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2010)","plainTextFormattedCitation":"(Werthmann, 2010)","previouslyFormattedCitation":"(Werthmann, 2010)"},"properties":{"noteIndex":0},"schema":"https://github.com/citation-style-language/schema/raw/master/csl-citation.json"}</w:instrText>
      </w:r>
      <w:r w:rsidR="00D36963" w:rsidRPr="004E053C">
        <w:rPr>
          <w:rFonts w:cstheme="majorHAnsi"/>
          <w:bCs/>
          <w:sz w:val="22"/>
          <w:szCs w:val="22"/>
          <w:lang w:val="en-GB"/>
        </w:rPr>
        <w:fldChar w:fldCharType="separate"/>
      </w:r>
      <w:r w:rsidR="00D36963" w:rsidRPr="004E053C">
        <w:rPr>
          <w:rFonts w:cstheme="majorHAnsi"/>
          <w:bCs/>
          <w:noProof/>
          <w:sz w:val="22"/>
          <w:szCs w:val="22"/>
          <w:lang w:val="en-GB"/>
        </w:rPr>
        <w:t>(Werthmann, 2010)</w:t>
      </w:r>
      <w:r w:rsidR="00D36963" w:rsidRPr="004E053C">
        <w:rPr>
          <w:rFonts w:cstheme="majorHAnsi"/>
          <w:bCs/>
          <w:sz w:val="22"/>
          <w:szCs w:val="22"/>
          <w:lang w:val="en-GB"/>
        </w:rPr>
        <w:fldChar w:fldCharType="end"/>
      </w:r>
      <w:r w:rsidR="00D36963" w:rsidRPr="004E053C">
        <w:rPr>
          <w:rFonts w:cstheme="majorHAnsi"/>
          <w:bCs/>
          <w:sz w:val="22"/>
          <w:szCs w:val="22"/>
          <w:lang w:val="en-GB"/>
        </w:rPr>
        <w:t>, although she did not incorporate the residents of origin communities in her analysis.</w:t>
      </w:r>
    </w:p>
    <w:p w14:paraId="7DC2B470" w14:textId="77777777" w:rsidR="00D36963" w:rsidRPr="004E053C" w:rsidRDefault="00D36963" w:rsidP="004E053C">
      <w:pPr>
        <w:spacing w:line="360" w:lineRule="auto"/>
        <w:jc w:val="both"/>
        <w:rPr>
          <w:rFonts w:cstheme="majorHAnsi"/>
          <w:bCs/>
          <w:sz w:val="22"/>
          <w:szCs w:val="22"/>
          <w:lang w:val="en-GB"/>
        </w:rPr>
      </w:pPr>
    </w:p>
    <w:p w14:paraId="319138CE" w14:textId="21098FD9" w:rsidR="00D36963" w:rsidRPr="004E053C" w:rsidRDefault="00D36963" w:rsidP="004E053C">
      <w:pPr>
        <w:spacing w:line="360" w:lineRule="auto"/>
        <w:jc w:val="both"/>
        <w:rPr>
          <w:rFonts w:cstheme="majorHAnsi"/>
          <w:bCs/>
          <w:sz w:val="22"/>
          <w:szCs w:val="22"/>
          <w:lang w:val="en-GB"/>
        </w:rPr>
      </w:pPr>
      <w:r w:rsidRPr="004E053C">
        <w:rPr>
          <w:rFonts w:eastAsia="Times New Roman" w:cstheme="majorHAnsi"/>
          <w:sz w:val="22"/>
          <w:szCs w:val="22"/>
          <w:shd w:val="clear" w:color="auto" w:fill="FFFFFF"/>
          <w:lang w:val="en-GB"/>
        </w:rPr>
        <w:t>Constant migration can also affect how people define themselves and how they are perceived</w:t>
      </w:r>
      <w:r w:rsidRPr="004E053C">
        <w:rPr>
          <w:rFonts w:cstheme="majorHAnsi"/>
          <w:sz w:val="22"/>
          <w:szCs w:val="22"/>
          <w:lang w:val="en-GB"/>
        </w:rPr>
        <w:t xml:space="preserve">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{"citationItems":[{"id":"ITEM-1","itemData":{"abstract":"Drawing on ethnographic research and problem-centered interviews in Guinean mining areas, this paper presents a comparative reading of the conflicting conceptions of what constitutes a “mining community.” First, I explore how independent artisanal miners describe and identify their activity. The weight of autochthony conventions is discussed concerning their insertion both in the mining fields and in their living locations. Second, I focus the case study on how the corporate social responsibility (CSR) interventions toward the mining community, commissioned by a gold mining company in Guinea, are interpreted by the artisanal miners. The analysis of the deployed discourses and related interventions delineate what is defined as the mining community in CSR programs, and how these interventions shape new understandings of the company</w:instrText>
      </w:r>
      <w:r w:rsidR="007A757C" w:rsidRPr="004E053C">
        <w:rPr>
          <w:rFonts w:ascii="Times New Roman" w:hAnsi="Times New Roman" w:cs="Times New Roman"/>
          <w:sz w:val="22"/>
          <w:szCs w:val="22"/>
          <w:rtl/>
          <w:lang w:val="en-GB" w:bidi="he-IL"/>
        </w:rPr>
        <w:instrText>׳</w:instrText>
      </w:r>
      <w:r w:rsidR="007A757C" w:rsidRPr="004E053C">
        <w:rPr>
          <w:rFonts w:cstheme="majorHAnsi"/>
          <w:sz w:val="22"/>
          <w:szCs w:val="22"/>
          <w:lang w:val="en-GB"/>
        </w:rPr>
        <w:instrText>s territory among the miners. Using a boundary work approach, the paper shows how CSR interventions symbolically transpose the spatial concession border into symbolic and social boundaries among the artisanal mineworkers. CSR discourses and interventions transform “trespassers” into “foreigners”, as opposed to “natives”, who are often viewed as “traditional sedentary workers” by the mining company. In doing this, CSR programs reinforce and standardize autochthony-based relations, and extend autochthony boundaries in all segments of the gold mining socio-technical system. The attachment of these initially separated categories creates an idealized figure of “traditional” artisanal mining, while also stigmatizing the itinerant artisanal miners. As a consequence, I will discuss the emergence of conflict situations regarding access to mining spaces and resources within the surrounding villages.","author":[{"dropping-particle":"","family":"Bolay","given":"M","non-dropping-particle":"","parse-names":false,"suffix":""}],"container-title":"Resources Policy","id":"ITEM-1","issued":{"date-parts":[["2014"]]},"page":"117-127","title":"When miners become 'foreigners': competing categorizations within gold mining spaces in Guinea","type":"article-journal","volume":"40"},"uris":["http://www.mendeley.com/documents/?uuid=a4b4d418-a55f-4ce2-ba28-2f3d70bd4c11"]}],"mendeley":{"formattedCitation":"(Bolay, 2014)","plainTextFormattedCitation":"(Bolay, 2014)","previouslyFormattedCitation":"(Bolay,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(Bolay, 2014)</w:t>
      </w:r>
      <w:r w:rsidRPr="004E053C">
        <w:rPr>
          <w:rFonts w:cstheme="majorHAnsi"/>
          <w:sz w:val="22"/>
          <w:szCs w:val="22"/>
          <w:lang w:val="en-GB"/>
        </w:rPr>
        <w:fldChar w:fldCharType="end"/>
      </w:r>
      <w:r w:rsidRPr="004E053C">
        <w:rPr>
          <w:rFonts w:cstheme="majorHAnsi"/>
          <w:sz w:val="22"/>
          <w:szCs w:val="22"/>
          <w:lang w:val="en-GB"/>
        </w:rPr>
        <w:t xml:space="preserve">, although this has been relatively underexplored in the literature in </w:t>
      </w:r>
      <w:r w:rsidR="00FF7888" w:rsidRPr="004E053C">
        <w:rPr>
          <w:rFonts w:cstheme="majorHAnsi"/>
          <w:sz w:val="22"/>
          <w:szCs w:val="22"/>
          <w:lang w:val="en-GB"/>
        </w:rPr>
        <w:t>terms of how it may shape miner</w:t>
      </w:r>
      <w:r w:rsidRPr="004E053C">
        <w:rPr>
          <w:rFonts w:cstheme="majorHAnsi"/>
          <w:sz w:val="22"/>
          <w:szCs w:val="22"/>
          <w:lang w:val="en-GB"/>
        </w:rPr>
        <w:t>s</w:t>
      </w:r>
      <w:r w:rsidR="00FF7888" w:rsidRPr="004E053C">
        <w:rPr>
          <w:rFonts w:cstheme="majorHAnsi"/>
          <w:sz w:val="22"/>
          <w:szCs w:val="22"/>
          <w:lang w:val="en-GB"/>
        </w:rPr>
        <w:t>’</w:t>
      </w:r>
      <w:r w:rsidRPr="004E053C">
        <w:rPr>
          <w:rFonts w:cstheme="majorHAnsi"/>
          <w:sz w:val="22"/>
          <w:szCs w:val="22"/>
          <w:lang w:val="en-GB"/>
        </w:rPr>
        <w:t xml:space="preserve"> identity. It is however thought that high mobility may influence an individual’s traditional attachments to their place of origin and self-definitions, which Jønsson and Bryceson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Change","id":"ITEM-1","issue":"2","issued":{"date-parts":[["2009"]]},"page":"249-279","title":"Rushing for gold: mobility and small-scale mining in East Africa","type":"article-journal","volume":"40"},"uris":["http://www.mendeley.com/documents/?uuid=de9c4f73-7d08-4fe3-9443-72b7c45b2369"]}],"mendeley":{"formattedCitation":"(Jønsson &amp; Bryceson, 2009)","manualFormatting":"(2009)","plainTextFormattedCitation":"(Jønsson &amp; Bryceson, 2009)","previouslyFormattedCitation":"(Jønsson &amp; Bryceson,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(2009)</w:t>
      </w:r>
      <w:r w:rsidRPr="004E053C">
        <w:rPr>
          <w:rFonts w:cstheme="majorHAnsi"/>
          <w:sz w:val="22"/>
          <w:szCs w:val="22"/>
          <w:lang w:val="en-GB"/>
        </w:rPr>
        <w:fldChar w:fldCharType="end"/>
      </w:r>
      <w:r w:rsidRPr="004E053C">
        <w:rPr>
          <w:rFonts w:cstheme="majorHAnsi"/>
          <w:sz w:val="22"/>
          <w:szCs w:val="22"/>
          <w:lang w:val="en-GB"/>
        </w:rPr>
        <w:t xml:space="preserve"> have argued is reflected in the way miners become judged by their qualifications rather than their origin or ethnic affiliations. </w:t>
      </w:r>
      <w:r w:rsidRPr="004E053C">
        <w:rPr>
          <w:rFonts w:eastAsia="Times New Roman" w:cstheme="majorHAnsi"/>
          <w:sz w:val="22"/>
          <w:szCs w:val="22"/>
          <w:lang w:val="en-GB"/>
        </w:rPr>
        <w:t xml:space="preserve">However, while the inherent contradiction between local attachment and forms of migration is often seen as an inevitability within ASM </w:t>
      </w:r>
      <w:r w:rsidRPr="004E053C">
        <w:rPr>
          <w:rFonts w:eastAsia="Times New Roman" w:cstheme="majorHAnsi"/>
          <w:sz w:val="22"/>
          <w:szCs w:val="22"/>
          <w:lang w:val="en-GB"/>
        </w:rPr>
        <w:fldChar w:fldCharType="begin" w:fldLock="1"/>
      </w:r>
      <w:r w:rsidR="007A757C" w:rsidRPr="004E053C">
        <w:rPr>
          <w:rFonts w:eastAsia="Times New Roman" w:cstheme="majorHAnsi"/>
          <w:sz w:val="22"/>
          <w:szCs w:val="22"/>
          <w:lang w:val="en-GB"/>
        </w:rPr>
        <w:instrText>ADDIN CSL_CITATION {"citationItems":[{"id":"ITEM-1","itemData":{"abstract":"Drawing on ethnographic research and problem-centered interviews in Guinean mining areas, this paper presents a comparative reading of the conflicting conceptions of what constitutes a “mining community.” First, I explore how independent artisanal miners describe and identify their activity. The weight of autochthony conventions is discussed concerning their insertion both in the mining fields and in their living locations. Second, I focus the case study on how the corporate social responsibility (CSR) interventions toward the mining community, commissioned by a gold mining company in Guinea, are interpreted by the artisanal miners. The analysis of the deployed discourses and related interventions delineate what is defined as the mining community in CSR programs, and how these interventions shape new understandings of the company</w:instrText>
      </w:r>
      <w:r w:rsidR="007A757C" w:rsidRPr="004E053C">
        <w:rPr>
          <w:rFonts w:ascii="Times New Roman" w:eastAsia="Times New Roman" w:hAnsi="Times New Roman" w:cs="Times New Roman"/>
          <w:sz w:val="22"/>
          <w:szCs w:val="22"/>
          <w:rtl/>
          <w:lang w:val="en-GB" w:bidi="he-IL"/>
        </w:rPr>
        <w:instrText>׳</w:instrText>
      </w:r>
      <w:r w:rsidR="007A757C" w:rsidRPr="004E053C">
        <w:rPr>
          <w:rFonts w:eastAsia="Times New Roman" w:cstheme="majorHAnsi"/>
          <w:sz w:val="22"/>
          <w:szCs w:val="22"/>
          <w:lang w:val="en-GB"/>
        </w:rPr>
        <w:instrText>s territory among the miners. Using a boundary work approach, the paper shows how CSR interventions symbolically transpose the spatial concession border into symbolic and social boundaries among the artisanal mineworkers. CSR discourses and interventions transform “trespassers” into “foreigners”, as opposed to “natives”, who are often viewed as “traditional sedentary workers” by the mining company. In doing this, CSR programs reinforce and standardize autochthony-based relations, and extend autochthony boundaries in all segments of the gold mining socio-technical system. The attachment of these initially separated categories creates an idealized figure of “traditional” artisanal mining, while also stigmatizing the itinerant artisanal miners. As a consequence, I will discuss the emergence of conflict situations regarding access to mining spaces and resources within the surrounding villages.","author":[{"dropping-particle":"","family":"Bolay","given":"M","non-dropping-particle":"","parse-names":false,"suffix":""}],"container-title":"Resources Policy","id":"ITEM-1","issued":{"date-parts":[["2014"]]},"page":"117-127","title":"When miners become 'foreigners': competing categorizations within gold mining spaces in Guinea","type":"article-journal","volume":"40"},"uris":["http://www.mendeley.com/documents/?uuid=a4b4d418-a55f-4ce2-ba28-2f3d70bd4c11"]}],"mendeley":{"formattedCitation":"(Bolay, 2014)","plainTextFormattedCitation":"(Bolay, 2014)","previouslyFormattedCitation":"(Bolay, 2014)"},"properties":{"noteIndex":0},"schema":"https://github.com/citation-style-language/schema/raw/master/csl-citation.json"}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(Bolay, 2014)</w:t>
      </w:r>
      <w:r w:rsidRPr="004E053C">
        <w:rPr>
          <w:rFonts w:eastAsia="Times New Roman" w:cstheme="majorHAnsi"/>
          <w:sz w:val="22"/>
          <w:szCs w:val="22"/>
          <w:lang w:val="en-GB"/>
        </w:rPr>
        <w:fldChar w:fldCharType="end"/>
      </w:r>
      <w:r w:rsidR="00E65D31" w:rsidRPr="004E053C">
        <w:rPr>
          <w:rFonts w:eastAsia="Times New Roman" w:cstheme="majorHAnsi"/>
          <w:sz w:val="22"/>
          <w:szCs w:val="22"/>
          <w:lang w:val="en-GB"/>
        </w:rPr>
        <w:t>,</w:t>
      </w:r>
      <w:r w:rsidRPr="004E053C">
        <w:rPr>
          <w:rFonts w:eastAsia="Times New Roman" w:cstheme="majorHAnsi"/>
          <w:sz w:val="22"/>
          <w:szCs w:val="22"/>
          <w:lang w:val="en-GB"/>
        </w:rPr>
        <w:t xml:space="preserve"> there is </w:t>
      </w:r>
      <w:r w:rsidRPr="004E053C">
        <w:rPr>
          <w:rFonts w:eastAsia="Times New Roman" w:cstheme="majorHAnsi"/>
          <w:sz w:val="22"/>
          <w:szCs w:val="22"/>
          <w:lang w:val="en-GB"/>
        </w:rPr>
        <w:lastRenderedPageBreak/>
        <w:t xml:space="preserve">little understanding of how this shapes broader community dynamics, particularly across the multi-sited ASM community. </w:t>
      </w:r>
      <w:r w:rsidRPr="004E053C">
        <w:rPr>
          <w:rFonts w:cstheme="majorHAnsi"/>
          <w:sz w:val="22"/>
          <w:szCs w:val="22"/>
          <w:lang w:val="en-GB"/>
        </w:rPr>
        <w:t xml:space="preserve">Furthermore, miners within a given mine site are not a homogenous group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id":"ITEM-2","itemData":{"author":[{"dropping-particle":"","family":"Walsh","given":"Andrew","non-dropping-particle":"","parse-names":false,"suffix":""}],"container-title":"Africa: The Journal of the International African Institute","id":"ITEM-2","issue":"2","issued":{"date-parts":[["2012"]]},"page":"235-251","title":"After the rush: living with uncertainty in a Malagasy rural town, Africa","type":"article-journal","volume":"82"},"uris":["http://www.mendeley.com/documents/?uuid=cd2c67d7-e16d-478c-bb1b-5e15dca23af5"]}],"mendeley":{"formattedCitation":"(Walsh, 2003, 2012)","plainTextFormattedCitation":"(Walsh, 2003, 2012)","previouslyFormattedCitation":"(Walsh, 2003, 2012)"},"properties":{"noteIndex":0},"schema":"https://github.com/citation-style-language/schema/raw/master/csl-citation.json"}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(Walsh, 2003, 2012)</w:t>
      </w:r>
      <w:r w:rsidRPr="004E053C">
        <w:rPr>
          <w:rFonts w:cstheme="majorHAnsi"/>
          <w:sz w:val="22"/>
          <w:szCs w:val="22"/>
          <w:lang w:val="en-GB"/>
        </w:rPr>
        <w:fldChar w:fldCharType="end"/>
      </w:r>
      <w:r w:rsidRPr="004E053C">
        <w:rPr>
          <w:rFonts w:cstheme="majorHAnsi"/>
          <w:sz w:val="18"/>
          <w:szCs w:val="18"/>
          <w:lang w:val="en-GB"/>
        </w:rPr>
        <w:t xml:space="preserve"> </w:t>
      </w:r>
      <w:r w:rsidRPr="004E053C">
        <w:rPr>
          <w:rFonts w:cstheme="majorHAnsi"/>
          <w:sz w:val="22"/>
          <w:szCs w:val="22"/>
          <w:lang w:val="en-GB"/>
        </w:rPr>
        <w:t xml:space="preserve">and Bolay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{"citationItems":[{"id":"ITEM-1","itemData":{"abstract":"Drawing on ethnographic research and problem-centered interviews in Guinean mining areas, this paper presents a comparative reading of the conflicting conceptions of what constitutes a “mining community.” First, I explore how independent artisanal miners describe and identify their activity. The weight of autochthony conventions is discussed concerning their insertion both in the mining fields and in their living locations. Second, I focus the case study on how the corporate social responsibility (CSR) interventions toward the mining community, commissioned by a gold mining company in Guinea, are interpreted by the artisanal miners. The analysis of the deployed discourses and related interventions delineate what is defined as the mining community in CSR programs, and how these interventions shape new understandings of the company</w:instrText>
      </w:r>
      <w:r w:rsidR="007A757C" w:rsidRPr="004E053C">
        <w:rPr>
          <w:rFonts w:ascii="Times New Roman" w:hAnsi="Times New Roman" w:cs="Times New Roman"/>
          <w:sz w:val="22"/>
          <w:szCs w:val="22"/>
          <w:rtl/>
          <w:lang w:val="en-GB" w:bidi="he-IL"/>
        </w:rPr>
        <w:instrText>׳</w:instrText>
      </w:r>
      <w:r w:rsidR="007A757C" w:rsidRPr="004E053C">
        <w:rPr>
          <w:rFonts w:cstheme="majorHAnsi"/>
          <w:sz w:val="22"/>
          <w:szCs w:val="22"/>
          <w:lang w:val="en-GB"/>
        </w:rPr>
        <w:instrText>s territory among the miners. Using a boundary work approach, the paper shows how CSR interventions symbolically transpose the spatial concession border into symbolic and social boundaries among the artisanal mineworkers. CSR discourses and interventions transform “trespassers” into “foreigners”, as opposed to “natives”, who are often viewed as “traditional sedentary workers” by the mining company. In doing this, CSR programs reinforce and standardize autochthony-based relations, and extend autochthony boundaries in all segments of the gold mining socio-technical system. The attachment of these initially separated categories creates an idealized figure of “traditional” artisanal mining, while also stigmatizing the itinerant artisanal miners. As a consequence, I will discuss the emergence of conflict situations regarding access to mining spaces and resources within the surrounding villages.","author":[{"dropping-particle":"","family":"Bolay","given":"M","non-dropping-particle":"","parse-names":false,"suffix":""}],"container-title":"Resources Policy","id":"ITEM-1","issued":{"date-parts":[["2014"]]},"page":"117-127","title":"When miners become 'foreigners': competing categorizations within gold mining spaces in Guinea","type":"article-journal","volume":"40"},"uris":["http://www.mendeley.com/documents/?uuid=a4b4d418-a55f-4ce2-ba28-2f3d70bd4c11"]}],"mendeley":{"formattedCitation":"(Bolay, 2014)","manualFormatting":"(2014)","plainTextFormattedCitation":"(Bolay, 2014)","previouslyFormattedCitation":"(Bolay,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(2014)</w:t>
      </w:r>
      <w:r w:rsidRPr="004E053C">
        <w:rPr>
          <w:rFonts w:cstheme="majorHAnsi"/>
          <w:sz w:val="22"/>
          <w:szCs w:val="22"/>
          <w:lang w:val="en-GB"/>
        </w:rPr>
        <w:fldChar w:fldCharType="end"/>
      </w:r>
      <w:r w:rsidRPr="004E053C">
        <w:rPr>
          <w:rFonts w:eastAsia="Times New Roman" w:cstheme="majorHAnsi"/>
          <w:sz w:val="22"/>
          <w:szCs w:val="22"/>
          <w:shd w:val="clear" w:color="auto" w:fill="FFFFFF"/>
          <w:lang w:val="en-GB"/>
        </w:rPr>
        <w:t xml:space="preserve"> has identified the need for a </w:t>
      </w:r>
      <w:r w:rsidRPr="004E053C">
        <w:rPr>
          <w:rFonts w:cstheme="majorHAnsi"/>
          <w:sz w:val="22"/>
          <w:szCs w:val="22"/>
          <w:lang w:val="en-GB"/>
        </w:rPr>
        <w:t xml:space="preserve">better understanding of the processes of identification among the various categories of residents and mobile, transient and long-term and ‘newbies’ and experienced gold diggers. </w:t>
      </w:r>
      <w:r w:rsidRPr="004E053C">
        <w:rPr>
          <w:rFonts w:eastAsia="Times New Roman" w:cstheme="majorHAnsi"/>
          <w:sz w:val="22"/>
          <w:szCs w:val="22"/>
          <w:lang w:val="en-GB" w:eastAsia="zh-CN"/>
        </w:rPr>
        <w:t xml:space="preserve">He showed that while a gold-mining town in Guinea had received several waves of ‘transitory migrants’, migration narratives still play an important role in shaping the identities of the local populations through reference to the ‘first settlers’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{"citationItems":[{"id":"ITEM-1","itemData":{"abstract":"Drawing on ethnographic research and problem-centered interviews in Guinean mining areas, this paper presents a comparative reading of the conflicting conceptions of what constitutes a “mining community.” First, I explore how independent artisanal miners describe and identify their activity. The weight of autochthony conventions is discussed concerning their insertion both in the mining fields and in their living locations. Second, I focus the case study on how the corporate social responsibility (CSR) interventions toward the mining community, commissioned by a gold mining company in Guinea, are interpreted by the artisanal miners. The analysis of the deployed discourses and related interventions delineate what is defined as the mining community in CSR programs, and how these interventions shape new understandings of the company</w:instrText>
      </w:r>
      <w:r w:rsidR="007A757C" w:rsidRPr="004E053C">
        <w:rPr>
          <w:rFonts w:ascii="Times New Roman" w:hAnsi="Times New Roman" w:cs="Times New Roman"/>
          <w:sz w:val="22"/>
          <w:szCs w:val="22"/>
          <w:rtl/>
          <w:lang w:val="en-GB" w:bidi="he-IL"/>
        </w:rPr>
        <w:instrText>׳</w:instrText>
      </w:r>
      <w:r w:rsidR="007A757C" w:rsidRPr="004E053C">
        <w:rPr>
          <w:rFonts w:cstheme="majorHAnsi"/>
          <w:sz w:val="22"/>
          <w:szCs w:val="22"/>
          <w:lang w:val="en-GB"/>
        </w:rPr>
        <w:instrText>s territory among the miners. Using a boundary work approach, the paper shows how CSR interventions symbolically transpose the spatial concession border into symbolic and social boundaries among the artisanal mineworkers. CSR discourses and interventions transform “trespassers” into “foreigners”, as opposed to “natives”, who are often viewed as “traditional sedentary workers” by the mining company. In doing this, CSR programs reinforce and standardize autochthony-based relations, and extend autochthony boundaries in all segments of the gold mining socio-technical system. The attachment of these initially separated categories creates an idealized figure of “traditional” artisanal mining, while also stigmatizing the itinerant artisanal miners. As a consequence, I will discuss the emergence of conflict situations regarding access to mining spaces and resources within the surrounding villages.","author":[{"dropping-particle":"","family":"Bolay","given":"M","non-dropping-particle":"","parse-names":false,"suffix":""}],"container-title":"Resources Policy","id":"ITEM-1","issued":{"date-parts":[["2014"]]},"page":"117-127","title":"When miners become 'foreigners': competing categorizations within gold mining spaces in Guinea","type":"article-journal","volume":"40"},"uris":["http://www.mendeley.com/documents/?uuid=a4b4d418-a55f-4ce2-ba28-2f3d70bd4c11"]}],"mendeley":{"formattedCitation":"(Bolay, 2014)","plainTextFormattedCitation":"(Bolay, 2014)","previouslyFormattedCitation":"(Bolay,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(Bolay, 2014)</w:t>
      </w:r>
      <w:r w:rsidRPr="004E053C">
        <w:rPr>
          <w:rFonts w:cstheme="majorHAnsi"/>
          <w:sz w:val="22"/>
          <w:szCs w:val="22"/>
          <w:lang w:val="en-GB"/>
        </w:rPr>
        <w:fldChar w:fldCharType="end"/>
      </w:r>
      <w:r w:rsidRPr="004E053C">
        <w:rPr>
          <w:rFonts w:eastAsia="Times New Roman" w:cstheme="majorHAnsi"/>
          <w:sz w:val="22"/>
          <w:szCs w:val="22"/>
          <w:lang w:val="en-GB" w:eastAsia="zh-CN"/>
        </w:rPr>
        <w:t>.</w:t>
      </w:r>
    </w:p>
    <w:p w14:paraId="2B3D0417" w14:textId="77777777" w:rsidR="00D36963" w:rsidRPr="004E053C" w:rsidRDefault="00D36963" w:rsidP="004E053C">
      <w:pPr>
        <w:spacing w:line="360" w:lineRule="auto"/>
        <w:jc w:val="both"/>
        <w:rPr>
          <w:rFonts w:cstheme="majorHAnsi"/>
          <w:sz w:val="22"/>
          <w:szCs w:val="22"/>
          <w:lang w:val="en-GB"/>
        </w:rPr>
      </w:pPr>
    </w:p>
    <w:p w14:paraId="5ED2A43F" w14:textId="6AB499F8" w:rsidR="00D36963" w:rsidRPr="004E053C" w:rsidRDefault="00D36963" w:rsidP="004E053C">
      <w:pPr>
        <w:spacing w:line="360" w:lineRule="auto"/>
        <w:jc w:val="both"/>
        <w:rPr>
          <w:rFonts w:cstheme="majorHAnsi"/>
          <w:sz w:val="22"/>
          <w:szCs w:val="22"/>
          <w:lang w:val="en-GB"/>
        </w:rPr>
      </w:pPr>
      <w:r w:rsidRPr="004E053C">
        <w:rPr>
          <w:rFonts w:cstheme="majorHAnsi"/>
          <w:sz w:val="22"/>
          <w:szCs w:val="22"/>
          <w:lang w:val="en-GB"/>
        </w:rPr>
        <w:t xml:space="preserve">Shared mining identities are useful for </w:t>
      </w:r>
      <w:r w:rsidRPr="004E053C">
        <w:rPr>
          <w:rFonts w:eastAsia="Times New Roman" w:cstheme="majorHAnsi"/>
          <w:sz w:val="22"/>
          <w:szCs w:val="22"/>
          <w:shd w:val="clear" w:color="auto" w:fill="FFFFFF"/>
          <w:lang w:val="en-GB"/>
        </w:rPr>
        <w:t xml:space="preserve">mobilising social capital, not least through shared </w:t>
      </w:r>
      <w:r w:rsidRPr="004E053C">
        <w:rPr>
          <w:rFonts w:cstheme="majorHAnsi"/>
          <w:sz w:val="22"/>
          <w:szCs w:val="22"/>
          <w:lang w:val="en-GB"/>
        </w:rPr>
        <w:t xml:space="preserve">consumption practices, friendship ties, and rules for behaviour as illustrated by Grätz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{"citationItems":[{"id":"ITEM-1","itemData":{"abstract":"The paper explores the life and work of young male gold miners in Northern Benin, West Africa. It describes modes of organisation, norms and rules of mining teams as well as the situation in the region's mining camps at large. Despite various internal conflicts and a high degree of social fluctuation and uncertainty due to repeated state interventions, the social field of gold mining is marked by cohesion and viable patterns of risk sharing. © 2009 Elsevier Ltd. All rights reserved.","author":[{"dropping-particle":"","family":"Grätz","given":"Tilo","non-dropping-particle":"","parse-names":false,"suffix":""}],"container-title":"Resources Policy","id":"ITEM-1","issued":{"date-parts":[["2009"]]},"title":"Moralities, risk and rules in West African artisanal gold mining communities: A case study of Northern Benin","type":"article-journal"},"uris":["http://www.mendeley.com/documents/?uuid=ce8980ff-88a3-3fb2-b6c3-ca1f45808b55"]}],"mendeley":{"formattedCitation":"(Grätz, 2009)","manualFormatting":"(2009)","plainTextFormattedCitation":"(Grätz, 2009)","previouslyFormattedCitation":"(Grätz,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(2009)</w:t>
      </w:r>
      <w:r w:rsidRPr="004E053C">
        <w:rPr>
          <w:rFonts w:cstheme="majorHAnsi"/>
          <w:sz w:val="22"/>
          <w:szCs w:val="22"/>
          <w:lang w:val="en-GB"/>
        </w:rPr>
        <w:fldChar w:fldCharType="end"/>
      </w:r>
      <w:r w:rsidRPr="004E053C">
        <w:rPr>
          <w:rFonts w:cstheme="majorHAnsi"/>
          <w:sz w:val="22"/>
          <w:szCs w:val="22"/>
          <w:lang w:val="en-GB"/>
        </w:rPr>
        <w:t xml:space="preserve">  in Mali and Benin. De Boeck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{"citationItems":[{"id":"ITEM-1","itemData":{"author":[{"dropping-particle":"","family":"Boeck","given":"Filip","non-dropping-particle":"De","parse-names":false,"suffix":""}],"chapter-number":"8","container-title":"Globalization and Identity: Dialectics of Flow and Closure","id":"ITEM-1","issued":{"date-parts":[["1998"]]},"page":"177-210","publisher":"Blackwell Publishers","publisher-place":"Oxford","title":"Domesticating Diamonds and Dollars: Identity, Expenditure and Sharing in Southwestern Zaire (1984-1997)","type":"chapter"},"uris":["http://www.mendeley.com/documents/?uuid=a17c0819-d02e-34b6-8968-2c6b6f095216"]}],"mendeley":{"formattedCitation":"(De Boeck, 1998)","manualFormatting":"(1999)","plainTextFormattedCitation":"(De Boeck, 1998)","previouslyFormattedCitation":"(De Boeck, 1998)"},"properties":{"noteIndex":0},"schema":"https://github.com/citation-style-language/schema/raw/master/csl-citation.json"}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(1999)</w:t>
      </w:r>
      <w:r w:rsidRPr="004E053C">
        <w:rPr>
          <w:rFonts w:cstheme="majorHAnsi"/>
          <w:sz w:val="22"/>
          <w:szCs w:val="22"/>
          <w:lang w:val="en-GB"/>
        </w:rPr>
        <w:fldChar w:fldCharType="end"/>
      </w:r>
      <w:r w:rsidRPr="004E053C">
        <w:rPr>
          <w:rFonts w:cstheme="majorHAnsi"/>
          <w:sz w:val="22"/>
          <w:szCs w:val="22"/>
          <w:lang w:val="en-GB"/>
        </w:rPr>
        <w:t xml:space="preserve"> highlighted how the relationships built through excessive consumption with fellow miners allowed miners to `fix' the non-steady state of selfhood, in</w:t>
      </w:r>
      <w:r w:rsidR="00FF7888" w:rsidRPr="004E053C">
        <w:rPr>
          <w:rFonts w:cstheme="majorHAnsi"/>
          <w:sz w:val="22"/>
          <w:szCs w:val="22"/>
          <w:lang w:val="en-GB"/>
        </w:rPr>
        <w:t xml:space="preserve"> </w:t>
      </w:r>
      <w:r w:rsidRPr="004E053C">
        <w:rPr>
          <w:rFonts w:cstheme="majorHAnsi"/>
          <w:sz w:val="22"/>
          <w:szCs w:val="22"/>
          <w:lang w:val="en-GB"/>
        </w:rPr>
        <w:t>flux through the act of migration, and therefore of one</w:t>
      </w:r>
      <w:r w:rsidR="00E65D31" w:rsidRPr="004E053C">
        <w:rPr>
          <w:rFonts w:cstheme="majorHAnsi"/>
          <w:sz w:val="22"/>
          <w:szCs w:val="22"/>
          <w:lang w:val="en-GB"/>
        </w:rPr>
        <w:t xml:space="preserve">'s own identity. De Boeck </w:t>
      </w:r>
      <w:r w:rsidR="00E65D31"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{"citationItems":[{"id":"ITEM-1","itemData":{"author":[{"dropping-particle":"","family":"Boeck","given":"Filip","non-dropping-particle":"De","parse-names":false,"suffix":""}],"chapter-number":"8","container-title":"Globalization and Identity: Dialectics of Flow and Closure","id":"ITEM-1","issued":{"date-parts":[["1998"]]},"page":"177-210","publisher":"Blackwell Publishers","publisher-place":"Oxford","title":"Domesticating Diamonds and Dollars: Identity, Expenditure and Sharing in Southwestern Zaire (1984-1997)","type":"chapter"},"uris":["http://www.mendeley.com/documents/?uuid=a17c0819-d02e-34b6-8968-2c6b6f095216"]}],"mendeley":{"formattedCitation":"(De Boeck, 1998)","manualFormatting":"(1999)","plainTextFormattedCitation":"(De Boeck, 1998)","previouslyFormattedCitation":"(De Boeck, 1998)"},"properties":{"noteIndex":0},"schema":"https://github.com/citation-style-language/schema/raw/master/csl-citation.json"}</w:instrText>
      </w:r>
      <w:r w:rsidR="00E65D31" w:rsidRPr="004E053C">
        <w:rPr>
          <w:rFonts w:cstheme="majorHAnsi"/>
          <w:sz w:val="22"/>
          <w:szCs w:val="22"/>
          <w:lang w:val="en-GB"/>
        </w:rPr>
        <w:fldChar w:fldCharType="separate"/>
      </w:r>
      <w:r w:rsidR="00E65D31" w:rsidRPr="004E053C">
        <w:rPr>
          <w:rFonts w:cstheme="majorHAnsi"/>
          <w:noProof/>
          <w:sz w:val="22"/>
          <w:szCs w:val="22"/>
          <w:lang w:val="en-GB"/>
        </w:rPr>
        <w:t>(1999)</w:t>
      </w:r>
      <w:r w:rsidR="00E65D31" w:rsidRPr="004E053C">
        <w:rPr>
          <w:rFonts w:cstheme="majorHAnsi"/>
          <w:sz w:val="22"/>
          <w:szCs w:val="22"/>
          <w:lang w:val="en-GB"/>
        </w:rPr>
        <w:fldChar w:fldCharType="end"/>
      </w:r>
      <w:r w:rsidRPr="004E053C">
        <w:rPr>
          <w:rFonts w:cstheme="majorHAnsi"/>
          <w:sz w:val="22"/>
          <w:szCs w:val="22"/>
          <w:lang w:val="en-GB"/>
        </w:rPr>
        <w:t xml:space="preserve"> also hinted that this might help bridge the gap between increasingly diffuse socio-cultural situations, allowing them to partake in modernity while remaining outside of it. Interestingly this begins to acknowledge identity as a multi-sited affair, hinting at the impact of migration on community identity, rather than simply focusing on a</w:t>
      </w:r>
      <w:r w:rsidR="00FF7888" w:rsidRPr="004E053C">
        <w:rPr>
          <w:rFonts w:cstheme="majorHAnsi"/>
          <w:sz w:val="22"/>
          <w:szCs w:val="22"/>
          <w:lang w:val="en-GB"/>
        </w:rPr>
        <w:t>n identity that stems from one’s</w:t>
      </w:r>
      <w:r w:rsidRPr="004E053C">
        <w:rPr>
          <w:rFonts w:cstheme="majorHAnsi"/>
          <w:sz w:val="22"/>
          <w:szCs w:val="22"/>
          <w:lang w:val="en-GB"/>
        </w:rPr>
        <w:t xml:space="preserve"> mining profession. Werthmann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(2010)</w:t>
      </w:r>
      <w:r w:rsidRPr="004E053C">
        <w:rPr>
          <w:rFonts w:cstheme="majorHAnsi"/>
          <w:sz w:val="22"/>
          <w:szCs w:val="22"/>
          <w:lang w:val="en-GB"/>
        </w:rPr>
        <w:fldChar w:fldCharType="end"/>
      </w:r>
      <w:r w:rsidRPr="004E053C">
        <w:rPr>
          <w:rFonts w:cstheme="majorHAnsi"/>
          <w:sz w:val="22"/>
          <w:szCs w:val="22"/>
          <w:lang w:val="en-GB"/>
        </w:rPr>
        <w:t xml:space="preserve"> suggests that the miners’ understanding of how the dominant society perceives them enhances the differences from non-miners and provides a sense of belonging. However, there is also much evidence to suggest that miners face exclusion from wider society, including access to resources, governance and decision-making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Change","id":"ITEM-1","issue":"4","issued":{"date-parts":[["2007"]]},"page":"735-760","title":"Occupying the Margins: Labour Integration and Social Exclusion in Artisanal Mining in Tanzania","type":"article-journal","volume":"38"},"uris":["http://www.mendeley.com/documents/?uuid=ff3b0073-6334-3642-aaf4-12090b595d93"]}],"mendeley":{"formattedCitation":"(Fisher, 2007)","plainTextFormattedCitation":"(Fisher, 2007)","previouslyFormattedCitation":"(Fisher,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(Fisher, 2007)</w:t>
      </w:r>
      <w:r w:rsidRPr="004E053C">
        <w:rPr>
          <w:rFonts w:cstheme="majorHAnsi"/>
          <w:sz w:val="22"/>
          <w:szCs w:val="22"/>
          <w:lang w:val="en-GB"/>
        </w:rPr>
        <w:fldChar w:fldCharType="end"/>
      </w:r>
      <w:r w:rsidRPr="004E053C">
        <w:rPr>
          <w:rFonts w:cstheme="majorHAnsi"/>
          <w:sz w:val="22"/>
          <w:szCs w:val="22"/>
          <w:lang w:val="en-GB"/>
        </w:rPr>
        <w:t xml:space="preserve">. Werthmann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(2010)</w:t>
      </w:r>
      <w:r w:rsidRPr="004E053C">
        <w:rPr>
          <w:rFonts w:cstheme="majorHAnsi"/>
          <w:sz w:val="22"/>
          <w:szCs w:val="22"/>
          <w:lang w:val="en-GB"/>
        </w:rPr>
        <w:fldChar w:fldCharType="end"/>
      </w:r>
      <w:r w:rsidRPr="004E053C">
        <w:rPr>
          <w:rFonts w:cstheme="majorHAnsi"/>
          <w:sz w:val="22"/>
          <w:szCs w:val="22"/>
          <w:lang w:val="en-GB"/>
        </w:rPr>
        <w:t xml:space="preserve"> for example has shown that in Burkina Faso, people who live and work in mining camps are considered to have a bad reputation by outsiders. Given that mining is socially segmented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Studies","id":"ITEM-1","issue":"Part A","issued":{"date-parts":[["2016"]]},"page":"108-116","publisher":"Elsevier Ltd","title":"Voices from below: Artisanal- and small-scale mining as a product and catalyst of rural transformation","type":"article-journal","volume":"47"},"uris":["http://www.mendeley.com/documents/?uuid=fb82d0a5-64cc-4673-b8d8-4ea22e3fb839"]},{"id":"ITEM-2","itemData":{"abstract":"In line with trends observed in several other countries, small-scale gold mining in Compostela Valley (ComVal) province has expanded immensely, and now boasts a high number of more advanced i.e. more capitalized and mechanized operations that push the edge of what is usually considered artisanal and small-scale mining (ASM). A historical, fieldwork-based analysis is presented of the diverse factors underlying the current situation. It is argued that existing accounts of ASM-expansion, by focusing disproportionately on the role of poverty in pushing people into ASM, fail to satisfactorily account for the state of gold mining in ComVal. Whereas this poverty-driven narrative may well explain the constant supply of mining recruits, it risks obscuring how for certain groups, ASM harbors important opportunities for capital accumulation. More specifically, the increased engagement in gold mining on the part of a heterogeneous class of mining financiers enabled ASM to evolve from rudimentary into relatively mechanized operations with highly complex working practices and revenue sharing arrangements. The nascent gold mining elite has entrenched itself in a regulatory environment amenable to the further expansion of gold mining. These observations suggest that more critical attention should be paid to the 'capital interests' driving similar transformations of ASM elsewhere. © 2014 Elsevier Ltd.","author":[{"dropping-particle":"","family":"Verbrugge","given":"Boris","non-dropping-particle":"","parse-names":false,"suffix":""}],"container-title":"Extractive Industries and Society","id":"ITEM-2","issue":"1","issued":{"date-parts":[["2014"]]},"page":"86-95","publisher":"Elsevier Ltd","title":"Capital interests: a historical analysis of the transformation of small-scale gold mining in Compostela Valley province, Southern Philippines","type":"article-journal","volume":"1"},"uris":["http://www.mendeley.com/documents/?uuid=7900df1e-3ca3-4f89-b985-69d57f5c9473"]}],"mendeley":{"formattedCitation":"(Verbrugge, 2014, 2016)","plainTextFormattedCitation":"(Verbrugge, 2014, 2016)","previouslyFormattedCitation":"(Verbrugge, 2014, 2016)"},"properties":{"noteIndex":0},"schema":"https://github.com/citation-style-language/schema/raw/master/csl-citation.json"}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(Verbrugge, 2014, 2016)</w:t>
      </w:r>
      <w:r w:rsidRPr="004E053C">
        <w:rPr>
          <w:rFonts w:cstheme="majorHAnsi"/>
          <w:sz w:val="22"/>
          <w:szCs w:val="22"/>
          <w:lang w:val="en-GB"/>
        </w:rPr>
        <w:fldChar w:fldCharType="end"/>
      </w:r>
      <w:r w:rsidRPr="004E053C">
        <w:rPr>
          <w:rFonts w:cstheme="majorHAnsi"/>
          <w:sz w:val="22"/>
          <w:szCs w:val="22"/>
          <w:lang w:val="en-GB"/>
        </w:rPr>
        <w:t xml:space="preserve">, it is poorer miners or those who are adversely incorporated into the sector that face the worst exclusion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Change","id":"ITEM-1","issue":"4","issued":{"date-parts":[["2007"]]},"page":"735-760","title":"Occupying the Margins: Labour Integration and Social Exclusion in Artisanal Mining in Tanzania","type":"article-journal","volume":"38"},"uris":["http://www.mendeley.com/documents/?uuid=ff3b0073-6334-3642-aaf4-12090b595d93"]}],"mendeley":{"formattedCitation":"(Fisher, 2007)","plainTextFormattedCitation":"(Fisher, 2007)","previouslyFormattedCitation":"(Fisher,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(Fisher, 2007)</w:t>
      </w:r>
      <w:r w:rsidRPr="004E053C">
        <w:rPr>
          <w:rFonts w:cstheme="majorHAnsi"/>
          <w:sz w:val="22"/>
          <w:szCs w:val="22"/>
          <w:lang w:val="en-GB"/>
        </w:rPr>
        <w:fldChar w:fldCharType="end"/>
      </w:r>
      <w:r w:rsidRPr="004E053C">
        <w:rPr>
          <w:rFonts w:cstheme="majorHAnsi"/>
          <w:sz w:val="22"/>
          <w:szCs w:val="22"/>
          <w:lang w:val="en-GB"/>
        </w:rPr>
        <w:t xml:space="preserve">. Highly mobile miners may find themselves the most excluded from wider society, but also may actively exclude themselves in the hope of transgressing boundaries and acquiring wealth through illicit trade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Change","id":"ITEM-1","issue":"4","issued":{"date-parts":[["2007"]]},"page":"735-760","title":"Occupying the Margins: Labour Integration and Social Exclusion in Artisanal Mining in Tanzania","type":"article-journal","volume":"38"},"uris":["http://www.mendeley.com/documents/?uuid=ff3b0073-6334-3642-aaf4-12090b595d93"]}],"mendeley":{"formattedCitation":"(Fisher, 2007)","manualFormatting":"(Ibid.)","plainTextFormattedCitation":"(Fisher, 2007)","previouslyFormattedCitation":"(Fisher,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(Ibid.)</w:t>
      </w:r>
      <w:r w:rsidRPr="004E053C">
        <w:rPr>
          <w:rFonts w:cstheme="majorHAnsi"/>
          <w:sz w:val="22"/>
          <w:szCs w:val="22"/>
          <w:lang w:val="en-GB"/>
        </w:rPr>
        <w:fldChar w:fldCharType="end"/>
      </w:r>
      <w:r w:rsidRPr="004E053C">
        <w:rPr>
          <w:rFonts w:cstheme="majorHAnsi"/>
          <w:sz w:val="22"/>
          <w:szCs w:val="22"/>
          <w:lang w:val="en-GB"/>
        </w:rPr>
        <w:t xml:space="preserve">. De Boeck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{"citationItems":[{"id":"ITEM-1","itemData":{"author":[{"dropping-particle":"","family":"Boeck","given":"Filip","non-dropping-particle":"De","parse-names":false,"suffix":""}],"chapter-number":"8","container-title":"Globalization and Identity: Dialectics of Flow and Closure","id":"ITEM-1","issued":{"date-parts":[["1998"]]},"page":"177-210","publisher":"Blackwell Publishers","publisher-place":"Oxford","title":"Domesticating Diamonds and Dollars: Identity, Expenditure and Sharing in Southwestern Zaire (1984-1997)","type":"chapter"},"uris":["http://www.mendeley.com/documents/?uuid=a17c0819-d02e-34b6-8968-2c6b6f095216"]}],"mendeley":{"formattedCitation":"(De Boeck, 1998)","manualFormatting":"(1999)","plainTextFormattedCitation":"(De Boeck, 1998)","previouslyFormattedCitation":"(De Boeck, 1998)"},"properties":{"noteIndex":0},"schema":"https://github.com/citation-style-language/schema/raw/master/csl-citation.json"}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(1999)</w:t>
      </w:r>
      <w:r w:rsidRPr="004E053C">
        <w:rPr>
          <w:rFonts w:cstheme="majorHAnsi"/>
          <w:sz w:val="22"/>
          <w:szCs w:val="22"/>
          <w:lang w:val="en-GB"/>
        </w:rPr>
        <w:fldChar w:fldCharType="end"/>
      </w:r>
      <w:r w:rsidRPr="004E053C">
        <w:rPr>
          <w:rFonts w:cstheme="majorHAnsi"/>
          <w:sz w:val="22"/>
          <w:szCs w:val="22"/>
          <w:lang w:val="en-GB"/>
        </w:rPr>
        <w:t xml:space="preserve">, for example, clearly illustrated this with the case of diamond mining in </w:t>
      </w:r>
      <w:r w:rsidR="00D11AD8" w:rsidRPr="004E053C">
        <w:rPr>
          <w:rFonts w:cstheme="majorHAnsi"/>
          <w:sz w:val="22"/>
          <w:szCs w:val="22"/>
          <w:lang w:val="en-GB"/>
        </w:rPr>
        <w:t>DRC</w:t>
      </w:r>
      <w:r w:rsidRPr="004E053C">
        <w:rPr>
          <w:rFonts w:cstheme="majorHAnsi"/>
          <w:sz w:val="22"/>
          <w:szCs w:val="22"/>
          <w:lang w:val="en-GB"/>
        </w:rPr>
        <w:t xml:space="preserve"> as smuggling can promote social status despite often being criticised by others in the wider community. Fisher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Change","id":"ITEM-1","issue":"4","issued":{"date-parts":[["2007"]]},"page":"735-760","title":"Occupying the Margins: Labour Integration and Social Exclusion in Artisanal Mining in Tanzania","type":"article-journal","volume":"38"},"uris":["http://www.mendeley.com/documents/?uuid=ff3b0073-6334-3642-aaf4-12090b595d93"]}],"mendeley":{"formattedCitation":"(Fisher, 2007)","manualFormatting":"(2007)","plainTextFormattedCitation":"(Fisher, 2007)","previouslyFormattedCitation":"(Fisher,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(2007)</w:t>
      </w:r>
      <w:r w:rsidRPr="004E053C">
        <w:rPr>
          <w:rFonts w:cstheme="majorHAnsi"/>
          <w:sz w:val="22"/>
          <w:szCs w:val="22"/>
          <w:lang w:val="en-GB"/>
        </w:rPr>
        <w:fldChar w:fldCharType="end"/>
      </w:r>
      <w:r w:rsidRPr="004E053C">
        <w:rPr>
          <w:rFonts w:cstheme="majorHAnsi"/>
          <w:sz w:val="22"/>
          <w:szCs w:val="22"/>
          <w:lang w:val="en-GB"/>
        </w:rPr>
        <w:t xml:space="preserve"> draws on these observations to suggest that it is the ambivalence and marginality associated with artisanal mining that can enable wealth and power to be accrued. </w:t>
      </w:r>
    </w:p>
    <w:p w14:paraId="51F3E013" w14:textId="77777777" w:rsidR="00D36963" w:rsidRPr="004E053C" w:rsidRDefault="00D36963" w:rsidP="004E053C">
      <w:pPr>
        <w:spacing w:line="360" w:lineRule="auto"/>
        <w:jc w:val="both"/>
        <w:rPr>
          <w:rFonts w:cstheme="majorHAnsi"/>
          <w:sz w:val="22"/>
          <w:szCs w:val="22"/>
          <w:lang w:val="en-GB"/>
        </w:rPr>
      </w:pPr>
    </w:p>
    <w:p w14:paraId="13E814EB" w14:textId="77777777" w:rsidR="00D36963" w:rsidRPr="004E053C" w:rsidRDefault="00D36963" w:rsidP="004E053C">
      <w:pPr>
        <w:pStyle w:val="Heading2"/>
        <w:spacing w:before="0" w:line="360" w:lineRule="auto"/>
        <w:jc w:val="both"/>
        <w:rPr>
          <w:lang w:val="en-GB"/>
        </w:rPr>
      </w:pPr>
      <w:bookmarkStart w:id="26" w:name="_Toc424671876"/>
      <w:bookmarkStart w:id="27" w:name="_Toc428636326"/>
      <w:bookmarkStart w:id="28" w:name="_Toc33293080"/>
      <w:r w:rsidRPr="004E053C">
        <w:rPr>
          <w:lang w:val="en-GB"/>
        </w:rPr>
        <w:t>2.6. Criminalisation, resistance and identity</w:t>
      </w:r>
      <w:bookmarkEnd w:id="26"/>
      <w:bookmarkEnd w:id="27"/>
      <w:bookmarkEnd w:id="28"/>
    </w:p>
    <w:p w14:paraId="497730F2" w14:textId="77777777" w:rsidR="00D36963" w:rsidRPr="004E053C" w:rsidRDefault="00D36963" w:rsidP="004E053C">
      <w:pPr>
        <w:spacing w:line="360" w:lineRule="auto"/>
        <w:jc w:val="both"/>
      </w:pPr>
    </w:p>
    <w:p w14:paraId="7C9D88E1" w14:textId="06D139B1" w:rsidR="00D36963" w:rsidRPr="004E053C" w:rsidRDefault="007A7DCE" w:rsidP="004E053C">
      <w:pPr>
        <w:spacing w:line="360" w:lineRule="auto"/>
        <w:jc w:val="both"/>
        <w:rPr>
          <w:rFonts w:cstheme="majorHAnsi"/>
          <w:sz w:val="22"/>
          <w:szCs w:val="22"/>
          <w:lang w:val="en-GB"/>
        </w:rPr>
      </w:pPr>
      <w:r>
        <w:rPr>
          <w:rFonts w:cstheme="majorHAnsi"/>
          <w:sz w:val="22"/>
          <w:szCs w:val="22"/>
          <w:lang w:val="en-GB"/>
        </w:rPr>
        <w:lastRenderedPageBreak/>
        <w:t>Whilst many academic</w:t>
      </w:r>
      <w:r w:rsidR="00D36963" w:rsidRPr="004E053C">
        <w:rPr>
          <w:rFonts w:cstheme="majorHAnsi"/>
          <w:sz w:val="22"/>
          <w:szCs w:val="22"/>
          <w:lang w:val="en-GB"/>
        </w:rPr>
        <w:t xml:space="preserve">s and practitioners now advocate for the formalisation of miners in order to eradicate some of the conflict, violence and other social issues associated with ASM </w:t>
      </w:r>
      <w:r w:rsidR="00D36963"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{"citationItems":[{"id":"ITEM-1","itemData":{"abstract":"Over the past 10–15 years, several governments have implemented an array of technology, support‐related, sustainable livelihoods (SL) and poverty‐reduction projects for artisanal and small‐scale mining (ASM). In the majority of cases, however, these interventions have failed to facilitate improvements in the industry's productivity and raise the living standards of the sector's subsistence operators. This article argues that a poor understanding of the demographics of target populations has precipitated these outcomes. In order to strengthen policy and assistance in the sector, governments must determine, with greater precision, the number of people operating in ASM regions, their origins and ethnic backgrounds, ages, and educational levels. This can be achieved by carrying out basic and localized census work before promoting ambitious sector‐specific projects aimed at improving working conditions in the industry.","author":[{"dropping-particle":"","family":"Hilson","given":"G","non-dropping-particle":"","parse-names":false,"suffix":""}],"container-title":"Natural Resources Forum","id":"ITEM-1","issue":"2","issued":{"date-parts":[["2005"]]},"page":"144-153","title":"Strengthening artisanal mining research and policy through baseline census activities","type":"article-journal","volume":"29"},"uris":["http://www.mendeley.com/documents/?uuid=447f796c-6b24-49d4-babb-b2a3e2351b39"]},{"id":"ITEM-2","itemData":{"abstract":"This paper introduces a special issue which explores the dynamics and various development trajectories of artisanal and small-scale mining (ASM) - low-tech mineral processing and extraction - in sub-Saharan Africa. The papers in this special issue reflect critically on the efforts made over the past two decades to formalize the sector, which has fast become one of the most important economic activities in many rural sections of the region, as well as what lies ahead, given the progress made to date with legalizing and supporting operators. The present paper not only summarizes each contribution but also frames the debates on formalization, industry impacts and perceptions of participants which this special issue touches on, with specific reference to sub-Saharan Africa. Host governments and donors are now at a crossroads: on the one hand, faced with the reality that across the region, ASM is now an integral component of the rural economy, but on the other hand, having in place rigid regulatory and policy frameworks which do not necessarily reflect this reality. © 2014 Elsevier Ltd.","author":[{"dropping-particle":"","family":"Hilson","given":"G","non-dropping-particle":"","parse-names":false,"suffix":""},{"dropping-particle":"","family":"Gatsinzi","given":"Angélique","non-dropping-particle":"","parse-names":false,"suffix":""}],"container-title":"Futures","id":"ITEM-2","issue":"Part A","issued":{"date-parts":[["2014"]]},"page":"1-9","title":"A rocky road ahead? Critical reflections on the futures of small-scale mining in sub-Saharan Africa","type":"article-journal","volume":"62"},"uris":["http://www.mendeley.com/documents/?uuid=7d07e96d-d171-437e-a1ad-e3112c2e22de"]},{"id":"ITEM-3","itemData":{"abstract":"This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Policy","id":"ITEM-3","issue":"1-2","issued":{"date-parts":[["2009"]]},"page":"51-56","title":"Artisanal and small-scale mining as an extralegal economy: De Soto and the redefinition of 'formalization'","type":"article-journal","volume":"34"},"uris":["http://www.mendeley.com/documents/?uuid=0cd7f80e-58cc-4421-9a78-f30864db4d69"]},{"id":"ITEM-4","itemData":{"abstract":"By 2009, Ghana was the second-ranked African producer after South Africa, and had become the world's ninth largest producer of gold, at some 3.8% of global production, up from 2.6% five years earlier. Gold production volumes and revenues rose significantly over the decade from 2000. Yet gold mining tends to be perceived negatively in Ghana, and is seen as providing far less than it should in terms of public revenue, employment, skills development and spillovers, and localised economic development. Gold mining is often depicted as having an enclave status, disconnected and isolated from the rest of the economy. In contrast, the research findings here demonstrate that after a period of strong investment and growth, gold mining can no longer be viewed as an enclave activity: it is in fact more deeply linked into the Ghanaian economy than hitherto understood, through a set of as yet under-researched but promising economic linkages, notably backward linkages, which can potentially be strengthened by policy and support measures. © 2012 Elsevier Ltd.","author":[{"dropping-particle":"","family":"Bloch","given":"Robin","non-dropping-particle":"","parse-names":false,"suffix":""},{"dropping-particle":"","family":"Owusu","given":"George","non-dropping-particle":"","parse-names":false,"suffix":""}],"container-title":"Resources Policy","id":"ITEM-4","issue":"4","issued":{"date-parts":[["2012"]]},"page":"434-442","publisher":"Elsevier","title":"Linkages in Ghana's gold mining industry: challenging the enclave thesis","type":"article-journal","volume":"37"},"uris":["http://www.mendeley.com/documents/?uuid=6d9dbbba-9674-46e7-a9c9-052ada2c1fb4"]}],"mendeley":{"formattedCitation":"(Bloch &amp; Owusu, 2012; G Hilson, 2005; G Hilson &amp; Gatsinzi, 2014; Siegel &amp; Veiga, 2009)","manualFormatting":"(Bloch &amp; Owusu, 2012; Hilson &amp; Gatsinzi, 2014; Siegel &amp; Veiga, 2009)","plainTextFormattedCitation":"(Bloch &amp; Owusu, 2012; G Hilson, 2005; G Hilson &amp; Gatsinzi, 2014; Siegel &amp; Veiga, 2009)","previouslyFormattedCitation":"(Bloch &amp; Owusu, 2012; G Hilson, 2005; G Hilson &amp; Gatsinzi, 2014; Siegel &amp; Veiga, 2009)"},"properties":{"noteIndex":0},"schema":"https://github.com/citation-style-language/schema/raw/master/csl-citation.json"}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(Bloch &amp; Owusu, 2012; Hilson &amp; Gatsinzi, 2014; Siegel &amp; Veiga, 2009)</w:t>
      </w:r>
      <w:r w:rsidR="00D36963" w:rsidRPr="004E053C">
        <w:rPr>
          <w:rFonts w:cstheme="majorHAnsi"/>
          <w:sz w:val="22"/>
          <w:szCs w:val="22"/>
          <w:lang w:val="en-GB"/>
        </w:rPr>
        <w:fldChar w:fldCharType="end"/>
      </w:r>
      <w:r w:rsidR="00D36963" w:rsidRPr="004E053C">
        <w:rPr>
          <w:rFonts w:cstheme="majorHAnsi"/>
          <w:sz w:val="22"/>
          <w:szCs w:val="22"/>
          <w:lang w:val="en-GB"/>
        </w:rPr>
        <w:t>, governments are still rarely supportive of ASM and miners remain in the informal sector.</w:t>
      </w:r>
      <w:r w:rsidR="000F1591" w:rsidRPr="004E053C">
        <w:rPr>
          <w:rFonts w:cstheme="majorHAnsi"/>
          <w:color w:val="000000"/>
          <w:sz w:val="22"/>
          <w:szCs w:val="22"/>
          <w:lang w:val="en-GB"/>
        </w:rPr>
        <w:t xml:space="preserve"> </w:t>
      </w:r>
      <w:r>
        <w:rPr>
          <w:rFonts w:cstheme="majorHAnsi"/>
          <w:color w:val="000000"/>
          <w:sz w:val="22"/>
          <w:szCs w:val="22"/>
          <w:lang w:val="en-GB"/>
        </w:rPr>
        <w:t>Several researchers</w:t>
      </w:r>
      <w:r w:rsidR="00D36963" w:rsidRPr="004E053C">
        <w:rPr>
          <w:rFonts w:cstheme="majorHAnsi"/>
          <w:color w:val="000000"/>
          <w:sz w:val="22"/>
          <w:szCs w:val="22"/>
          <w:lang w:val="en-GB"/>
        </w:rPr>
        <w:t xml:space="preserve"> have in fact criticised existing formalisation policies for</w:t>
      </w:r>
      <w:r w:rsidR="00D36963" w:rsidRPr="004E053C">
        <w:rPr>
          <w:rFonts w:cstheme="majorHAnsi"/>
          <w:sz w:val="22"/>
          <w:szCs w:val="22"/>
          <w:lang w:val="en-GB"/>
        </w:rPr>
        <w:t xml:space="preserve"> pushing informal gold miners into the realm of illegality, due to the difficulties with miners being able to meet the criteria for formalisation, resulting in policy failure and disillusionment </w:t>
      </w:r>
      <w:r w:rsidR="00D36963"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{"citationItems":[{"id":"ITEM-1","itemData":{"abstract":"Among policy-makers and governments, there is a broad consensus that artisanal and small-scale mining (ASM) needs to be 'formalized' - embodied in a standardized legal framework that is registered in and governed by a central state system-, the basic condition being that artisanal miners are given formal property rights. This article aims to contribute to this discussion, drawing on a case study from the Eastern Democratic Republic of Congo (DRC), where it is estimated that up to 90 percent of mineral production and export is 'informal'. After having pointed out some of the theoretical assumptions behind the formalization canon, we study the challenges of formalizing the mining sector in the DRC. Next, we provide an in-depth analysis of one concrete policy measure of the Congolese government, the temporary ban on all artisanal activities. We argue that the mining ban was not only a radical example of a top-down formalization policy, but also an illustration of a bureaucratic and technical measure that compounds but does not address different problems associated with ASM: conflict, informality, poverty, illegality, state control. Looking at the empirical evidence from the DRC, we argue that these kinds of technical solutions can never address the broader socio-economic and political issues at stake. © 2012 Elsevier Ltd.","author":[{"dropping-particle":"","family":"Geenen","given":"Sara","non-dropping-particle":"","parse-names":false,"suffix":""}],"container-title":"Resources Policy","id":"ITEM-1","issue":"3","issued":{"date-parts":[["2012"]]},"page":"322-330","publisher":"Elsevier","title":"A dangerous bet: the challenges of formalizing artisanal mining in the Democratic Republic of Congo","type":"article-journal","volume":"37"},"uris":["http://www.mendeley.com/documents/?uuid=990e6cea-1184-450e-8800-32c367a9e244"]},{"id":"ITEM-2","itemData":{"abstract":"A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Society","id":"ITEM-2","issue":"4","issued":{"date-parts":[["2016"]]},"page":"1058-1066","publisher":"Elsevier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Peru","type":"article-journal","volume":"3"},"uris":["http://www.mendeley.com/documents/?uuid=c58e85fb-cf81-4a8b-acb3-317eb51efe53"]}],"mendeley":{"formattedCitation":"(Geenen, 2012; Salo et al., 2016)","plainTextFormattedCitation":"(Geenen, 2012; Salo et al., 2016)","previouslyFormattedCitation":"(Geenen, 2012; Salo et al., 2016)"},"properties":{"noteIndex":0},"schema":"https://github.com/citation-style-language/schema/raw/master/csl-citation.json"}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(Geenen, 2012; Salo et al., 2016)</w:t>
      </w:r>
      <w:r w:rsidR="00D36963" w:rsidRPr="004E053C">
        <w:rPr>
          <w:rFonts w:cstheme="majorHAnsi"/>
          <w:sz w:val="22"/>
          <w:szCs w:val="22"/>
          <w:lang w:val="en-GB"/>
        </w:rPr>
        <w:fldChar w:fldCharType="end"/>
      </w:r>
      <w:r w:rsidR="00D36963" w:rsidRPr="004E053C">
        <w:rPr>
          <w:rFonts w:cstheme="majorHAnsi"/>
          <w:sz w:val="22"/>
          <w:szCs w:val="22"/>
          <w:lang w:val="en-GB"/>
        </w:rPr>
        <w:t xml:space="preserve">. In some countries informal ASM is tolerated </w:t>
      </w:r>
      <w:r w:rsidR="00D36963" w:rsidRPr="004E053C">
        <w:rPr>
          <w:rFonts w:cstheme="majorHAnsi"/>
          <w:sz w:val="22"/>
          <w:szCs w:val="22"/>
          <w:lang w:val="en-GB"/>
        </w:rPr>
        <w:fldChar w:fldCharType="begin" w:fldLock="1"/>
      </w:r>
      <w:r w:rsidR="00D36963" w:rsidRPr="004E053C">
        <w:rPr>
          <w:rFonts w:cstheme="majorHAnsi"/>
          <w:sz w:val="22"/>
          <w:szCs w:val="22"/>
          <w:lang w:val="en-GB"/>
        </w:rPr>
        <w:instrText>ADDIN CSL_CITATION {"citationItems":[{"id":"ITEM-1","itemData":{"abstract":"This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Policy","id":"ITEM-1","issue":"1-2","issued":{"date-parts":[["2009"]]},"page":"51-56","title":"Artisanal and small-scale mining as an extralegal economy: De Soto and the redefinition of 'formalization'","type":"article-journal","volume":"34"},"uris":["http://www.mendeley.com/documents/?uuid=0cd7f80e-58cc-4421-9a78-f30864db4d69"]}],"mendeley":{"formattedCitation":"(Siegel &amp; Veiga, 2009)","plainTextFormattedCitation":"(Siegel &amp; Veiga, 2009)","previouslyFormattedCitation":"(Siegel &amp; Veiga, 2009)"},"properties":{"noteIndex":0},"schema":"https://github.com/citation-style-language/schema/raw/master/csl-citation.json"}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(Siegel &amp; Veiga, 2009)</w:t>
      </w:r>
      <w:r w:rsidR="00D36963" w:rsidRPr="004E053C">
        <w:rPr>
          <w:rFonts w:cstheme="majorHAnsi"/>
          <w:sz w:val="22"/>
          <w:szCs w:val="22"/>
          <w:lang w:val="en-GB"/>
        </w:rPr>
        <w:fldChar w:fldCharType="end"/>
      </w:r>
      <w:r w:rsidR="00D36963" w:rsidRPr="004E053C">
        <w:rPr>
          <w:rFonts w:cstheme="majorHAnsi"/>
          <w:sz w:val="22"/>
          <w:szCs w:val="22"/>
          <w:lang w:val="en-GB"/>
        </w:rPr>
        <w:t xml:space="preserve">, but </w:t>
      </w:r>
      <w:r w:rsidR="00D36963" w:rsidRPr="004E053C">
        <w:rPr>
          <w:rFonts w:cstheme="majorHAnsi"/>
          <w:color w:val="000000"/>
          <w:sz w:val="22"/>
          <w:szCs w:val="22"/>
          <w:lang w:val="en-GB"/>
        </w:rPr>
        <w:t xml:space="preserve">in most states ASM </w:t>
      </w:r>
      <w:r w:rsidR="00D36963" w:rsidRPr="004E053C">
        <w:rPr>
          <w:rFonts w:cstheme="majorHAnsi"/>
          <w:sz w:val="22"/>
          <w:szCs w:val="22"/>
          <w:lang w:val="en-GB"/>
        </w:rPr>
        <w:t xml:space="preserve">miners are dealt with in an antagonistic way. This includes the arrest and eviction of miners and the blowing up of mining equipment, which only adds to their marginalisation </w:t>
      </w:r>
      <w:r w:rsidR="00D36963"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{"citationItems":[{"id":"ITEM-1","itemData":{"abstract":"Artisanal and small-scale mining (ASM) is often characterised as rush-type activity undertaken by people looking to 'get-rich quick'. An alternative view posits ASM as poverty-driven activity which provides a valuable source of employment to a rural population where agriculture has failed to provide an adequate income. Against this dichotomy, this article critically reviews the short-lived, but high profile, gold rush which occurred on the beaches of Elmina, a fishing town in Ghana's Central Region. At its peak, more than 1000 people, including local fishermen and career miners from the Western Region and Eastern Region of the country, were mining on the beaches. Drawing on interviews with miners and local business owners, the analysis explores the dynamics of the rush and its implications for understanding the ASM sector in Ghana. The discussion highlights the challenges associated with managing resources in dynamic and heterogeneous contexts, reconciling separate and conflicting sectoral priorities and the need to go beyond simplified and dualistic representations of the sector. © 2013 Elsevier Ltd.","author":[{"dropping-particle":"","family":"Hirons","given":"Mark","non-dropping-particle":"","parse-names":false,"suffix":""}],"container-title":"Resources Policy","id":"ITEM-1","issue":"1","issued":{"date-parts":[["2014"]]},"page":"83-89","publisher":"Elsevier","title":"Shifting sand, shifting livelihoods? Reflections on a coastal gold rush in Ghana","type":"article-journal","volume":"41"},"uris":["http://www.mendeley.com/documents/?uuid=94c97693-13b2-4f58-a556-905f44c55cb7"]},{"id":"ITEM-2","itemData":{"abstract":"This article discusses the character of mineral resource governance at the margins of the state in Tanzania and the way artisanal gold miners are incorporated into mineral sector transformation. The landscape of mineral resource exploitation has changed dramatically over the past 20 years: processes of economic liberalisation have heralded massive foreign investment in large-scale gold mining, while also stimulating artisanal activities. Against this background, the article shows how artisanal gold miners are affected by contradictory processes: some have become integrated with state institutions and legal processes, while others, the large majority, are either further excluded or incorporated in ways that exacerbate insecurity and exploitation, underpinned by socio-economic inequalities. These processes are compounded by the actions of large-scale and medium-scale gold mining companies and by poor local governance. It is open to debate whether this will bring improved integration and welfare for artisanal mining communities or new forms of exclusion, although evidence suggests the latter.","author":[{"dropping-particle":"","family":"Fisher","given":"Eleanor","non-dropping-particle":"","parse-names":false,"suffix":""}],"container-title":"Development Southern Africa","id":"ITEM-2","issue":"2","issued":{"date-parts":[["2008"]]},"page":"199-213","title":"Artisanal gold mining at the margins of mineral resource governance: a case from Tanzania","type":"article-journal","volume":"25"},"uris":["http://www.mendeley.com/documents/?uuid=d69ff845-1a60-35d1-a9fa-13b7239fa210"]},{"id":"ITEM-3","itemData":{"abstract":"This paper argues that a formalized and supported artisanal and small-scale mining (ASM) sector could assist immeasurably with reducing the intensity of the youth unemployment crisis which now plagues sub-Saharan Africa. Over the past decade, hundreds of thousands of the region's youth have pursued work in the ASM economy in various capacities, decisions which have brought much-needed stability in a landscape devoid of formal sector job opportunities. Host governments and donors, however, have often condemned these moves, failing to fully appreciate why youth have pursued work in ASM in the first place and the impact it has had on their livelihoods. Whilst by no means the solution to the youth unemployment problem in sub-Saharan Africa, heightened emphasis on formalizing and supporting ASM could certainly buy policymakers and donors some valuable time - at least in the short term - to sufficiently 're-think' their ineffective approaches to tackling the crisis. © 2014 Elsevier Ltd.","author":[{"dropping-particle":"","family":"Hilson","given":"G","non-dropping-particle":"","parse-names":false,"suffix":""},{"dropping-particle":"","family":"Osei","given":"L","non-dropping-particle":"","parse-names":false,"suffix":""}],"container-title":"Futures","id":"ITEM-3","issue":"2014","issued":{"date-parts":[["2014"]]},"page":"83-94","publisher":"Elsevier Ltd","title":"Tackling youth unemployment in sub-Saharan Africa: Is there a role for artisanal and small-scale mining?","type":"article-journal","volume":"62"},"uris":["http://www.mendeley.com/documents/?uuid=6a2ab234-bc06-4c78-aa0f-b114aff5cf85"]}],"mendeley":{"formattedCitation":"(Fisher, 2008; G Hilson &amp; Osei, 2014; Hirons, 2014)","manualFormatting":"(Fisher, 2008; Hilson &amp; Osei, 2014; Hirons, 2014)","plainTextFormattedCitation":"(Fisher, 2008; G Hilson &amp; Osei, 2014; Hirons, 2014)","previouslyFormattedCitation":"(Fisher, 2008; G Hilson &amp; Osei, 2014; Hirons, 2014)"},"properties":{"noteIndex":0},"schema":"https://github.com/citation-style-language/schema/raw/master/csl-citation.json"}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(Fisher, 2008; Hilson &amp; Osei, 2014; Hirons, 2014)</w:t>
      </w:r>
      <w:r w:rsidR="00D36963" w:rsidRPr="004E053C">
        <w:rPr>
          <w:rFonts w:cstheme="majorHAnsi"/>
          <w:sz w:val="22"/>
          <w:szCs w:val="22"/>
          <w:lang w:val="en-GB"/>
        </w:rPr>
        <w:fldChar w:fldCharType="end"/>
      </w:r>
      <w:r w:rsidR="00D36963" w:rsidRPr="004E053C">
        <w:rPr>
          <w:rFonts w:cstheme="majorHAnsi"/>
          <w:sz w:val="22"/>
          <w:szCs w:val="22"/>
          <w:lang w:val="en-GB"/>
        </w:rPr>
        <w:t>. This section will first present existing evidence on how regulation has not only led to the criminalisation of miners in many countries, but how public discourse has also reflected this criminalisation in an increasingly negative portrayal of ASM operatives. This thesis will then go on to illustrate the impacts of this on insecurity within mining sites. The second sub-section will link this criminalisation to forms of conflict seen in the ASM sector, but also showing that despite the insecurity, miners are often able to negotiate conflict to avoid outbreaks of violence. The third section will focus on how the continuation of mining activity repre</w:t>
      </w:r>
      <w:r w:rsidR="000F1591" w:rsidRPr="004E053C">
        <w:rPr>
          <w:rFonts w:cstheme="majorHAnsi"/>
          <w:sz w:val="22"/>
          <w:szCs w:val="22"/>
          <w:lang w:val="en-GB"/>
        </w:rPr>
        <w:t>sents a form of resistance that</w:t>
      </w:r>
      <w:r w:rsidR="00D36963" w:rsidRPr="004E053C">
        <w:rPr>
          <w:rFonts w:cstheme="majorHAnsi"/>
          <w:sz w:val="22"/>
          <w:szCs w:val="22"/>
          <w:lang w:val="en-GB"/>
        </w:rPr>
        <w:t xml:space="preserve"> often relies on strong organisation. I will conclude this chapter by suggesting that a key gap in the literature has been the failure o</w:t>
      </w:r>
      <w:r>
        <w:rPr>
          <w:rFonts w:cstheme="majorHAnsi"/>
          <w:sz w:val="22"/>
          <w:szCs w:val="22"/>
          <w:lang w:val="en-GB"/>
        </w:rPr>
        <w:t>f academics</w:t>
      </w:r>
      <w:r w:rsidR="00FF7888" w:rsidRPr="004E053C">
        <w:rPr>
          <w:rFonts w:cstheme="majorHAnsi"/>
          <w:sz w:val="22"/>
          <w:szCs w:val="22"/>
          <w:lang w:val="en-GB"/>
        </w:rPr>
        <w:t xml:space="preserve"> to link this active </w:t>
      </w:r>
      <w:r w:rsidR="00D36963" w:rsidRPr="004E053C">
        <w:rPr>
          <w:rFonts w:cstheme="majorHAnsi"/>
          <w:sz w:val="22"/>
          <w:szCs w:val="22"/>
          <w:lang w:val="en-GB"/>
        </w:rPr>
        <w:t xml:space="preserve">resistance with the emergence of a collective identity. </w:t>
      </w:r>
    </w:p>
    <w:p w14:paraId="42991F31" w14:textId="77777777" w:rsidR="00D36963" w:rsidRPr="004E053C" w:rsidRDefault="00D36963" w:rsidP="004E053C">
      <w:pPr>
        <w:widowControl w:val="0"/>
        <w:autoSpaceDE w:val="0"/>
        <w:autoSpaceDN w:val="0"/>
        <w:adjustRightInd w:val="0"/>
        <w:spacing w:line="360" w:lineRule="auto"/>
        <w:jc w:val="both"/>
        <w:rPr>
          <w:rFonts w:cstheme="majorHAnsi"/>
          <w:b/>
          <w:sz w:val="22"/>
          <w:szCs w:val="22"/>
          <w:lang w:val="en-GB"/>
        </w:rPr>
      </w:pPr>
    </w:p>
    <w:p w14:paraId="074E7398" w14:textId="77777777" w:rsidR="00D36963" w:rsidRPr="004E053C" w:rsidRDefault="00D36963" w:rsidP="004E053C">
      <w:pPr>
        <w:pStyle w:val="Heading3"/>
        <w:rPr>
          <w:rFonts w:asciiTheme="minorHAnsi" w:hAnsiTheme="minorHAnsi"/>
        </w:rPr>
      </w:pPr>
      <w:r w:rsidRPr="004E053C">
        <w:rPr>
          <w:rFonts w:asciiTheme="minorHAnsi" w:hAnsiTheme="minorHAnsi"/>
        </w:rPr>
        <w:t>2.6.1. Criminalisation</w:t>
      </w:r>
    </w:p>
    <w:p w14:paraId="67B54B0F" w14:textId="77777777" w:rsidR="00D36963" w:rsidRPr="004E053C" w:rsidRDefault="00D36963" w:rsidP="004E053C">
      <w:pPr>
        <w:widowControl w:val="0"/>
        <w:autoSpaceDE w:val="0"/>
        <w:autoSpaceDN w:val="0"/>
        <w:adjustRightInd w:val="0"/>
        <w:spacing w:line="360" w:lineRule="auto"/>
        <w:jc w:val="both"/>
        <w:rPr>
          <w:rFonts w:cstheme="majorHAnsi"/>
          <w:color w:val="000000"/>
          <w:sz w:val="22"/>
          <w:szCs w:val="22"/>
          <w:lang w:val="en-GB"/>
        </w:rPr>
      </w:pPr>
    </w:p>
    <w:p w14:paraId="310D6B2C" w14:textId="3105EA81" w:rsidR="00D36963" w:rsidRPr="004E053C" w:rsidRDefault="00D36963" w:rsidP="004E053C">
      <w:pPr>
        <w:widowControl w:val="0"/>
        <w:autoSpaceDE w:val="0"/>
        <w:autoSpaceDN w:val="0"/>
        <w:adjustRightInd w:val="0"/>
        <w:spacing w:line="360" w:lineRule="auto"/>
        <w:jc w:val="both"/>
        <w:rPr>
          <w:rFonts w:cstheme="majorHAnsi"/>
          <w:sz w:val="22"/>
          <w:szCs w:val="22"/>
          <w:lang w:val="en-GB"/>
        </w:rPr>
      </w:pPr>
      <w:r w:rsidRPr="004E053C">
        <w:rPr>
          <w:rFonts w:cstheme="majorHAnsi"/>
          <w:color w:val="000000"/>
          <w:sz w:val="22"/>
          <w:szCs w:val="22"/>
          <w:lang w:val="en-GB"/>
        </w:rPr>
        <w:t xml:space="preserve">It has been observed that the regulation of any natural resource tends to occur in the form of ‘criminalisation’ </w:t>
      </w:r>
      <w:r w:rsidRPr="004E053C">
        <w:rPr>
          <w:rFonts w:cstheme="majorHAnsi"/>
          <w:color w:val="000000"/>
          <w:sz w:val="22"/>
          <w:szCs w:val="22"/>
          <w:lang w:val="en-GB"/>
        </w:rPr>
        <w:fldChar w:fldCharType="begin" w:fldLock="1"/>
      </w:r>
      <w:r w:rsidRPr="004E053C">
        <w:rPr>
          <w:rFonts w:cstheme="majorHAnsi"/>
          <w:color w:val="000000"/>
          <w:sz w:val="22"/>
          <w:szCs w:val="22"/>
          <w:lang w:val="en-GB"/>
        </w:rPr>
        <w:instrText>ADDIN CSL_CITATION {"citationItems":[{"id":"ITEM-1","itemData":{"abstract":"This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-1","issue":"6","issued":{"date-parts":[["2007"]]},"page":"1304-1321","title":"Contaminated identities: mercury and marginalization in Ghana's artisanal mining sector","type":"article-journal","volume":"38"},"uris":["http://www.mendeley.com/documents/?uuid=bb6c3eb8-5f3a-408f-89eb-506be52b9a46"]}],"mendeley":{"formattedCitation":"(Tschakert &amp; Singha, 2007)","plainTextFormattedCitation":"(Tschakert &amp; Singha, 2007)","previouslyFormattedCitation":"(Tschakert &amp; Singha, 2007)"},"properties":{"noteIndex":0},"schema":"https://github.com/citation-style-language/schema/raw/master/csl-citation.json"}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(Tschakert &amp; Singha, 2007)</w:t>
      </w:r>
      <w:r w:rsidRPr="004E053C">
        <w:rPr>
          <w:rFonts w:cstheme="majorHAnsi"/>
          <w:color w:val="000000"/>
          <w:sz w:val="22"/>
          <w:szCs w:val="22"/>
          <w:lang w:val="en-GB"/>
        </w:rPr>
        <w:fldChar w:fldCharType="end"/>
      </w:r>
      <w:r w:rsidRPr="004E053C">
        <w:rPr>
          <w:rFonts w:cstheme="majorHAnsi"/>
          <w:sz w:val="22"/>
          <w:szCs w:val="22"/>
          <w:lang w:val="en-GB"/>
        </w:rPr>
        <w:t xml:space="preserve">. There is evidence of this from a wide variety of countries. In South Africa for example, ASM miners are automatically illegal as only registered industrial mines can obtain permits and process mined material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{"citationItems":[{"id":"ITEM-1","itemData":{"abstract":"Contrary to views of South African government officials and the media, illegal miners (. zamazama) in South Africa are better described as 'artisanal' miners and entrepreneurs who create significant numbers of jobs and economic value for many local communities. For the most part, they are not ignorant desperados, nor especially violent. They have unusual non-standard mining skills and knowledge that is distinctly different from industrial miners. They exploit gold resources that major mines cannot access and interact directly with global markets. With better legislation and, possibly, training, they could be economic assets and elements of the national heritage.","author":[{"dropping-particle":"","family":"Thornton","given":"Robert","non-dropping-particle":"","parse-names":false,"suffix":""}],"container-title":"Extractive Industries and Society","id":"ITEM-1","issue":"2","issued":{"date-parts":[["2014"]]},"page":"127-129","publisher":"Elsevier Ltd","title":"Zamazama, \"illegal\" artisanal miners, misrepresented by the South African Press and Government","type":"article-journal","volume":"1"},"uris":["http://www.mendeley.com/documents/?uuid=e5f815be-8d68-4df2-a3e5-b010b5bdc70c"]}],"mendeley":{"formattedCitation":"(Thornton, 2014)","plainTextFormattedCitation":"(Thornton, 2014)","previouslyFormattedCitation":"(Thornton,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(Thornton, 2014)</w:t>
      </w:r>
      <w:r w:rsidRPr="004E053C">
        <w:rPr>
          <w:rFonts w:cstheme="majorHAnsi"/>
          <w:sz w:val="22"/>
          <w:szCs w:val="22"/>
          <w:lang w:val="en-GB"/>
        </w:rPr>
        <w:fldChar w:fldCharType="end"/>
      </w:r>
      <w:r w:rsidRPr="004E053C">
        <w:rPr>
          <w:rFonts w:cstheme="majorHAnsi"/>
          <w:sz w:val="22"/>
          <w:szCs w:val="22"/>
          <w:lang w:val="en-GB"/>
        </w:rPr>
        <w:t xml:space="preserve">, while in </w:t>
      </w:r>
      <w:r w:rsidRPr="004E053C">
        <w:rPr>
          <w:rFonts w:eastAsia="Times New Roman" w:cstheme="majorHAnsi"/>
          <w:sz w:val="22"/>
          <w:szCs w:val="22"/>
          <w:lang w:val="en-GB"/>
        </w:rPr>
        <w:t xml:space="preserve">Colombia, legal reforms that required ASM operatives to complete the same technical and environmental studies as large-scale gold mining projects resulted in the criminalisation of thousands of people </w:t>
      </w:r>
      <w:r w:rsidRPr="004E053C">
        <w:rPr>
          <w:rFonts w:eastAsia="Times New Roman" w:cstheme="majorHAnsi"/>
          <w:sz w:val="22"/>
          <w:szCs w:val="22"/>
          <w:lang w:val="en-GB"/>
        </w:rPr>
        <w:fldChar w:fldCharType="begin" w:fldLock="1"/>
      </w:r>
      <w:r w:rsidR="00680892" w:rsidRPr="004E053C">
        <w:rPr>
          <w:rFonts w:eastAsia="Times New Roman" w:cstheme="majorHAnsi"/>
          <w:sz w:val="22"/>
          <w:szCs w:val="22"/>
          <w:lang w:val="en-GB"/>
        </w:rPr>
        <w:instrText>ADDIN CSL_CITATION {"citationItems":[{"id":"ITEM-1","itemData":{"abstract":"As gold prices rose between 2002 and 2012, Afro-descendant gold miners confronted illegal outsider-owned gold mines on their land in Colombia’s northwest Chocó department. This article examines why these Afro-descendant miners, who used hand tools and techniques, often invited the outsiders, who used heavy machinery and mercury, to work their mines. Their reasons included: familial pressure over land, profit sharing, high prices, access to gold, and dangerous working conditions. The decision to invite in the outsiders complicates the conventional narrative of a coercive relationship between outsiders and Afro-descendant communities, even as the relationship produced worse than expected outcomes for both sides.","author":[{"dropping-particle":"","family":"Tubb","given":"Daniel","non-dropping-particle":"","parse-names":false,"suffix":""}],"container-title":"The Extractive Industries and Society","id":"ITEM-1","issue":"4","issued":{"date-parts":[["2015"]]},"page":"722-733","title":"Muddy decisions: Gold in the Choco, Colombia","type":"article-journal","volume":"2"},"uris":["http://www.mendeley.com/documents/?uuid=0a37e678-351f-4105-81a4-df99fce7704c"]}],"mendeley":{"formattedCitation":"(Tubb, 2015)","plainTextFormattedCitation":"(Tubb, 2015)","previouslyFormattedCitation":"(Tubb, 2015)"},"properties":{"noteIndex":0},"schema":"https://github.com/citation-style-language/schema/raw/master/csl-citation.json"}</w:instrText>
      </w:r>
      <w:r w:rsidRPr="004E053C">
        <w:rPr>
          <w:rFonts w:eastAsia="Times New Roman" w:cstheme="majorHAnsi"/>
          <w:sz w:val="22"/>
          <w:szCs w:val="22"/>
          <w:lang w:val="en-GB"/>
        </w:rPr>
        <w:fldChar w:fldCharType="separate"/>
      </w:r>
      <w:r w:rsidR="009220E9" w:rsidRPr="004E053C">
        <w:rPr>
          <w:rFonts w:eastAsia="Times New Roman" w:cstheme="majorHAnsi"/>
          <w:noProof/>
          <w:sz w:val="22"/>
          <w:szCs w:val="22"/>
          <w:lang w:val="en-GB"/>
        </w:rPr>
        <w:t>(Tubb, 2015)</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w:t>
      </w:r>
      <w:r w:rsidR="007A7DCE">
        <w:rPr>
          <w:rFonts w:cstheme="majorHAnsi"/>
          <w:sz w:val="22"/>
          <w:szCs w:val="22"/>
          <w:lang w:val="en-GB"/>
        </w:rPr>
        <w:t>Some academic</w:t>
      </w:r>
      <w:r w:rsidRPr="004E053C">
        <w:rPr>
          <w:rFonts w:cstheme="majorHAnsi"/>
          <w:sz w:val="22"/>
          <w:szCs w:val="22"/>
          <w:lang w:val="en-GB"/>
        </w:rPr>
        <w:t xml:space="preserve">s have argued that the failure of host governments and donors to provide artisanal miners with a fair opportunity to formalise amounts to a deliberate criminalisation of the sector and the people who work within it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{"citationItems":[{"id":"ITEM-1","itemData":{"abstract":"This paper argues that a formalized and supported artisanal and small-scale mining (ASM) sector could assist immeasurably with reducing the intensity of the youth unemployment crisis which now plagues sub-Saharan Africa. Over the past decade, hundreds of thousands of the region's youth have pursued work in the ASM economy in various capacities, decisions which have brought much-needed stability in a landscape devoid of formal sector job opportunities. Host governments and donors, however, have often condemned these moves, failing to fully appreciate why youth have pursued work in ASM in the first place and the impact it has had on their livelihoods. Whilst by no means the solution to the youth unemployment problem in sub-Saharan Africa, heightened emphasis on formalizing and supporting ASM could certainly buy policymakers and donors some valuable time - at least in the short term - to sufficiently 're-think' their ineffective approaches to tackling the crisis. © 2014 Elsevier Ltd.","author":[{"dropping-particle":"","family":"Hilson","given":"G","non-dropping-particle":"","parse-names":false,"suffix":""},{"dropping-particle":"","family":"Osei","given":"L","non-dropping-particle":"","parse-names":false,"suffix":""}],"container-title":"Futures","id":"ITEM-1","issue":"2014","issued":{"date-parts":[["2014"]]},"page":"83-94","publisher":"Elsevier Ltd","title":"Tackling youth unemployment in sub-Saharan Africa: Is there a role for artisanal and small-scale mining?","type":"article-journal","volume":"62"},"uris":["http://www.mendeley.com/documents/?uuid=6a2ab234-bc06-4c78-aa0f-b114aff5cf85"]},{"id":"ITEM-2","itemData":{"abstract":"This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-2","issue":"6","issued":{"date-parts":[["2007"]]},"page":"1304-1321","title":"Contaminated identities: mercury and marginalization in Ghana's artisanal mining sector","type":"article-journal","volume":"38"},"uris":["http://www.mendeley.com/documents/?uuid=bb6c3eb8-5f3a-408f-89eb-506be52b9a46"]}],"mendeley":{"formattedCitation":"(G Hilson &amp; Osei, 2014; Tschakert &amp; Singha, 2007)","manualFormatting":"(Siegal, 2013; Hilson &amp; Osei, 2014; Tschakert &amp; Singha, 2007)","plainTextFormattedCitation":"(G Hilson &amp; Osei, 2014; Tschakert &amp; Singha, 2007)","previouslyFormattedCitation":"(G Hilson &amp; Osei, 2014; Tschakert &amp; Singha,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(Siegal, 2013; Hilson &amp; Osei, 2014; Tschakert &amp; Singha, 2007)</w:t>
      </w:r>
      <w:r w:rsidRPr="004E053C">
        <w:rPr>
          <w:rFonts w:cstheme="majorHAnsi"/>
          <w:sz w:val="22"/>
          <w:szCs w:val="22"/>
          <w:lang w:val="en-GB"/>
        </w:rPr>
        <w:fldChar w:fldCharType="end"/>
      </w:r>
      <w:r w:rsidRPr="004E053C">
        <w:rPr>
          <w:rFonts w:cstheme="majorHAnsi"/>
          <w:sz w:val="22"/>
          <w:szCs w:val="22"/>
          <w:lang w:val="en-GB"/>
        </w:rPr>
        <w:t>. Moreover, the effectiveness of such policies is negligible in places such as Brazil, where miners have neither the capacity nor the motivation to abide by the</w:t>
      </w:r>
      <w:r w:rsidR="00D94E96" w:rsidRPr="004E053C">
        <w:rPr>
          <w:rFonts w:cstheme="majorHAnsi"/>
          <w:sz w:val="22"/>
          <w:szCs w:val="22"/>
          <w:lang w:val="en-GB"/>
        </w:rPr>
        <w:t xml:space="preserve">se new rules </w:t>
      </w:r>
      <w:r w:rsidR="00D94E96"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{"citationItems":[{"id":"ITEM-1","itemData":{"abstract":"In Brazil, artisanal and small-scale gold mining (ASGM) produces in the range of 6 tonnes of gold (Au) per annum, and employs approximately 200,000 people. Most of this mining activity is in the Amazon region, where miners have been extracting gold for more than 40 years. In the Tapajos River Basin, assessments indicate that around 99% of miners operate without the environmental and mining permits required by law. This is a result of a combination of unrealistic or lack of proper policies and regulations, lack of political will, lack of infra-structure to enforce the existing regulations and lack of incentives to miners to comply with legal requirements. In this article, we analyze a group of 20 laws, decrees and resolutions in Brazil, focusing on how idiosyncrasies in these regulations reveal gaps between policy and reality in ASGM areas. Artisanal miners operate in vast and remote areas and the government lacks the resources (personnel, vehicles, information and materials) to enforce the laws. Our analysis emphasizes the need for creating new government commitments and identifying priority areas where government agents can focus their efforts. There is no single solution for the environmental, health, technical and socio-economic problems associated with ASGM. However, a realistic approach should consider improving the level of education of miners, creating government programs to provide technical assistance in the field, simplifying administrative procedures and ensuring adequate measures for enforcement. © 2010 Elsevier Ltd. All rights reserved.","author":[{"dropping-particle":"","family":"Sousa","given":"Rodolfo","non-dropping-particle":"","parse-names":false,"suffix":""},{"dropping-particle":"","family":"Veiga","given":"Marcello","non-dropping-particle":"","parse-names":false,"suffix":""},{"dropping-particle":"","family":"Zyl","given":"Dirk","non-dropping-particle":"Van","parse-names":false,"suffix":""},{"dropping-particle":"","family":"Telmer","given":"Kevin","non-dropping-particle":"","parse-names":false,"suffix":""},{"dropping-particle":"","family":"Spiegel","given":"Sam","non-dropping-particle":"","parse-names":false,"suffix":""},{"dropping-particle":"","family":"Selder","given":"Jeff","non-dropping-particle":"","parse-names":false,"suffix":""}],"container-title":"Journal of Cleaner Production","id":"ITEM-1","issue":"6-7","issued":{"date-parts":[["2011"]]},"page":"742-750","publisher":"Elsevier Ltd","title":"Policies and regulations for Brazil's artisanal gold mining sector: Analysis and recommendations","type":"article-journal","volume":"19"},"uris":["http://www.mendeley.com/documents/?uuid=fb294111-a301-4f77-94c4-3f60df401eea"]}],"mendeley":{"formattedCitation":"(Sousa et al., 2011)","plainTextFormattedCitation":"(Sousa et al., 2011)","previouslyFormattedCitation":"(Sousa et al., 2011)"},"properties":{"noteIndex":0},"schema":"https://github.com/citation-style-language/schema/raw/master/csl-citation.json"}</w:instrText>
      </w:r>
      <w:r w:rsidR="00D94E96" w:rsidRPr="004E053C">
        <w:rPr>
          <w:rFonts w:cstheme="majorHAnsi"/>
          <w:sz w:val="22"/>
          <w:szCs w:val="22"/>
          <w:lang w:val="en-GB"/>
        </w:rPr>
        <w:fldChar w:fldCharType="separate"/>
      </w:r>
      <w:r w:rsidR="00D94E96" w:rsidRPr="004E053C">
        <w:rPr>
          <w:rFonts w:cstheme="majorHAnsi"/>
          <w:noProof/>
          <w:sz w:val="22"/>
          <w:szCs w:val="22"/>
          <w:lang w:val="en-GB"/>
        </w:rPr>
        <w:t>(Sousa et al., 2011)</w:t>
      </w:r>
      <w:r w:rsidR="00D94E96" w:rsidRPr="004E053C">
        <w:rPr>
          <w:rFonts w:cstheme="majorHAnsi"/>
          <w:sz w:val="22"/>
          <w:szCs w:val="22"/>
          <w:lang w:val="en-GB"/>
        </w:rPr>
        <w:fldChar w:fldCharType="end"/>
      </w:r>
      <w:r w:rsidRPr="004E053C">
        <w:rPr>
          <w:rFonts w:cstheme="majorHAnsi"/>
          <w:sz w:val="22"/>
          <w:szCs w:val="22"/>
          <w:lang w:val="en-GB"/>
        </w:rPr>
        <w:t xml:space="preserve">. This was also noted in Colombia, which is rich in mining law but weak in authority </w:t>
      </w:r>
      <w:r w:rsidR="004B3347" w:rsidRPr="004E053C">
        <w:rPr>
          <w:rFonts w:cstheme="majorHAnsi"/>
          <w:sz w:val="22"/>
          <w:szCs w:val="22"/>
          <w:lang w:val="en-GB"/>
        </w:rPr>
        <w:t xml:space="preserve">and thus </w:t>
      </w:r>
      <w:r w:rsidRPr="004E053C">
        <w:rPr>
          <w:rFonts w:cstheme="majorHAnsi"/>
          <w:sz w:val="22"/>
          <w:szCs w:val="22"/>
          <w:lang w:val="en-GB"/>
        </w:rPr>
        <w:lastRenderedPageBreak/>
        <w:t xml:space="preserve">legality does not necessarily imply legitimacy </w:t>
      </w:r>
      <w:r w:rsidR="008C32ED"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{"citationItems":[{"id":"ITEM-1","itemData":{"abstract":"ISSN: 2380-2014 (Print) 2379-9978 (Online) Journal homepage: http://www.tandfonline.com/loi/rtwt20 Disputes over gold mining and dispossession of local afrodescendant communities from the Alto Cauca, Colombia Irene Vélez-Torres To cite this article: Irene Vélez-Torres (2016) Disputes over gold mining and dispossession of local afrodescendant communities from the Alto Cauca, Colombia, Third World Thematics: A ABSTRACT In 2001, the local afrodescendant community from La Toma faced a double threat. First, new mining legislation was introduced and their ancestral mining activities were declared illegal. Second, paramilitary groups entered the territory and initiated a regime of terror that continues to date. Mining titles were conceded to multinationals and private parties, while the communities were restricted in their access to land-based resources. This paper deals with different dimensions of local dispossession resulting from violent mechanisms as well as from the neoliberal adjustment of the mining regulatory system in Colombia.","author":[{"dropping-particle":"","family":"Vélez-Torres","given":"Irene","non-dropping-particle":"","parse-names":false,"suffix":""}],"container-title":"Third World Thematics: A TWQ Journal","id":"ITEM-1","issue":"2","issued":{"date-parts":[["2016"]]},"page":"235-248","publisher":"Routledge","title":"Disputes over gold mining and dispossession of local afrodescendant communities from the Alto Cauca, Colombia","type":"article-journal","volume":"1"},"uris":["http://www.mendeley.com/documents/?uuid=8616cb58-7bca-480d-80d3-109d466b6fdf"]}],"mendeley":{"formattedCitation":"(Vélez-Torres, 2016)","plainTextFormattedCitation":"(Vélez-Torres, 2016)","previouslyFormattedCitation":"(Vélez-Torres, 2016)"},"properties":{"noteIndex":0},"schema":"https://github.com/citation-style-language/schema/raw/master/csl-citation.json"}</w:instrText>
      </w:r>
      <w:r w:rsidR="008C32ED" w:rsidRPr="004E053C">
        <w:rPr>
          <w:rFonts w:cstheme="majorHAnsi"/>
          <w:sz w:val="22"/>
          <w:szCs w:val="22"/>
          <w:lang w:val="en-GB"/>
        </w:rPr>
        <w:fldChar w:fldCharType="separate"/>
      </w:r>
      <w:r w:rsidR="008C32ED" w:rsidRPr="004E053C">
        <w:rPr>
          <w:rFonts w:cstheme="majorHAnsi"/>
          <w:noProof/>
          <w:sz w:val="22"/>
          <w:szCs w:val="22"/>
          <w:lang w:val="en-GB"/>
        </w:rPr>
        <w:t>(Vélez-Torres, 2016)</w:t>
      </w:r>
      <w:r w:rsidR="008C32ED" w:rsidRPr="004E053C">
        <w:rPr>
          <w:rFonts w:cstheme="majorHAnsi"/>
          <w:sz w:val="22"/>
          <w:szCs w:val="22"/>
          <w:lang w:val="en-GB"/>
        </w:rPr>
        <w:fldChar w:fldCharType="end"/>
      </w:r>
      <w:r w:rsidR="008C32ED" w:rsidRPr="004E053C">
        <w:rPr>
          <w:rFonts w:cstheme="majorHAnsi"/>
          <w:sz w:val="22"/>
          <w:szCs w:val="22"/>
          <w:lang w:val="en-GB"/>
        </w:rPr>
        <w:t>.</w:t>
      </w:r>
      <w:r w:rsidRPr="004E053C">
        <w:rPr>
          <w:rFonts w:eastAsia="Times New Roman" w:cs="Times New Roman"/>
          <w:sz w:val="22"/>
          <w:szCs w:val="22"/>
          <w:lang w:val="en-GB" w:eastAsia="zh-CN"/>
        </w:rPr>
        <w:t xml:space="preserve"> </w:t>
      </w:r>
    </w:p>
    <w:p w14:paraId="6AD53FF6" w14:textId="77777777" w:rsidR="00D36963" w:rsidRPr="004E053C" w:rsidRDefault="00D36963" w:rsidP="004E053C">
      <w:pPr>
        <w:widowControl w:val="0"/>
        <w:autoSpaceDE w:val="0"/>
        <w:autoSpaceDN w:val="0"/>
        <w:adjustRightInd w:val="0"/>
        <w:spacing w:line="360" w:lineRule="auto"/>
        <w:jc w:val="both"/>
        <w:rPr>
          <w:rFonts w:cstheme="majorHAnsi"/>
          <w:b/>
          <w:bCs/>
          <w:sz w:val="22"/>
          <w:szCs w:val="22"/>
          <w:lang w:val="en-GB"/>
        </w:rPr>
      </w:pPr>
    </w:p>
    <w:p w14:paraId="1203BD6D" w14:textId="38BF2202" w:rsidR="00D36963" w:rsidRPr="004E053C" w:rsidRDefault="00D36963" w:rsidP="004E053C">
      <w:pPr>
        <w:widowControl w:val="0"/>
        <w:autoSpaceDE w:val="0"/>
        <w:autoSpaceDN w:val="0"/>
        <w:adjustRightInd w:val="0"/>
        <w:spacing w:line="360" w:lineRule="auto"/>
        <w:jc w:val="both"/>
        <w:rPr>
          <w:rFonts w:cstheme="majorHAnsi"/>
          <w:sz w:val="22"/>
          <w:szCs w:val="22"/>
          <w:vertAlign w:val="superscript"/>
          <w:lang w:val="en-GB"/>
        </w:rPr>
      </w:pPr>
      <w:r w:rsidRPr="004E053C">
        <w:rPr>
          <w:rFonts w:cstheme="majorHAnsi"/>
          <w:sz w:val="22"/>
          <w:szCs w:val="22"/>
          <w:lang w:val="en-GB"/>
        </w:rPr>
        <w:t xml:space="preserve">The literature provides well-documented evidence of the way ASM operatives are portrayed in public discourse, highlighting a tendency for them to be referred to as criminals that harm themselves and their environment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Affairs","id":"ITEM-1","issue":"424","issued":{"date-parts":[["2007"]]},"page":"413-436","title":"To move or not to move’: reflections on the resettlement of artisanal miners in the western region of Ghana","type":"article-journal","volume":"106"},"uris":["http://www.mendeley.com/documents/?uuid=8ef2711f-ce75-4c5a-8a00-8e27b49f07cf"]},{"id":"ITEM-2","itemData":{"abstract":"Much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Policy","id":"ITEM-2","issue":"1-2","issued":{"date-parts":[["2009"]]},"page":"24-31","title":"Recognizing and nurturing artisanal mining as a viable livelihood","type":"article-journal","volume":"34"},"uris":["http://www.mendeley.com/documents/?uuid=5831bb71-6055-493f-9a5a-64dcd06bad59"]},{"id":"ITEM-3","itemData":{"abstract":"While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Society","id":"ITEM-3","issue":"1","issued":{"date-parts":[["2014"]]},"page":"75-85","publisher":"Elsevier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operators","type":"article-journal","volume":"1"},"uris":["http://www.mendeley.com/documents/?uuid=56fd2b4b-fd5a-31ef-a59e-d2c754808936"]}],"mendeley":{"formattedCitation":"(G. Hilson et al., 2007; F. K. Nyame &amp; Grant, 2014; Tschakert, 2009)","manualFormatting":"(Hilson et al., 2007; Nyame &amp; Grant, 2014; Tschakert, 2009)","plainTextFormattedCitation":"(G. Hilson et al., 2007; F. K. Nyame &amp; Grant, 2014; Tschakert, 2009)","previouslyFormattedCitation":"(G. Hilson et al., 2007; F. K. Nyame &amp; Grant, 2014; Tschakert,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(Hilson et al., 2007; Nyame &amp; Grant, 2014; Tschakert, 2009)</w:t>
      </w:r>
      <w:r w:rsidRPr="004E053C">
        <w:rPr>
          <w:rFonts w:cstheme="majorHAnsi"/>
          <w:sz w:val="22"/>
          <w:szCs w:val="22"/>
          <w:lang w:val="en-GB"/>
        </w:rPr>
        <w:fldChar w:fldCharType="end"/>
      </w:r>
      <w:r w:rsidR="00E65D31" w:rsidRPr="004E053C">
        <w:rPr>
          <w:rFonts w:cstheme="majorHAnsi"/>
          <w:sz w:val="22"/>
          <w:szCs w:val="22"/>
          <w:lang w:val="en-GB"/>
        </w:rPr>
        <w:t>.</w:t>
      </w:r>
      <w:r w:rsidRPr="004E053C">
        <w:rPr>
          <w:rFonts w:cstheme="majorHAnsi"/>
          <w:sz w:val="22"/>
          <w:szCs w:val="22"/>
          <w:lang w:val="en-GB"/>
        </w:rPr>
        <w:t xml:space="preserve"> For example, in Ghana miners </w:t>
      </w:r>
      <w:r w:rsidRPr="004E053C">
        <w:rPr>
          <w:rFonts w:cstheme="majorHAnsi"/>
          <w:color w:val="000000"/>
          <w:sz w:val="22"/>
          <w:szCs w:val="22"/>
          <w:lang w:val="en-GB"/>
        </w:rPr>
        <w:t xml:space="preserve">are often explicitly referred to as a ‘headache’, ‘challenge’, ‘problem’, ‘menace’, and ‘threat’, who are the ‘villains’ that the Government ‘heroes’ have to deal with </w:t>
      </w:r>
      <w:r w:rsidRPr="004E053C">
        <w:rPr>
          <w:rFonts w:cstheme="majorHAnsi"/>
          <w:color w:val="000000"/>
          <w:sz w:val="22"/>
          <w:szCs w:val="22"/>
          <w:lang w:val="en-GB"/>
        </w:rPr>
        <w:fldChar w:fldCharType="begin" w:fldLock="1"/>
      </w:r>
      <w:r w:rsidRPr="004E053C">
        <w:rPr>
          <w:rFonts w:cstheme="majorHAnsi"/>
          <w:color w:val="000000"/>
          <w:sz w:val="22"/>
          <w:szCs w:val="22"/>
          <w:lang w:val="en-GB"/>
        </w:rPr>
        <w:instrText>ADDIN CSL_CITATION {"citationItems":[{"id":"ITEM-1","itemData":{"abstract":"This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-1","issue":"6","issued":{"date-parts":[["2007"]]},"page":"1304-1321","title":"Contaminated identities: mercury and marginalization in Ghana's artisanal mining sector","type":"article-journal","volume":"38"},"uris":["http://www.mendeley.com/documents/?uuid=bb6c3eb8-5f3a-408f-89eb-506be52b9a46"]}],"mendeley":{"formattedCitation":"(Tschakert &amp; Singha, 2007)","plainTextFormattedCitation":"(Tschakert &amp; Singha, 2007)","previouslyFormattedCitation":"(Tschakert &amp; Singha, 2007)"},"properties":{"noteIndex":0},"schema":"https://github.com/citation-style-language/schema/raw/master/csl-citation.json"}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(Tschakert &amp; Singha, 2007)</w:t>
      </w:r>
      <w:r w:rsidRPr="004E053C">
        <w:rPr>
          <w:rFonts w:cstheme="majorHAnsi"/>
          <w:color w:val="000000"/>
          <w:sz w:val="22"/>
          <w:szCs w:val="22"/>
          <w:lang w:val="en-GB"/>
        </w:rPr>
        <w:fldChar w:fldCharType="end"/>
      </w:r>
      <w:r w:rsidRPr="004E053C">
        <w:rPr>
          <w:rFonts w:cstheme="majorHAnsi"/>
          <w:sz w:val="22"/>
          <w:szCs w:val="22"/>
          <w:lang w:val="en-GB"/>
        </w:rPr>
        <w:t xml:space="preserve">, while in South Africa, miners are presented as an ‘ignorant rabble’ who steal gold both from legitimate mines and the nation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{"citationItems":[{"id":"ITEM-1","itemData":{"abstract":"Contrary to views of South African government officials and the media, illegal miners (. zamazama) in South Africa are better described as 'artisanal' miners and entrepreneurs who create significant numbers of jobs and economic value for many local communities. For the most part, they are not ignorant desperados, nor especially violent. They have unusual non-standard mining skills and knowledge that is distinctly different from industrial miners. They exploit gold resources that major mines cannot access and interact directly with global markets. With better legislation and, possibly, training, they could be economic assets and elements of the national heritage.","author":[{"dropping-particle":"","family":"Thornton","given":"Robert","non-dropping-particle":"","parse-names":false,"suffix":""}],"container-title":"Extractive Industries and Society","id":"ITEM-1","issue":"2","issued":{"date-parts":[["2014"]]},"page":"127-129","publisher":"Elsevier Ltd","title":"Zamazama, \"illegal\" artisanal miners, misrepresented by the South African Press and Government","type":"article-journal","volume":"1"},"uris":["http://www.mendeley.com/documents/?uuid=e5f815be-8d68-4df2-a3e5-b010b5bdc70c"]}],"mendeley":{"formattedCitation":"(Thornton, 2014)","plainTextFormattedCitation":"(Thornton, 2014)","previouslyFormattedCitation":"(Thornton,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(Thornton, 2014)</w:t>
      </w:r>
      <w:r w:rsidRPr="004E053C">
        <w:rPr>
          <w:rFonts w:cstheme="majorHAnsi"/>
          <w:sz w:val="22"/>
          <w:szCs w:val="22"/>
          <w:lang w:val="en-GB"/>
        </w:rPr>
        <w:fldChar w:fldCharType="end"/>
      </w:r>
      <w:r w:rsidRPr="004E053C">
        <w:rPr>
          <w:rFonts w:cstheme="majorHAnsi"/>
          <w:sz w:val="22"/>
          <w:szCs w:val="22"/>
          <w:lang w:val="en-GB"/>
        </w:rPr>
        <w:t xml:space="preserve">. Moreover, local indigenous communities and small-scale farmers are portrayed as vulnerable victims of these criminal miners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-1","issue":"6","issued":{"date-parts":[["2007"]]},"page":"1304-1321","title":"Contaminated identities: mercury and marginalization in Ghana's artisanal mining sector","type":"article-journal","volume":"38"},"uris":["http://www.mendeley.com/documents/?uuid=bb6c3eb8-5f3a-408f-89eb-506be52b9a46"]}],"mendeley":{"formattedCitation":"(Tschakert &amp; Singha, 2007)","plainTextFormattedCitation":"(Tschakert &amp; Singha, 2007)","previouslyFormattedCitation":"(Tschakert &amp; Singha,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(Tschakert &amp; Singha, 2007)</w:t>
      </w:r>
      <w:r w:rsidRPr="004E053C">
        <w:rPr>
          <w:rFonts w:cstheme="majorHAnsi"/>
          <w:sz w:val="22"/>
          <w:szCs w:val="22"/>
          <w:lang w:val="en-GB"/>
        </w:rPr>
        <w:fldChar w:fldCharType="end"/>
      </w:r>
      <w:r w:rsidRPr="004E053C">
        <w:rPr>
          <w:rFonts w:cstheme="majorHAnsi"/>
          <w:sz w:val="22"/>
          <w:szCs w:val="22"/>
          <w:lang w:val="en-GB"/>
        </w:rPr>
        <w:t xml:space="preserve">. As a result, ASM is perceived as being steeped in illegality and delinquency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Seeling","given":"Andrea","non-dropping-particle":"","parse-names":false,"suffix":""}],"id":"ITEM-1","issued":{"date-parts":[["2002"]]},"number-of-pages":"33","publisher-place":"Birmingham","title":"Field Research into the socio-economic and social impact of artisanal and small-scale mining in Peru","type":"report"},"uris":["http://www.mendeley.com/documents/?uuid=f9f3549a-9bcd-37b8-93f3-416c5f58ec76"]}],"mendeley":{"formattedCitation":"(Seeling, 2002)","plainTextFormattedCitation":"(Seeling, 2002)","previouslyFormattedCitation":"(Seeling, 2002)"},"properties":{"noteIndex":0},"schema":"https://github.com/citation-style-language/schema/raw/master/csl-citation.json"}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(Seeling, 2002)</w:t>
      </w:r>
      <w:r w:rsidRPr="004E053C">
        <w:rPr>
          <w:rFonts w:cstheme="majorHAnsi"/>
          <w:sz w:val="22"/>
          <w:szCs w:val="22"/>
          <w:lang w:val="en-GB"/>
        </w:rPr>
        <w:fldChar w:fldCharType="end"/>
      </w:r>
      <w:r w:rsidRPr="004E053C">
        <w:rPr>
          <w:rFonts w:cstheme="majorHAnsi"/>
          <w:sz w:val="22"/>
          <w:szCs w:val="22"/>
          <w:lang w:val="en-GB"/>
        </w:rPr>
        <w:t xml:space="preserve">, and </w:t>
      </w:r>
      <w:r w:rsidRPr="004E053C">
        <w:rPr>
          <w:rFonts w:cstheme="majorHAnsi"/>
          <w:color w:val="231F20"/>
          <w:sz w:val="22"/>
          <w:szCs w:val="22"/>
          <w:lang w:val="en-GB"/>
        </w:rPr>
        <w:t xml:space="preserve">artisanal miners as being uncontrollable people who disregard national laws and state authority </w:t>
      </w:r>
      <w:r w:rsidRPr="004E053C">
        <w:rPr>
          <w:rFonts w:cstheme="majorHAnsi"/>
          <w:color w:val="231F20"/>
          <w:sz w:val="22"/>
          <w:szCs w:val="22"/>
          <w:lang w:val="en-GB"/>
        </w:rPr>
        <w:fldChar w:fldCharType="begin" w:fldLock="1"/>
      </w:r>
      <w:r w:rsidR="002F0CEA">
        <w:rPr>
          <w:rFonts w:cstheme="majorHAnsi"/>
          <w:color w:val="231F20"/>
          <w:sz w:val="22"/>
          <w:szCs w:val="22"/>
          <w:lang w:val="en-GB"/>
        </w:rPr>
        <w:instrText>ADDIN CSL_CITATION {"citationItems":[{"id":"ITEM-1","itemData":{"author":[{"dropping-particle":"","family":"Hilson","given":"G","non-dropping-particle":"","parse-names":false,"suffix":""},{"dropping-particle":"","family":"Potter","given":"Clive","non-dropping-particle":"","parse-names":false,"suffix":""}],"container-title":"Development and Change","id":"ITEM-1","issue":"1","issued":{"date-parts":[["2005"]]},"page":"103-131","title":"Structural adjustment and subsistence industry: artisanal gold mining in Ghana","type":"article-journal","volume":"36"},"uris":["http://www.mendeley.com/documents/?uuid=d45e74ce-a6e3-420c-a0a0-dbd732423089"]},{"id":"ITEM-2","itemData":{"abstract":"This article discusses the character of mineral resource governance at the margins of the state in Tanzania and the way artisanal gold miners are incorporated into mineral sector transformation. The landscape of mineral resource exploitation has changed dramatically over the past 20 years: processes of economic liberalisation have heralded massive foreign investment in large-scale gold mining, while also stimulating artisanal activities. Against this background, the article shows how artisanal gold miners are affected by contradictory processes: some have become integrated with state institutions and legal processes, while others, the large majority, are either further excluded or incorporated in ways that exacerbate insecurity and exploitation, underpinned by socio-economic inequalities. These processes are compounded by the actions of large-scale and medium-scale gold mining companies and by poor local governance. It is open to debate whether this will bring improved integration and welfare for artisanal mining communities or new forms of exclusion, although evidence suggests the latter.","author":[{"dropping-particle":"","family":"Fisher","given":"Eleanor","non-dropping-particle":"","parse-names":false,"suffix":""}],"container-title":"Development Southern Africa","id":"ITEM-2","issue":"2","issued":{"date-parts":[["2008"]]},"page":"199-213","title":"Artisanal gold mining at the margins of mineral resource governance: a case from Tanzania","type":"article-journal","volume":"25"},"uris":["http://www.mendeley.com/documents/?uuid=d69ff845-1a60-35d1-a9fa-13b7239fa210"]}],"mendeley":{"formattedCitation":"(Fisher, 2008; G Hilson &amp; Potter, 2005)","manualFormatting":"(Fisher, 2008; Hilson &amp; Potter, 2005)","plainTextFormattedCitation":"(Fisher, 2008; G Hilson &amp; Potter, 2005)","previouslyFormattedCitation":"(Fisher, 2008; G Hilson &amp; Potter, 2005)"},"properties":{"noteIndex":0},"schema":"https://github.com/citation-style-language/schema/raw/master/csl-citation.json"}</w:instrText>
      </w:r>
      <w:r w:rsidRPr="004E053C">
        <w:rPr>
          <w:rFonts w:cstheme="majorHAnsi"/>
          <w:color w:val="231F20"/>
          <w:sz w:val="22"/>
          <w:szCs w:val="22"/>
          <w:lang w:val="en-GB"/>
        </w:rPr>
        <w:fldChar w:fldCharType="separate"/>
      </w:r>
      <w:r w:rsidRPr="004E053C">
        <w:rPr>
          <w:rFonts w:cstheme="majorHAnsi"/>
          <w:noProof/>
          <w:color w:val="231F20"/>
          <w:sz w:val="22"/>
          <w:szCs w:val="22"/>
          <w:lang w:val="en-GB"/>
        </w:rPr>
        <w:t>(Fisher, 2008; Hilson &amp; Potter, 2005)</w:t>
      </w:r>
      <w:r w:rsidRPr="004E053C">
        <w:rPr>
          <w:rFonts w:cstheme="majorHAnsi"/>
          <w:color w:val="231F20"/>
          <w:sz w:val="22"/>
          <w:szCs w:val="22"/>
          <w:lang w:val="en-GB"/>
        </w:rPr>
        <w:fldChar w:fldCharType="end"/>
      </w:r>
      <w:r w:rsidRPr="004E053C">
        <w:rPr>
          <w:rFonts w:cstheme="majorHAnsi"/>
          <w:color w:val="231F20"/>
          <w:sz w:val="22"/>
          <w:szCs w:val="22"/>
          <w:lang w:val="en-GB"/>
        </w:rPr>
        <w:t xml:space="preserve">. </w:t>
      </w:r>
      <w:r w:rsidRPr="004E053C">
        <w:rPr>
          <w:rFonts w:cstheme="majorHAnsi"/>
          <w:sz w:val="22"/>
          <w:szCs w:val="22"/>
          <w:lang w:val="en-GB"/>
        </w:rPr>
        <w:t xml:space="preserve">Highly mobile miners tend to be particularly vilified, often being portrayed as ‘indigent groups that roam the country with vaguely venal intentions’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2014)","manualFormatting":"(Nyame &amp; Grant, 2014, p.81)","plainTextFormattedCitation":"(F. K. Nyame &amp; Grant, 2014)","previouslyFormattedCitation":"(F. K. Nyame &amp; Grant,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(Nyame &amp; Grant, 2014, p.81)</w:t>
      </w:r>
      <w:r w:rsidRPr="004E053C">
        <w:rPr>
          <w:rFonts w:cstheme="majorHAnsi"/>
          <w:sz w:val="22"/>
          <w:szCs w:val="22"/>
          <w:lang w:val="en-GB"/>
        </w:rPr>
        <w:fldChar w:fldCharType="end"/>
      </w:r>
      <w:r w:rsidRPr="004E053C">
        <w:rPr>
          <w:rFonts w:cstheme="majorHAnsi"/>
          <w:sz w:val="22"/>
          <w:szCs w:val="22"/>
          <w:lang w:val="en-GB"/>
        </w:rPr>
        <w:t>.</w:t>
      </w:r>
    </w:p>
    <w:p w14:paraId="3486B838" w14:textId="77777777" w:rsidR="00D36963" w:rsidRPr="004E053C" w:rsidRDefault="00D36963" w:rsidP="004E053C">
      <w:pPr>
        <w:widowControl w:val="0"/>
        <w:autoSpaceDE w:val="0"/>
        <w:autoSpaceDN w:val="0"/>
        <w:adjustRightInd w:val="0"/>
        <w:spacing w:line="360" w:lineRule="auto"/>
        <w:jc w:val="both"/>
        <w:rPr>
          <w:rFonts w:cstheme="majorHAnsi"/>
          <w:b/>
          <w:bCs/>
          <w:sz w:val="22"/>
          <w:szCs w:val="22"/>
          <w:lang w:val="en-GB"/>
        </w:rPr>
      </w:pPr>
    </w:p>
    <w:p w14:paraId="2F5609F9" w14:textId="77777777" w:rsidR="00D36963" w:rsidRPr="004E053C" w:rsidRDefault="00D36963" w:rsidP="004E053C">
      <w:pPr>
        <w:widowControl w:val="0"/>
        <w:autoSpaceDE w:val="0"/>
        <w:autoSpaceDN w:val="0"/>
        <w:adjustRightInd w:val="0"/>
        <w:spacing w:line="360" w:lineRule="auto"/>
        <w:jc w:val="both"/>
        <w:rPr>
          <w:rFonts w:cstheme="majorHAnsi"/>
          <w:sz w:val="22"/>
          <w:szCs w:val="22"/>
          <w:lang w:val="en-GB"/>
        </w:rPr>
      </w:pPr>
      <w:r w:rsidRPr="004E053C">
        <w:rPr>
          <w:rFonts w:cstheme="majorHAnsi"/>
          <w:sz w:val="22"/>
          <w:szCs w:val="22"/>
          <w:lang w:val="en-GB"/>
        </w:rPr>
        <w:t xml:space="preserve">Such discourse feeds back into policy. If one believes that miners are all greedy criminals, this tends to hinder investment and formalisation. In Ghana for example, many people believe that illegal companies control ASM, and therefore formalising or developing the sector in any way would simply lead to those people getting richer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Policy","id":"ITEM-1","issue":"1-2","issued":{"date-parts":[["2009"]]},"page":"24-31","title":"Recognizing and nurturing artisanal mining as a viable livelihood","type":"article-journal","volume":"34"},"uris":["http://www.mendeley.com/documents/?uuid=5831bb71-6055-493f-9a5a-64dcd06bad59"]}],"mendeley":{"formattedCitation":"(Tschakert, 2009)","plainTextFormattedCitation":"(Tschakert, 2009)","previouslyFormattedCitation":"(Tschakert,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(Tschakert, 2009)</w:t>
      </w:r>
      <w:r w:rsidRPr="004E053C">
        <w:rPr>
          <w:rFonts w:cstheme="majorHAnsi"/>
          <w:sz w:val="22"/>
          <w:szCs w:val="22"/>
          <w:lang w:val="en-GB"/>
        </w:rPr>
        <w:fldChar w:fldCharType="end"/>
      </w:r>
      <w:r w:rsidRPr="004E053C">
        <w:rPr>
          <w:rFonts w:cstheme="majorHAnsi"/>
          <w:sz w:val="22"/>
          <w:szCs w:val="22"/>
          <w:lang w:val="en-GB"/>
        </w:rPr>
        <w:t xml:space="preserve">. Some commentators insist that miners deliberately evade the law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paper argues that artisanal mining communities are somewhat bound to their operations, and helps explain why formalisation, alternative livelihood projects and military intervention-the traditional strategies employed by governments to tackle illegal mining-have proved ineffective. Findings from recent research carried out in Noyem (Eastern Region of Ghana) are used to illustrate why illegal artisanal mining is such a deeply rooted activity in sub-Saharan Africa. The analysis provides four explanations in support of this: a heavy involvement of traditional leaders in operations; the mindsets of many operators toward alternative income-earning activities; the numerous and diverse range of employment opportunities provided by the sector; and the level of investment in operations. © 2007 Elsevier Ltd. All rights reserved.","author":[{"dropping-particle":"","family":"Banchirigah","given":"Sadia Mohammed","non-dropping-particle":"","parse-names":false,"suffix":""}],"container-title":"Resources Policy","id":"ITEM-1","issue":"1","issued":{"date-parts":[["2008"]]},"page":"29-38","title":"Challenges with eradicating illegal mining in Ghana: a perspective from the grassroots","type":"article-journal","volume":"33"},"uris":["http://www.mendeley.com/documents/?uuid=2da23185-b489-444d-82dd-fb3c99389883"]}],"mendeley":{"formattedCitation":"(Banchirigah, 2008)","plainTextFormattedCitation":"(Banchirigah, 2008)","previouslyFormattedCitation":"(Banchirigah, 2008)"},"properties":{"noteIndex":0},"schema":"https://github.com/citation-style-language/schema/raw/master/csl-citation.json"}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(Banchirigah, 2008)</w:t>
      </w:r>
      <w:r w:rsidRPr="004E053C">
        <w:rPr>
          <w:rFonts w:cstheme="majorHAnsi"/>
          <w:sz w:val="22"/>
          <w:szCs w:val="22"/>
          <w:lang w:val="en-GB"/>
        </w:rPr>
        <w:fldChar w:fldCharType="end"/>
      </w:r>
      <w:r w:rsidRPr="004E053C">
        <w:rPr>
          <w:rFonts w:cstheme="majorHAnsi"/>
          <w:sz w:val="22"/>
          <w:szCs w:val="22"/>
          <w:lang w:val="en-GB"/>
        </w:rPr>
        <w:t xml:space="preserve">, which means there is little incentive to embark on formalisation processes. </w:t>
      </w:r>
      <w:r w:rsidRPr="004E053C">
        <w:rPr>
          <w:rFonts w:cstheme="majorHAnsi"/>
          <w:color w:val="000000"/>
          <w:sz w:val="22"/>
          <w:szCs w:val="22"/>
          <w:lang w:val="en-GB"/>
        </w:rPr>
        <w:t xml:space="preserve">Several authors have also pointed out that the criminalisation and institutionalised disrespect of ASM operators excludes them from decision-making processes and is not conducive to collaborative or long-term action </w:t>
      </w:r>
      <w:r w:rsidRPr="004E053C">
        <w:rPr>
          <w:rFonts w:cstheme="majorHAnsi"/>
          <w:color w:val="000000"/>
          <w:sz w:val="22"/>
          <w:szCs w:val="22"/>
          <w:lang w:val="en-GB"/>
        </w:rPr>
        <w:fldChar w:fldCharType="begin" w:fldLock="1"/>
      </w:r>
      <w:r w:rsidRPr="004E053C">
        <w:rPr>
          <w:rFonts w:cstheme="majorHAnsi"/>
          <w:color w:val="000000"/>
          <w:sz w:val="22"/>
          <w:szCs w:val="22"/>
          <w:lang w:val="en-GB"/>
        </w:rPr>
        <w:instrText>ADDIN CSL_CITATION {"citationItems":[{"id":"ITEM-1","itemData":{"abstract":"This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-1","issue":"6","issued":{"date-parts":[["2007"]]},"page":"1304-1321","title":"Contaminated identities: mercury and marginalization in Ghana's artisanal mining sector","type":"article-journal","volume":"38"},"uris":["http://www.mendeley.com/documents/?uuid=bb6c3eb8-5f3a-408f-89eb-506be52b9a46"]},{"id":"ITEM-2","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Affairs","id":"ITEM-2","issue":"424","issued":{"date-parts":[["2007"]]},"page":"413-436","title":"To move or not to move’: reflections on the resettlement of artisanal miners in the western region of Ghana","type":"article-journal","volume":"106"},"uris":["http://www.mendeley.com/documents/?uuid=8ef2711f-ce75-4c5a-8a00-8e27b49f07cf"]},{"id":"ITEM-3","itemData":{"abstract":"This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Change","id":"ITEM-3","issue":"4","issued":{"date-parts":[["2007"]]},"page":"735-760","title":"Occupying the Margins: Labour Integration and Social Exclusion in Artisanal Mining in Tanzania","type":"article-journal","volume":"38"},"uris":["http://www.mendeley.com/documents/?uuid=ff3b0073-6334-3642-aaf4-12090b595d93"]},{"id":"ITEM-4","itemData":{"abstract":"Much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Policy","id":"ITEM-4","issue":"1-2","issued":{"date-parts":[["2009"]]},"page":"24-31","title":"Recognizing and nurturing artisanal mining as a viable livelihood","type":"article-journal","volume":"34"},"uris":["http://www.mendeley.com/documents/?uuid=5831bb71-6055-493f-9a5a-64dcd06bad59"]},{"id":"ITEM-5","itemData":{"abstract":"The present article examines two Latin American gold mining conflicts, one in the city of Esquel (Patagonia in Argentina) and the other in Pascua-Lama (Chilean border with Argentina). We identify the emergence of three dimensions of environmental justice (distribution, recognition, participation) in the anti-mining movements of these two cases. The study finds that some dimensions of justice appear first (participation and recognition), while distribution emerges later, as movements jump scales engaging with national and international networks that provide a systemic perspective of the conflicts. The findings are consistent with other studies that refer to environmental justice as multi-scalar and context related. We also point to the relevance of studying decision-making procedures and jumping scales to understand how environmental justice claims are framed in resource extraction conflicts. E© 2011 Elsevier Ltd.","author":[{"dropping-particle":"","family":"Urkidi","given":"Leire","non-dropping-particle":"","parse-names":false,"suffix":""},{"dropping-particle":"","family":"Walter","given":"Mariana","non-dropping-particle":"","parse-names":false,"suffix":""}],"container-title":"Geoforum","id":"ITEM-5","issue":"6","issued":{"date-parts":[["2011"]]},"page":"683-695","publisher":"Elsevier Ltd","title":"Dimensions of environmental justice in anti-gold mining movements in Latin America","type":"article-journal","volume":"42"},"uris":["http://www.mendeley.com/documents/?uuid=22b30326-3a29-4143-ae74-c74bb2797127"]},{"id":"ITEM-6","itemData":{"abstract":"This article is one of three synthesis reports resulting from an integrated assessment (IA) of artisanal and small-scale gold mining (ASGM) in Ghana. Given the complexities that involve multiple drivers and diverse disciplines influencing ASGM, an IA framework was used to analyze economic, social, health, and environmental data and to co-develop evidence-based responses in collaboration with pertinent stakeholders. We look at both micro- and macro-economic processes surrounding ASGM, including causes, challenges, and consequences. At the micro-level, social and economic evidence suggests that the principal reasons whereby most people engage in ASGM involve “push” factors aimed at meeting livelihood goals. ASGM provides an important source of income for both proximate and distant communities, representing a means of survival for impoverished farmers as well as an engine for small business growth. However, miners and their families often end up in a “poverty trap” of low productivity and indebtedness, which reduce even further their economic options. At a macro level, Ghana’s ASGM activities contribute significantly to the national economy even though they are sometimes operating illegally and at a disadvantage compared to large-scale industrial mining companies. Nevertheless, complex issues of land tenure, social stability, mining regulation and taxation, and environmental degradation undermine the viability and sustainability of ASGM as a livelihood strategy. Although more research is needed to understand these complex relationships, we point to key findings and insights from social science and economics research that can guide policies and actions aimed to address the unique challenges of ASGM in Ghana and elsewhere.","author":[{"dropping-particle":"","family":"Wilson","given":"Mark L.","non-dropping-particle":"","parse-names":false,"suffix":""},{"dropping-particle":"","family":"Renne","given":"Elisha","non-dropping-particle":"","parse-names":false,"suffix":""},{"dropping-particle":"","family":"</w:instrText>
      </w:r>
      <w:r w:rsidRPr="004E053C">
        <w:rPr>
          <w:rFonts w:cstheme="majorHAnsi"/>
          <w:color w:val="000000"/>
          <w:sz w:val="22"/>
          <w:szCs w:val="22"/>
          <w:lang w:val="de-DE"/>
        </w:rPr>
        <w:instrText>Roncoli","given":"Carla","non-dropping-particle":"","parse-names":false,"suffix":""},{"dropping-particle":"","family":"Agyei-Baffour","given":"Peter","non-dropping-particle":"","parse-names":false,"suffix":""},{"dropping-particle":"","family":"Tenkorang","given":"Emmanuel Yamoah","non-dropping-particle":"","parse-names":false,"suffix":""}],"container-title":"International Journal of Environmental Research and Public Health","id":"ITEM-6","issue":"7","issued":{"date-parts":[["2015"]]},"page":"8133–8156","title":"Integrated Assessment of Artisanal and Small-Scale gold mining in Ghana – Part 3: Social Sciences and Economics","type":"article-journal","volume":"27"},"uris":["http://www.mendeley.com/documents/?uuid=1bc895b5-8895-4a70-8044-6ee95aceb669"]}],"mendeley":{"formattedCitation":"(Fisher, 2007; G. Hilson et al., 2007; Tschakert, 2009; Tschakert &amp; Singha, 2007; Urkidi &amp; Walter, 2011; Wilson et al., 2015)","manualFormatting":"(Fisher, 2007; Hilson et al., 2007; Tschakert, 2009; Tschakert &amp; Singha, 2007; Urkidi &amp; Walter, 2011; Wilson et al., 2015)","plainTextFormattedCitation":"(Fisher, 2007; G. Hilson et al., 2007; Tschakert, 2009; Tschakert &amp; Singha, 2007; Urkidi &amp; Walter, 2011; Wilson et al., 2015)","previouslyFormattedCitation":"(Fisher, 2007; G. Hilson et al., 2007; Tschakert, 2009; Tschakert &amp; Singha, 2007; Urkidi &amp; Walter, 2011; Wilson et al., 2015)"},"properties":{"noteIndex":0},"schema":"https://github.com/citation-style-language/schema/raw/master/csl-citation.json"}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de-DE"/>
        </w:rPr>
        <w:t>(Fisher, 2007; Hilson et al., 2007; Tschakert, 2009; Tschakert &amp; Singha, 2007; Urkidi &amp; Walter, 2011; Wilson et al., 2015)</w:t>
      </w:r>
      <w:r w:rsidRPr="004E053C">
        <w:rPr>
          <w:rFonts w:cstheme="majorHAnsi"/>
          <w:color w:val="000000"/>
          <w:sz w:val="22"/>
          <w:szCs w:val="22"/>
          <w:lang w:val="en-GB"/>
        </w:rPr>
        <w:fldChar w:fldCharType="end"/>
      </w:r>
      <w:r w:rsidRPr="004E053C">
        <w:rPr>
          <w:rFonts w:cstheme="majorHAnsi"/>
          <w:color w:val="000000"/>
          <w:sz w:val="22"/>
          <w:szCs w:val="22"/>
          <w:lang w:val="de-DE"/>
        </w:rPr>
        <w:t xml:space="preserve">. </w:t>
      </w:r>
      <w:r w:rsidRPr="004E053C">
        <w:rPr>
          <w:rFonts w:cstheme="majorHAnsi"/>
          <w:sz w:val="22"/>
          <w:szCs w:val="22"/>
          <w:lang w:val="en-GB"/>
        </w:rPr>
        <w:t xml:space="preserve">This seems counterproductive if state governments are serious about finding solutions to the social problems they associate with ASM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eemskerk","given":"Marieke","non-dropping-particle":"","parse-names":false,"suffix":""},{"dropping-particle":"","family":"Oliveira","given":"Marilyn","non-dropping-particle":"","parse-names":false,"suffix":""}],"id":"ITEM-1","issued":{"date-parts":[["2004"]]},"publisher-place":"Paramaribo","title":"Perceptions of small-scale gold miners miners on self-organizartion and formalization in Suriname, South America","type":"report"},"uris":["http://www.mendeley.com/documents/?uuid=75107c4d-723b-3675-a4dd-67d3f4799730"]},{"id":"ITEM-2","itemData":{"abstract":"This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-2","issue":"6","issued":{"date-parts":[["2007"]]},"page":"1304-1321","title":"Contaminated identities: mercury and marginalization in Ghana's artisanal mining sector","type":"article-journal","volume":"38"},"uris":["http://www.mendeley.com/documents/?uuid=bb6c3eb8-5f3a-408f-89eb-506be52b9a46"]},{"id":"ITEM-3","itemData":{"abstract":"Much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Policy","id":"ITEM-3","issue":"1-2","issued":{"date-parts":[["2009"]]},"page":"24-31","title":"Recognizing and nurturing artisanal mining as a viable livelihood","type":"article-journal","volume":"34"},"uris":["http://www.mendeley.com/documents/?uuid=5831bb71-6055-493f-9a5a-64dcd06bad59"]}],"mendeley":{"formattedCitation":"(Heemskerk &amp; Oliveira, 2004; Tschakert, 2009; Tschakert &amp; Singha, 2007)","plainTextFormattedCitation":"(Heemskerk &amp; Oliveira, 2004; Tschakert, 2009; Tschakert &amp; Singha, 2007)","previouslyFormattedCitation":"(Heemskerk &amp; Oliveira, 2004; Tschakert, 2009; Tschakert &amp; Singha,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(Heemskerk &amp; Oliveira, 2004; Tschakert, 2009; Tschakert &amp; Singha, 2007)</w:t>
      </w:r>
      <w:r w:rsidRPr="004E053C">
        <w:rPr>
          <w:rFonts w:cstheme="majorHAnsi"/>
          <w:sz w:val="22"/>
          <w:szCs w:val="22"/>
          <w:lang w:val="en-GB"/>
        </w:rPr>
        <w:fldChar w:fldCharType="end"/>
      </w:r>
      <w:r w:rsidRPr="004E053C">
        <w:rPr>
          <w:rFonts w:cstheme="majorHAnsi"/>
          <w:color w:val="000000"/>
          <w:sz w:val="22"/>
          <w:szCs w:val="22"/>
          <w:lang w:val="en-GB"/>
        </w:rPr>
        <w:t>.</w:t>
      </w:r>
    </w:p>
    <w:p w14:paraId="12C94FD4" w14:textId="77777777" w:rsidR="00D36963" w:rsidRPr="004E053C" w:rsidRDefault="00D36963" w:rsidP="004E053C">
      <w:pPr>
        <w:spacing w:line="360" w:lineRule="auto"/>
        <w:jc w:val="both"/>
        <w:rPr>
          <w:rFonts w:cstheme="majorHAnsi"/>
          <w:sz w:val="22"/>
          <w:szCs w:val="22"/>
          <w:lang w:val="en-GB"/>
        </w:rPr>
      </w:pPr>
    </w:p>
    <w:p w14:paraId="50083E99" w14:textId="1D67F0C0" w:rsidR="00D36963" w:rsidRPr="004E053C" w:rsidRDefault="00D36963" w:rsidP="004E053C">
      <w:pPr>
        <w:spacing w:line="360" w:lineRule="auto"/>
        <w:jc w:val="both"/>
        <w:rPr>
          <w:rFonts w:cstheme="majorHAnsi"/>
          <w:sz w:val="22"/>
          <w:szCs w:val="22"/>
          <w:lang w:val="en-GB"/>
        </w:rPr>
      </w:pPr>
      <w:r w:rsidRPr="004E053C">
        <w:rPr>
          <w:rFonts w:cstheme="majorHAnsi"/>
          <w:sz w:val="22"/>
          <w:szCs w:val="22"/>
          <w:lang w:val="en-GB"/>
        </w:rPr>
        <w:t xml:space="preserve">Criminalisation is associated with a lack of human rights, poor institutional support, and systematic marginalisation and repression </w:t>
      </w:r>
      <w:r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-1","issue":"6","issued":{"date-parts":[["2007"]]},"page":"1304-1321","title":"Contaminated identities: mercury and marginalization in Ghana's artisanal mining sector","type":"article-journal","volume":"38"},"uris":["http://www.mendeley.com/documents/?uuid=bb6c3eb8-5f3a-408f-89eb-506be52b9a46"]},{"id":"ITEM-2","itemData":{"abstract":"This article explores the contribution that artisanal and small-scale mining (ASM) makes to poverty reduction in Tanzania, drawing on findings from research on gold and diamond mining in Mwanza Region. The evidence suggests that people working in mining or related services are less likely to be in poverty than those with other occupations. However, the picture is complex; while mining income can help reduce poverty and provide a buffer from livelihood shocks, people's inability, to obtain a formal mineral claim or to effectively exploit their claims, contributes to insecurity. This is reinforced by a context in which ASM is peripheral to large-scale mining interests, is only gradually being addressed within national poverty reduction policies, and is segregated from district-level planning. © 2009 Elsevier Ltd. All rights reserved.","author":[{"dropping-particle":"","family":"Fisher","given":"Eleanor","non-dropping-particle":"","parse-names":false,"suffix":""},{"dropping-particle":"","family":"Mwaipopo","given":"Rosemarie","non-dropping-particle":"","parse-names":false,"suffix":""},{"dropping-particle":"","family":"Mutagwaba","given":"Wilson","non-dropping-particle":"","parse-names":false,"suffix":""},{"dropping-particle":"","family":"Nyange","given":"David","non-dropping-particle":"","parse-names":false,"suffix":""},{"dropping-particle":"","family":"Yaron","given":"Gil","non-dropping-particle":"","parse-names":false,"suffix":""}],"container-title":"Resources Policy","id":"ITEM-2","issue":"1-2","issued":{"date-parts":[["2009"]]},"page":"32-38","title":"'The ladder that sends us to wealth': artisanal mining and poverty reduction in Tanzania","type":"article-journal","volume":"34"},"uris":["http://www.mendeley.com/documents/?uuid=483936ae-6fbd-4a7e-973d-31df00c70bf3"]},{"id":"ITEM-3","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-3","issued":{"date-parts":[["2013"]]},"page":"1-17","publisher":"Cuadernos del CEDLA no.26","publisher-place":"Amsterdam","title":"Small-scale gold mining in the Amazon","type":"chapter"},"uris":["http://www.mendeley.com/documents/?uuid=92fc2d78-55d0-4473-a651-4b870d4fb876"]}],"mendeley":{"formattedCitation":"(L. Cremers &amp; de Theije, 2013; Fisher et al., 2009; Tschakert &amp; Singha, 2007)","manualFormatting":"(Cremers &amp; de Theije, 2013; Fisher et al., 2009; Tschakert &amp; Singha, 2007)","plainTextFormattedCitation":"(L. Cremers &amp; de Theije, 2013; Fisher et al., 2009; Tschakert &amp; Singha, 2007)","previouslyFormattedCitation":"(L. Cremers &amp; de Theije, 2013; Fisher et al., 2009; Tschakert &amp; Singha, 2007)"},"properties":{"noteIndex":0},"schema":"https://github.com/citation-style-language/schema/raw/master/csl-citation.json"}</w:instrText>
      </w:r>
      <w:r w:rsidRPr="004E053C">
        <w:rPr>
          <w:rFonts w:cstheme="majorHAnsi"/>
          <w:sz w:val="22"/>
          <w:szCs w:val="22"/>
          <w:lang w:val="en-GB"/>
        </w:rPr>
        <w:fldChar w:fldCharType="separate"/>
      </w:r>
      <w:r w:rsidR="008C32ED" w:rsidRPr="004E053C">
        <w:rPr>
          <w:rFonts w:cstheme="majorHAnsi"/>
          <w:noProof/>
          <w:sz w:val="22"/>
          <w:szCs w:val="22"/>
          <w:lang w:val="en-GB"/>
        </w:rPr>
        <w:t>(</w:t>
      </w:r>
      <w:r w:rsidR="000F1591" w:rsidRPr="004E053C">
        <w:rPr>
          <w:rFonts w:cstheme="majorHAnsi"/>
          <w:noProof/>
          <w:sz w:val="22"/>
          <w:szCs w:val="22"/>
          <w:lang w:val="en-GB"/>
        </w:rPr>
        <w:t>Cremers &amp; de Theije, 2013; Fisher et al., 2009; Tschakert &amp; Singha, 2007)</w:t>
      </w:r>
      <w:r w:rsidRPr="004E053C">
        <w:rPr>
          <w:rFonts w:cstheme="majorHAnsi"/>
          <w:sz w:val="22"/>
          <w:szCs w:val="22"/>
          <w:lang w:val="en-GB"/>
        </w:rPr>
        <w:fldChar w:fldCharType="end"/>
      </w:r>
      <w:r w:rsidRPr="004E053C">
        <w:rPr>
          <w:rFonts w:cstheme="majorHAnsi"/>
          <w:sz w:val="22"/>
          <w:szCs w:val="22"/>
          <w:lang w:val="en-GB"/>
        </w:rPr>
        <w:t xml:space="preserve">. The state has little incentive to protect informal miners from crime and violence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2014)","manualFormatting":"(Nyame &amp; Grant, 2014)","plainTextFormattedCitation":"(F. K. Nyame &amp; Grant, 2014)","previouslyFormattedCitation":"(F. K. Nyame &amp; Grant,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(Nyame &amp; Grant, 2014)</w:t>
      </w:r>
      <w:r w:rsidRPr="004E053C">
        <w:rPr>
          <w:rFonts w:cstheme="majorHAnsi"/>
          <w:sz w:val="22"/>
          <w:szCs w:val="22"/>
          <w:lang w:val="en-GB"/>
        </w:rPr>
        <w:fldChar w:fldCharType="end"/>
      </w:r>
      <w:r w:rsidRPr="004E053C">
        <w:rPr>
          <w:rFonts w:cstheme="majorHAnsi"/>
          <w:sz w:val="22"/>
          <w:szCs w:val="22"/>
          <w:lang w:val="en-GB"/>
        </w:rPr>
        <w:t xml:space="preserve"> and in some cases large-scale construction companies have been shown to use narratives of criminality to absolve themselves of responsibility when ASM workers are killed in shaft collapses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{"citationItems":[{"id":"ITEM-1","itemData":{"abstract":"Drawing on ethnographic research and problem-centered interviews in Guinean mining areas, this paper presents a comparative reading of the conflicting conceptions of what constitutes a “mining community.” First, I explore how independent artisanal miners describe and identify their activity. The weight of autochthony conventions is discussed concerning their insertion both in the mining fields and in their living locations. Second, I focus the case study on how the corporate social responsibility (CSR) interventions toward the mining community, commissioned by a gold mining company in Guinea, are interpreted by the artisanal miners. The analysis of the deployed discourses and related interventions delineate what is defined as the mining community in CSR programs, and how these interventions shape new understandings of the company</w:instrText>
      </w:r>
      <w:r w:rsidR="007A757C" w:rsidRPr="004E053C">
        <w:rPr>
          <w:rFonts w:ascii="Times New Roman" w:hAnsi="Times New Roman" w:cs="Times New Roman"/>
          <w:sz w:val="22"/>
          <w:szCs w:val="22"/>
          <w:rtl/>
          <w:lang w:val="en-GB" w:bidi="he-IL"/>
        </w:rPr>
        <w:instrText>׳</w:instrText>
      </w:r>
      <w:r w:rsidR="007A757C" w:rsidRPr="004E053C">
        <w:rPr>
          <w:rFonts w:cstheme="majorHAnsi"/>
          <w:sz w:val="22"/>
          <w:szCs w:val="22"/>
          <w:lang w:val="en-GB"/>
        </w:rPr>
        <w:instrText>s territory among the miners. Using a boundary work approach, the paper shows how CSR interventions symbolically transpose the spatial concession border into symbolic and social boundaries among the artisanal mineworkers. CSR discourses and interventions transform “trespassers” into “foreigners”, as opposed to “natives”, who are often viewed as “traditional sedentary workers” by the mining company. In doing this, CSR programs reinforce and standardize autochthony-based relations, and extend autochthony boundaries in all segments of the gold mining socio-technical system. The attachment of these initially separated categories creates an idealized figure of “traditional” artisanal mining, while also stigmatizing the itinerant artisanal miners. As a consequence, I will discuss the emergence of conflict situations regarding access to mining spaces and resources within the surrounding villages.","author":[{"dropping-particle":"","family":"Bolay","given":"M","non-dropping-particle":"","parse-names":false,"suffix":""}],"container-title":"Resources Policy","id":"ITEM-1","issued":{"date-parts":[["2014"]]},"page":"117-127","title":"When miners become 'foreigners': competing categorizations within gold mining spaces in Guinea","type":"article-journal","volume":"40"},"uris":["http://www.mendeley.com/documents/?uuid=a4b4d418-a55f-4ce2-ba28-2f3d70bd4c11"]}],"mendeley":{"formattedCitation":"(Bolay, 2014)","plainTextFormattedCitation":"(Bolay, 2014)","previouslyFormattedCitation":"(Bolay,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(Bolay, 2014)</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sz w:val="22"/>
          <w:szCs w:val="22"/>
          <w:lang w:val="en-GB"/>
        </w:rPr>
        <w:t xml:space="preserve">As a result, ASM operators exist in constant insecurity, perpetually at risk of losing their possessions and future gains </w:t>
      </w:r>
      <w:r w:rsidRPr="004E053C">
        <w:rPr>
          <w:rFonts w:cstheme="majorHAnsi"/>
          <w:color w:val="000000"/>
          <w:sz w:val="22"/>
          <w:szCs w:val="22"/>
          <w:lang w:val="en-GB"/>
        </w:rPr>
        <w:fldChar w:fldCharType="begin" w:fldLock="1"/>
      </w:r>
      <w:r w:rsidR="005D0B08">
        <w:rPr>
          <w:rFonts w:cstheme="majorHAnsi"/>
          <w:color w:val="000000"/>
          <w:sz w:val="22"/>
          <w:szCs w:val="22"/>
          <w:lang w:val="en-GB"/>
        </w:rPr>
        <w:instrText>ADDIN CSL_CITATION {"citationItems":[{"id":"ITEM-1","itemData":{"author":[{"dropping-particle":"","family":"Seeling","given":"Andrea","non-dropping-particle":"","parse-names":false,"suffix":""}],"id":"ITEM-1","issued":{"date-parts":[["2002"]]},"number-of-pages":"33","publisher-place":"Birmingham","title":"Field Research into the socio-economic and social impact of artisanal and small-scale mining in Peru","type":"report"},"uris":["http://www.mendeley.com/documents/?uuid=f9f3549a-9bcd-37b8-93f3-416c5f58ec76"]},{"id":"ITEM-2","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-2","issued":{"date-parts":[["2013"]]},"page":"1-17","publisher":"Cuadernos del CEDLA no.26","publisher-place":"Amsterdam","title":"Small-scale gold mining in the Amazon","type":"chapter"},"uris":["http://www.mendeley.com/documents/?uuid=92fc2d78-55d0-4473-a651-4b870d4fb876"]}],"mendeley":{"formattedCitation":"(L. Cremers &amp; de Theije, 2013; Seeling, 2002)","manualFormatting":"(Cremers &amp; de Theije, 2013; Seeling, 2002)","plainTextFormattedCitation":"(L. Cremers &amp; de Theije, 2013; Seeling, 2002)","previouslyFormattedCitation":"(L. Cremers &amp; de Theije, 2013; Seeling, 2002)"},"properties":{"noteIndex":0},"schema":"https://github.com/citation-style-language/schema/raw/master/csl-citation.json"}</w:instrText>
      </w:r>
      <w:r w:rsidRPr="004E053C">
        <w:rPr>
          <w:rFonts w:cstheme="majorHAnsi"/>
          <w:color w:val="000000"/>
          <w:sz w:val="22"/>
          <w:szCs w:val="22"/>
          <w:lang w:val="en-GB"/>
        </w:rPr>
        <w:fldChar w:fldCharType="separate"/>
      </w:r>
      <w:r w:rsidR="008C32ED" w:rsidRPr="004E053C">
        <w:rPr>
          <w:rFonts w:cstheme="majorHAnsi"/>
          <w:noProof/>
          <w:color w:val="000000"/>
          <w:sz w:val="22"/>
          <w:szCs w:val="22"/>
          <w:lang w:val="en-GB"/>
        </w:rPr>
        <w:t>(</w:t>
      </w:r>
      <w:r w:rsidR="000F1591" w:rsidRPr="004E053C">
        <w:rPr>
          <w:rFonts w:cstheme="majorHAnsi"/>
          <w:noProof/>
          <w:color w:val="000000"/>
          <w:sz w:val="22"/>
          <w:szCs w:val="22"/>
          <w:lang w:val="en-GB"/>
        </w:rPr>
        <w:t>Cremers &amp; de Theije, 2013; Seeling, 2002)</w:t>
      </w:r>
      <w:r w:rsidRPr="004E053C">
        <w:rPr>
          <w:rFonts w:cstheme="majorHAnsi"/>
          <w:color w:val="000000"/>
          <w:sz w:val="22"/>
          <w:szCs w:val="22"/>
          <w:lang w:val="en-GB"/>
        </w:rPr>
        <w:fldChar w:fldCharType="end"/>
      </w:r>
      <w:r w:rsidRPr="004E053C">
        <w:rPr>
          <w:rFonts w:cstheme="majorHAnsi"/>
          <w:sz w:val="22"/>
          <w:szCs w:val="22"/>
          <w:lang w:val="en-GB"/>
        </w:rPr>
        <w:t xml:space="preserve">. This </w:t>
      </w:r>
      <w:r w:rsidRPr="004E053C">
        <w:rPr>
          <w:rFonts w:cstheme="majorHAnsi"/>
          <w:sz w:val="22"/>
          <w:szCs w:val="22"/>
          <w:lang w:val="en-GB"/>
        </w:rPr>
        <w:lastRenderedPageBreak/>
        <w:t>disincentiv</w:t>
      </w:r>
      <w:r w:rsidR="00FF7888" w:rsidRPr="004E053C">
        <w:rPr>
          <w:rFonts w:cstheme="majorHAnsi"/>
          <w:sz w:val="22"/>
          <w:szCs w:val="22"/>
          <w:lang w:val="en-GB"/>
        </w:rPr>
        <w:t>is</w:t>
      </w:r>
      <w:r w:rsidRPr="004E053C">
        <w:rPr>
          <w:rFonts w:cstheme="majorHAnsi"/>
          <w:sz w:val="22"/>
          <w:szCs w:val="22"/>
          <w:lang w:val="en-GB"/>
        </w:rPr>
        <w:t xml:space="preserve">es investment in environmentally friendly technology or other long-term investments in the gold fields </w:t>
      </w:r>
      <w:r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uthor":[{"dropping-particle":"","family":"Cremers","given":"L.","non-dropping-particle":"","parse-names":false,"suffix":""},{"dropping-particle":"","family":"Theije","given":"M","non-dropping-particle":"de","parse-names":false,"suffix":""}],"chapter-number":"1","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non-dropping-particle":"de","parse-names":false,"suffix":""}],"id":"ITEM-1","issued":{"date-parts":[["2013"]]},"page":"1-17","publisher":"Cuadernos del CEDLA no.26","publisher-place":"Amsterdam","title":"Small-scale gold mining in the Amazon","type":"chapter"},"uris":["http://www.mendeley.com/documents/?uuid=92fc2d78-55d0-4473-a651-4b870d4fb876"]}],"mendeley":{"formattedCitation":"(L. Cremers &amp; de Theije, 2013)","manualFormatting":"(Cremers &amp; de Theije, 2013)","plainTextFormattedCitation":"(L. Cremers &amp; de Theije, 2013)","previouslyFormattedCitation":"(L. Cremers &amp; de Theije, 2013)"},"properties":{"noteIndex":0},"schema":"https://github.com/citation-style-language/schema/raw/master/csl-citation.json"}</w:instrText>
      </w:r>
      <w:r w:rsidRPr="004E053C">
        <w:rPr>
          <w:rFonts w:cstheme="majorHAnsi"/>
          <w:sz w:val="22"/>
          <w:szCs w:val="22"/>
          <w:lang w:val="en-GB"/>
        </w:rPr>
        <w:fldChar w:fldCharType="separate"/>
      </w:r>
      <w:r w:rsidR="008C32ED" w:rsidRPr="004E053C">
        <w:rPr>
          <w:rFonts w:cstheme="majorHAnsi"/>
          <w:noProof/>
          <w:sz w:val="22"/>
          <w:szCs w:val="22"/>
          <w:lang w:val="en-GB"/>
        </w:rPr>
        <w:t>(</w:t>
      </w:r>
      <w:r w:rsidR="000F1591" w:rsidRPr="004E053C">
        <w:rPr>
          <w:rFonts w:cstheme="majorHAnsi"/>
          <w:noProof/>
          <w:sz w:val="22"/>
          <w:szCs w:val="22"/>
          <w:lang w:val="en-GB"/>
        </w:rPr>
        <w:t>Cremers &amp; de Theije, 2013)</w:t>
      </w:r>
      <w:r w:rsidRPr="004E053C">
        <w:rPr>
          <w:rFonts w:cstheme="majorHAnsi"/>
          <w:sz w:val="22"/>
          <w:szCs w:val="22"/>
          <w:lang w:val="en-GB"/>
        </w:rPr>
        <w:fldChar w:fldCharType="end"/>
      </w:r>
      <w:r w:rsidRPr="004E053C">
        <w:rPr>
          <w:rFonts w:cstheme="majorHAnsi"/>
          <w:sz w:val="22"/>
          <w:szCs w:val="22"/>
          <w:lang w:val="en-GB"/>
        </w:rPr>
        <w:t xml:space="preserve"> and encourages both mobility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article is one of three synthesis reports resulting from an integrated assessment (IA) of artisanal and small-scale gold mining (ASGM) in Ghana. Given the complexities that involve multiple drivers and diverse disciplines influencing ASGM, an IA framework was used to analyze economic, social, health, and environmental data and to co-develop evidence-based responses in collaboration with pertinent stakeholders. We look at both micro- and macro-economic processes surrounding ASGM, including causes, challenges, and consequences. At the micro-level, social and economic evidence suggests that the principal reasons whereby most people engage in ASGM involve “push” factors aimed at meeting livelihood goals. ASGM provides an important source of income for both proximate and distant communities, representing a means of survival for impoverished farmers as well as an engine for small business growth. However, miners and their families often end up in a “poverty trap” of low productivity and indebtedness, which reduce even further their economic options. At a macro level, Ghana’s ASGM activities contribute significantly to the national economy even though they are sometimes operating illegally and at a disadvantage compared to large-scale industrial mining companies. Nevertheless, complex issues of land tenure, social stability, mining regulation and taxation, and environmental degradation undermine the viability and sustainability of ASGM as a livelihood strategy. Although more research is needed to understand these complex relationships, we point to key findings and insights from social science and economics research that can guide policies and actions aimed to address the unique challenges of ASGM in Ghana and elsewhere.","author":[{"dropping-particle":"","family":"Wilson","given":"Mark L.","non-dropping-particle":"","parse-names":false,"suffix":""},{"dropping-particle":"","family":"Renne","given":"Elisha","non-dropping-particle":"","parse-names":false,"suffix":""},{"dropping-particle":"","family":"Roncoli","given":"Carla","non-dropping-particle":"","parse-names":false,"suffix":""},{"dropping-particle":"","family":"Agyei-Baffour","given":"Peter","non-dropping-particle":"","parse-names":false,"suffix":""},{"dropping-particle":"","family":"Tenkorang","given":"Emmanuel Yamoah","non-dropping-particle":"","parse-names":false,"suffix":""}],"container-title":"International Journal of Environmental Research and Public Health","id":"ITEM-1","issue":"7","issued":{"date-parts":[["2015"]]},"page":"8133–8156","title":"Integrated Assessment of Artisanal and Small-Scale gold mining in Ghana – Part 3: Social Sciences and Economics","type":"article-journal","volume":"27"},"uris":["http://www.mendeley.com/documents/?uuid=1bc895b5-8895-4a70-8044-6ee95aceb669"]}],"mendeley":{"formattedCitation":"(Wilson et al., 2015)","plainTextFormattedCitation":"(Wilson et al., 2015)","previouslyFormattedCitation":"(Wilson et al., 2015)"},"properties":{"noteIndex":0},"schema":"https://github.com/citation-style-language/schema/raw/master/csl-citation.json"}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(Wilson et al., 2015)</w:t>
      </w:r>
      <w:r w:rsidRPr="004E053C">
        <w:rPr>
          <w:rFonts w:cstheme="majorHAnsi"/>
          <w:sz w:val="22"/>
          <w:szCs w:val="22"/>
          <w:lang w:val="en-GB"/>
        </w:rPr>
        <w:fldChar w:fldCharType="end"/>
      </w:r>
      <w:r w:rsidRPr="004E053C">
        <w:rPr>
          <w:rFonts w:cstheme="majorHAnsi"/>
          <w:sz w:val="22"/>
          <w:szCs w:val="22"/>
          <w:lang w:val="en-GB"/>
        </w:rPr>
        <w:t xml:space="preserve"> and the over-exploitation of mining sites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{"citationItems":[{"id":"ITEM-1","itemData":{"abstract":"Gold miners in Northern Benin are exposed to physical risks as well as economic risks of uncertain yields. The interrelatedness of different types of risk, both in their perception and in the coping strategies, will be addressed in this paper. It also challenges theoretical perspectives on risk that assume coherent world-views and highlights processes of communication and group behaviour.","author":[{"dropping-particle":"","family":"Grätz","given":"Tilo","non-dropping-particle":"","parse-names":false,"suffix":""}],"container-title":"Ethnos","id":"ITEM-1","issue":"2","issued":{"date-parts":[["2003"]]},"page":"92- 208","title":"Gold-mining and risk management: A case study from northern Benin","type":"article-journal","volume":"68"},"uris":["http://www.mendeley.com/documents/?uuid=6343a2ca-4269-43e3-8d6a-134abd34f207"]}],"mendeley":{"formattedCitation":"(Grätz, 2003)","plainTextFormattedCitation":"(Grätz, 2003)","previouslyFormattedCitation":"(Grätz, 2003)"},"properties":{"noteIndex":0},"schema":"https://github.com/citation-style-language/schema/raw/master/csl-citation.json"}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(Grätz, 2003)</w:t>
      </w:r>
      <w:r w:rsidRPr="004E053C">
        <w:rPr>
          <w:rFonts w:cstheme="majorHAnsi"/>
          <w:sz w:val="22"/>
          <w:szCs w:val="22"/>
          <w:lang w:val="en-GB"/>
        </w:rPr>
        <w:fldChar w:fldCharType="end"/>
      </w:r>
      <w:r w:rsidRPr="004E053C">
        <w:rPr>
          <w:rFonts w:cstheme="majorHAnsi"/>
          <w:sz w:val="22"/>
          <w:szCs w:val="22"/>
          <w:lang w:val="en-GB"/>
        </w:rPr>
        <w:t xml:space="preserve">. Furthermore, the illegal nature of ASM is associated with an increase in crime, violence, prostitution, disease and narcotics consumption in mine sites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Hentschel","given":"Thomas","non-dropping-particle":"","parse-names":false,"suffix":""},{"dropping-particle":"","family":"Hruschka","given":"Felix","non-dropping-particle":"","parse-names":false,"suffix":""},{"dropping-particle":"","family":"Priester","given":"Michael","non-dropping-particle":"","parse-names":false,"suffix":""}],"id":"ITEM-1","issued":{"date-parts":[["2002"]]},"publisher-place":"London","title":"Global Report on Artisanal and Small-Scale Mining","type":"report"},"uris":["http://www.mendeley.com/documents/?uuid=e0135a32-651f-3a94-9bc5-5c79c798e40e"]},{"id":"ITEM-2","itemData":{"author":[{"dropping-particle":"","family":"Heemskerk","given":"Marieke","non-dropping-particle":"","parse-names":false,"suffix":""},{"dropping-particle":"","family":"Oliveira","given":"Marilyn","non-dropping-particle":"","parse-names":false,"suffix":""}],"id":"ITEM-2","issued":{"date-parts":[["2004"]]},"publisher-place":"Paramaribo","title":"Perceptions of small-scale gold miners miners on self-organizartion and formalization in Suriname, South America","type":"report"},"uris":["http://www.mendeley.com/documents/?uuid=75107c4d-723b-3675-a4dd-67d3f4799730"]},{"id":"ITEM-3","itemData":{"abstract":"This review reflects critically on why, despite its growing economic importance, artisanal and small-scale (ASM) - low-tech, labour-intensive mineral extraction and processing - occupies such a peripheral position on the economic development agenda of sub-Saharan Africa. A poor understanding of the sector's role in the region's liberalized economies has certainly contributed to this oversight; as has the strong influence, at the policymaking level, of unfounded ideas and generalizations about the sector's activities. After providing a brief overview of ASM in sub-Saharan Africa, the paper explores why the sector has yet to make a mark on the region's local economic development agenda and feature prominently in its poverty alleviation strategies. © 2014 Elsevier Ltd.","author":[{"dropping-particle":"","family":"Hilson","given":"G","non-dropping-particle":"","parse-names":false,"suffix":""},{"dropping-particle":"","family":"McQuilken","given":"James","non-dropping-particle":"","parse-names":false,"suffix":""}],"container-title":"Extractive Industries and Society","id":"ITEM-3","issue":"1","issued":{"date-parts":[["2014"]]},"page":"104-118","publisher":"Elsevier Ltd","title":"Four decades of support for artisanal and small-scale mining in sub-Saharan Africa: A critical review","type":"article-journal","volume":"1"},"uris":["http://www.mendeley.com/documents/?uuid=4f1e22db-6dff-45db-9d1f-97fdbb7e9487"]},{"id":"ITEM-4","itemData":{"abstract":"This paper argues that a formalized and supported artisanal and small-scale mining (ASM) sector could assist immeasurably with reducing the intensity of the youth unemployment crisis which now plagues sub-Saharan Africa. Over the past decade, hundreds of thousands of the region's youth have pursued work in the ASM economy in various capacities, decisions which have brought much-needed stability in a landscape devoid of formal sector job opportunities. Host governments and donors, however, have often condemned these moves, failing to fully appreciate why youth have pursued work in ASM in the first place and the impact it has had on their livelihoods. Whilst by no means the solution to the youth unemployment problem in sub-Saharan Africa, heightened emphasis on formalizing and supporting ASM could certainly buy policymakers and donors some valuable time - at least in the short term - to sufficiently 're-think' their ineffective approaches to tackling the crisis. © 2014 Elsevier Ltd.","author":[{"dropping-particle":"","family":"Hilson","given":"G","non-dropping-particle":"","parse-names":false,"suffix":""},{"dropping-particle":"","family":"Osei","given":"L","non-dropping-particle":"","parse-names":false,"suffix":""}],"container-title":"Futures","id":"ITEM-4","issue":"2014","issued":{"date-parts":[["2014"]]},"page":"83-94","publisher":"Elsevier Ltd","title":"Tackling youth unemployment in sub-Saharan Africa: Is there a role for artisanal and small-scale mining?","type":"article-journal","volume":"62"},"uris":["http://www.mendeley.com/documents/?uuid=6a2ab234-bc06-4c78-aa0f-b114aff5cf85"]},{"id":"ITEM-5","itemData":{"abstract":"This article is one of three synthesis reports resulting from an integrated assessment (IA) of artisanal and small-scale gold mining (ASGM) in Ghana. Given the complexities that involve multiple drivers and diverse disciplines influencing ASGM, an IA framework was used to analyze economic, social, health, and environmental data and to co-develop evidence-based responses in collaboration with pertinent stakeholders. We look at both micro- and macro-economic processes surrounding ASGM, including causes, challenges, and consequences. At the micro-level, social and economic evidence suggests that the principal reasons whereby most people engage in ASGM involve “push” factors aimed at meeting livelihood goals. ASGM provides an important source of income for both proximate and distant communities, representing a means of survival for impoverished farmers as well as an engine for small business growth. However, miners and their families often end up in a “poverty trap” of low productivity and indebtedness, which reduce even further their economic options. At a macro level, Ghana’s ASGM activities contribute significantly to the national economy even though they are sometimes operating illegally and at a disadvantage compared to large-scale industrial mining companies. Nevertheless, complex issues of land tenure, social stability, mining regulation and taxation, and environmental degradation undermine the viability and sustainability of ASGM as a livelihood strategy. Although more research is needed to understand these complex relationships, we point to key findings and insights from social science and economics research that can guide policies and actions aimed to address the unique challenges of ASGM in Ghana and elsewhere.","author":[{"dropping-particle":"","family":"Wilson","given":"Mark L.","non-dropping-particle":"","parse-names":false,"suffix":""},{"dropping-particle":"","family":"Renne","given":"Elisha","non-dropping-particle":"","parse-names":false,"suffix":""},{"dropping-particle":"","family":"Roncoli","given":"Carla","non-dropping-particle":"","parse-names":false,"suffix":""},{"dropping-particle":"","family":"Agyei-Baffour","given":"Peter","non-dropping-particle":"","parse-names":false,"suffix":""},{"dropping-particle":"","family":"Tenkorang","given":"Emmanuel Yamoah","non-dropping-particle":"","parse-names":false,"suffix":""}],"container-title":"International Journal of Environmental Research and Public Health","id":"ITEM-5","issue":"7","issued":{"date-parts":[["2015"]]},"page":"8133–8156","title":"Integrated Assessment of Artisanal and Small-Scale gold mining in Ghana – Part 3: Social Sciences and Economics","type":"article-journal","volume":"27"},"uris":["http://www.mendeley.com/documents/?uuid=1bc895b5-8895-4a70-8044-6ee95aceb669"]}],"mendeley":{"formattedCitation":"(Heemskerk &amp; Oliveira, 2004; Hentschel et al., 2002; G Hilson &amp; McQuilken, 2014; G Hilson &amp; Osei, 2014; Wilson et al., 2015)","manualFormatting":"(Heemskerk &amp; Oliveira, 2004; Hentschel et al., 2002; Hilson &amp; McQuilken, 2014; Hilson &amp; Osei, 2014; Wilson et al., 2015)","plainTextFormattedCitation":"(Heemskerk &amp; Oliveira, 2004; Hentschel et al., 2002; G Hilson &amp; McQuilken, 2014; G Hilson &amp; Osei, 2014; Wilson et al., 2015)","previouslyFormattedCitation":"(Heemskerk &amp; Oliveira, 2004; Hentschel et al., 2002; G Hilson &amp; McQuilken, 2014; G Hilson &amp; Osei, 2014; Wilson et al., 2015)"},"properties":{"noteIndex":0},"schema":"https://github.com/citation-style-language/schema/raw/master/csl-citation.json"}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(Heemskerk &amp; Oliveira, 2004; Hentschel et al., 2002; Hilson &amp; McQuilken, 2014; Hilson &amp; Osei, 2014; Wilson et al., 2015)</w:t>
      </w:r>
      <w:r w:rsidRPr="004E053C">
        <w:rPr>
          <w:rFonts w:cstheme="majorHAnsi"/>
          <w:sz w:val="22"/>
          <w:szCs w:val="22"/>
          <w:lang w:val="en-GB"/>
        </w:rPr>
        <w:fldChar w:fldCharType="end"/>
      </w:r>
      <w:r w:rsidRPr="004E053C">
        <w:rPr>
          <w:rFonts w:cstheme="majorHAnsi"/>
          <w:sz w:val="22"/>
          <w:szCs w:val="22"/>
          <w:lang w:val="en-GB"/>
        </w:rPr>
        <w:t xml:space="preserve">. Due to their informality, ASM operatives and other residents are vulnerable to corruption and rent-seeking of police and government representatives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Seeling","given":"Andrea","non-dropping-particle":"","parse-names":false,"suffix":""}],"id":"ITEM-1","issued":{"date-parts":[["2002"]]},"number-of-pages":"33","publisher-place":"Birmingham","title":"Field Research into the socio-economic and social impact of artisanal and small-scale mining in Peru","type":"report"},"uris":["http://www.mendeley.com/documents/?uuid=f9f3549a-9bcd-37b8-93f3-416c5f58ec76"]},{"id":"ITEM-2","itemData":{"abstract":"Contrary to views of South African government officials and the media, illegal miners (. zamazama) in South Africa are better described as 'artisanal' miners and entrepreneurs who create significant numbers of jobs and economic value for many local communities. For the most part, they are not ignorant desperados, nor especially violent. They have unusual non-standard mining skills and knowledge that is distinctly different from industrial miners. They exploit gold resources that major mines cannot access and interact directly with global markets. With better legislation and, possibly, training, they could be economic assets and elements of the national heritage.","author":[{"dropping-particle":"","family":"Thornton","given":"Robert","non-dropping-particle":"","parse-names":false,"suffix":""}],"container-title":"Extractive Industries and Society","id":"ITEM-2","issue":"2","issued":{"date-parts":[["2014"]]},"page":"127-129","publisher":"Elsevier Ltd","title":"Zamazama, \"illegal\" artisanal miners, misrepresented by the South African Press and Government","type":"article-journal","volume":"1"},"uris":["http://www.mendeley.com/documents/?uuid=e5f815be-8d68-4df2-a3e5-b010b5bdc70c"]}],"mendeley":{"formattedCitation":"(Seeling, 2002; Thornton, 2014)","plainTextFormattedCitation":"(Seeling, 2002; Thornton, 2014)","previouslyFormattedCitation":"(Seeling, 2002; Thornton,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(Seeling, 2002; Thornton, 2014)</w:t>
      </w:r>
      <w:r w:rsidRPr="004E053C">
        <w:rPr>
          <w:rFonts w:cstheme="majorHAnsi"/>
          <w:sz w:val="22"/>
          <w:szCs w:val="22"/>
          <w:lang w:val="en-GB"/>
        </w:rPr>
        <w:fldChar w:fldCharType="end"/>
      </w:r>
      <w:r w:rsidRPr="004E053C">
        <w:rPr>
          <w:rFonts w:cstheme="majorHAnsi"/>
          <w:sz w:val="22"/>
          <w:szCs w:val="22"/>
          <w:lang w:val="en-GB"/>
        </w:rPr>
        <w:t xml:space="preserve">, as well as from armed groups and criminal gangs that may establish themselves in mining areas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{"citationItems":[{"id":"ITEM-1","itemData":{"abstract":"The paper explores the life and work of young male gold miners in Northern Benin, West Africa. It describes modes of organisation, norms and rules of mining teams as well as the situation in the region's mining camps at large. Despite various internal conflicts and a high degree of social fluctuation and uncertainty due to repeated state interventions, the social field of gold mining is marked by cohesion and viable patterns of risk sharing. © 2009 Elsevier Ltd. All rights reserved.","author":[{"dropping-particle":"","family":"Grätz","given":"Tilo","non-dropping-particle":"","parse-names":false,"suffix":""}],"container-title":"Resources Policy","id":"ITEM-1","issued":{"date-parts":[["2009"]]},"title":"Moralities, risk and rules in West African artisanal gold mining communities: A case study of Northern Benin","type":"article-journal"},"uris":["http://www.mendeley.com/documents/?uuid=ce8980ff-88a3-3fb2-b6c3-ca1f45808b55"]},{"id":"ITEM-2","itemData":{"abstract":"The impacts that increased transnational extractive industry investments are having on local populations in natural resource-rich regions of sub-Saharan Africa are diverse, far-reaching and complex. A surge of recent investment has been variously met by resistance and rejection, by acquiescence combined with demands for better labour conditions, and outright acceptance in anticipation of gainful employment. Drawing on recent field-based research carried out in diamondiferous Kono District in Sierra Leone, this paper critically explores these contrasting responses to mining activities, by focusing on how youth perceive and respond to extractive industry expansion. The analysis is particularly salient in the case of Sierra Leone, as Kono's prime alluvial diamond areas are becoming ‘mined out’, and artisanal and small-scale operations are being replaced by more capital intensive modes of mechanized extraction. In an environment where the demand for unskilled labour is diminishing, and young people are facing pressing livelihood needs in an employment-constrained economy, youth are playing important roles in rights-based mobilizations around mining. The paper aims to broaden understanding of youth perceptions of mining investment, and illuminate the various factors underlying a diverse range of responses to the expansion of extractive industries. It concludes by reflecting on how youth perceptions of extractive industry expansion may also be influencing the ways in which mining companies understand and fashion their business and social responsibility strategies.","author":[{"dropping-particle":"","family":"Maconachie","given":"Roy","non-dropping-particle":"","parse-names":false,"suffix":""}],"container-title":"Futures","id":"ITEM-2","issue":"Part A","issued":{"date-parts":[["2014"]]},"page":"75-82","title":"Dispossession, exploitation or employment? youth livelihoods and extractive industry investment in Sierra Leone","type":"article-journal","volume":"62"},"uris":["http://www.mendeley.com/documents/?uuid=307857ed-9dc2-4808-bd81-10d67d3c6237"]},{"id":"ITEM-3","itemData":{"abstract":"Contrary to views of South African government officials and the media, illegal miners (. zamazama) in South Africa are better described as 'artisanal' miners and entrepreneurs who create significant numbers of jobs and economic value for many local communities. For the most part, they are not ignorant desperados, nor especially violent. They have unusual non-standard mining skills and knowledge that is distinctly different from industrial miners. They exploit gold resources that major mines cannot access and interact directly with global markets. With better legislation and, possibly, training, they could be economic assets and elements of the national heritage.","author":[{"dropping-particle":"","family":"Thornton","given":"Robert","non-dropping-particle":"","parse-names":false,"suffix":""}],"container-title":"Extractive Industries and Society","id":"ITEM-3","issue":"2","issued":{"date-parts":[["2014"]]},"page":"127-129","publisher":"Elsevier Ltd","title":"Zamazama, \"illegal\" artisanal miners, misrepresented by the South African Press and Government","type":"article-journal","volume":"1"},"uris":["http://www.mendeley.com/documents/?uuid=e5f815be-8d68-4df2-a3e5-b010b5bdc70c"]}],"mendeley":{"formattedCitation":"(Grätz, 2009; Maconachie, 2014; Thornton, 2014)","plainTextFormattedCitation":"(Grätz, 2009; Maconachie, 2014; Thornton, 2014)","previouslyFormattedCitation":"(Grätz, 2009; Maconachie, 2014; Thornton,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(Grätz, 2009; Maconachie, 2014; Thornton, 2014)</w:t>
      </w:r>
      <w:r w:rsidRPr="004E053C">
        <w:rPr>
          <w:rFonts w:cstheme="majorHAnsi"/>
          <w:sz w:val="22"/>
          <w:szCs w:val="22"/>
          <w:lang w:val="en-GB"/>
        </w:rPr>
        <w:fldChar w:fldCharType="end"/>
      </w:r>
      <w:r w:rsidRPr="004E053C">
        <w:rPr>
          <w:rFonts w:cstheme="majorHAnsi"/>
          <w:sz w:val="22"/>
          <w:szCs w:val="22"/>
          <w:lang w:val="en-GB"/>
        </w:rPr>
        <w:t xml:space="preserve">. In the Philippines, for example, Verbrugge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{"citationItems":[{"id":"ITEM-1","itemData":{"abstract":"In line with trends observed in several other countries, small-scale gold mining in Compostela Valley (ComVal) province has expanded immensely, and now boasts a high number of more advanced i.e. more capitalized and mechanized operations that push the edge of what is usually considered artisanal and small-scale mining (ASM). A historical, fieldwork-based analysis is presented of the diverse factors underlying the current situation. It is argued that existing accounts of ASM-expansion, by focusing disproportionately on the role of poverty in pushing people into ASM, fail to satisfactorily account for the state of gold mining in ComVal. Whereas this poverty-driven narrative may well explain the constant supply of mining recruits, it risks obscuring how for certain groups, ASM harbors important opportunities for capital accumulation. More specifically, the increased engagement in gold mining on the part of a heterogeneous class of mining financiers enabled ASM to evolve from rudimentary into relatively mechanized operations with highly complex working practices and revenue sharing arrangements. The nascent gold mining elite has entrenched itself in a regulatory environment amenable to the further expansion of gold mining. These observations suggest that more critical attention should be paid to the 'capital interests' driving similar transformations of ASM elsewhere. © 2014 Elsevier Ltd.","author":[{"dropping-particle":"","family":"Verbrugge","given":"Boris","non-dropping-particle":"","parse-names":false,"suffix":""}],"container-title":"Extractive Industries and Society","id":"ITEM-1","issue":"1","issued":{"date-parts":[["2014"]]},"page":"86-95","publisher":"Elsevier Ltd","title":"Capital interests: a historical analysis of the transformation of small-scale gold mining in Compostela Valley province, Southern Philippines","type":"article-journal","volume":"1"},"uris":["http://www.mendeley.com/documents/?uuid=7900df1e-3ca3-4f89-b985-69d57f5c9473"]}],"mendeley":{"formattedCitation":"(Verbrugge, 2014)","manualFormatting":"(2014)","plainTextFormattedCitation":"(Verbrugge, 2014)","previouslyFormattedCitation":"(Verbrugge,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(2014)</w:t>
      </w:r>
      <w:r w:rsidRPr="004E053C">
        <w:rPr>
          <w:rFonts w:cstheme="majorHAnsi"/>
          <w:sz w:val="22"/>
          <w:szCs w:val="22"/>
          <w:lang w:val="en-GB"/>
        </w:rPr>
        <w:fldChar w:fldCharType="end"/>
      </w:r>
      <w:r w:rsidRPr="004E053C">
        <w:rPr>
          <w:rFonts w:cstheme="majorHAnsi"/>
          <w:sz w:val="22"/>
          <w:szCs w:val="22"/>
          <w:lang w:val="en-GB"/>
        </w:rPr>
        <w:t xml:space="preserve"> has documented the control of various armed outfits in mining areas, who often claim money from miners for ‘protection’ services, while in Ghana, armed robberies have led to miners forming self-defence groups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2014)","manualFormatting":"(Nyame &amp; Grant, 2014)","plainTextFormattedCitation":"(F. K. Nyame &amp; Grant, 2014)","previouslyFormattedCitation":"(F. K. Nyame &amp; Grant,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(Nyame &amp; Grant, 2014)</w:t>
      </w:r>
      <w:r w:rsidRPr="004E053C">
        <w:rPr>
          <w:rFonts w:cstheme="majorHAnsi"/>
          <w:sz w:val="22"/>
          <w:szCs w:val="22"/>
          <w:lang w:val="en-GB"/>
        </w:rPr>
        <w:fldChar w:fldCharType="end"/>
      </w:r>
      <w:r w:rsidRPr="004E053C">
        <w:rPr>
          <w:rFonts w:cstheme="majorHAnsi"/>
          <w:sz w:val="22"/>
          <w:szCs w:val="22"/>
          <w:lang w:val="en-GB"/>
        </w:rPr>
        <w:t xml:space="preserve">. A similar level of livelihood insecurity has also been </w:t>
      </w:r>
      <w:r w:rsidR="004B3347" w:rsidRPr="004E053C">
        <w:rPr>
          <w:rFonts w:cstheme="majorHAnsi"/>
          <w:sz w:val="22"/>
          <w:szCs w:val="22"/>
          <w:lang w:val="en-GB"/>
        </w:rPr>
        <w:t>shown to exist</w:t>
      </w:r>
      <w:r w:rsidRPr="004E053C">
        <w:rPr>
          <w:rFonts w:cstheme="majorHAnsi"/>
          <w:sz w:val="22"/>
          <w:szCs w:val="22"/>
          <w:lang w:val="en-GB"/>
        </w:rPr>
        <w:t xml:space="preserve"> in the cannabis trade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{"citationItems":[{"id":"ITEM-1","itemData":{"abstract":"The handful of studies that exist linking illegal drugs and violence in Africa tend to focus on understanding the role of drugs in shaping armed conflict. The reported linkages made between the trade in cannabis sativa and the continuing violence in the Democratic Republic of Congo are exemplars. Contemporary reports of cannabis use in the region have largely focused on two main concerns: the psychophysiological effects of drug use on conflict actors and the participation of cannabis within the war economy. According to these narratives, drugs and violence are seen to go together, destabilising society, creating insecurity, and spreading HIV. Drawing from four months of qualitative research on the cannabis trade in eastern DRC, this paper presents an alternative story of drug-related violence in the region. Namely, it argues that the dangers stemming from an entanglement with the drug are rather, as one informant aptly stated, the result of ‘security’.","author":[{"dropping-particle":"","family":"Laudati","given":"Ann A.","non-dropping-particle":"","parse-names":false,"suffix":""}],"container-title":"Review of African Political Economy","id":"ITEM-1","issue":"148","issued":{"date-parts":[["2016"]]},"page":"190-205","title":"Securing (in)security: relinking violence and the trade in cannabis sativa in eastern Democratic Republic of Congo’","type":"article-journal","volume":"43"},"uris":["http://www.mendeley.com/documents/?uuid=9cd4fd79-8d23-40a8-b79b-44cd07998759"]}],"mendeley":{"formattedCitation":"(Laudati, 2016)","plainTextFormattedCitation":"(Laudati, 2016)","previouslyFormattedCitation":"(Laudati, 2016)"},"properties":{"noteIndex":0},"schema":"https://github.com/citation-style-language/schema/raw/master/csl-citation.json"}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(Laudati, 2016)</w:t>
      </w:r>
      <w:r w:rsidRPr="004E053C">
        <w:rPr>
          <w:rFonts w:cstheme="majorHAnsi"/>
          <w:sz w:val="22"/>
          <w:szCs w:val="22"/>
          <w:lang w:val="en-GB"/>
        </w:rPr>
        <w:fldChar w:fldCharType="end"/>
      </w:r>
      <w:r w:rsidR="004B3347" w:rsidRPr="004E053C">
        <w:rPr>
          <w:rFonts w:cstheme="majorHAnsi"/>
          <w:sz w:val="22"/>
          <w:szCs w:val="22"/>
          <w:lang w:val="en-GB"/>
        </w:rPr>
        <w:t xml:space="preserve">, reinforcing the links with informality and </w:t>
      </w:r>
      <w:r w:rsidR="00C66190" w:rsidRPr="004E053C">
        <w:rPr>
          <w:rFonts w:cstheme="majorHAnsi"/>
          <w:sz w:val="22"/>
          <w:szCs w:val="22"/>
          <w:lang w:val="en-GB"/>
        </w:rPr>
        <w:t>illicit</w:t>
      </w:r>
      <w:r w:rsidR="004B3347" w:rsidRPr="004E053C">
        <w:rPr>
          <w:rFonts w:cstheme="majorHAnsi"/>
          <w:sz w:val="22"/>
          <w:szCs w:val="22"/>
          <w:lang w:val="en-GB"/>
        </w:rPr>
        <w:t xml:space="preserve"> livelihoods</w:t>
      </w:r>
      <w:r w:rsidRPr="004E053C">
        <w:rPr>
          <w:rFonts w:cstheme="majorHAnsi"/>
          <w:sz w:val="22"/>
          <w:szCs w:val="22"/>
          <w:lang w:val="en-GB"/>
        </w:rPr>
        <w:t>.</w:t>
      </w:r>
    </w:p>
    <w:p w14:paraId="67565177" w14:textId="77777777" w:rsidR="00D36963" w:rsidRPr="004E053C" w:rsidRDefault="00D36963" w:rsidP="004E053C">
      <w:pPr>
        <w:spacing w:line="360" w:lineRule="auto"/>
        <w:jc w:val="both"/>
        <w:rPr>
          <w:rFonts w:cstheme="majorHAnsi"/>
          <w:sz w:val="22"/>
          <w:szCs w:val="22"/>
          <w:lang w:val="en-GB"/>
        </w:rPr>
      </w:pPr>
    </w:p>
    <w:p w14:paraId="417BA438" w14:textId="3F57E1FE" w:rsidR="00912ED8" w:rsidRPr="004E053C" w:rsidRDefault="00D36963" w:rsidP="004E053C">
      <w:pPr>
        <w:pStyle w:val="Heading3"/>
        <w:rPr>
          <w:rFonts w:asciiTheme="minorHAnsi" w:hAnsiTheme="minorHAnsi"/>
        </w:rPr>
      </w:pPr>
      <w:r w:rsidRPr="004E053C">
        <w:rPr>
          <w:rFonts w:asciiTheme="minorHAnsi" w:hAnsiTheme="minorHAnsi"/>
        </w:rPr>
        <w:t>2.6.2. Conflict</w:t>
      </w:r>
    </w:p>
    <w:p w14:paraId="2985AB76" w14:textId="77777777" w:rsidR="00912ED8" w:rsidRPr="004E053C" w:rsidRDefault="00912ED8" w:rsidP="004E053C">
      <w:pPr>
        <w:pStyle w:val="NoSpacing"/>
        <w:spacing w:line="360" w:lineRule="auto"/>
        <w:jc w:val="both"/>
        <w:rPr>
          <w:lang w:val="en-GB" w:eastAsia="zh-CN"/>
        </w:rPr>
      </w:pPr>
    </w:p>
    <w:p w14:paraId="597609BC" w14:textId="7A0F64B3" w:rsidR="00D36963" w:rsidRPr="004E053C" w:rsidRDefault="00D36963" w:rsidP="004E053C">
      <w:pPr>
        <w:widowControl w:val="0"/>
        <w:autoSpaceDE w:val="0"/>
        <w:autoSpaceDN w:val="0"/>
        <w:adjustRightInd w:val="0"/>
        <w:spacing w:line="360" w:lineRule="auto"/>
        <w:jc w:val="both"/>
        <w:rPr>
          <w:sz w:val="22"/>
          <w:szCs w:val="22"/>
          <w:lang w:val="en-GB" w:eastAsia="zh-CN"/>
        </w:rPr>
      </w:pPr>
      <w:r w:rsidRPr="004E053C">
        <w:rPr>
          <w:rFonts w:cstheme="minorHAnsi"/>
          <w:color w:val="000000" w:themeColor="text1"/>
          <w:sz w:val="22"/>
          <w:szCs w:val="22"/>
          <w:lang w:val="en-GB" w:eastAsia="zh-CN"/>
        </w:rPr>
        <w:t xml:space="preserve">There has been extensive research on the violence and conflict that emerges within the ASM sector. This is often linked to the understanding of miners as criminals, with violence in ASM sites in Latin America in particular often being associated with the sector’s perceived connections with narcotrafficking and the funding of </w:t>
      </w:r>
      <w:r w:rsidR="00C66190" w:rsidRPr="004E053C">
        <w:rPr>
          <w:rFonts w:cstheme="minorHAnsi"/>
          <w:color w:val="000000" w:themeColor="text1"/>
          <w:sz w:val="22"/>
          <w:szCs w:val="22"/>
          <w:lang w:val="en-GB" w:eastAsia="zh-CN"/>
        </w:rPr>
        <w:t>guerrilla</w:t>
      </w:r>
      <w:r w:rsidRPr="004E053C">
        <w:rPr>
          <w:rFonts w:cstheme="minorHAnsi"/>
          <w:color w:val="000000" w:themeColor="text1"/>
          <w:sz w:val="22"/>
          <w:szCs w:val="22"/>
          <w:lang w:val="en-GB" w:eastAsia="zh-CN"/>
        </w:rPr>
        <w:t xml:space="preserve"> groups</w:t>
      </w:r>
      <w:r w:rsidR="008C32ED" w:rsidRPr="004E053C">
        <w:rPr>
          <w:rFonts w:cstheme="minorHAnsi"/>
          <w:color w:val="000000" w:themeColor="text1"/>
          <w:sz w:val="22"/>
          <w:szCs w:val="22"/>
          <w:lang w:val="en-GB" w:eastAsia="zh-CN"/>
        </w:rPr>
        <w:t xml:space="preserve"> </w:t>
      </w:r>
      <w:r w:rsidR="004B3347" w:rsidRPr="004E053C">
        <w:rPr>
          <w:rFonts w:cstheme="minorHAnsi"/>
          <w:color w:val="000000" w:themeColor="text1"/>
          <w:sz w:val="22"/>
          <w:szCs w:val="22"/>
          <w:lang w:val="en-GB" w:eastAsia="zh-CN"/>
        </w:rPr>
        <w:fldChar w:fldCharType="begin" w:fldLock="1"/>
      </w:r>
      <w:r w:rsidR="002A79E3" w:rsidRPr="004E053C">
        <w:rPr>
          <w:rFonts w:cstheme="minorHAnsi"/>
          <w:color w:val="000000" w:themeColor="text1"/>
          <w:sz w:val="22"/>
          <w:szCs w:val="22"/>
          <w:lang w:val="en-GB" w:eastAsia="zh-CN"/>
        </w:rPr>
        <w:instrText>ADDIN CSL_CITATION {"citationItems":[{"id":"ITEM-1","itemData":{"author":[{"dropping-particle":"","family":"Sarmiento","given":"Mariana","non-dropping-particle":"","parse-names":false,"suffix":""},{"dropping-particle":"","family":"Giraldo","given":"Beatriz Helena","non-dropping-particle":"","parse-names":false,"suffix":""},{"dropping-particle":"","family":"Ayala","given":"Helcias","non-dropping-particle":"","parse-names":false,"suffix":""},{"dropping-particle":"","family":"Uran","given":"Alexandra","non-dropping-particle":"","parse-names":false,"suffix":""},{"dropping-particle":"","family":"Soto","given":"Ana Cristina","non-dropping-particle":"","parse-names":false,"suffix":""},{"dropping-particle":"","family":"Martinez","given":"Leyla","non-dropping-particle":"","parse-names":false,"suffix":""}],"chapter-number":"4","container-title":"Small-scale Gold Mining in the Amazon: The Cases of Bolivia, Brazil, Colombia, Peru and Suriname","editor":[{"dropping-particle":"","family":"Cremers","given":"L.","non-dropping-particle":"","parse-names":false,"suffix":""},{"dropping-particle":"","family":"Kolen","given":"Judith","non-dropping-particle":"","parse-names":false,"suffix":""},{"dropping-particle":"","family":"Theije","given":"Marjo","non-dropping-particle":"de","parse-names":false,"suffix":""}],"id":"ITEM-1","issued":{"date-parts":[["2013"]]},"page":"46-67","publisher":"CEDLA","publisher-place":"Amsterdam","title":"Characteristics and challenges of small-scale gold mining in Colombia","type":"chapter"},"uris":["http://www.mendeley.com/documents/?uuid=ba7499e0-9f1f-4935-b2a8-6f30db68ff4c"]}],"mendeley":{"formattedCitation":"(Sarmiento et al., 2013)","plainTextFormattedCitation":"(Sarmiento et al., 2013)","previouslyFormattedCitation":"(Sarmiento et al., 2013)"},"properties":{"noteIndex":0},"schema":"https://github.com/citation-style-language/schema/raw/master/csl-citation.json"}</w:instrText>
      </w:r>
      <w:r w:rsidR="004B3347" w:rsidRPr="004E053C">
        <w:rPr>
          <w:rFonts w:cstheme="minorHAnsi"/>
          <w:color w:val="000000" w:themeColor="text1"/>
          <w:sz w:val="22"/>
          <w:szCs w:val="22"/>
          <w:lang w:val="en-GB" w:eastAsia="zh-CN"/>
        </w:rPr>
        <w:fldChar w:fldCharType="separate"/>
      </w:r>
      <w:r w:rsidR="004B3347" w:rsidRPr="004E053C">
        <w:rPr>
          <w:rFonts w:cstheme="minorHAnsi"/>
          <w:noProof/>
          <w:color w:val="000000" w:themeColor="text1"/>
          <w:sz w:val="22"/>
          <w:szCs w:val="22"/>
          <w:lang w:val="en-GB" w:eastAsia="zh-CN"/>
        </w:rPr>
        <w:t>(Sarmiento et al., 2013)</w:t>
      </w:r>
      <w:r w:rsidR="004B3347" w:rsidRPr="004E053C">
        <w:rPr>
          <w:rFonts w:cstheme="minorHAnsi"/>
          <w:color w:val="000000" w:themeColor="text1"/>
          <w:sz w:val="22"/>
          <w:szCs w:val="22"/>
          <w:lang w:val="en-GB" w:eastAsia="zh-CN"/>
        </w:rPr>
        <w:fldChar w:fldCharType="end"/>
      </w:r>
      <w:r w:rsidRPr="004E053C">
        <w:rPr>
          <w:rFonts w:cstheme="minorHAnsi"/>
          <w:color w:val="000000" w:themeColor="text1"/>
          <w:sz w:val="22"/>
          <w:szCs w:val="22"/>
          <w:lang w:val="en-GB" w:eastAsia="zh-CN"/>
        </w:rPr>
        <w:t xml:space="preserve">. Elsewhere, a large body of literature focuses on the tensions that </w:t>
      </w:r>
      <w:r w:rsidRPr="004E053C">
        <w:rPr>
          <w:rFonts w:eastAsia="Times New Roman" w:cstheme="minorHAnsi"/>
          <w:sz w:val="22"/>
          <w:szCs w:val="22"/>
          <w:lang w:val="en-GB" w:eastAsia="zh-CN"/>
        </w:rPr>
        <w:t>arise between artisanal m</w:t>
      </w:r>
      <w:r w:rsidR="005E4553" w:rsidRPr="004E053C">
        <w:rPr>
          <w:rFonts w:eastAsia="Times New Roman" w:cstheme="minorHAnsi"/>
          <w:sz w:val="22"/>
          <w:szCs w:val="22"/>
          <w:lang w:val="en-GB" w:eastAsia="zh-CN"/>
        </w:rPr>
        <w:t>iners and large-scale mining</w:t>
      </w:r>
      <w:r w:rsidRPr="004E053C">
        <w:rPr>
          <w:rFonts w:eastAsia="Times New Roman" w:cstheme="minorHAnsi"/>
          <w:sz w:val="22"/>
          <w:szCs w:val="22"/>
          <w:lang w:val="en-GB" w:eastAsia="zh-CN"/>
        </w:rPr>
        <w:t xml:space="preserve"> companies </w:t>
      </w:r>
      <w:r w:rsidR="00162C86" w:rsidRPr="004E053C">
        <w:rPr>
          <w:rFonts w:eastAsia="Times New Roman" w:cstheme="minorHAnsi"/>
          <w:sz w:val="22"/>
          <w:szCs w:val="22"/>
          <w:lang w:val="en-GB" w:eastAsia="zh-CN"/>
        </w:rPr>
        <w:fldChar w:fldCharType="begin" w:fldLock="1"/>
      </w:r>
      <w:r w:rsidR="002F0CEA">
        <w:rPr>
          <w:rFonts w:eastAsia="Times New Roman" w:cstheme="minorHAnsi"/>
          <w:sz w:val="22"/>
          <w:szCs w:val="22"/>
          <w:lang w:val="en-GB" w:eastAsia="zh-CN"/>
        </w:rPr>
        <w:instrText>ADDIN CSL_CITATION {"citationItems":[{"id":"ITEM-1","itemData":{"DOI":"10.1016/j.exis.2016.10.011","ISSN":"2214790X","abstract":"Recent decades have witnessed a simultaneous expansion of large-scale mining and artisanal and small-scale mining (ASM). In an increasing number of instances, ASM-operators and mining companies are competing or even clashing over access to mineral deposits. A growing number of experts are now proposing negotiated solutions, which attempt to accommodate the interests of large-scale mining as well as ASM-operators. Building on a critical case study of the Acupan Contract Mining Project (ACMP) in the Philippines, it is argued that this type of negotiated settlement may reflect and even reinforce historically rooted inequalities, not just between ASM and large-scale mining, but also within the ASM-sector. While the company and a small group of ASM-interests are benefiting from the ACMP, the informal ASM-workforce is subjected to an exploitative labor regime. By engaging selectively with local elites, initiatives like the ACMP risk replicating some of the critical shortcomings of other mineral reform initiatives. To prevent this from happening, attempts to devise negotiated arrangements between ASM and large-scale mining need to be complemented with efforts to understand and redress power imbalances within the ASM-sector.","author":[{"dropping-particle":"","family":"Verbrugge","given":"Boris","non-dropping-particle":"","parse-names":false,"suffix":""}],"container-title":"Extractive Industries and Society","id":"ITEM-1","issue":"2","issued":{"date-parts":[["2017"]]},"page":"352-360","publisher":"Elsevier Ltd.","title":"Towards a negotiated solution to conflicts between large-scale and small-scale miners? The Acupan contract mining project in the Philippines","type":"article-journal","volume":"4"},"uris":["http://www.mendeley.com/documents/?uuid=cf78c1a7-d9a4-4891-bade-60f717ae8cd6"]},{"id":"ITEM-2","itemData":{"abstract":"Since implementation of its Economic Recovery Program in 1983, Ghana's extractive industries have come to account for 40% of the total value of the country's exports. An adverse impact of this increase, however, has been increased extraction-related conflict due to heightened competition between large and small-scale operators over mineral-rich lands. This paper characterizes these conflicts in the south-central section of the country by mapping the spatial overlaps between large and small-scale miners. Classification tree analysis of 2013 and 2015 Landsat-7 and -8 imagery was used to identify small-scale mine sites. The overlaps between these sites and large-scale concessions are examined in the context of reported mining conflicts. Results reveal that there is a large amount of resource competition between the two parties, specifically, more than half (i.e., 52%) of the identified small-scale mining activity occurs within the boundaries of large-scale concessions. The northwest corner of the study area contains 50% of the identified overlaps; the southwest corner contains 40%; and the northeast corner contains 10%. In most cases, these overlaps take place on prospecting concessions. The work illustrates how mapping and quantifying areas of spatial overlap between large and small-scale miners can help stakeholders implement more effective policy solutions.","author":[{"dropping-particle":"","family":"Patel","given":"Kayla","non-dropping-particle":"","parse-names":false,"suffix":""},{"dropping-particle":"","family":"Rogan","given":"John","non-dropping-particle":"","parse-names":false,"suffix":""},{"dropping-particle":"","family":"Cuba","given":"Nicholas","non-dropping-particle":"","parse-names":false,"suffix":""},{"dropping-particle":"","family":"Bebbington","given":"Anthony","non-dropping-particle":"","parse-names":false,"suffix":""}],"container-title":"Extractive Industries and Society","id":"ITEM-2","issue":"2","issued":{"date-parts":[["2016"]]},"page":"450-463","publisher":"Elsevier Ltd.","title":"Evaluating conflict surrounding mineral extraction in Ghana: Assessing the spatial interactions of large and small-scale mining","type":"article-journal","volume":"3"},"uris":["http://www.mendeley.com/documents/?uuid=ad135f41-db16-4f82-bbfb-fee147d2d169"]},{"id":"ITEM-3","itemData":{"abstract":"This article explores the key issues that have defined relations between operators in the artisanal and small-scale mining (ASM) and large-scale mining (LSM) sectors, with emphasis on the mining terrain of Ghana since the early-1990s. The relationship between these mining parties has become increasingly tenuous in Ghana, often culminating in violent confrontation between ASM operators, on the one hand, and LSM and state security forces, on the other hand. The analysis draws on a pragmatic approach which Abosso Goldfields Limited (AGL), one of the country's major large-scale operators, adopted to accommodate ASM operators on its concession, and examines the sustainability of the approach as well as the lessons to be learnt from it. © 2008 Elsevier Ltd. All rights reserved.","author":[{"dropping-particle":"","family":"Aubynn","given":"Anthony","non-dropping-particle":"","parse-names":false,"suffix":""}],"container-title":"Resources Policy","id":"ITEM-3","issue":"1-2","issued":{"date-parts":[["2009"]]},"page":"64-70","title":"Sustainable solution or a marriage of inconvenience? The coexistence of large-scale mining and artisanal and small-scale mining on the Abosso Goldfields concession in Western Ghana","type":"article-journal","volume":"34"},"uris":["http://www.mendeley.com/documents/?uuid=4cbebae4-b0ee-4b40-b03c-e5969f9b41c3"]}],"mendeley":{"formattedCitation":"(Aubynn, 2009; Patel, Rogan, Cuba, &amp; Bebbington, 2016; Verbrugge, 2017)","manualFormatting":"(see for example Aubynn, 2009; Patel et al., 2016; Verbrugge, 2017)","plainTextFormattedCitation":"(Aubynn, 2009; Patel, Rogan, Cuba, &amp; Bebbington, 2016; Verbrugge, 2017)","previouslyFormattedCitation":"(Aubynn, 2009; Patel, Rogan, Cuba, &amp; Bebbington, 2016; Verbrugge, 2017)"},"properties":{"noteIndex":0},"schema":"https://github.com/citation-style-language/schema/raw/master/csl-citation.json"}</w:instrText>
      </w:r>
      <w:r w:rsidR="00162C86" w:rsidRPr="004E053C">
        <w:rPr>
          <w:rFonts w:eastAsia="Times New Roman" w:cstheme="minorHAnsi"/>
          <w:sz w:val="22"/>
          <w:szCs w:val="22"/>
          <w:lang w:val="en-GB" w:eastAsia="zh-CN"/>
        </w:rPr>
        <w:fldChar w:fldCharType="separate"/>
      </w:r>
      <w:r w:rsidR="00162C86" w:rsidRPr="004E053C">
        <w:rPr>
          <w:rFonts w:eastAsia="Times New Roman" w:cstheme="minorHAnsi"/>
          <w:noProof/>
          <w:sz w:val="22"/>
          <w:szCs w:val="22"/>
          <w:lang w:val="en-GB" w:eastAsia="zh-CN"/>
        </w:rPr>
        <w:t>(see for example Aubynn, 2009; Patel et al., 2016; Verbrugge, 2017)</w:t>
      </w:r>
      <w:r w:rsidR="00162C86" w:rsidRPr="004E053C">
        <w:rPr>
          <w:rFonts w:eastAsia="Times New Roman" w:cstheme="minorHAnsi"/>
          <w:sz w:val="22"/>
          <w:szCs w:val="22"/>
          <w:lang w:val="en-GB" w:eastAsia="zh-CN"/>
        </w:rPr>
        <w:fldChar w:fldCharType="end"/>
      </w:r>
      <w:r w:rsidRPr="004E053C">
        <w:rPr>
          <w:rFonts w:eastAsia="Times New Roman" w:cstheme="minorHAnsi"/>
          <w:sz w:val="22"/>
          <w:szCs w:val="22"/>
          <w:lang w:val="en-GB" w:eastAsia="zh-CN"/>
        </w:rPr>
        <w:t xml:space="preserve">. </w:t>
      </w:r>
      <w:r w:rsidRPr="004E053C">
        <w:rPr>
          <w:sz w:val="22"/>
          <w:szCs w:val="22"/>
          <w:lang w:val="en-GB" w:eastAsia="zh-CN"/>
        </w:rPr>
        <w:t xml:space="preserve">While foreign companies frequently use the presence of artisanal miners as a good indication of where to initiate exploration work, they then often rely on armed security guards to restrict access to the most productive mining land </w:t>
      </w:r>
      <w:r w:rsidR="00162C86" w:rsidRPr="004E053C">
        <w:rPr>
          <w:sz w:val="22"/>
          <w:szCs w:val="22"/>
          <w:lang w:val="en-GB" w:eastAsia="zh-CN"/>
        </w:rPr>
        <w:fldChar w:fldCharType="begin" w:fldLock="1"/>
      </w:r>
      <w:r w:rsidR="00162C86" w:rsidRPr="004E053C">
        <w:rPr>
          <w:sz w:val="22"/>
          <w:szCs w:val="22"/>
          <w:lang w:val="en-GB" w:eastAsia="zh-CN"/>
        </w:rPr>
        <w:instrText>ADDIN CSL_CITATION {"citationItems":[{"id":"ITEM-1","itemData":{"abstract":"Over the last fifteen years, large-scale mining companies have started engaging in Corporate Social Responsibility (CSR), with the aim of contributing to developing local communities affected by their operations. Large-scale mining companies, together with the World Bank, have formulated voluntary principles and benchmarks to guide these company-community relations. Recently, it has been argued that CSR is also crucial in the early stages of exploration. Nowadays, mining consultants propagate a process approach to company-community relations, from early exploration to post-mining planning.This article contributes to these debates by describing: (1) how the Canadian Convention of Prospectors and Developers (PDAC) organises panels on company-community relations and (2) how dynamics in a heterogeneous field of company-community relations in Burkina Faso are influenced by structural aspects such as shifts in alliances and economic trends in the mining industry. The article seeks to assess the value of CSR practices and rhetoric by confronting the professional arena preoccupied with CSR with a social arena of company-community relations. It pays attention to the relationship between the process approach proposed in the frameworks of consultants and the characteristics of social processes on the ground. The confrontation shows that consultants and companies work with concepts of process that disregard some of the structural features of company-community engagements over time. The article scrutinises how consultants deal with discrepancies and shortcomings of the frameworks. It shows how consultants portray their efforts as part of a professional process aimed at improving models. This tactic of deferral is analysed in terms of structural features of development rhetoric. © 2011 Elsevier Ltd.","author":[{"dropping-particle":"","family":"Luning","given":"Sabine","non-dropping-particle":"","parse-names":false,"suffix":""}],"container-title":"Resources Policy","id":"ITEM-1","issue":"2","issued":{"date-parts":[["2012"]]},"page":"205-211","publisher":"Elsevier","title":"Corporate Social Responsibility (CSR) for exploration: consultants, companies and communities in processes of engagements","type":"article-journal","volume":"37"},"uris":["http://www.mendeley.com/documents/?uuid=4a2db0e8-1d4d-420f-b8cf-de27f6e97d38"]}],"mendeley":{"formattedCitation":"(Luning, 2012)","plainTextFormattedCitation":"(Luning, 2012)","previouslyFormattedCitation":"(Luning, 2012)"},"properties":{"noteIndex":0},"schema":"https://github.com/citation-style-language/schema/raw/master/csl-citation.json"}</w:instrText>
      </w:r>
      <w:r w:rsidR="00162C86" w:rsidRPr="004E053C">
        <w:rPr>
          <w:sz w:val="22"/>
          <w:szCs w:val="22"/>
          <w:lang w:val="en-GB" w:eastAsia="zh-CN"/>
        </w:rPr>
        <w:fldChar w:fldCharType="separate"/>
      </w:r>
      <w:r w:rsidR="00162C86" w:rsidRPr="004E053C">
        <w:rPr>
          <w:noProof/>
          <w:sz w:val="22"/>
          <w:szCs w:val="22"/>
          <w:lang w:val="en-GB" w:eastAsia="zh-CN"/>
        </w:rPr>
        <w:t>(Luning, 2012)</w:t>
      </w:r>
      <w:r w:rsidR="00162C86" w:rsidRPr="004E053C">
        <w:rPr>
          <w:sz w:val="22"/>
          <w:szCs w:val="22"/>
          <w:lang w:val="en-GB" w:eastAsia="zh-CN"/>
        </w:rPr>
        <w:fldChar w:fldCharType="end"/>
      </w:r>
      <w:r w:rsidRPr="004E053C">
        <w:rPr>
          <w:sz w:val="22"/>
          <w:szCs w:val="22"/>
          <w:lang w:val="en-GB" w:eastAsia="zh-CN"/>
        </w:rPr>
        <w:t xml:space="preserve">. </w:t>
      </w:r>
      <w:r w:rsidR="00162C86" w:rsidRPr="004E053C">
        <w:rPr>
          <w:sz w:val="22"/>
          <w:szCs w:val="22"/>
          <w:lang w:val="en-GB" w:eastAsia="zh-CN"/>
        </w:rPr>
        <w:t>Where ASM continues, it can become disruptive to large-scale mining companies, who then pressure the</w:t>
      </w:r>
      <w:r w:rsidRPr="004E053C">
        <w:rPr>
          <w:sz w:val="22"/>
          <w:szCs w:val="22"/>
          <w:lang w:val="en-GB" w:eastAsia="zh-CN"/>
        </w:rPr>
        <w:t xml:space="preserve"> national government </w:t>
      </w:r>
      <w:r w:rsidR="00162C86" w:rsidRPr="004E053C">
        <w:rPr>
          <w:sz w:val="22"/>
          <w:szCs w:val="22"/>
          <w:lang w:val="en-GB" w:eastAsia="zh-CN"/>
        </w:rPr>
        <w:t>and make it difficult for them to</w:t>
      </w:r>
      <w:r w:rsidRPr="004E053C">
        <w:rPr>
          <w:sz w:val="22"/>
          <w:szCs w:val="22"/>
          <w:lang w:val="en-GB" w:eastAsia="zh-CN"/>
        </w:rPr>
        <w:t xml:space="preserve"> support</w:t>
      </w:r>
      <w:r w:rsidR="00162C86" w:rsidRPr="004E053C">
        <w:rPr>
          <w:sz w:val="22"/>
          <w:szCs w:val="22"/>
          <w:lang w:val="en-GB" w:eastAsia="zh-CN"/>
        </w:rPr>
        <w:t xml:space="preserve"> the livelihoods of ASM miners. T</w:t>
      </w:r>
      <w:r w:rsidRPr="004E053C">
        <w:rPr>
          <w:sz w:val="22"/>
          <w:szCs w:val="22"/>
          <w:lang w:val="en-GB" w:eastAsia="zh-CN"/>
        </w:rPr>
        <w:t xml:space="preserve">his leads to conflicts between small-scale miners and large-scale miners and/or the government </w:t>
      </w:r>
      <w:r w:rsidR="00162C86" w:rsidRPr="004E053C">
        <w:rPr>
          <w:sz w:val="22"/>
          <w:szCs w:val="22"/>
          <w:lang w:val="en-GB" w:eastAsia="zh-CN"/>
        </w:rPr>
        <w:fldChar w:fldCharType="begin" w:fldLock="1"/>
      </w:r>
      <w:r w:rsidR="00162C86" w:rsidRPr="004E053C">
        <w:rPr>
          <w:sz w:val="22"/>
          <w:szCs w:val="22"/>
          <w:lang w:val="en-GB" w:eastAsia="zh-CN"/>
        </w:rPr>
        <w:instrText>ADDIN CSL_CITATION {"citationItems":[{"id":"ITEM-1","itemData":{"DOI":"10.1016/j.exis.2016.10.011","ISSN":"2214790X","abstract":"Recent decades have witnessed a simultaneous expansion of large-scale mining and artisanal and small-scale mining (ASM). In an increasing number of instances, ASM-operators and mining companies are competing or even clashing over access to mineral deposits. A growing number of experts are now proposing negotiated solutions, which attempt to accommodate the interests of large-scale mining as well as ASM-operators. Building on a critical case study of the Acupan Contract Mining Project (ACMP) in the Philippines, it is argued that this type of negotiated settlement may reflect and even reinforce historically rooted inequalities, not just between ASM and large-scale mining, but also within the ASM-sector. While the company and a small group of ASM-interests are benefiting from the ACMP, the informal ASM-workforce is subjected to an exploitative labor regime. By engaging selectively with local elites, initiatives like the ACMP risk replicating some of the critical shortcomings of other mineral reform initiatives. To prevent this from happening, attempts to devise negotiated arrangements between ASM and large-scale mining need to be complemented with efforts to understand and redress power imbalances within the ASM-sector.","author":[{"dropping-particle":"","family":"Verbrugge","given":"Boris","non-dropping-particle":"","parse-names":false,"suffix":""}],"container-title":"Extractive Industries and Society","id":"ITEM-1","issue":"2","issued":{"date-parts":[["2017"]]},"page":"352-360","publisher":"Elsevier Ltd.","title":"Towards a negotiated solution to conflicts between large-scale and small-scale miners? The Acupan contract mining project in the Philippines","type":"article-journal","volume":"4"},"uris":["http://www.mendeley.com/documents/?uuid=cf78c1a7-d9a4-4891-bade-60f717ae8cd6"]}],"mendeley":{"formattedCitation":"(Verbrugge, 2017)","plainTextFormattedCitation":"(Verbrugge, 2017)","previouslyFormattedCitation":"(Verbrugge, 2017)"},"properties":{"noteIndex":0},"schema":"https://github.com/citation-style-language/schema/raw/master/csl-citation.json"}</w:instrText>
      </w:r>
      <w:r w:rsidR="00162C86" w:rsidRPr="004E053C">
        <w:rPr>
          <w:sz w:val="22"/>
          <w:szCs w:val="22"/>
          <w:lang w:val="en-GB" w:eastAsia="zh-CN"/>
        </w:rPr>
        <w:fldChar w:fldCharType="separate"/>
      </w:r>
      <w:r w:rsidR="00162C86" w:rsidRPr="004E053C">
        <w:rPr>
          <w:noProof/>
          <w:sz w:val="22"/>
          <w:szCs w:val="22"/>
          <w:lang w:val="en-GB" w:eastAsia="zh-CN"/>
        </w:rPr>
        <w:t>(Verbrugge, 2017)</w:t>
      </w:r>
      <w:r w:rsidR="00162C86" w:rsidRPr="004E053C">
        <w:rPr>
          <w:sz w:val="22"/>
          <w:szCs w:val="22"/>
          <w:lang w:val="en-GB" w:eastAsia="zh-CN"/>
        </w:rPr>
        <w:fldChar w:fldCharType="end"/>
      </w:r>
      <w:r w:rsidRPr="004E053C">
        <w:rPr>
          <w:sz w:val="22"/>
          <w:szCs w:val="22"/>
          <w:lang w:val="en-GB" w:eastAsia="zh-CN"/>
        </w:rPr>
        <w:t xml:space="preserve">. </w:t>
      </w:r>
    </w:p>
    <w:p w14:paraId="09195314" w14:textId="77777777" w:rsidR="004E5F90" w:rsidRPr="004E053C" w:rsidRDefault="004E5F90" w:rsidP="004E053C">
      <w:pPr>
        <w:widowControl w:val="0"/>
        <w:autoSpaceDE w:val="0"/>
        <w:autoSpaceDN w:val="0"/>
        <w:adjustRightInd w:val="0"/>
        <w:spacing w:line="360" w:lineRule="auto"/>
        <w:jc w:val="both"/>
        <w:rPr>
          <w:sz w:val="22"/>
          <w:szCs w:val="22"/>
          <w:lang w:val="en-GB" w:eastAsia="zh-CN"/>
        </w:rPr>
      </w:pPr>
    </w:p>
    <w:p w14:paraId="206045AB" w14:textId="50815373" w:rsidR="00D36963" w:rsidRPr="004E053C" w:rsidRDefault="00D36963" w:rsidP="004E053C">
      <w:pPr>
        <w:spacing w:line="360" w:lineRule="auto"/>
        <w:jc w:val="both"/>
        <w:rPr>
          <w:rFonts w:eastAsia="Times New Roman" w:cstheme="minorHAnsi"/>
          <w:sz w:val="22"/>
          <w:szCs w:val="22"/>
        </w:rPr>
      </w:pPr>
      <w:r w:rsidRPr="004E053C">
        <w:rPr>
          <w:rFonts w:eastAsia="Times New Roman" w:cstheme="minorHAnsi"/>
          <w:sz w:val="22"/>
          <w:szCs w:val="22"/>
        </w:rPr>
        <w:t xml:space="preserve">There is another set of conflicts that emerge between migrant miners and indigenous communities, the latter of whom may or may not be involved in mining activity. Such conflicts have been particularly well illustrated in reference to </w:t>
      </w:r>
      <w:r w:rsidRPr="004E053C">
        <w:rPr>
          <w:rFonts w:cstheme="minorHAnsi"/>
          <w:color w:val="000000" w:themeColor="text1"/>
          <w:sz w:val="22"/>
          <w:szCs w:val="22"/>
        </w:rPr>
        <w:t>Latin America, wit</w:t>
      </w:r>
      <w:r w:rsidR="00176FEF">
        <w:rPr>
          <w:rFonts w:cstheme="minorHAnsi"/>
          <w:color w:val="000000" w:themeColor="text1"/>
          <w:sz w:val="22"/>
          <w:szCs w:val="22"/>
        </w:rPr>
        <w:t xml:space="preserve">h issues identified around land </w:t>
      </w:r>
      <w:r w:rsidRPr="004E053C">
        <w:rPr>
          <w:rFonts w:cstheme="minorHAnsi"/>
          <w:color w:val="000000" w:themeColor="text1"/>
          <w:sz w:val="22"/>
          <w:szCs w:val="22"/>
        </w:rPr>
        <w:t xml:space="preserve">use and struggles for access to mine sites </w:t>
      </w:r>
      <w:r w:rsidR="00162C86" w:rsidRPr="004E053C">
        <w:rPr>
          <w:rFonts w:cstheme="minorHAnsi"/>
          <w:color w:val="000000" w:themeColor="text1"/>
          <w:sz w:val="22"/>
          <w:szCs w:val="22"/>
        </w:rPr>
        <w:fldChar w:fldCharType="begin" w:fldLock="1"/>
      </w:r>
      <w:r w:rsidR="002F0CEA">
        <w:rPr>
          <w:rFonts w:cstheme="minorHAnsi"/>
          <w:color w:val="000000" w:themeColor="text1"/>
          <w:sz w:val="22"/>
          <w:szCs w:val="22"/>
        </w:rPr>
        <w:instrText>ADDIN CSL_CITATION {"citationItems":[{"id":"ITEM-1","itemData":{"abstract":"Conflict is small-scale gold mining's middle name. In only a very few situations do mining operations take place without some sort of conflict accompanying the activity, and often various conflicting stakeholders struggle for their interests simultaneously. Analyses of such conflicts are typically confined to unpacking the more structural or long-term dimension, the actual actions of the stakeholders or the sequence of incidents. We believe that such strategies have limitations, and in particular can often not explain how in most cases a certain equilibrium, an arrangement, a ‘conflict choreography’ emerges. To be able to account for such situations, we introduce a multi-temporal model for conflict analysis in small-scale gold mining. We distinguish between a protracted structural dimension, concentrating on the underlying causes, an expeditious dimension of the actual interactions and confrontations, and an intermediate dimension of the preparation or equipment of the actors, focusing on such questions as: from what backgrounds and with what aspirations do people come? And what identity, collectively and individually, did that formation produce? We argue that only by taking into account the latter dimension might we be able to better analyse the how's and why's of the low-intensity nature of mining conflicts that, at face value, should result in unrelenting hostilities.","author":[{"dropping-particle":"","family":"Salman","given":"T","non-dropping-particle":"","parse-names":false,"suffix":""},{"dropping-particle":"","family":"Theije","given":"M","non-dropping-particle":"de","parse-names":false,"suffix":""}],"container-title":"Extractive Industries and Society","id":"ITEM-1","issue":"3","issued":{"date-parts":[["2017"]]},"page":"586-594","publisher":"Elsevier Ltd.","title":"Analysing conflicts around small-scale gold mining in the Amazon: the contribution of a multi-temporal model","type":"article-journal","volume":"4"},"uris":["http://www.mendeley.com/documents/?uuid=a17f6c82-71f6-4835-b780-bb856c812d87"]},{"id":"ITEM-2","itemData":{"author":[{"dropping-particle":"","family":"Salman","given":"T","non-dropping-particle":"","parse-names":false,"suffix":""},{"dropping-particle":"","family":"Carillo","given":"F","non-dropping-particle":"","parse-names":false,"suffix":""},{"dropping-particle":"","family":"Soruco","given":"C","non-dropping-particle":"","parse-names":false,"suffix":""}],"chapter-number":"2","container-title":"Small-Scale Gold Mining in the Amazon: The Cases of Bolivia, Brazil, Colombia, Peru and Suriname","editor":[{"dropping-particle":"","family":"Cremers","given":"Leontien","non-dropping-particle":"","parse-names":false,"suffix":""},{"dropping-particle":"","family":"Kolen","given":"Judith","non-dropping-particle":"","parse-names":false,"suffix":""},{"dropping-particle":"","family":"Theije","given":"Marjo","non-dropping-particle":"De","parse-names":false,"suffix":""}],"id":"ITEM-2","issued":{"date-parts":[["2013"]]},"page":"17-30","publisher":"Cuadernods del CEDLA","publisher-place":"Amsterdam","title":"Cooperative oganization and balsa mining in Bolivia","type":"chapter"},"uris":["http://www.mendeley.com/documents/?uuid=3e58aa07-fc7d-3f62-af78-77a98b942047"]}],"mendeley":{"formattedCitation":"(Salman et al., 2013; Salman &amp; de Theije, 2017)","manualFormatting":"(Salman, Carillo, &amp; Soruco, 2013; Salman &amp; de Theije, 2017)","plainTextFormattedCitation":"(Salman et al., 2013; Salman &amp; de Theije, 2017)","previouslyFormattedCitation":"(Salman et al., 2013; Salman &amp; de Theije, 2017)"},"properties":{"noteIndex":0},"schema":"https://github.com/citation-style-language/schema/raw/master/csl-citation.json"}</w:instrText>
      </w:r>
      <w:r w:rsidR="00162C86" w:rsidRPr="004E053C">
        <w:rPr>
          <w:rFonts w:cstheme="minorHAnsi"/>
          <w:color w:val="000000" w:themeColor="text1"/>
          <w:sz w:val="22"/>
          <w:szCs w:val="22"/>
        </w:rPr>
        <w:fldChar w:fldCharType="separate"/>
      </w:r>
      <w:r w:rsidR="00162C86" w:rsidRPr="004E053C">
        <w:rPr>
          <w:rFonts w:cstheme="minorHAnsi"/>
          <w:noProof/>
          <w:color w:val="000000" w:themeColor="text1"/>
          <w:sz w:val="22"/>
          <w:szCs w:val="22"/>
        </w:rPr>
        <w:t>(Salman, Carillo, &amp; Soruco, 2013; Salman &amp; de Theije, 2017)</w:t>
      </w:r>
      <w:r w:rsidR="00162C86" w:rsidRPr="004E053C">
        <w:rPr>
          <w:rFonts w:cstheme="minorHAnsi"/>
          <w:color w:val="000000" w:themeColor="text1"/>
          <w:sz w:val="22"/>
          <w:szCs w:val="22"/>
        </w:rPr>
        <w:fldChar w:fldCharType="end"/>
      </w:r>
      <w:r w:rsidRPr="004E053C">
        <w:rPr>
          <w:rFonts w:cstheme="minorHAnsi"/>
          <w:color w:val="000000" w:themeColor="text1"/>
          <w:sz w:val="22"/>
          <w:szCs w:val="22"/>
        </w:rPr>
        <w:t xml:space="preserve">, as well </w:t>
      </w:r>
      <w:r w:rsidRPr="004E053C">
        <w:rPr>
          <w:rFonts w:cstheme="minorHAnsi"/>
          <w:color w:val="000000" w:themeColor="text1"/>
          <w:sz w:val="22"/>
          <w:szCs w:val="22"/>
        </w:rPr>
        <w:lastRenderedPageBreak/>
        <w:t xml:space="preserve">as cultural clashes and the disruption of traditional practices </w:t>
      </w:r>
      <w:r w:rsidR="00162C86" w:rsidRPr="004E053C">
        <w:rPr>
          <w:rFonts w:cstheme="minorHAnsi"/>
          <w:color w:val="000000" w:themeColor="text1"/>
          <w:sz w:val="22"/>
          <w:szCs w:val="22"/>
        </w:rPr>
        <w:fldChar w:fldCharType="begin" w:fldLock="1"/>
      </w:r>
      <w:r w:rsidR="002A79E3" w:rsidRPr="004E053C">
        <w:rPr>
          <w:rFonts w:cstheme="minorHAnsi"/>
          <w:color w:val="000000" w:themeColor="text1"/>
          <w:sz w:val="22"/>
          <w:szCs w:val="22"/>
        </w:rPr>
        <w:instrText>ADDIN CSL_CITATION {"citationItems":[{"id":"ITEM-1","itemData":{"author":[{"dropping-particle":"","family":"Sarmiento","given":"Mariana","non-dropping-particle":"","parse-names":false,"suffix":""},{"dropping-particle":"","family":"Giraldo","given":"Beatriz Helena","non-dropping-particle":"","parse-names":false,"suffix":""},{"dropping-particle":"","family":"Ayala","given":"Helcias","non-dropping-particle":"","parse-names":false,"suffix":""},{"dropping-particle":"","family":"Uran","given":"Alexandra","non-dropping-particle":"","parse-names":false,"suffix":""},{"dropping-particle":"","family":"Soto","given":"Ana Cristina","non-dropping-particle":"","parse-names":false,"suffix":""},{"dropping-particle":"","family":"Martinez","given":"Leyla","non-dropping-particle":"","parse-names":false,"suffix":""}],"chapter-number":"4","container-title":"Small-scale Gold Mining in the Amazon: The Cases of Bolivia, Brazil, Colombia, Peru and Suriname","editor":[{"dropping-particle":"","family":"Cremers","given":"L.","non-dropping-particle":"","parse-names":false,"suffix":""},{"dropping-particle":"","family":"Kolen","given":"Judith","non-dropping-particle":"","parse-names":false,"suffix":""},{"dropping-particle":"","family":"Theije","given":"Marjo","non-dropping-particle":"de","parse-names":false,"suffix":""}],"id":"ITEM-1","issued":{"date-parts":[["2013"]]},"page":"46-67","publisher":"CEDLA","publisher-place":"Amsterdam","title":"Characteristics and challenges of small-scale gold mining in Colombia","type":"chapter"},"uris":["http://www.mendeley.com/documents/?uuid=ba7499e0-9f1f-4935-b2a8-6f30db68ff4c"]}],"mendeley":{"formattedCitation":"(Sarmiento et al., 2013)","plainTextFormattedCitation":"(Sarmiento et al., 2013)","previouslyFormattedCitation":"(Sarmiento et al., 2013)"},"properties":{"noteIndex":0},"schema":"https://github.com/citation-style-language/schema/raw/master/csl-citation.json"}</w:instrText>
      </w:r>
      <w:r w:rsidR="00162C86" w:rsidRPr="004E053C">
        <w:rPr>
          <w:rFonts w:cstheme="minorHAnsi"/>
          <w:color w:val="000000" w:themeColor="text1"/>
          <w:sz w:val="22"/>
          <w:szCs w:val="22"/>
        </w:rPr>
        <w:fldChar w:fldCharType="separate"/>
      </w:r>
      <w:r w:rsidR="00162C86" w:rsidRPr="004E053C">
        <w:rPr>
          <w:rFonts w:cstheme="minorHAnsi"/>
          <w:noProof/>
          <w:color w:val="000000" w:themeColor="text1"/>
          <w:sz w:val="22"/>
          <w:szCs w:val="22"/>
        </w:rPr>
        <w:t>(Sarmiento et al., 2013)</w:t>
      </w:r>
      <w:r w:rsidR="00162C86" w:rsidRPr="004E053C">
        <w:rPr>
          <w:rFonts w:cstheme="minorHAnsi"/>
          <w:color w:val="000000" w:themeColor="text1"/>
          <w:sz w:val="22"/>
          <w:szCs w:val="22"/>
        </w:rPr>
        <w:fldChar w:fldCharType="end"/>
      </w:r>
      <w:r w:rsidRPr="004E053C">
        <w:rPr>
          <w:rFonts w:cstheme="minorHAnsi"/>
          <w:color w:val="000000" w:themeColor="text1"/>
          <w:sz w:val="22"/>
          <w:szCs w:val="22"/>
        </w:rPr>
        <w:t>. In Suriname for example, Brazilian migrants were blamed for the increasing violence in the local communities</w:t>
      </w:r>
      <w:r w:rsidR="00162C86" w:rsidRPr="004E053C">
        <w:rPr>
          <w:rFonts w:cstheme="minorHAnsi"/>
          <w:color w:val="000000" w:themeColor="text1"/>
          <w:sz w:val="22"/>
          <w:szCs w:val="22"/>
        </w:rPr>
        <w:t xml:space="preserve"> </w:t>
      </w:r>
      <w:r w:rsidR="00162C86" w:rsidRPr="004E053C">
        <w:rPr>
          <w:rFonts w:cstheme="minorHAnsi"/>
          <w:color w:val="000000" w:themeColor="text1"/>
          <w:sz w:val="22"/>
          <w:szCs w:val="22"/>
        </w:rPr>
        <w:fldChar w:fldCharType="begin" w:fldLock="1"/>
      </w:r>
      <w:r w:rsidR="007A757C" w:rsidRPr="004E053C">
        <w:rPr>
          <w:rFonts w:cstheme="minorHAnsi"/>
          <w:color w:val="000000" w:themeColor="text1"/>
          <w:sz w:val="22"/>
          <w:szCs w:val="22"/>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2009)","manualFormatting":"(de Theije &amp; Heemskerk, 2009)","plainTextFormattedCitation":"(De Theije &amp; Heemskerk, 2009)","previouslyFormattedCitation":"(De Theije &amp; Heemskerk, 2009)"},"properties":{"noteIndex":0},"schema":"https://github.com/citation-style-language/schema/raw/master/csl-citation.json"}</w:instrText>
      </w:r>
      <w:r w:rsidR="00162C86" w:rsidRPr="004E053C">
        <w:rPr>
          <w:rFonts w:cstheme="minorHAnsi"/>
          <w:color w:val="000000" w:themeColor="text1"/>
          <w:sz w:val="22"/>
          <w:szCs w:val="22"/>
        </w:rPr>
        <w:fldChar w:fldCharType="separate"/>
      </w:r>
      <w:r w:rsidR="00162C86" w:rsidRPr="004E053C">
        <w:rPr>
          <w:rFonts w:cstheme="minorHAnsi"/>
          <w:noProof/>
          <w:color w:val="000000" w:themeColor="text1"/>
          <w:sz w:val="22"/>
          <w:szCs w:val="22"/>
        </w:rPr>
        <w:t>(de Theije &amp; Heemskerk, 2009)</w:t>
      </w:r>
      <w:r w:rsidR="00162C86" w:rsidRPr="004E053C">
        <w:rPr>
          <w:rFonts w:cstheme="minorHAnsi"/>
          <w:color w:val="000000" w:themeColor="text1"/>
          <w:sz w:val="22"/>
          <w:szCs w:val="22"/>
        </w:rPr>
        <w:fldChar w:fldCharType="end"/>
      </w:r>
      <w:r w:rsidRPr="004E053C">
        <w:rPr>
          <w:rFonts w:cstheme="minorHAnsi"/>
          <w:color w:val="000000" w:themeColor="text1"/>
          <w:sz w:val="22"/>
          <w:szCs w:val="22"/>
        </w:rPr>
        <w:t xml:space="preserve">, while </w:t>
      </w:r>
      <w:r w:rsidRPr="004E053C">
        <w:rPr>
          <w:rFonts w:eastAsia="Times New Roman" w:cstheme="minorHAnsi"/>
          <w:color w:val="000000" w:themeColor="text1"/>
          <w:sz w:val="22"/>
          <w:szCs w:val="22"/>
        </w:rPr>
        <w:t xml:space="preserve">in Colombia, </w:t>
      </w:r>
      <w:r w:rsidRPr="004E053C">
        <w:rPr>
          <w:rFonts w:eastAsia="Times New Roman" w:cstheme="minorHAnsi"/>
          <w:sz w:val="22"/>
          <w:szCs w:val="22"/>
        </w:rPr>
        <w:t xml:space="preserve">local communities complained that newly-arrived miners ignored the local rules that had been established to govern mining activities </w:t>
      </w:r>
      <w:r w:rsidR="00162C86" w:rsidRPr="004E053C">
        <w:rPr>
          <w:rFonts w:eastAsia="Times New Roman" w:cstheme="minorHAnsi"/>
          <w:sz w:val="22"/>
          <w:szCs w:val="22"/>
        </w:rPr>
        <w:fldChar w:fldCharType="begin" w:fldLock="1"/>
      </w:r>
      <w:r w:rsidR="002A79E3" w:rsidRPr="004E053C">
        <w:rPr>
          <w:rFonts w:eastAsia="Times New Roman" w:cstheme="minorHAnsi"/>
          <w:sz w:val="22"/>
          <w:szCs w:val="22"/>
        </w:rPr>
        <w:instrText>ADDIN CSL_CITATION {"citationItems":[{"id":"ITEM-1","itemData":{"author":[{"dropping-particle":"","family":"Sarmiento","given":"Mariana","non-dropping-particle":"","parse-names":false,"suffix":""},{"dropping-particle":"","family":"Giraldo","given":"Beatriz Helena","non-dropping-particle":"","parse-names":false,"suffix":""},{"dropping-particle":"","family":"Ayala","given":"Helcias","non-dropping-particle":"","parse-names":false,"suffix":""},{"dropping-particle":"","family":"Uran","given":"Alexandra","non-dropping-particle":"","parse-names":false,"suffix":""},{"dropping-particle":"","family":"Soto","given":"Ana Cristina","non-dropping-particle":"","parse-names":false,"suffix":""},{"dropping-particle":"","family":"Martinez","given":"Leyla","non-dropping-particle":"","parse-names":false,"suffix":""}],"chapter-number":"4","container-title":"Small-scale Gold Mining in the Amazon: The Cases of Bolivia, Brazil, Colombia, Peru and Suriname","editor":[{"dropping-particle":"","family":"Cremers","given":"L.","non-dropping-particle":"","parse-names":false,"suffix":""},{"dropping-particle":"","family":"Kolen","given":"Judith","non-dropping-particle":"","parse-names":false,"suffix":""},{"dropping-particle":"","family":"Theije","given":"Marjo","non-dropping-particle":"de","parse-names":false,"suffix":""}],"id":"ITEM-1","issued":{"date-parts":[["2013"]]},"page":"46-67","publisher":"CEDLA","publisher-place":"Amsterdam","title":"Characteristics and challenges of small-scale gold mining in Colombia","type":"chapter"},"uris":["http://www.mendeley.com/documents/?uuid=ba7499e0-9f1f-4935-b2a8-6f30db68ff4c"]}],"mendeley":{"formattedCitation":"(Sarmiento et al., 2013)","plainTextFormattedCitation":"(Sarmiento et al., 2013)","previouslyFormattedCitation":"(Sarmiento et al., 2013)"},"properties":{"noteIndex":0},"schema":"https://github.com/citation-style-language/schema/raw/master/csl-citation.json"}</w:instrText>
      </w:r>
      <w:r w:rsidR="00162C86" w:rsidRPr="004E053C">
        <w:rPr>
          <w:rFonts w:eastAsia="Times New Roman" w:cstheme="minorHAnsi"/>
          <w:sz w:val="22"/>
          <w:szCs w:val="22"/>
        </w:rPr>
        <w:fldChar w:fldCharType="separate"/>
      </w:r>
      <w:r w:rsidR="00162C86" w:rsidRPr="004E053C">
        <w:rPr>
          <w:rFonts w:eastAsia="Times New Roman" w:cstheme="minorHAnsi"/>
          <w:noProof/>
          <w:sz w:val="22"/>
          <w:szCs w:val="22"/>
        </w:rPr>
        <w:t>(Sarmiento et al., 2013)</w:t>
      </w:r>
      <w:r w:rsidR="00162C86" w:rsidRPr="004E053C">
        <w:rPr>
          <w:rFonts w:eastAsia="Times New Roman" w:cstheme="minorHAnsi"/>
          <w:sz w:val="22"/>
          <w:szCs w:val="22"/>
        </w:rPr>
        <w:fldChar w:fldCharType="end"/>
      </w:r>
      <w:r w:rsidRPr="004E053C">
        <w:rPr>
          <w:rFonts w:eastAsia="Times New Roman" w:cstheme="minorHAnsi"/>
          <w:sz w:val="22"/>
          <w:szCs w:val="22"/>
        </w:rPr>
        <w:t xml:space="preserve">. </w:t>
      </w:r>
      <w:r w:rsidRPr="004E053C">
        <w:rPr>
          <w:rFonts w:eastAsia="Times New Roman" w:cstheme="minorHAnsi"/>
          <w:color w:val="000000" w:themeColor="text1"/>
          <w:sz w:val="22"/>
          <w:szCs w:val="22"/>
          <w:shd w:val="clear" w:color="auto" w:fill="FFFFFF"/>
        </w:rPr>
        <w:t xml:space="preserve">However, Hoogbergen and Kruijt </w:t>
      </w:r>
      <w:r w:rsidR="00162C86" w:rsidRPr="004E053C">
        <w:rPr>
          <w:rFonts w:eastAsia="Times New Roman" w:cstheme="minorHAnsi"/>
          <w:color w:val="000000" w:themeColor="text1"/>
          <w:sz w:val="22"/>
          <w:szCs w:val="22"/>
          <w:shd w:val="clear" w:color="auto" w:fill="FFFFFF"/>
        </w:rPr>
        <w:fldChar w:fldCharType="begin" w:fldLock="1"/>
      </w:r>
      <w:r w:rsidR="00162C86" w:rsidRPr="004E053C">
        <w:rPr>
          <w:rFonts w:eastAsia="Times New Roman" w:cstheme="minorHAnsi"/>
          <w:color w:val="000000" w:themeColor="text1"/>
          <w:sz w:val="22"/>
          <w:szCs w:val="22"/>
          <w:shd w:val="clear" w:color="auto" w:fill="FFFFFF"/>
        </w:rPr>
        <w:instrText>ADDIN CSL_CITATION {"citationItems":[{"id":"ITEM-1","itemData":{"author":[{"dropping-particle":"","family":"Hoogbergen","given":"Wim","non-dropping-particle":"","parse-names":false,"suffix":""},{"dropping-particle":"","family":"Kruijt","given":"Dirk","non-dropping-particle":"","parse-names":false,"suffix":""}],"container-title":"Caribbean Studies","id":"ITEM-1","issue":"2","issued":{"date-parts":[["2004"]]},"page":"3-44","title":"Gold, \"Garimpeiros\" and Maroons: Brazilian Migrants and Ethnic Relationships in Post-War Suriname","type":"article-journal","volume":"32"},"uris":["http://www.mendeley.com/documents/?uuid=69a3408b-d47d-329e-bfc2-173228b8e5c7"]}],"mendeley":{"formattedCitation":"(Wim Hoogbergen &amp; Kruijt, 2004)","manualFormatting":"(2004)","plainTextFormattedCitation":"(Wim Hoogbergen &amp; Kruijt, 2004)","previouslyFormattedCitation":"(Wim Hoogbergen &amp; Kruijt, 2004)"},"properties":{"noteIndex":0},"schema":"https://github.com/citation-style-language/schema/raw/master/csl-citation.json"}</w:instrText>
      </w:r>
      <w:r w:rsidR="00162C86" w:rsidRPr="004E053C">
        <w:rPr>
          <w:rFonts w:eastAsia="Times New Roman" w:cstheme="minorHAnsi"/>
          <w:color w:val="000000" w:themeColor="text1"/>
          <w:sz w:val="22"/>
          <w:szCs w:val="22"/>
          <w:shd w:val="clear" w:color="auto" w:fill="FFFFFF"/>
        </w:rPr>
        <w:fldChar w:fldCharType="separate"/>
      </w:r>
      <w:r w:rsidR="00162C86" w:rsidRPr="004E053C">
        <w:rPr>
          <w:rFonts w:eastAsia="Times New Roman" w:cstheme="minorHAnsi"/>
          <w:noProof/>
          <w:color w:val="000000" w:themeColor="text1"/>
          <w:sz w:val="22"/>
          <w:szCs w:val="22"/>
          <w:shd w:val="clear" w:color="auto" w:fill="FFFFFF"/>
        </w:rPr>
        <w:t>(2004)</w:t>
      </w:r>
      <w:r w:rsidR="00162C86" w:rsidRPr="004E053C">
        <w:rPr>
          <w:rFonts w:eastAsia="Times New Roman" w:cstheme="minorHAnsi"/>
          <w:color w:val="000000" w:themeColor="text1"/>
          <w:sz w:val="22"/>
          <w:szCs w:val="22"/>
          <w:shd w:val="clear" w:color="auto" w:fill="FFFFFF"/>
        </w:rPr>
        <w:fldChar w:fldCharType="end"/>
      </w:r>
      <w:r w:rsidRPr="004E053C">
        <w:rPr>
          <w:rFonts w:eastAsia="Times New Roman" w:cstheme="minorHAnsi"/>
          <w:color w:val="000000" w:themeColor="text1"/>
          <w:sz w:val="22"/>
          <w:szCs w:val="22"/>
          <w:shd w:val="clear" w:color="auto" w:fill="FFFFFF"/>
        </w:rPr>
        <w:t xml:space="preserve"> showed that although newly arrived Brazilian miners in Suriname carried guns and seemed to care little for local environment, they were able to work in relative harmony with the local population</w:t>
      </w:r>
      <w:r w:rsidR="00162C86" w:rsidRPr="004E053C">
        <w:rPr>
          <w:rFonts w:eastAsia="Times New Roman" w:cstheme="minorHAnsi"/>
          <w:sz w:val="22"/>
          <w:szCs w:val="22"/>
        </w:rPr>
        <w:t xml:space="preserve">. Tubb </w:t>
      </w:r>
      <w:r w:rsidR="00162C86" w:rsidRPr="004E053C">
        <w:rPr>
          <w:rFonts w:eastAsia="Times New Roman" w:cstheme="minorHAnsi"/>
          <w:sz w:val="22"/>
          <w:szCs w:val="22"/>
        </w:rPr>
        <w:fldChar w:fldCharType="begin" w:fldLock="1"/>
      </w:r>
      <w:r w:rsidR="000D03CC" w:rsidRPr="004E053C">
        <w:rPr>
          <w:rFonts w:eastAsia="Times New Roman" w:cstheme="minorHAnsi"/>
          <w:sz w:val="22"/>
          <w:szCs w:val="22"/>
        </w:rPr>
        <w:instrText>ADDIN CSL_CITATION {"citationItems":[{"id":"ITEM-1","itemData":{"abstract":"As gold prices rose between 2002 and 2012, Afro-descendant gold miners confronted illegal outsider-owned gold mines on their land in Colombia’s northwest Chocó department. This article examines why these Afro-descendant miners, who used hand tools and techniques, often invited the outsiders, who used heavy machinery and mercury, to work their mines. Their reasons included: familial pressure over land, profit sharing, high prices, access to gold, and dangerous working conditions. The decision to invite in the outsiders complicates the conventional narrative of a coercive relationship between outsiders and Afro-descendant communities, even as the relationship produced worse than expected outcomes for both sides.","author":[{"dropping-particle":"","family":"Tubb","given":"Daniel","non-dropping-particle":"","parse-names":false,"suffix":""}],"container-title":"The Extractive Industries and Society","id":"ITEM-1","issue":"4","issued":{"date-parts":[["2015"]]},"page":"722-733","title":"Muddy decisions: Gold in the Choco, Colombia","type":"article-journal","volume":"2"},"uris":["http://www.mendeley.com/documents/?uuid=0a37e678-351f-4105-81a4-df99fce7704c"]}],"mendeley":{"formattedCitation":"(Tubb, 2015)","manualFormatting":"(2015)","plainTextFormattedCitation":"(Tubb, 2015)","previouslyFormattedCitation":"(Tubb, 2015)"},"properties":{"noteIndex":0},"schema":"https://github.com/citation-style-language/schema/raw/master/csl-citation.json"}</w:instrText>
      </w:r>
      <w:r w:rsidR="00162C86" w:rsidRPr="004E053C">
        <w:rPr>
          <w:rFonts w:eastAsia="Times New Roman" w:cstheme="minorHAnsi"/>
          <w:sz w:val="22"/>
          <w:szCs w:val="22"/>
        </w:rPr>
        <w:fldChar w:fldCharType="separate"/>
      </w:r>
      <w:r w:rsidR="00162C86" w:rsidRPr="004E053C">
        <w:rPr>
          <w:rFonts w:eastAsia="Times New Roman" w:cstheme="minorHAnsi"/>
          <w:noProof/>
          <w:sz w:val="22"/>
          <w:szCs w:val="22"/>
        </w:rPr>
        <w:t>(2015)</w:t>
      </w:r>
      <w:r w:rsidR="00162C86" w:rsidRPr="004E053C">
        <w:rPr>
          <w:rFonts w:eastAsia="Times New Roman" w:cstheme="minorHAnsi"/>
          <w:sz w:val="22"/>
          <w:szCs w:val="22"/>
        </w:rPr>
        <w:fldChar w:fldCharType="end"/>
      </w:r>
      <w:r w:rsidRPr="004E053C">
        <w:rPr>
          <w:rFonts w:eastAsia="Times New Roman" w:cstheme="minorHAnsi"/>
          <w:sz w:val="22"/>
          <w:szCs w:val="22"/>
        </w:rPr>
        <w:t xml:space="preserve"> has also illustrated that local mining communities may choose to work with newly arrived migrants if they think it will improve their access to gold. As such, he shows that these partnerships are not always characterized by animosity, coercion or intimidation. </w:t>
      </w:r>
      <w:r w:rsidRPr="004E053C">
        <w:rPr>
          <w:rFonts w:cstheme="minorHAnsi"/>
          <w:color w:val="000000" w:themeColor="text1"/>
          <w:sz w:val="22"/>
          <w:szCs w:val="22"/>
        </w:rPr>
        <w:t xml:space="preserve">Conflicts may of course also emerge between different groups of migrant miners, such as </w:t>
      </w:r>
      <w:r w:rsidRPr="004E053C">
        <w:rPr>
          <w:rFonts w:eastAsia="Times New Roman" w:cstheme="minorHAnsi"/>
          <w:sz w:val="22"/>
          <w:szCs w:val="22"/>
        </w:rPr>
        <w:t>between mine owners and labourers, especially in cases where working conditions are dangerous, or if new</w:t>
      </w:r>
      <w:r w:rsidR="00176FEF">
        <w:rPr>
          <w:rFonts w:eastAsia="Times New Roman" w:cstheme="minorHAnsi"/>
          <w:sz w:val="22"/>
          <w:szCs w:val="22"/>
        </w:rPr>
        <w:t xml:space="preserve"> </w:t>
      </w:r>
      <w:r w:rsidRPr="004E053C">
        <w:rPr>
          <w:rFonts w:eastAsia="Times New Roman" w:cstheme="minorHAnsi"/>
          <w:sz w:val="22"/>
          <w:szCs w:val="22"/>
        </w:rPr>
        <w:t>arrivals encroach on l</w:t>
      </w:r>
      <w:r w:rsidR="000D03CC" w:rsidRPr="004E053C">
        <w:rPr>
          <w:rFonts w:eastAsia="Times New Roman" w:cstheme="minorHAnsi"/>
          <w:sz w:val="22"/>
          <w:szCs w:val="22"/>
        </w:rPr>
        <w:t xml:space="preserve">and </w:t>
      </w:r>
      <w:r w:rsidR="000D03CC"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{"citationItems":[{"id":"ITEM-1","itemData":{"abstract":"Conflict is small-scale gold mining's middle name. In only a very few situations do mining operations take place without some sort of conflict accompanying the activity, and often various conflicting stakeholders struggle for their interests simultaneously. Analyses of such conflicts are typically confined to unpacking the more structural or long-term dimension, the actual actions of the stakeholders or the sequence of incidents. We believe that such strategies have limitations, and in particular can often not explain how in most cases a certain equilibrium, an arrangement, a ‘conflict choreography’ emerges. To be able to account for such situations, we introduce a multi-temporal model for conflict analysis in small-scale gold mining. We distinguish between a protracted structural dimension, concentrating on the underlying causes, an expeditious dimension of the actual interactions and confrontations, and an intermediate dimension of the preparation or equipment of the actors, focusing on such questions as: from what backgrounds and with what aspirations do people come? And what identity, collectively and individually, did that formation produce? We argue that only by taking into account the latter dimension might we be able to better analyse the how's and why's of the low-intensity nature of mining conflicts that, at face value, should result in unrelenting hostilities.","author":[{"dropping-particle":"","family":"Salman","given":"T","non-dropping-particle":"","parse-names":false,"suffix":""},{"dropping-particle":"","family":"Theije","given":"M","non-dropping-particle":"de","parse-names":false,"suffix":""}],"container-title":"Extractive Industries and Society","id":"ITEM-1","issue":"3","issued":{"date-parts":[["2017"]]},"page":"586-594","publisher":"Elsevier Ltd.","title":"Analysing conflicts around small-scale gold mining in the Amazon: the contribution of a multi-temporal model","type":"article-journal","volume":"4"},"uris":["http://www.mendeley.com/documents/?uuid=a17f6c82-71f6-4835-b780-bb856c812d87"]}],"mendeley":{"formattedCitation":"(Salman &amp; de Theije, 2017)","manualFormatting":"(Salman &amp; de Theije, 2017)","plainTextFormattedCitation":"(Salman &amp; de Theije, 2017)","previouslyFormattedCitation":"(Salman &amp; de Theije, 2017)"},"properties":{"noteIndex":0},"schema":"https://github.com/citation-style-language/schema/raw/master/csl-citation.json"}</w:instrText>
      </w:r>
      <w:r w:rsidR="000D03CC" w:rsidRPr="004E053C">
        <w:rPr>
          <w:rFonts w:eastAsia="Times New Roman" w:cstheme="minorHAnsi"/>
          <w:sz w:val="22"/>
          <w:szCs w:val="22"/>
        </w:rPr>
        <w:fldChar w:fldCharType="separate"/>
      </w:r>
      <w:r w:rsidR="000D03CC" w:rsidRPr="004E053C">
        <w:rPr>
          <w:rFonts w:eastAsia="Times New Roman" w:cstheme="minorHAnsi"/>
          <w:noProof/>
          <w:sz w:val="22"/>
          <w:szCs w:val="22"/>
        </w:rPr>
        <w:t>(Salman &amp; de Theije, 2017)</w:t>
      </w:r>
      <w:r w:rsidR="000D03CC" w:rsidRPr="004E053C">
        <w:rPr>
          <w:rFonts w:eastAsia="Times New Roman" w:cstheme="minorHAnsi"/>
          <w:sz w:val="22"/>
          <w:szCs w:val="22"/>
        </w:rPr>
        <w:fldChar w:fldCharType="end"/>
      </w:r>
      <w:r w:rsidRPr="004E053C">
        <w:rPr>
          <w:rFonts w:eastAsia="Times New Roman" w:cstheme="minorHAnsi"/>
          <w:sz w:val="22"/>
          <w:szCs w:val="22"/>
        </w:rPr>
        <w:t xml:space="preserve">. </w:t>
      </w:r>
    </w:p>
    <w:p w14:paraId="285D78D4" w14:textId="77777777" w:rsidR="00D36963" w:rsidRPr="004E053C" w:rsidRDefault="00D36963" w:rsidP="004E053C">
      <w:pPr>
        <w:spacing w:line="360" w:lineRule="auto"/>
        <w:jc w:val="both"/>
        <w:rPr>
          <w:rFonts w:eastAsia="Times New Roman" w:cstheme="minorHAnsi"/>
          <w:sz w:val="22"/>
          <w:szCs w:val="22"/>
        </w:rPr>
      </w:pPr>
    </w:p>
    <w:p w14:paraId="24F13056" w14:textId="01E99A4B" w:rsidR="00D36963" w:rsidRPr="004E053C" w:rsidRDefault="00D36963" w:rsidP="004E053C">
      <w:pPr>
        <w:spacing w:line="360" w:lineRule="auto"/>
        <w:jc w:val="both"/>
        <w:rPr>
          <w:rFonts w:eastAsia="Times New Roman" w:cstheme="minorHAnsi"/>
          <w:sz w:val="22"/>
          <w:szCs w:val="22"/>
        </w:rPr>
      </w:pPr>
      <w:r w:rsidRPr="004E053C">
        <w:rPr>
          <w:sz w:val="22"/>
          <w:szCs w:val="22"/>
        </w:rPr>
        <w:t xml:space="preserve">What is interesting to note however, is that despite the conflicts that exist over land and resources, many mining settlements are able to refrain from descending into violent chaos. Heemskerk and Duijves </w:t>
      </w:r>
      <w:r w:rsidR="000D03CC" w:rsidRPr="004E053C">
        <w:rPr>
          <w:sz w:val="22"/>
          <w:szCs w:val="22"/>
        </w:rPr>
        <w:fldChar w:fldCharType="begin" w:fldLock="1"/>
      </w:r>
      <w:r w:rsidR="000D03CC" w:rsidRPr="004E053C">
        <w:rPr>
          <w:sz w:val="22"/>
          <w:szCs w:val="22"/>
        </w:rPr>
        <w:instrText>ADDIN CSL_CITATION {"citationItems":[{"id":"ITEM-1","itemData":{"author":[{"dropping-particle":"","family":"Heemskerk","given":"Marieke","non-dropping-particle":"","parse-names":false,"suffix":""},{"dropping-particle":"","family":"Duijves","given":"Celine","non-dropping-particle":"","parse-names":false,"suffix":""}],"chapter-number":"6","container-title":"Small-scale Gold Mining in the Amazon: The Cases of Bolivia, Brazil, Colombia, Peru and Suriname","editor":[{"dropping-particle":"","family":"Cremers","given":"L.","non-dropping-particle":"","parse-names":false,"suffix":""},{"dropping-particle":"","family":"Kolen","given":"J.","non-dropping-particle":"","parse-names":false,"suffix":""},{"dropping-particle":"","family":"Theije","given":"Marjo","non-dropping-particle":"de","parse-names":false,"suffix":""}],"id":"ITEM-1","issued":{"date-parts":[["2013"]]},"publisher":"CEDLA","publisher-place":"Amsterdam","title":"Small-scale gold mining and conflict in Suriname","type":"chapter"},"uris":["http://www.mendeley.com/documents/?uuid=0f55ec0b-cab7-414a-b00f-0994d7882ac3"]}],"mendeley":{"formattedCitation":"(Heemskerk &amp; Duijves, 2013)","manualFormatting":"(2013)","plainTextFormattedCitation":"(Heemskerk &amp; Duijves, 2013)","previouslyFormattedCitation":"(Heemskerk &amp; Duijves, 2013)"},"properties":{"noteIndex":0},"schema":"https://github.com/citation-style-language/schema/raw/master/csl-citation.json"}</w:instrText>
      </w:r>
      <w:r w:rsidR="000D03CC" w:rsidRPr="004E053C">
        <w:rPr>
          <w:sz w:val="22"/>
          <w:szCs w:val="22"/>
        </w:rPr>
        <w:fldChar w:fldCharType="separate"/>
      </w:r>
      <w:r w:rsidR="000D03CC" w:rsidRPr="004E053C">
        <w:rPr>
          <w:noProof/>
          <w:sz w:val="22"/>
          <w:szCs w:val="22"/>
        </w:rPr>
        <w:t>(2013)</w:t>
      </w:r>
      <w:r w:rsidR="000D03CC" w:rsidRPr="004E053C">
        <w:rPr>
          <w:sz w:val="22"/>
          <w:szCs w:val="22"/>
        </w:rPr>
        <w:fldChar w:fldCharType="end"/>
      </w:r>
      <w:r w:rsidRPr="004E053C">
        <w:rPr>
          <w:sz w:val="22"/>
          <w:szCs w:val="22"/>
        </w:rPr>
        <w:t xml:space="preserve"> have illustrated this well in the case of Suriname, showing how most conflicts are managed through negotiation. </w:t>
      </w:r>
      <w:bookmarkStart w:id="29" w:name="_Hlk32674578"/>
      <w:r w:rsidRPr="004E053C">
        <w:rPr>
          <w:sz w:val="22"/>
          <w:szCs w:val="22"/>
        </w:rPr>
        <w:t xml:space="preserve">Salman and de Theije </w:t>
      </w:r>
      <w:r w:rsidR="000D03CC"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{"citationItems":[{"id":"ITEM-1","itemData":{"abstract":"Conflict is small-scale gold mining's middle name. In only a very few situations do mining operations take place without some sort of conflict accompanying the activity, and often various conflicting stakeholders struggle for their interests simultaneously. Analyses of such conflicts are typically confined to unpacking the more structural or long-term dimension, the actual actions of the stakeholders or the sequence of incidents. We believe that such strategies have limitations, and in particular can often not explain how in most cases a certain equilibrium, an arrangement, a ‘conflict choreography’ emerges. To be able to account for such situations, we introduce a multi-temporal model for conflict analysis in small-scale gold mining. We distinguish between a protracted structural dimension, concentrating on the underlying causes, an expeditious dimension of the actual interactions and confrontations, and an intermediate dimension of the preparation or equipment of the actors, focusing on such questions as: from what backgrounds and with what aspirations do people come? And what identity, collectively and individually, did that formation produce? We argue that only by taking into account the latter dimension might we be able to better analyse the how's and why's of the low-intensity nature of mining conflicts that, at face value, should result in unrelenting hostilities.","author":[{"dropping-particle":"","family":"Salman","given":"T","non-dropping-particle":"","parse-names":false,"suffix":""},{"dropping-particle":"","family":"Theije","given":"M","non-dropping-particle":"de","parse-names":false,"suffix":""}],"container-title":"Extractive Industries and Society","id":"ITEM-1","issue":"3","issued":{"date-parts":[["2017"]]},"page":"586-594","publisher":"Elsevier Ltd.","title":"Analysing conflicts around small-scale gold mining in the Amazon: the contribution of a multi-temporal model","type":"article-journal","volume":"4"},"uris":["http://www.mendeley.com/documents/?uuid=a17f6c82-71f6-4835-b780-bb856c812d87"]}],"mendeley":{"formattedCitation":"(Salman &amp; de Theije, 2017)","manualFormatting":"(2017)","plainTextFormattedCitation":"(Salman &amp; de Theije, 2017)","previouslyFormattedCitation":"(Salman &amp; de Theije, 2017)"},"properties":{"noteIndex":0},"schema":"https://github.com/citation-style-language/schema/raw/master/csl-citation.json"}</w:instrText>
      </w:r>
      <w:r w:rsidR="000D03CC" w:rsidRPr="004E053C">
        <w:rPr>
          <w:rFonts w:eastAsia="Times New Roman" w:cstheme="minorHAnsi"/>
          <w:sz w:val="22"/>
          <w:szCs w:val="22"/>
        </w:rPr>
        <w:fldChar w:fldCharType="separate"/>
      </w:r>
      <w:r w:rsidR="000D03CC" w:rsidRPr="004E053C">
        <w:rPr>
          <w:rFonts w:eastAsia="Times New Roman" w:cstheme="minorHAnsi"/>
          <w:noProof/>
          <w:sz w:val="22"/>
          <w:szCs w:val="22"/>
        </w:rPr>
        <w:t>(2017)</w:t>
      </w:r>
      <w:r w:rsidR="000D03CC" w:rsidRPr="004E053C">
        <w:rPr>
          <w:rFonts w:eastAsia="Times New Roman" w:cstheme="minorHAnsi"/>
          <w:sz w:val="22"/>
          <w:szCs w:val="22"/>
        </w:rPr>
        <w:fldChar w:fldCharType="end"/>
      </w:r>
      <w:bookmarkEnd w:id="29"/>
      <w:r w:rsidRPr="004E053C">
        <w:rPr>
          <w:sz w:val="22"/>
          <w:szCs w:val="22"/>
        </w:rPr>
        <w:t xml:space="preserve"> have argued that this internal coherence arises because all actors involved know that a situation of complete anarchy is unlikely to benefit them, and therefore accept some claims on power by others. They </w:t>
      </w:r>
      <w:r w:rsidRPr="004E053C">
        <w:rPr>
          <w:rFonts w:cstheme="minorHAnsi"/>
          <w:sz w:val="22"/>
          <w:szCs w:val="22"/>
        </w:rPr>
        <w:t xml:space="preserve">developed a multi-temporal model to illustrate how miners deal with these conflicts, emphasizing </w:t>
      </w:r>
      <w:r w:rsidRPr="004E053C">
        <w:rPr>
          <w:rFonts w:eastAsia="Times New Roman" w:cstheme="minorHAnsi"/>
          <w:sz w:val="22"/>
          <w:szCs w:val="22"/>
        </w:rPr>
        <w:t xml:space="preserve">both the short-term dynamics of negotiation and the long-term, structural nature of the underlying problem. They also argue that individual histories, memories and strategies of all the actors are of crucial importance, especially when forming a collective response to conflict </w:t>
      </w:r>
      <w:r w:rsidR="000D03CC"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{"citationItems":[{"id":"ITEM-1","itemData":{"abstract":"Conflict is small-scale gold mining's middle name. In only a very few situations do mining operations take place without some sort of conflict accompanying the activity, and often various conflicting stakeholders struggle for their interests simultaneously. Analyses of such conflicts are typically confined to unpacking the more structural or long-term dimension, the actual actions of the stakeholders or the sequence of incidents. We believe that such strategies have limitations, and in particular can often not explain how in most cases a certain equilibrium, an arrangement, a ‘conflict choreography’ emerges. To be able to account for such situations, we introduce a multi-temporal model for conflict analysis in small-scale gold mining. We distinguish between a protracted structural dimension, concentrating on the underlying causes, an expeditious dimension of the actual interactions and confrontations, and an intermediate dimension of the preparation or equipment of the actors, focusing on such questions as: from what backgrounds and with what aspirations do people come? And what identity, collectively and individually, did that formation produce? We argue that only by taking into account the latter dimension might we be able to better analyse the how's and why's of the low-intensity nature of mining conflicts that, at face value, should result in unrelenting hostilities.","author":[{"dropping-particle":"","family":"Salman","given":"T","non-dropping-particle":"","parse-names":false,"suffix":""},{"dropping-particle":"","family":"Theije","given":"M","non-dropping-particle":"de","parse-names":false,"suffix":""}],"container-title":"Extractive Industries and Society","id":"ITEM-1","issue":"3","issued":{"date-parts":[["2017"]]},"page":"586-594","publisher":"Elsevier Ltd.","title":"Analysing conflicts around small-scale gold mining in the Amazon: the contribution of a multi-temporal model","type":"article-journal","volume":"4"},"uris":["http://www.mendeley.com/documents/?uuid=a17f6c82-71f6-4835-b780-bb856c812d87"]},{"id":"ITEM-2","itemData":{"author":[{"dropping-particle":"","family":"Salman","given":"T","non-dropping-particle":"","parse-names":false,"suffix":""},{"dropping-particle":"","family":"Theije","given":"M","non-dropping-particle":"de","parse-names":false,"suffix":""},{"dropping-particle":"","family":"Vélez-Torres","given":"I","non-dropping-particle":"","parse-names":false,"suffix":""}],"container-title":"Ecology and Society","id":"ITEM-2","issue":"3","issued":{"date-parts":[["2018"]]},"page":"30","title":"Structures, actors, and interactions in the analysis of natural resource conflicts","type":"article-journal","volume":"23"},"uris":["http://www.mendeley.com/documents/?uuid=99da8e39-5459-3445-8be1-c3f9a66af206"]}],"mendeley":{"formattedCitation":"(Salman &amp; de Theije, 2017; Salman et al., 2018)","manualFormatting":"(Salman &amp; de Theije, 2017; Salman et al., 2018)","plainTextFormattedCitation":"(Salman &amp; de Theije, 2017; Salman et al., 2018)","previouslyFormattedCitation":"(Salman &amp; de Theije, 2017; Salman et al., 2018)"},"properties":{"noteIndex":0},"schema":"https://github.com/citation-style-language/schema/raw/master/csl-citation.json"}</w:instrText>
      </w:r>
      <w:r w:rsidR="000D03CC" w:rsidRPr="004E053C">
        <w:rPr>
          <w:rFonts w:eastAsia="Times New Roman" w:cstheme="minorHAnsi"/>
          <w:sz w:val="22"/>
          <w:szCs w:val="22"/>
        </w:rPr>
        <w:fldChar w:fldCharType="separate"/>
      </w:r>
      <w:r w:rsidR="000D03CC" w:rsidRPr="004E053C">
        <w:rPr>
          <w:rFonts w:eastAsia="Times New Roman" w:cstheme="minorHAnsi"/>
          <w:noProof/>
          <w:sz w:val="22"/>
          <w:szCs w:val="22"/>
        </w:rPr>
        <w:t>(Salman &amp; de Theije, 2017; Salman et al., 2018)</w:t>
      </w:r>
      <w:r w:rsidR="000D03CC" w:rsidRPr="004E053C">
        <w:rPr>
          <w:rFonts w:eastAsia="Times New Roman" w:cstheme="minorHAnsi"/>
          <w:sz w:val="22"/>
          <w:szCs w:val="22"/>
        </w:rPr>
        <w:fldChar w:fldCharType="end"/>
      </w:r>
      <w:r w:rsidRPr="004E053C">
        <w:rPr>
          <w:rFonts w:eastAsia="Times New Roman" w:cstheme="minorHAnsi"/>
          <w:sz w:val="22"/>
          <w:szCs w:val="22"/>
        </w:rPr>
        <w:t xml:space="preserve">. This is an interesting model, as it focuses on the coming together of various life trajectories in a bid to understand conflict, yet at the same time it fails to incorporate future trajectories and expectations. This seems like an oversight, as we have seen above that miners who have little long-term interest in an area are likely to behave in very different ways to those that have settled. </w:t>
      </w:r>
    </w:p>
    <w:p w14:paraId="53D82C7B" w14:textId="77777777" w:rsidR="00D36963" w:rsidRPr="004E053C" w:rsidRDefault="00D36963" w:rsidP="004E053C">
      <w:pPr>
        <w:spacing w:line="360" w:lineRule="auto"/>
        <w:jc w:val="both"/>
        <w:rPr>
          <w:rFonts w:eastAsia="Times New Roman" w:cstheme="minorHAnsi"/>
          <w:sz w:val="22"/>
          <w:szCs w:val="22"/>
        </w:rPr>
      </w:pPr>
    </w:p>
    <w:p w14:paraId="272F5156" w14:textId="77777777" w:rsidR="00D36963" w:rsidRPr="004E053C" w:rsidRDefault="00D36963" w:rsidP="004E053C">
      <w:pPr>
        <w:pStyle w:val="Heading3"/>
        <w:rPr>
          <w:rFonts w:asciiTheme="minorHAnsi" w:hAnsiTheme="minorHAnsi"/>
        </w:rPr>
      </w:pPr>
      <w:r w:rsidRPr="004E053C">
        <w:rPr>
          <w:rFonts w:asciiTheme="minorHAnsi" w:hAnsiTheme="minorHAnsi"/>
        </w:rPr>
        <w:t>2.6.3. Resistance</w:t>
      </w:r>
    </w:p>
    <w:p w14:paraId="5D50243C" w14:textId="77777777" w:rsidR="00D36963" w:rsidRPr="004E053C" w:rsidRDefault="00D36963" w:rsidP="004E053C">
      <w:pPr>
        <w:spacing w:line="360" w:lineRule="auto"/>
        <w:jc w:val="both"/>
        <w:rPr>
          <w:rFonts w:cstheme="majorHAnsi"/>
          <w:b/>
          <w:bCs/>
          <w:sz w:val="22"/>
          <w:szCs w:val="22"/>
          <w:lang w:val="en-GB"/>
        </w:rPr>
      </w:pPr>
    </w:p>
    <w:p w14:paraId="668B0363" w14:textId="0111505D" w:rsidR="00D36963" w:rsidRPr="004E053C" w:rsidRDefault="00D36963" w:rsidP="004E053C">
      <w:pPr>
        <w:spacing w:line="360" w:lineRule="auto"/>
        <w:jc w:val="both"/>
        <w:rPr>
          <w:rFonts w:cstheme="majorHAnsi"/>
          <w:b/>
          <w:sz w:val="22"/>
          <w:szCs w:val="22"/>
          <w:lang w:val="en-GB"/>
        </w:rPr>
      </w:pPr>
      <w:r w:rsidRPr="004E053C">
        <w:rPr>
          <w:rFonts w:cstheme="majorHAnsi"/>
          <w:sz w:val="22"/>
          <w:szCs w:val="22"/>
          <w:lang w:val="en-GB"/>
        </w:rPr>
        <w:t xml:space="preserve">As highlighted above, the literature is not short on descriptive accounts of the implications of criminality for ASM livelihoods and life in mining settlements. However, as </w:t>
      </w:r>
      <w:r w:rsidRPr="004E053C">
        <w:rPr>
          <w:rFonts w:cstheme="majorHAnsi"/>
          <w:bCs/>
          <w:sz w:val="22"/>
          <w:szCs w:val="22"/>
          <w:lang w:val="en-GB"/>
        </w:rPr>
        <w:t xml:space="preserve">Fisher </w:t>
      </w:r>
      <w:r w:rsidRPr="004E053C">
        <w:rPr>
          <w:rFonts w:cstheme="majorHAnsi"/>
          <w:bCs/>
          <w:sz w:val="22"/>
          <w:szCs w:val="22"/>
          <w:lang w:val="en-GB"/>
        </w:rPr>
        <w:fldChar w:fldCharType="begin" w:fldLock="1"/>
      </w:r>
      <w:r w:rsidRPr="004E053C">
        <w:rPr>
          <w:rFonts w:cstheme="majorHAnsi"/>
          <w:bCs/>
          <w:sz w:val="22"/>
          <w:szCs w:val="22"/>
          <w:lang w:val="en-GB"/>
        </w:rPr>
        <w:instrText>ADDIN CSL_CITATION {"citationItems":[{"id":"ITEM-1","itemData":{"abstract":"This article discusses the character of mineral resource governance at the margins of the state in Tanzania and the way artisanal gold miners are incorporated into mineral sector transformation. The landscape of mineral resource exploitation has changed dramatically over the past 20 years: processes of economic liberalisation have heralded massive foreign investment in large-scale gold mining, while also stimulating artisanal activities. Against this background, the article shows how artisanal gold miners are affected by contradictory processes: some have become integrated with state institutions and legal processes, while others, the large majority, are either further excluded or incorporated in ways that exacerbate insecurity and exploitation, underpinned by socio-economic inequalities. These processes are compounded by the actions of large-scale and medium-scale gold mining companies and by poor local governance. It is open to debate whether this will bring improved integration and welfare for artisanal mining communities or new forms of exclusion, although evidence suggests the latter.","author":[{"dropping-particle":"","family":"Fisher","given":"Eleanor","non-dropping-particle":"","parse-names":false,"suffix":""}],"container-title":"Development Southern Africa","id":"ITEM-1","issue":"2","issued":{"date-parts":[["2008"]]},"page":"199-213","title":"Artisanal gold mining at the margins of mineral resource governance: a case from Tanzania","type":"article-journal","volume":"25"},"uris":["http://www.mendeley.com/documents/?uuid=d69ff845-1a60-35d1-a9fa-13b7239fa210"]}],"mendeley":{"formattedCitation":"(Fisher, 2008)","manualFormatting":"(2008)","plainTextFormattedCitation":"(Fisher, 2008)","previouslyFormattedCitation":"(Fisher, 2008)"},"properties":{"noteIndex":0},"schema":"https://github.com/citation-style-language/schema/raw/master/csl-citation.json"}</w:instrText>
      </w:r>
      <w:r w:rsidRPr="004E053C">
        <w:rPr>
          <w:rFonts w:cstheme="majorHAnsi"/>
          <w:bCs/>
          <w:sz w:val="22"/>
          <w:szCs w:val="22"/>
          <w:lang w:val="en-GB"/>
        </w:rPr>
        <w:fldChar w:fldCharType="separate"/>
      </w:r>
      <w:r w:rsidRPr="004E053C">
        <w:rPr>
          <w:rFonts w:cstheme="majorHAnsi"/>
          <w:bCs/>
          <w:noProof/>
          <w:sz w:val="22"/>
          <w:szCs w:val="22"/>
          <w:lang w:val="en-GB"/>
        </w:rPr>
        <w:t>(2008)</w:t>
      </w:r>
      <w:r w:rsidRPr="004E053C">
        <w:rPr>
          <w:rFonts w:cstheme="majorHAnsi"/>
          <w:bCs/>
          <w:sz w:val="22"/>
          <w:szCs w:val="22"/>
          <w:lang w:val="en-GB"/>
        </w:rPr>
        <w:fldChar w:fldCharType="end"/>
      </w:r>
      <w:r w:rsidRPr="004E053C">
        <w:rPr>
          <w:rFonts w:cstheme="majorHAnsi"/>
          <w:bCs/>
          <w:sz w:val="22"/>
          <w:szCs w:val="22"/>
          <w:lang w:val="en-GB"/>
        </w:rPr>
        <w:t xml:space="preserve"> points out, it is also necessary to understand how people create spaces to make a mining livelihood even within this context of marginalisation and informality. </w:t>
      </w:r>
      <w:r w:rsidRPr="004E053C">
        <w:rPr>
          <w:rFonts w:cstheme="majorHAnsi"/>
          <w:sz w:val="22"/>
          <w:szCs w:val="22"/>
          <w:lang w:val="en-GB"/>
        </w:rPr>
        <w:t xml:space="preserve">In De Soto’s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{"citationItems":[{"id":"ITEM-1","itemData":{"author":[{"dropping-particle":"","family":"Soto","given":"H","non-dropping-particle":"De","parse-names":false,"suffix":""}],"id":"ITEM-1","issued":{"date-parts":[["1988"]]},"publisher":"Harper and Row Publishers","publisher-place":"New York","title":"The Other Path: The Invisible Revolution in the Third World","type":"book"},"uris":["http://www.mendeley.com/documents/?uuid=596858b3-b371-49f9-bcbf-f3ddc3190f53"]}],"mendeley":{"formattedCitation":"(De Soto, 1988)","manualFormatting":"(1988)","plainTextFormattedCitation":"(De Soto, 1988)","previouslyFormattedCitation":"(De Soto, 1988)"},"properties":{"noteIndex":0},"schema":"https://github.com/citation-style-language/schema/raw/master/csl-citation.json"}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(1988)</w:t>
      </w:r>
      <w:r w:rsidRPr="004E053C">
        <w:rPr>
          <w:rFonts w:cstheme="majorHAnsi"/>
          <w:sz w:val="22"/>
          <w:szCs w:val="22"/>
          <w:lang w:val="en-GB"/>
        </w:rPr>
        <w:fldChar w:fldCharType="end"/>
      </w:r>
      <w:r w:rsidRPr="004E053C">
        <w:rPr>
          <w:rFonts w:cstheme="majorHAnsi"/>
          <w:sz w:val="22"/>
          <w:szCs w:val="22"/>
          <w:lang w:val="en-GB"/>
        </w:rPr>
        <w:t xml:space="preserve"> theorising on extra-legal </w:t>
      </w:r>
      <w:r w:rsidRPr="004E053C">
        <w:rPr>
          <w:rFonts w:cstheme="majorHAnsi"/>
          <w:sz w:val="22"/>
          <w:szCs w:val="22"/>
          <w:lang w:val="en-GB"/>
        </w:rPr>
        <w:lastRenderedPageBreak/>
        <w:t xml:space="preserve">economies, he suggested that eradication of informal activities was futile, as it would always be met by strong resistance. Such resistance is clearly observable within ASM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Policy","id":"ITEM-1","issue":"1-2","issued":{"date-parts":[["2009"]]},"page":"51-56","title":"Artisanal and small-scale mining as an extralegal economy: De Soto and the redefinition of 'formalization'","type":"article-journal","volume":"34"},"uris":["http://www.mendeley.com/documents/?uuid=0cd7f80e-58cc-4421-9a78-f30864db4d69"]}],"mendeley":{"formattedCitation":"(Siegel &amp; Veiga, 2009)","plainTextFormattedCitation":"(Siegel &amp; Veiga, 2009)","previouslyFormattedCitation":"(Siegel &amp; Veiga,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(Siegel &amp; Veiga, 2009)</w:t>
      </w:r>
      <w:r w:rsidRPr="004E053C">
        <w:rPr>
          <w:rFonts w:cstheme="majorHAnsi"/>
          <w:sz w:val="22"/>
          <w:szCs w:val="22"/>
          <w:lang w:val="en-GB"/>
        </w:rPr>
        <w:fldChar w:fldCharType="end"/>
      </w:r>
      <w:r w:rsidR="000D03CC" w:rsidRPr="004E053C">
        <w:rPr>
          <w:rFonts w:cstheme="majorHAnsi"/>
          <w:sz w:val="22"/>
          <w:szCs w:val="22"/>
          <w:lang w:val="en-GB"/>
        </w:rPr>
        <w:t>,</w:t>
      </w:r>
      <w:r w:rsidRPr="004E053C">
        <w:rPr>
          <w:rFonts w:cstheme="majorHAnsi"/>
          <w:sz w:val="22"/>
          <w:szCs w:val="22"/>
          <w:lang w:val="en-GB"/>
        </w:rPr>
        <w:t xml:space="preserve"> often through the act of simply continuing with illegal mining practices. Bush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{"citationItems":[{"id":"ITEM-1","itemData":{"abstract":"This article argues that Ghana's galamsey or artisanal miners offer a strategy of resistance to state mining policy and foreign company operations. Galamsey provide significant injections of sustained income to local communities and clamping down on their activities is at best short sighted and at worst a strategy that promotes community abjection. The article reviews the experience of two communities in the Wassa West District of Ghana and especially the changing livelihoods of female headed households since the Government of Ghana has restricted the activities of the galamsey.","author":[{"dropping-particle":"","family":"Bush","given":"Ray","non-dropping-particle":"","parse-names":false,"suffix":""}],"container-title":"Resources Policy","id":"ITEM-1","issue":"1-2","issued":{"date-parts":[["2009"]]},"page":"57-63","title":"'Soon there will be no-one left to take the corpses to the morgue’: accumulation and abjection in Ghana's mining communities","type":"article-journal","volume":"34"},"uris":["http://www.mendeley.com/documents/?uuid=1513a745-695a-4ed0-98b5-5954a3e49321"]}],"mendeley":{"formattedCitation":"(Bush, 2009)","manualFormatting":"(2009)","plainTextFormattedCitation":"(Bush, 2009)","previouslyFormattedCitation":"(Bush,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(2009)</w:t>
      </w:r>
      <w:r w:rsidRPr="004E053C">
        <w:rPr>
          <w:rFonts w:cstheme="majorHAnsi"/>
          <w:sz w:val="22"/>
          <w:szCs w:val="22"/>
          <w:lang w:val="en-GB"/>
        </w:rPr>
        <w:fldChar w:fldCharType="end"/>
      </w:r>
      <w:r w:rsidRPr="004E053C">
        <w:rPr>
          <w:rFonts w:cstheme="majorHAnsi"/>
          <w:sz w:val="22"/>
          <w:szCs w:val="22"/>
          <w:lang w:val="en-GB"/>
        </w:rPr>
        <w:t xml:space="preserve"> for example, notes how Ghanaian ASM operatives are able to resist arrest by remaining mobile. </w:t>
      </w:r>
      <w:r w:rsidRPr="004E053C">
        <w:rPr>
          <w:rFonts w:cstheme="majorHAnsi"/>
          <w:bCs/>
          <w:sz w:val="22"/>
          <w:szCs w:val="22"/>
          <w:lang w:val="en-GB"/>
        </w:rPr>
        <w:t>By continuing mining activities on the margins of state control through creating or ‘capturing’ space, everyday mining practices can contribute to the continual re-establishment of law and order</w:t>
      </w:r>
      <w:r w:rsidRPr="004E053C">
        <w:rPr>
          <w:rFonts w:cstheme="majorHAnsi"/>
          <w:sz w:val="22"/>
          <w:szCs w:val="22"/>
          <w:lang w:val="en-GB"/>
        </w:rPr>
        <w:t xml:space="preserv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Das","given":"V","non-dropping-particle":"","parse-names":false,"suffix":""},{"dropping-particle":"","family":"Poole","given":"D","non-dropping-particle":"","parse-names":false,"suffix":""}],"container-title":"Anthropology at the Margins of the State","id":"ITEM-1","issued":{"date-parts":[["2004"]]},"page":"3-34","publisher":"James Currey","publisher-place":"Oxford, UK","title":"State and its margins: comparative ethnographies","type":"chapter"},"uris":["http://www.mendeley.com/documents/?uuid=1714d0ca-5a91-4f8c-88db-869b77d6aaf5"]},{"id":"ITEM-2","itemData":{"abstract":"This article discusses the character of mineral resource governance at the margins of the state in Tanzania and the way artisanal gold miners are incorporated into mineral sector transformation. The landscape of mineral resource exploitation has changed dramatically over the past 20 years: processes of economic liberalisation have heralded massive foreign investment in large-scale gold mining, while also stimulating artisanal activities. Against this background, the article shows how artisanal gold miners are affected by contradictory processes: some have become integrated with state institutions and legal processes, while others, the large majority, are either further excluded or incorporated in ways that exacerbate insecurity and exploitation, underpinned by socio-economic inequalities. These processes are compounded by the actions of large-scale and medium-scale gold mining companies and by poor local governance. It is open to debate whether this will bring improved integration and welfare for artisanal mining communities or new forms of exclusion, although evidence suggests the latter.","author":[{"dropping-particle":"","family":"Fisher","given":"Eleanor","non-dropping-particle":"","parse-names":false,"suffix":""}],"container-title":"Development Southern Africa","id":"ITEM-2","issue":"2","issued":{"date-parts":[["2008"]]},"page":"199-213","title":"Artisanal gold mining at the margins of mineral resource governance: a case from Tanzania","type":"article-journal","volume":"25"},"uris":["http://www.mendeley.com/documents/?uuid=d69ff845-1a60-35d1-a9fa-13b7239fa210"]}],"mendeley":{"formattedCitation":"(Das &amp; Poole, 2004; Fisher, 2008)","plainTextFormattedCitation":"(Das &amp; Poole, 2004; Fisher, 2008)","previouslyFormattedCitation":"(Das &amp; Poole, 2004; Fisher, 2008)"},"properties":{"noteIndex":0},"schema":"https://github.com/citation-style-language/schema/raw/master/csl-citation.json"}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(Das &amp; Poole, 2004; Fisher, 2008)</w:t>
      </w:r>
      <w:r w:rsidRPr="004E053C">
        <w:rPr>
          <w:rFonts w:cstheme="majorHAnsi"/>
          <w:sz w:val="22"/>
          <w:szCs w:val="22"/>
          <w:lang w:val="en-GB"/>
        </w:rPr>
        <w:fldChar w:fldCharType="end"/>
      </w:r>
      <w:r w:rsidRPr="004E053C">
        <w:rPr>
          <w:rFonts w:cstheme="majorHAnsi"/>
          <w:sz w:val="22"/>
          <w:szCs w:val="22"/>
          <w:lang w:val="en-GB"/>
        </w:rPr>
        <w:t>. However, acts of resistance can also include confrontations with</w:t>
      </w:r>
      <w:r w:rsidRPr="004E053C">
        <w:rPr>
          <w:rFonts w:cstheme="majorHAnsi"/>
          <w:color w:val="000000"/>
          <w:sz w:val="22"/>
          <w:szCs w:val="22"/>
          <w:lang w:val="en-GB"/>
        </w:rPr>
        <w:t xml:space="preserve"> police, which in some countries are becoming increasingly violent </w:t>
      </w:r>
      <w:r w:rsidRPr="004E053C">
        <w:rPr>
          <w:rFonts w:cstheme="majorHAnsi"/>
          <w:color w:val="000000"/>
          <w:sz w:val="22"/>
          <w:szCs w:val="22"/>
          <w:lang w:val="en-GB"/>
        </w:rPr>
        <w:fldChar w:fldCharType="begin" w:fldLock="1"/>
      </w:r>
      <w:r w:rsidRPr="004E053C">
        <w:rPr>
          <w:rFonts w:cstheme="majorHAnsi"/>
          <w:color w:val="000000"/>
          <w:sz w:val="22"/>
          <w:szCs w:val="22"/>
          <w:lang w:val="en-GB"/>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2014)","manualFormatting":"(Nyame &amp; Grant, 2014)","plainTextFormattedCitation":"(F. K. Nyame &amp; Grant, 2014)","previouslyFormattedCitation":"(F. K. Nyame &amp; Grant, 2014)"},"properties":{"noteIndex":0},"schema":"https://github.com/citation-style-language/schema/raw/master/csl-citation.json"}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(Nyame &amp; Grant, 2014)</w:t>
      </w:r>
      <w:r w:rsidRPr="004E053C">
        <w:rPr>
          <w:rFonts w:cstheme="majorHAnsi"/>
          <w:color w:val="000000"/>
          <w:sz w:val="22"/>
          <w:szCs w:val="22"/>
          <w:lang w:val="en-GB"/>
        </w:rPr>
        <w:fldChar w:fldCharType="end"/>
      </w:r>
      <w:r w:rsidRPr="004E053C">
        <w:rPr>
          <w:rFonts w:cstheme="majorHAnsi"/>
          <w:sz w:val="22"/>
          <w:szCs w:val="22"/>
          <w:lang w:val="en-GB"/>
        </w:rPr>
        <w:t xml:space="preserve">. </w:t>
      </w:r>
      <w:r w:rsidRPr="004E053C">
        <w:rPr>
          <w:rFonts w:cstheme="majorHAnsi"/>
          <w:bCs/>
          <w:sz w:val="22"/>
          <w:szCs w:val="22"/>
          <w:lang w:val="en-GB"/>
        </w:rPr>
        <w:t xml:space="preserve">Grätz </w:t>
      </w:r>
      <w:r w:rsidRPr="004E053C">
        <w:rPr>
          <w:rFonts w:cstheme="majorHAnsi"/>
          <w:bCs/>
          <w:sz w:val="22"/>
          <w:szCs w:val="22"/>
          <w:lang w:val="en-GB"/>
        </w:rPr>
        <w:fldChar w:fldCharType="begin" w:fldLock="1"/>
      </w:r>
      <w:r w:rsidRPr="004E053C">
        <w:rPr>
          <w:rFonts w:cstheme="majorHAnsi"/>
          <w:bCs/>
          <w:sz w:val="22"/>
          <w:szCs w:val="22"/>
          <w:lang w:val="en-GB"/>
        </w:rPr>
        <w:instrText>ADDIN CSL_CITATION {"citationItems":[{"id":"ITEM-1","itemData":{"abstract":"This working paper discusses the relevance of the frontier concept to the establishment of gold mining camps in West Africa since the mid-1990s. Exploring the example of the artisanal and small- scale (gold) mining (ASM), I will examine econo- mic, social and cultural aspects of mobile mining communities, their internal social relationships and conflicts with local communities and the state. Local miners establish mobile camps on a very particular internal African frontier (Werthmann 2009, Grätz 2010, Panella 2010, Werthmann and Grätz 2013). I will compare three mining sites and discuss their situation against the background of classical and recent anthropological studies on migration, social innovation and local resource management.","author":[{"dropping-particle":"","family":"Grätz","given":"Tilo","non-dropping-particle":"","parse-names":false,"suffix":""}],"collection-title":"ZMO Working Paper Series","id":"ITEM-1","issued":{"date-parts":[["2013"]]},"number":"10","publisher-place":"Berlin","title":"The \"frontier\" revisited: gold mining camps and mining communities in West Africa","type":"report"},"uris":["http://www.mendeley.com/documents/?uuid=512afbc5-0e56-43dc-9ce4-6f5656806c76"]}],"mendeley":{"formattedCitation":"(Grätz, 2013)","manualFormatting":"(2013)","plainTextFormattedCitation":"(Grätz, 2013)","previouslyFormattedCitation":"(Grätz, 2013)"},"properties":{"noteIndex":0},"schema":"https://github.com/citation-style-language/schema/raw/master/csl-citation.json"}</w:instrText>
      </w:r>
      <w:r w:rsidRPr="004E053C">
        <w:rPr>
          <w:rFonts w:cstheme="majorHAnsi"/>
          <w:bCs/>
          <w:sz w:val="22"/>
          <w:szCs w:val="22"/>
          <w:lang w:val="en-GB"/>
        </w:rPr>
        <w:fldChar w:fldCharType="separate"/>
      </w:r>
      <w:r w:rsidRPr="004E053C">
        <w:rPr>
          <w:rFonts w:cstheme="majorHAnsi"/>
          <w:bCs/>
          <w:noProof/>
          <w:sz w:val="22"/>
          <w:szCs w:val="22"/>
          <w:lang w:val="en-GB"/>
        </w:rPr>
        <w:t>(2013)</w:t>
      </w:r>
      <w:r w:rsidRPr="004E053C">
        <w:rPr>
          <w:rFonts w:cstheme="majorHAnsi"/>
          <w:bCs/>
          <w:sz w:val="22"/>
          <w:szCs w:val="22"/>
          <w:lang w:val="en-GB"/>
        </w:rPr>
        <w:fldChar w:fldCharType="end"/>
      </w:r>
      <w:r w:rsidRPr="004E053C">
        <w:rPr>
          <w:rFonts w:cstheme="majorHAnsi"/>
          <w:bCs/>
          <w:sz w:val="22"/>
          <w:szCs w:val="22"/>
          <w:lang w:val="en-GB"/>
        </w:rPr>
        <w:t xml:space="preserve"> argued that such tensions do not derive from a conflict between national laws and miner interests per se, but due to rapidly changing, contradictory und unpredictable state policies that the miners have difficulties adapting to</w:t>
      </w:r>
      <w:r w:rsidRPr="004E053C">
        <w:rPr>
          <w:rFonts w:cstheme="majorHAnsi"/>
          <w:b/>
          <w:sz w:val="22"/>
          <w:szCs w:val="22"/>
          <w:lang w:val="en-GB"/>
        </w:rPr>
        <w:t xml:space="preserve">. </w:t>
      </w:r>
    </w:p>
    <w:p w14:paraId="7E0DD4E3" w14:textId="77777777" w:rsidR="00D36963" w:rsidRPr="004E053C" w:rsidRDefault="00D36963" w:rsidP="004E053C">
      <w:pPr>
        <w:spacing w:line="360" w:lineRule="auto"/>
        <w:jc w:val="both"/>
        <w:rPr>
          <w:rFonts w:cstheme="majorHAnsi"/>
          <w:bCs/>
          <w:sz w:val="22"/>
          <w:szCs w:val="22"/>
          <w:lang w:val="en-GB"/>
        </w:rPr>
      </w:pPr>
    </w:p>
    <w:p w14:paraId="73AD0631" w14:textId="4D055051" w:rsidR="00D36963" w:rsidRPr="004E053C" w:rsidRDefault="007A7DCE" w:rsidP="004E053C">
      <w:pPr>
        <w:spacing w:line="360" w:lineRule="auto"/>
        <w:jc w:val="both"/>
        <w:rPr>
          <w:rFonts w:cstheme="minorHAnsi"/>
          <w:sz w:val="22"/>
          <w:szCs w:val="22"/>
          <w:lang w:val="en-GB"/>
        </w:rPr>
      </w:pPr>
      <w:r>
        <w:rPr>
          <w:rFonts w:cstheme="majorHAnsi"/>
          <w:color w:val="000000"/>
          <w:sz w:val="22"/>
          <w:szCs w:val="22"/>
          <w:lang w:val="en-GB"/>
        </w:rPr>
        <w:t>Academics</w:t>
      </w:r>
      <w:r w:rsidR="00D36963" w:rsidRPr="004E053C">
        <w:rPr>
          <w:rFonts w:cstheme="majorHAnsi"/>
          <w:color w:val="000000"/>
          <w:sz w:val="22"/>
          <w:szCs w:val="22"/>
          <w:lang w:val="en-GB"/>
        </w:rPr>
        <w:t xml:space="preserve"> have often focused on the need to </w:t>
      </w:r>
      <w:r w:rsidR="00D36963" w:rsidRPr="004E053C">
        <w:rPr>
          <w:rFonts w:cstheme="majorHAnsi"/>
          <w:sz w:val="22"/>
          <w:szCs w:val="22"/>
          <w:lang w:val="en-GB"/>
        </w:rPr>
        <w:t xml:space="preserve">make a living and provide for their families </w:t>
      </w:r>
      <w:r w:rsidR="00D36963" w:rsidRPr="004E053C">
        <w:rPr>
          <w:rFonts w:cstheme="majorHAnsi"/>
          <w:sz w:val="22"/>
          <w:szCs w:val="22"/>
          <w:lang w:val="en-GB"/>
        </w:rPr>
        <w:fldChar w:fldCharType="begin" w:fldLock="1"/>
      </w:r>
      <w:r w:rsidR="00D36963" w:rsidRPr="004E053C">
        <w:rPr>
          <w:rFonts w:cstheme="majorHAnsi"/>
          <w:sz w:val="22"/>
          <w:szCs w:val="22"/>
          <w:lang w:val="en-GB"/>
        </w:rPr>
        <w:instrText>ADDIN CSL_CITATION {"citationItems":[{"id":"ITEM-1","itemData":{"abstract":"This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-1","issue":"6","issued":{"date-parts":[["2007"]]},"page":"1304-1321","title":"Contaminated identities: mercury and marginalization in Ghana's artisanal mining sector","type":"article-journal","volume":"38"},"uris":["http://www.mendeley.com/documents/?uuid=bb6c3eb8-5f3a-408f-89eb-506be52b9a46"]}],"mendeley":{"formattedCitation":"(Tschakert &amp; Singha, 2007)","plainTextFormattedCitation":"(Tschakert &amp; Singha, 2007)","previouslyFormattedCitation":"(Tschakert &amp; Singha, 2007)"},"properties":{"noteIndex":0},"schema":"https://github.com/citation-style-language/schema/raw/master/csl-citation.json"}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(Tschakert &amp; Singha, 2007)</w:t>
      </w:r>
      <w:r w:rsidR="00D36963" w:rsidRPr="004E053C">
        <w:rPr>
          <w:rFonts w:cstheme="majorHAnsi"/>
          <w:sz w:val="22"/>
          <w:szCs w:val="22"/>
          <w:lang w:val="en-GB"/>
        </w:rPr>
        <w:fldChar w:fldCharType="end"/>
      </w:r>
      <w:r w:rsidR="00D36963" w:rsidRPr="004E053C">
        <w:rPr>
          <w:rFonts w:cstheme="majorHAnsi"/>
          <w:sz w:val="22"/>
          <w:szCs w:val="22"/>
          <w:lang w:val="en-GB"/>
        </w:rPr>
        <w:t xml:space="preserve"> as a key reason for continuing with an illicit livelihood. This could be argued as constituting resistance against processes of accumulation by dispossession </w:t>
      </w:r>
      <w:r w:rsidR="00D36963" w:rsidRPr="004E053C">
        <w:rPr>
          <w:rFonts w:cstheme="majorHAnsi"/>
          <w:sz w:val="22"/>
          <w:szCs w:val="22"/>
          <w:lang w:val="en-GB"/>
        </w:rPr>
        <w:fldChar w:fldCharType="begin" w:fldLock="1"/>
      </w:r>
      <w:r w:rsidR="00D36963" w:rsidRPr="004E053C">
        <w:rPr>
          <w:rFonts w:cstheme="majorHAnsi"/>
          <w:sz w:val="22"/>
          <w:szCs w:val="22"/>
          <w:lang w:val="en-GB"/>
        </w:rPr>
        <w:instrText>ADDIN CSL_CITATION {"citationItems":[{"id":"ITEM-1","itemData":{"author":[{"dropping-particle":"","family":"Harvey","given":"David","non-dropping-particle":"","parse-names":false,"suffix":""}],"id":"ITEM-1","issued":{"date-parts":[["2003"]]},"publisher":"Oxford University Press","publisher-place":"Oxford, UK","title":"The New Imperialism","type":"book"},"uris":["http://www.mendeley.com/documents/?uuid=22767d3c-d34b-449b-ae13-81c642f8683b"]}],"mendeley":{"formattedCitation":"(Harvey, 2003)","plainTextFormattedCitation":"(Harvey, 2003)","previouslyFormattedCitation":"(Harvey, 2003)"},"properties":{"noteIndex":0},"schema":"https://github.com/citation-style-language/schema/raw/master/csl-citation.json"}</w:instrText>
      </w:r>
      <w:r w:rsidR="00D36963" w:rsidRPr="004E053C">
        <w:rPr>
          <w:rFonts w:cstheme="majorHAnsi"/>
          <w:sz w:val="22"/>
          <w:szCs w:val="22"/>
          <w:lang w:val="en-GB"/>
        </w:rPr>
        <w:fldChar w:fldCharType="separate"/>
      </w:r>
      <w:r w:rsidR="00D36963" w:rsidRPr="004E053C">
        <w:rPr>
          <w:rFonts w:cstheme="majorHAnsi"/>
          <w:noProof/>
          <w:sz w:val="22"/>
          <w:szCs w:val="22"/>
          <w:lang w:val="en-GB"/>
        </w:rPr>
        <w:t>(Harvey, 2003)</w:t>
      </w:r>
      <w:r w:rsidR="00D36963" w:rsidRPr="004E053C">
        <w:rPr>
          <w:rFonts w:cstheme="majorHAnsi"/>
          <w:sz w:val="22"/>
          <w:szCs w:val="22"/>
          <w:lang w:val="en-GB"/>
        </w:rPr>
        <w:fldChar w:fldCharType="end"/>
      </w:r>
      <w:r w:rsidR="00D36963" w:rsidRPr="004E053C">
        <w:rPr>
          <w:rFonts w:cstheme="majorHAnsi"/>
          <w:sz w:val="22"/>
          <w:szCs w:val="22"/>
          <w:lang w:val="en-GB"/>
        </w:rPr>
        <w:t xml:space="preserve">. </w:t>
      </w:r>
      <w:r>
        <w:rPr>
          <w:rFonts w:cstheme="majorHAnsi"/>
          <w:color w:val="000000"/>
          <w:sz w:val="22"/>
          <w:szCs w:val="22"/>
          <w:lang w:val="en-GB"/>
        </w:rPr>
        <w:t>Some researcher</w:t>
      </w:r>
      <w:r w:rsidR="00D36963" w:rsidRPr="004E053C">
        <w:rPr>
          <w:rFonts w:cstheme="majorHAnsi"/>
          <w:color w:val="000000"/>
          <w:sz w:val="22"/>
          <w:szCs w:val="22"/>
          <w:lang w:val="en-GB"/>
        </w:rPr>
        <w:t xml:space="preserve">s also point to the strong sense of injustice felt by ASM miners, due to both their treatment and the uneven way in which benefits accrue between large-scale formal mining and ASM </w:t>
      </w:r>
      <w:r w:rsidR="00D36963" w:rsidRPr="004E053C">
        <w:rPr>
          <w:rFonts w:cstheme="minorHAnsi"/>
          <w:color w:val="000000"/>
          <w:sz w:val="22"/>
          <w:szCs w:val="22"/>
          <w:lang w:val="en-GB"/>
        </w:rPr>
        <w:fldChar w:fldCharType="begin" w:fldLock="1"/>
      </w:r>
      <w:r w:rsidR="00D36963" w:rsidRPr="004E053C">
        <w:rPr>
          <w:rFonts w:cstheme="minorHAnsi"/>
          <w:color w:val="000000"/>
          <w:sz w:val="22"/>
          <w:szCs w:val="22"/>
          <w:lang w:val="en-GB"/>
        </w:rPr>
        <w:instrText>ADDIN CSL_CITATION {"citationItems":[{"id":"ITEM-1","itemData":{"abstract":"The impacts that increased transnational extractive industry investments are having on local populations in natural resource-rich regions of sub-Saharan Africa are diverse, far-reaching and complex. A surge of recent investment has been variously met by resistance and rejection, by acquiescence combined with demands for better labour conditions, and outright acceptance in anticipation of gainful employment. Drawing on recent field-based research carried out in diamondiferous Kono District in Sierra Leone, this paper critically explores these contrasting responses to mining activities, by focusing on how youth perceive and respond to extractive industry expansion. The analysis is particularly salient in the case of Sierra Leone, as Kono's prime alluvial diamond areas are becoming ‘mined out’, and artisanal and small-scale operations are being replaced by more capital intensive modes of mechanized extraction. In an environment where the demand for unskilled labour is diminishing, and young people are facing pressing livelihood needs in an employment-constrained economy, youth are playing important roles in rights-based mobilizations around mining. The paper aims to broaden understanding of youth perceptions of mining investment, and illuminate the various factors underlying a diverse range of responses to the expansion of extractive industries. It concludes by reflecting on how youth perceptions of extractive industry expansion may also be influencing the ways in which mining companies understand and fashion their business and social responsibility strategies.","author":[{"dropping-particle":"","family":"Maconachie","given":"Roy","non-dropping-particle":"","parse-names":false,"suffix":""}],"container-title":"Futures","id":"ITEM-1","issue":"Part A","issued":{"date-parts":[["2014"]]},"page":"75-82","title":"Dispossession, exploitation or employment? youth livelihoods and extractive industry investment in Sierra Leone","type":"article-journal","volume":"62"},"uris":["http://www.mendeley.com/documents/?uuid=307857ed-9dc2-4808-bd81-10d67d3c6237"]},{"id":"ITEM-2","itemData":{"abstract":"This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-2","issue":"6","issued":{"date-parts":[["2007"]]},"page":"1304-1321","title":"Contaminated identities: mercury and marginalization in Ghana's artisanal mining sector","type":"article-journal","volume":"38"},"uris":["http://www.mendeley.com/documents/?uuid=bb6c3eb8-5f3a-408f-89eb-506be52b9a46"]}],"mendeley":{"formattedCitation":"(Maconachie, 2014; Tschakert &amp; Singha, 2007)","plainTextFormattedCitation":"(Maconachie, 2014; Tschakert &amp; Singha, 2007)","previouslyFormattedCitation":"(Maconachie, 2014; Tschakert &amp; Singha, 2007)"},"properties":{"noteIndex":0},"schema":"https://github.com/citation-style-language/schema/raw/master/csl-citation.json"}</w:instrText>
      </w:r>
      <w:r w:rsidR="00D36963" w:rsidRPr="004E053C">
        <w:rPr>
          <w:rFonts w:cstheme="minorHAnsi"/>
          <w:color w:val="000000"/>
          <w:sz w:val="22"/>
          <w:szCs w:val="22"/>
          <w:lang w:val="en-GB"/>
        </w:rPr>
        <w:fldChar w:fldCharType="separate"/>
      </w:r>
      <w:r w:rsidR="00D36963" w:rsidRPr="004E053C">
        <w:rPr>
          <w:rFonts w:cstheme="minorHAnsi"/>
          <w:noProof/>
          <w:color w:val="000000"/>
          <w:sz w:val="22"/>
          <w:szCs w:val="22"/>
          <w:lang w:val="en-GB"/>
        </w:rPr>
        <w:t>(Maconachie, 2014; Tschakert &amp; Singha, 2007)</w:t>
      </w:r>
      <w:r w:rsidR="00D36963" w:rsidRPr="004E053C">
        <w:rPr>
          <w:rFonts w:cstheme="minorHAnsi"/>
          <w:color w:val="000000"/>
          <w:sz w:val="22"/>
          <w:szCs w:val="22"/>
          <w:lang w:val="en-GB"/>
        </w:rPr>
        <w:fldChar w:fldCharType="end"/>
      </w:r>
      <w:r w:rsidR="00D36963" w:rsidRPr="004E053C">
        <w:rPr>
          <w:rFonts w:cstheme="minorHAnsi"/>
          <w:color w:val="000000"/>
          <w:sz w:val="22"/>
          <w:szCs w:val="22"/>
          <w:lang w:val="en-GB"/>
        </w:rPr>
        <w:t>.</w:t>
      </w:r>
      <w:r w:rsidR="00D36963" w:rsidRPr="004E053C">
        <w:rPr>
          <w:rFonts w:cstheme="minorHAnsi"/>
          <w:sz w:val="22"/>
          <w:szCs w:val="22"/>
          <w:lang w:val="en-GB"/>
        </w:rPr>
        <w:t xml:space="preserve"> In many places in Latin America there has been a strong emphasis on the breakdown of trust between miners and policy makers, which fuels </w:t>
      </w:r>
      <w:r w:rsidR="000D03CC" w:rsidRPr="004E053C">
        <w:rPr>
          <w:rFonts w:cstheme="minorHAnsi"/>
          <w:sz w:val="22"/>
          <w:szCs w:val="22"/>
          <w:lang w:val="en-GB"/>
        </w:rPr>
        <w:t xml:space="preserve">tensions </w:t>
      </w:r>
      <w:r w:rsidR="000D03CC" w:rsidRPr="004E053C">
        <w:rPr>
          <w:rFonts w:cstheme="minorHAnsi"/>
          <w:sz w:val="22"/>
          <w:szCs w:val="22"/>
          <w:lang w:val="en-GB"/>
        </w:rPr>
        <w:fldChar w:fldCharType="begin" w:fldLock="1"/>
      </w:r>
      <w:r w:rsidR="002F0CEA">
        <w:rPr>
          <w:rFonts w:cstheme="minorHAnsi"/>
          <w:sz w:val="22"/>
          <w:szCs w:val="22"/>
          <w:lang w:val="en-GB"/>
        </w:rPr>
        <w:instrText>ADDIN CSL_CITATION {"citationItems":[{"id":"ITEM-1","itemData":{"abstract":"This article evaluates recent changes in gold-mining policies in Suriname, focusing on the contrasting perceptions about these policies by the government and small-scale gold miners. The data illustrate that distrust, which is constructed by history and culture, shapes perceptions about what are fair and effective regulations when it comes to access to, and control over, mineral resources. Yet distrust not only exists between the national government and local gold miners, it also weakens strategic positioning and decision making within these groups. The researchers argue that while effective regulation of the gold sector requires that government officials make an effort to establish trust with their constituents, it is as important that gold miners work on becoming trustworthy partners in dialogue and interventions for the government. It is concluded that trust is a process, and particularly in small-scale societies such as Suriname, this process needs to start with building interpersonal trust.","author":[{"dropping-particle":"","family":"Heemskerk","given":"Marieke","non-dropping-particle":"","parse-names":false,"suffix":""},{"dropping-particle":"","family":"Duijves","given":"Celine","non-dropping-particle":"","parse-names":false,"suffix":""},{"dropping-particle":"","family":"Pinas","given":"Mujenca","non-dropping-particle":"","parse-names":false,"suffix":""}],"container-title":"Society and Natural Resources","id":"ITEM-1","issue":"2","issued":{"date-parts":[["2015"]]},"page":"133-148","title":"Interpersonal and institutional distrust as disabling factors in natural resources management: small-scale gold miners and the Government in Suriname","type":"article-journal","volume":"28"},"uris":["http://www.mendeley.com/documents/?uuid=9fd5c81e-748f-4577-a902-d9a12be9d235"]}],"mendeley":{"formattedCitation":"(Heemskerk et al., 2015)","plainTextFormattedCitation":"(Heemskerk et al., 2015)","previouslyFormattedCitation":"(Heemskerk et al., 2015)"},"properties":{"noteIndex":0},"schema":"https://github.com/citation-style-language/schema/raw/master/csl-citation.json"}</w:instrText>
      </w:r>
      <w:r w:rsidR="000D03CC" w:rsidRPr="004E053C">
        <w:rPr>
          <w:rFonts w:cstheme="minorHAnsi"/>
          <w:sz w:val="22"/>
          <w:szCs w:val="22"/>
          <w:lang w:val="en-GB"/>
        </w:rPr>
        <w:fldChar w:fldCharType="separate"/>
      </w:r>
      <w:r w:rsidR="000D03CC" w:rsidRPr="004E053C">
        <w:rPr>
          <w:rFonts w:cstheme="minorHAnsi"/>
          <w:noProof/>
          <w:sz w:val="22"/>
          <w:szCs w:val="22"/>
          <w:lang w:val="en-GB"/>
        </w:rPr>
        <w:t>(Heemskerk et al., 2015)</w:t>
      </w:r>
      <w:r w:rsidR="000D03CC" w:rsidRPr="004E053C">
        <w:rPr>
          <w:rFonts w:cstheme="minorHAnsi"/>
          <w:sz w:val="22"/>
          <w:szCs w:val="22"/>
          <w:lang w:val="en-GB"/>
        </w:rPr>
        <w:fldChar w:fldCharType="end"/>
      </w:r>
      <w:r w:rsidR="00D36963" w:rsidRPr="004E053C">
        <w:rPr>
          <w:rFonts w:cstheme="minorHAnsi"/>
          <w:sz w:val="22"/>
          <w:szCs w:val="22"/>
          <w:lang w:val="en-GB"/>
        </w:rPr>
        <w:t xml:space="preserve">. This is because the state is generally considered to favour the interest of large-scale mining companies, and allegations of corruption result in scepticism of new government initiatives to improve the sector </w:t>
      </w:r>
      <w:r w:rsidR="000D03CC" w:rsidRPr="004E053C">
        <w:rPr>
          <w:rFonts w:cstheme="minorHAnsi"/>
          <w:sz w:val="22"/>
          <w:szCs w:val="22"/>
          <w:lang w:val="en-GB"/>
        </w:rPr>
        <w:fldChar w:fldCharType="begin" w:fldLock="1"/>
      </w:r>
      <w:r w:rsidR="002F0CEA">
        <w:rPr>
          <w:rFonts w:cstheme="minorHAnsi"/>
          <w:sz w:val="22"/>
          <w:szCs w:val="22"/>
          <w:lang w:val="en-GB"/>
        </w:rPr>
        <w:instrText>ADDIN CSL_CITATION {"citationItems":[{"id":"ITEM-1","itemData":{"author":[{"dropping-particle":"","family":"Sarmiento","given":"Mariana","non-dropping-particle":"","parse-names":false,"suffix":""},{"dropping-particle":"","family":"Giraldo","given":"Beatriz Helena","non-dropping-particle":"","parse-names":false,"suffix":""},{"dropping-particle":"","family":"Ayala","given":"Helcias","non-dropping-particle":"","parse-names":false,"suffix":""},{"dropping-particle":"","family":"Uran","given":"Alexandra","non-dropping-particle":"","parse-names":false,"suffix":""},{"dropping-particle":"","family":"Soto","given":"Ana Cristina","non-dropping-particle":"","parse-names":false,"suffix":""},{"dropping-particle":"","family":"Martinez","given":"Leyla","non-dropping-particle":"","parse-names":false,"suffix":""}],"chapter-number":"4","container-title":"Small-scale Gold Mining in the Amazon: The Cases of Bolivia, Brazil, Colombia, Peru and Suriname","editor":[{"dropping-particle":"","family":"Cremers","given":"L.","non-dropping-particle":"","parse-names":false,"suffix":""},{"dropping-particle":"","family":"Kolen","given":"Judith","non-dropping-particle":"","parse-names":false,"suffix":""},{"dropping-particle":"","family":"Theije","given":"Marjo","non-dropping-particle":"de","parse-names":false,"suffix":""}],"id":"ITEM-1","issued":{"date-parts":[["2013"]]},"page":"46-67","publisher":"CEDLA","publisher-place":"Amsterdam","title":"Characteristics and challenges of small-scale gold mining in Colombia","type":"chapter"},"uris":["http://www.mendeley.com/documents/?uuid=ba7499e0-9f1f-4935-b2a8-6f30db68ff4c"]},{"id":"ITEM-2","itemData":{"abstract":"This article evaluates recent changes in gold-mining policies in Suriname, focusing on the contrasting perceptions about these policies by the government and small-scale gold miners. The data illustrate that distrust, which is constructed by history and culture, shapes perceptions about what are fair and effective regulations when it comes to access to, and control over, mineral resources. Yet distrust not only exists between the national government and local gold miners, it also weakens strategic positioning and decision making within these groups. The researchers argue that while effective regulation of the gold sector requires that government officials make an effort to establish trust with their constituents, it is as important that gold miners work on becoming trustworthy partners in dialogue and interventions for the government. It is concluded that trust is a process, and particularly in small-scale societies such as Suriname, this process needs to start with building interpersonal trust.","author":[{"dropping-particle":"","family":"Heemskerk","given":"Marieke","non-dropping-particle":"","parse-names":false,"suffix":""},{"dropping-particle":"","family":"Duijves","given":"Celine","non-dropping-particle":"","parse-names":false,"suffix":""},{"dropping-particle":"","family":"Pinas","given":"Mujenca","non-dropping-particle":"","parse-names":false,"suffix":""}],"container-title":"Society and Natural Resources","id":"ITEM-2","issue":"2","issued":{"date-parts":[["2015"]]},"page":"133-148","title":"Interpersonal and institutional distrust as disabling factors in natural resources management: small-scale gold miners and the Government in Suriname","type":"article-journal","volume":"28"},"uris":["http://www.mendeley.com/documents/?uuid=9fd5c81e-748f-4577-a902-d9a12be9d235"]}],"mendeley":{"formattedCitation":"(Heemskerk et al., 2015; Sarmiento et al., 2013)","plainTextFormattedCitation":"(Heemskerk et al., 2015; Sarmiento et al., 2013)","previouslyFormattedCitation":"(Heemskerk et al., 2015; Sarmiento et al., 2013)"},"properties":{"noteIndex":0},"schema":"https://github.com/citation-style-language/schema/raw/master/csl-citation.json"}</w:instrText>
      </w:r>
      <w:r w:rsidR="000D03CC" w:rsidRPr="004E053C">
        <w:rPr>
          <w:rFonts w:cstheme="minorHAnsi"/>
          <w:sz w:val="22"/>
          <w:szCs w:val="22"/>
          <w:lang w:val="en-GB"/>
        </w:rPr>
        <w:fldChar w:fldCharType="separate"/>
      </w:r>
      <w:r w:rsidR="000D03CC" w:rsidRPr="004E053C">
        <w:rPr>
          <w:rFonts w:cstheme="minorHAnsi"/>
          <w:noProof/>
          <w:sz w:val="22"/>
          <w:szCs w:val="22"/>
          <w:lang w:val="en-GB"/>
        </w:rPr>
        <w:t>(Heemskerk et al., 2015; Sarmiento et al., 2013)</w:t>
      </w:r>
      <w:r w:rsidR="000D03CC" w:rsidRPr="004E053C">
        <w:rPr>
          <w:rFonts w:cstheme="minorHAnsi"/>
          <w:sz w:val="22"/>
          <w:szCs w:val="22"/>
          <w:lang w:val="en-GB"/>
        </w:rPr>
        <w:fldChar w:fldCharType="end"/>
      </w:r>
      <w:r w:rsidR="00D36963" w:rsidRPr="004E053C">
        <w:rPr>
          <w:rFonts w:cstheme="minorHAnsi"/>
          <w:sz w:val="22"/>
          <w:szCs w:val="22"/>
          <w:lang w:val="en-GB"/>
        </w:rPr>
        <w:t xml:space="preserve">. </w:t>
      </w:r>
      <w:r w:rsidR="00D36963" w:rsidRPr="004E053C">
        <w:rPr>
          <w:rFonts w:cstheme="minorHAnsi"/>
          <w:color w:val="000000"/>
          <w:sz w:val="22"/>
          <w:szCs w:val="22"/>
          <w:lang w:val="en-GB"/>
        </w:rPr>
        <w:t xml:space="preserve">There is also much literature focusing on how weak government institutions in combination with the </w:t>
      </w:r>
      <w:r w:rsidR="00D36963" w:rsidRPr="004E053C">
        <w:rPr>
          <w:rFonts w:cstheme="minorHAnsi"/>
          <w:sz w:val="22"/>
          <w:szCs w:val="22"/>
          <w:lang w:val="en-GB"/>
        </w:rPr>
        <w:t xml:space="preserve">availability of resource rents can radicalise miners’ demands and increase social conflict </w:t>
      </w:r>
      <w:r w:rsidR="00D36963" w:rsidRPr="004E053C">
        <w:rPr>
          <w:rFonts w:cstheme="minorHAnsi"/>
          <w:sz w:val="22"/>
          <w:szCs w:val="22"/>
          <w:lang w:val="en-GB"/>
        </w:rPr>
        <w:fldChar w:fldCharType="begin" w:fldLock="1"/>
      </w:r>
      <w:r w:rsidR="00D36963" w:rsidRPr="004E053C">
        <w:rPr>
          <w:rFonts w:cstheme="minorHAnsi"/>
          <w:sz w:val="22"/>
          <w:szCs w:val="22"/>
          <w:lang w:val="en-GB"/>
        </w:rPr>
        <w:instrText>ADDIN CSL_CITATION {"citationItems":[{"id":"ITEM-1","itemData":{"abstract":"This paper builds on the case study work into conflict between mining firms and nearby communities through a statistical analysis of the determinants of social conflict at the local level in the mining sector in Latin America. The analysis is based on an original dataset of 640 geo-located mining properties at the advanced exploration stage and above, which includes GIS information on environment and land-use patterns around the property, sub-national socio-economic characteristics of the population, firm and mining property characteristics, as well as information about known social conflicts.","author":[{"dropping-particle":"","family":"Haslam","given":"Paul Alexander","non-dropping-particle":"","parse-names":false,"suffix":""},{"dropping-particle":"","family":"Ary Tanimoune","given":"Nasser","non-dropping-particle":"","parse-names":false,"suffix":""}],"container-title":"World Development","id":"ITEM-1","issued":{"date-parts":[["2016"]]},"page":"401-419","publisher":"Elsevier Ltd","title":"The determinants of social conflict in the Latin American mining sector: new evidence with quantitative data","type":"article-journal","volume":"78"},"uris":["http://www.mendeley.com/documents/?uuid=a0b78f21-e9ea-4c61-85c3-8defd0868201"]},{"id":"ITEM-2","itemData":{"abstract":"In the early part of this decade, at the beginning of the recent international commodity price boom, Peru adopted major components of the new ‘localist’ policy paradigm for the management of natural resources. A large fraction of revenues were transferred to the subnational governments in the mining areas. Additionally, the government encouraged mining companies to assume a more active role locally. The results have been disappointing. Statistical and fieldwork evidence shows that these policies have exacerbated local political conflicts. The new ‘localist’ policy paradigm is unlikely to be effective when, as in contemporary Peru, national political institutions are not supportive.","author":[{"dropping-particle":"","family":"Arellano-Yanguas","given":"Javier","non-dropping-particle":"","parse-names":false,"suffix":""}],"container-title":"Journal of Development Studies","id":"ITEM-2","issue":"4","issued":{"date-parts":[["2011"]]},"page":"617-638","title":"Aggravating the resource curse: Decentralisation, mining and conflict in Peru","type":"article-journal","volume":"47"},"uris":["http://www.mendeley.com/documents/?uuid=58da3e71-abdf-4d9e-9e05-8f12a00c49d6"]},{"id":"ITEM-3","itemData":{"author":[{"dropping-particle":"","family":"Spiegel","given":"S.J","non-dropping-particle":"","parse-names":false,"suffix":""}],"container-title":"World Development","id":"ITEM-3","issue":"1","issued":{"date-parts":[["2012"]]},"page":"189-205","title":"Governance institutions, resource rights regimes and the informal mining sector: regulatory complexities in Indonesia","type":"article-journal","volume":"40"},"uris":["http://www.mendeley.com/documents/?uuid=b1e039d3-5920-4bb2-81ff-6d18fd5382e7"]},{"id":"ITEM-4","itemData":{"abstract":"This article critically evaluates existing causal explanations for the persistence of informality in artisanal and small-scale mining (ASM). These explanations share a legalistic focus on entry barriers and political impediments that prevent or discourage the formalization of poverty-driven ASM operators: however, they fail to fully explain cases such as that of the Philippines, where ASM is characterized by differentiation between a poverty-driven workforce and a dominant stratum of ASM entrepreneurs. Even where limited formalization frameworks provide ASM with a degree of legal recognition, this recognition is usually restricted to these more powerful ASM interests, while excluding the workforce at large. This article therefore proposes an integrative approach to analysing informality in ASM, which complements the existing legalistic focus on entry barriers with a structuralist concern over the exploitation of informal labour. Seen from this perspective, the massive expansion of ASM in the Philippines can be seen as the product of a transition away from capital-intensive large-scale mining to a flexible regime of accumulation built around the exploitation of informal ASM labour. This observation highlights the need to pay more critical attention to the economic logic and the vested interests underlying the (selective) persistence of informality in the workforce.","author":[{"dropping-particle":"","family":"Verbrugge","given":"Boris","non-dropping-particle":"","parse-names":false,"suffix":""}],"container-title":"Development and Change","id":"ITEM-4","issue":"5","issued":{"date-parts":[["2015"]]},"page":"1023-1046","title":"The economic logic of persistent informality: artisanal and small-scale mining in the Southern Philippines","type":"article-journal","volume":"46"},"uris":["http://www.mendeley.com/documents/?uuid=ea2a3549-433b-4412-ba6d-6c99ae5ab0c8"]}],"mendeley":{"formattedCitation":"(Arellano-Yanguas, 2011; Haslam &amp; Ary Tanimoune, 2016; Spiegel, 2012; Verbrugge, 2015)","manualFormatting":"(Arellano-Yanguas, 2011; Haslam &amp; Tanimoune, 2016; Spiegel, 2012; Verbrugge, 2015)","plainTextFormattedCitation":"(Arellano-Yanguas, 2011; Haslam &amp; Ary Tanimoune, 2016; Spiegel, 2012; Verbrugge, 2015)","previouslyFormattedCitation":"(Arellano-Yanguas, 2011; Haslam &amp; Ary Tanimoune, 2016; Spiegel, 2012; Verbrugge, 2015)"},"properties":{"noteIndex":0},"schema":"https://github.com/citation-style-language/schema/raw/master/csl-citation.json"}</w:instrText>
      </w:r>
      <w:r w:rsidR="00D36963" w:rsidRPr="004E053C">
        <w:rPr>
          <w:rFonts w:cstheme="minorHAnsi"/>
          <w:sz w:val="22"/>
          <w:szCs w:val="22"/>
          <w:lang w:val="en-GB"/>
        </w:rPr>
        <w:fldChar w:fldCharType="separate"/>
      </w:r>
      <w:r w:rsidR="00D36963" w:rsidRPr="004E053C">
        <w:rPr>
          <w:rFonts w:cstheme="minorHAnsi"/>
          <w:noProof/>
          <w:sz w:val="22"/>
          <w:szCs w:val="22"/>
          <w:lang w:val="en-GB"/>
        </w:rPr>
        <w:t>(Arellano-Yanguas, 2011; Haslam &amp; Tanimoune, 2016; Spiegel, 2012; Verbrugge, 2015)</w:t>
      </w:r>
      <w:r w:rsidR="00D36963" w:rsidRPr="004E053C">
        <w:rPr>
          <w:rFonts w:cstheme="minorHAnsi"/>
          <w:sz w:val="22"/>
          <w:szCs w:val="22"/>
          <w:lang w:val="en-GB"/>
        </w:rPr>
        <w:fldChar w:fldCharType="end"/>
      </w:r>
      <w:r w:rsidR="00D36963" w:rsidRPr="004E053C">
        <w:rPr>
          <w:rFonts w:cstheme="minorHAnsi"/>
          <w:sz w:val="22"/>
          <w:szCs w:val="22"/>
          <w:lang w:val="en-GB"/>
        </w:rPr>
        <w:t>.</w:t>
      </w:r>
    </w:p>
    <w:p w14:paraId="4FD37E36" w14:textId="77777777" w:rsidR="00D36963" w:rsidRPr="004E053C" w:rsidRDefault="00D36963" w:rsidP="004E053C">
      <w:pPr>
        <w:spacing w:line="360" w:lineRule="auto"/>
        <w:jc w:val="both"/>
        <w:rPr>
          <w:rFonts w:cstheme="minorHAnsi"/>
          <w:sz w:val="22"/>
          <w:szCs w:val="22"/>
          <w:lang w:val="en-GB"/>
        </w:rPr>
      </w:pPr>
    </w:p>
    <w:p w14:paraId="7F9DB38E" w14:textId="2D97C154" w:rsidR="00D36963" w:rsidRPr="004E053C" w:rsidRDefault="00D36963" w:rsidP="004E053C">
      <w:pPr>
        <w:spacing w:line="360" w:lineRule="auto"/>
        <w:jc w:val="both"/>
        <w:rPr>
          <w:rFonts w:eastAsia="Times New Roman" w:cs="Times New Roman"/>
          <w:sz w:val="20"/>
          <w:szCs w:val="20"/>
          <w:lang w:val="en-GB" w:eastAsia="zh-CN"/>
        </w:rPr>
      </w:pPr>
      <w:r w:rsidRPr="004E053C">
        <w:rPr>
          <w:rFonts w:eastAsia="Times New Roman" w:cstheme="minorHAnsi"/>
          <w:sz w:val="22"/>
          <w:szCs w:val="22"/>
          <w:lang w:val="en-GB" w:eastAsia="zh-CN"/>
        </w:rPr>
        <w:t>In reference to large-scale mining conflicts, the role of local organisations in keeping momentum up behind resistance and shaping discourse has been widely ackno</w:t>
      </w:r>
      <w:r w:rsidR="000D03CC" w:rsidRPr="004E053C">
        <w:rPr>
          <w:rFonts w:eastAsia="Times New Roman" w:cstheme="minorHAnsi"/>
          <w:sz w:val="22"/>
          <w:szCs w:val="22"/>
          <w:lang w:val="en-GB" w:eastAsia="zh-CN"/>
        </w:rPr>
        <w:t xml:space="preserve">wledged </w:t>
      </w:r>
      <w:r w:rsidR="000D03CC" w:rsidRPr="004E053C">
        <w:rPr>
          <w:rFonts w:eastAsia="Times New Roman" w:cstheme="minorHAnsi"/>
          <w:sz w:val="22"/>
          <w:szCs w:val="22"/>
          <w:lang w:val="en-GB" w:eastAsia="zh-CN"/>
        </w:rPr>
        <w:fldChar w:fldCharType="begin" w:fldLock="1"/>
      </w:r>
      <w:r w:rsidR="000D03CC" w:rsidRPr="004E053C">
        <w:rPr>
          <w:rFonts w:eastAsia="Times New Roman" w:cstheme="minorHAnsi"/>
          <w:sz w:val="22"/>
          <w:szCs w:val="22"/>
          <w:lang w:val="en-GB" w:eastAsia="zh-CN"/>
        </w:rPr>
        <w:instrText>ADDIN CSL_CITATION {"citationItems":[{"id":"ITEM-1","itemData":{"abstract":"Social movements have been viewed as vehicles through which the concerns of poor and marginalized groups are given greater visibility within civil society, lauded for being the means to achieve local empowerment and citizen activism, and seen as essential in holding the state to account and constituting a grassroots mechanism for promoting democracy. However, within development studies little attention has been paid to understanding how social movements can affect trajectories of development and rural livelihood in given spaces, and how these effects are related to movements’ internal dynamics and their interaction with the broader environment within which they operate. This paper addresses this theme for the case of social movements protesting contemporary forms of mining investment in Latin America. On the basis of cases from Peru and Ecuador, the paper argues that the presence and nature of social movements has significant influences both on forms taken by extractive industries (in this case mining) and on the effects of this extraction on rural livelihoods. In this sense, one can usefully talk about rural development as being co-produced by movements, mining companies, and other actors, in particular the state. The terms of this co-production, however, vary greatly among different locations, reflecting the distinct geographies of social mobilization and of mineral investment, as well as the varying power relationships among the different actors involved.","author":[{"dropping-particle":"","family":"Bebbington","given":"Anthony","non-dropping-particle":"","parse-names":false,"suffix":""},{"dropping-particle":"","family":"Bebbington","given":"Denise Humphreys","non-dropping-particle":"","parse-names":false,"suffix":""},{"dropping-particle":"","family":"Bury","given":"J.","non-dropping-particle":"","parse-names":false,"suffix":""},{"dropping-particle":"","family":"Lingan","given":"J.","non-dropping-particle":"","parse-names":false,"suffix":""},{"dropping-particle":"","family":"Munoz","given":"J.P.","non-dropping-particle":"","parse-names":false,"suffix":""},{"dropping-particle":"","family":"Scurrah","given":"M","non-dropping-particle":"","parse-names":false,"suffix":""}],"container-title":"World Development","id":"ITEM-1","issue":"12","issued":{"date-parts":[["2008"]]},"page":"2888-2905","title":"Mining and social movements: struggles over livelihood and rural territory development in the Andes","type":"article-journal","volume":"36"},"uris":["http://www.mendeley.com/documents/?uuid=6ef87e78-b359-4d7f-9787-53a7c0136eff"]}],"mendeley":{"formattedCitation":"(Bebbington, Bebbington, et al., 2008)","manualFormatting":"(Bebbington et al., 2008)","plainTextFormattedCitation":"(Bebbington, Bebbington, et al., 2008)","previouslyFormattedCitation":"(Bebbington, Bebbington, et al., 2008)"},"properties":{"noteIndex":0},"schema":"https://github.com/citation-style-language/schema/raw/master/csl-citation.json"}</w:instrText>
      </w:r>
      <w:r w:rsidR="000D03CC" w:rsidRPr="004E053C">
        <w:rPr>
          <w:rFonts w:eastAsia="Times New Roman" w:cstheme="minorHAnsi"/>
          <w:sz w:val="22"/>
          <w:szCs w:val="22"/>
          <w:lang w:val="en-GB" w:eastAsia="zh-CN"/>
        </w:rPr>
        <w:fldChar w:fldCharType="separate"/>
      </w:r>
      <w:r w:rsidR="000D03CC" w:rsidRPr="004E053C">
        <w:rPr>
          <w:rFonts w:eastAsia="Times New Roman" w:cstheme="minorHAnsi"/>
          <w:noProof/>
          <w:sz w:val="22"/>
          <w:szCs w:val="22"/>
          <w:lang w:val="en-GB" w:eastAsia="zh-CN"/>
        </w:rPr>
        <w:t>(Bebbington et al., 2008)</w:t>
      </w:r>
      <w:r w:rsidR="000D03CC" w:rsidRPr="004E053C">
        <w:rPr>
          <w:rFonts w:eastAsia="Times New Roman" w:cstheme="minorHAnsi"/>
          <w:sz w:val="22"/>
          <w:szCs w:val="22"/>
          <w:lang w:val="en-GB" w:eastAsia="zh-CN"/>
        </w:rPr>
        <w:fldChar w:fldCharType="end"/>
      </w:r>
      <w:r w:rsidRPr="004E053C">
        <w:rPr>
          <w:rFonts w:eastAsia="Times New Roman" w:cstheme="minorHAnsi"/>
          <w:sz w:val="22"/>
          <w:szCs w:val="22"/>
          <w:lang w:val="en-GB" w:eastAsia="zh-CN"/>
        </w:rPr>
        <w:t xml:space="preserve">. Similarly, in ASM, collective forms of resistance often rely on organisations and cooperatives, although this has been relatively less explored in the literature. However, there are very detailed accounts of collective organisation in Bolivia, where the majority of miners are employed by cooperatives which enables them to have a strong influence over the government </w:t>
      </w:r>
      <w:r w:rsidR="000D03CC" w:rsidRPr="004E053C">
        <w:rPr>
          <w:rFonts w:eastAsia="Times New Roman" w:cstheme="minorHAnsi"/>
          <w:sz w:val="22"/>
          <w:szCs w:val="22"/>
          <w:lang w:val="en-GB" w:eastAsia="zh-CN"/>
        </w:rPr>
        <w:fldChar w:fldCharType="begin" w:fldLock="1"/>
      </w:r>
      <w:r w:rsidR="002F0CEA">
        <w:rPr>
          <w:rFonts w:eastAsia="Times New Roman" w:cstheme="minorHAnsi"/>
          <w:sz w:val="22"/>
          <w:szCs w:val="22"/>
          <w:lang w:val="en-GB" w:eastAsia="zh-CN"/>
        </w:rPr>
        <w:instrText>ADDIN CSL_CITATION {"citationItems":[{"id":"ITEM-1","itemData":{"author":[{"dropping-particle":"","family":"Salman","given":"T","non-dropping-particle":"","parse-names":false,"suffix":""},{"dropping-particle":"","family":"Carillo","given":"F","non-dropping-particle":"","parse-names":false,"suffix":""},{"dropping-particle":"","family":"Soruco","given":"C","non-dropping-particle":"","parse-names":false,"suffix":""}],"container-title":"The Extractive Industries and Society","id":"ITEM-1","issue":"2","issued":{"date-parts":[["2015"]]},"page":"360-367","title":"Small-scale mining cooperatives and the state in Bolivia: their histories and negotiation strategies","type":"article-journal","volume":"2"},"uris":["http://www.mendeley.com/documents/?uuid=d1258be0-6b0c-4770-9778-0fe6b4f3f638"]},{"id":"ITEM-2","itemData":{"abstract":"This article on small-scale alluvial gold mining in Bolivia shows how cultural practices, social patterns, and institutions, policies and politics are connected to technologies, physical environments, infrastructure, and landscapes. It presents a detailed description of the techniques, material makeup, work organization, social organization, and the regional and national political setting of alluvial small-scale gold mining in northern Bolivia, and argues for an analytical approach that acknowledges the interlinking of sociocultural and physical dimensions. To do so, the article is built of scale-ascending sections: Starting with a detailed description of the micro-operations on the pontoons on which the work takes place, followed by a theoretical exploration of the idea of sociomaterial entanglements, the argument proceeds to address the relations between the “inhabitants” of the pontoons and the nearby village that is their home, the miners’ organization (a cooperative), and the more macro setting in which this cooperative developed. The titles of the sections therefore allude to increasingly large scales. The closing section merges the various scales and summarizes the argument.","author":[{"dropping-particle":"","family":"Salman","given":"T","non-dropping-particle":"","parse-names":false,"suffix":""}],"container-title":"Society and Natural Resources","id":"ITEM-2","issue":"9","issued":{"date-parts":[["2016"]]},"page":"1124-1138","title":"The intricacies of “being able to work undisturbed”: the organization of alluvial gold mining in Bolivia","type":"article-journal","volume":"29"},"uris":["http://www.mendeley.com/documents/?uuid=e9ce4cf9-e45d-4428-aaa9-4305d8fa4d73"]}],"mendeley":{"formattedCitation":"(Salman, 2016; Salman et al., 2015)","manualFormatting":"(Salman, 2016; Salman et al., 2015)","plainTextFormattedCitation":"(Salman, 2016; Salman et al., 2015)","previouslyFormattedCitation":"(Salman, 2016; Salman et al., 2015)"},"properties":{"noteIndex":0},"schema":"https://github.com/citation-style-language/schema/raw/master/csl-citation.json"}</w:instrText>
      </w:r>
      <w:r w:rsidR="000D03CC" w:rsidRPr="004E053C">
        <w:rPr>
          <w:rFonts w:eastAsia="Times New Roman" w:cstheme="minorHAnsi"/>
          <w:sz w:val="22"/>
          <w:szCs w:val="22"/>
          <w:lang w:val="en-GB" w:eastAsia="zh-CN"/>
        </w:rPr>
        <w:fldChar w:fldCharType="separate"/>
      </w:r>
      <w:r w:rsidR="000D03CC" w:rsidRPr="004E053C">
        <w:rPr>
          <w:rFonts w:eastAsia="Times New Roman" w:cstheme="minorHAnsi"/>
          <w:noProof/>
          <w:sz w:val="22"/>
          <w:szCs w:val="22"/>
          <w:lang w:val="en-GB" w:eastAsia="zh-CN"/>
        </w:rPr>
        <w:t>(Salman, 2016; Salman et al., 2015)</w:t>
      </w:r>
      <w:r w:rsidR="000D03CC" w:rsidRPr="004E053C">
        <w:rPr>
          <w:rFonts w:eastAsia="Times New Roman" w:cstheme="minorHAnsi"/>
          <w:sz w:val="22"/>
          <w:szCs w:val="22"/>
          <w:lang w:val="en-GB" w:eastAsia="zh-CN"/>
        </w:rPr>
        <w:fldChar w:fldCharType="end"/>
      </w:r>
      <w:r w:rsidRPr="004E053C">
        <w:rPr>
          <w:rFonts w:eastAsia="Times New Roman" w:cstheme="minorHAnsi"/>
          <w:sz w:val="22"/>
          <w:szCs w:val="22"/>
          <w:lang w:val="en-GB" w:eastAsia="zh-CN"/>
        </w:rPr>
        <w:t xml:space="preserve">. Salman </w:t>
      </w:r>
      <w:r w:rsidR="000D03CC" w:rsidRPr="004E053C">
        <w:rPr>
          <w:rFonts w:eastAsia="Times New Roman" w:cstheme="minorHAnsi"/>
          <w:sz w:val="22"/>
          <w:szCs w:val="22"/>
          <w:lang w:val="en-GB" w:eastAsia="zh-CN"/>
        </w:rPr>
        <w:fldChar w:fldCharType="begin" w:fldLock="1"/>
      </w:r>
      <w:r w:rsidR="002F0CEA">
        <w:rPr>
          <w:rFonts w:eastAsia="Times New Roman" w:cstheme="minorHAnsi"/>
          <w:sz w:val="22"/>
          <w:szCs w:val="22"/>
          <w:lang w:val="en-GB" w:eastAsia="zh-CN"/>
        </w:rPr>
        <w:instrText>ADDIN CSL_CITATION {"citationItems":[{"id":"ITEM-1","itemData":{"abstract":"This article on small-scale alluvial gold mining in Bolivia shows how cultural practices, social patterns, and institutions, policies and politics are connected to technologies, physical environments, infrastructure, and landscapes. It presents a detailed description of the techniques, material makeup, work organization, social organization, and the regional and national political setting of alluvial small-scale gold mining in northern Bolivia, and argues for an analytical approach that acknowledges the interlinking of sociocultural and physical dimensions. To do so, the article is built of scale-ascending sections: Starting with a detailed description of the micro-operations on the pontoons on which the work takes place, followed by a theoretical exploration of the idea of sociomaterial entanglements, the argument proceeds to address the relations between the “inhabitants” of the pontoons and the nearby village that is their home, the miners’ organization (a cooperative), and the more macro setting in which this cooperative developed. The titles of the sections therefore allude to increasingly large scales. The closing section merges the various scales and summarizes the argument.","author":[{"dropping-particle":"","family":"Salman","given":"T","non-dropping-particle":"","parse-names":false,"suffix":""}],"container-title":"Society and Natural Resources","id":"ITEM-1","issue":"9","issued":{"date-parts":[["2016"]]},"page":"1124-1138","title":"The intricacies of “being able to work undisturbed”: the organization of alluvial gold mining in Bolivia","type":"article-journal","volume":"29"},"uris":["http://www.mendeley.com/documents/?uuid=e9ce4cf9-e45d-4428-aaa9-4305d8fa4d73"]}],"mendeley":{"formattedCitation":"(Salman, 2016)","manualFormatting":"(2016)","plainTextFormattedCitation":"(Salman, 2016)","previouslyFormattedCitation":"(Salman, 2016)"},"properties":{"noteIndex":0},"schema":"https://github.com/citation-style-language/schema/raw/master/csl-citation.json"}</w:instrText>
      </w:r>
      <w:r w:rsidR="000D03CC" w:rsidRPr="004E053C">
        <w:rPr>
          <w:rFonts w:eastAsia="Times New Roman" w:cstheme="minorHAnsi"/>
          <w:sz w:val="22"/>
          <w:szCs w:val="22"/>
          <w:lang w:val="en-GB" w:eastAsia="zh-CN"/>
        </w:rPr>
        <w:fldChar w:fldCharType="separate"/>
      </w:r>
      <w:r w:rsidR="000D03CC" w:rsidRPr="004E053C">
        <w:rPr>
          <w:rFonts w:eastAsia="Times New Roman" w:cstheme="minorHAnsi"/>
          <w:noProof/>
          <w:sz w:val="22"/>
          <w:szCs w:val="22"/>
          <w:lang w:val="en-GB" w:eastAsia="zh-CN"/>
        </w:rPr>
        <w:t>(2016)</w:t>
      </w:r>
      <w:r w:rsidR="000D03CC" w:rsidRPr="004E053C">
        <w:rPr>
          <w:rFonts w:eastAsia="Times New Roman" w:cstheme="minorHAnsi"/>
          <w:sz w:val="22"/>
          <w:szCs w:val="22"/>
          <w:lang w:val="en-GB" w:eastAsia="zh-CN"/>
        </w:rPr>
        <w:fldChar w:fldCharType="end"/>
      </w:r>
      <w:r w:rsidRPr="004E053C">
        <w:rPr>
          <w:rFonts w:eastAsia="Times New Roman" w:cstheme="minorHAnsi"/>
          <w:sz w:val="22"/>
          <w:szCs w:val="22"/>
          <w:lang w:val="en-GB" w:eastAsia="zh-CN"/>
        </w:rPr>
        <w:t xml:space="preserve"> argues that this has been created by memories of historical struggles but notes that Bolivia is a special case, given that it has a generally strong and active civil society. There are few interrogations of collective resistance on the part of artisanal miners </w:t>
      </w:r>
      <w:r w:rsidRPr="004E053C">
        <w:rPr>
          <w:rFonts w:eastAsia="Times New Roman" w:cstheme="minorHAnsi"/>
          <w:sz w:val="22"/>
          <w:szCs w:val="22"/>
          <w:lang w:val="en-GB" w:eastAsia="zh-CN"/>
        </w:rPr>
        <w:lastRenderedPageBreak/>
        <w:t xml:space="preserve">elsewhere in the literature. Some work in Suriname suggests that collective action here tends to occur more along traditional lines, with cultural bonds, family ties and traditional leadership having forged a common identity against the state and the company </w:t>
      </w:r>
      <w:r w:rsidR="000D03CC" w:rsidRPr="004E053C">
        <w:rPr>
          <w:rFonts w:eastAsia="Times New Roman" w:cstheme="minorHAnsi"/>
          <w:sz w:val="22"/>
          <w:szCs w:val="22"/>
          <w:lang w:val="en-GB" w:eastAsia="zh-CN"/>
        </w:rPr>
        <w:fldChar w:fldCharType="begin" w:fldLock="1"/>
      </w:r>
      <w:r w:rsidR="002F0CEA">
        <w:rPr>
          <w:rFonts w:eastAsia="Times New Roman" w:cstheme="minorHAnsi"/>
          <w:sz w:val="22"/>
          <w:szCs w:val="22"/>
          <w:lang w:val="en-GB" w:eastAsia="zh-CN"/>
        </w:rPr>
        <w:instrText>ADDIN CSL_CITATION {"citationItems":[{"id":"ITEM-1","itemData":{"abstract":"Conflict is small-scale gold mining's middle name. In only a very few situations do mining operations take place without some sort of conflict accompanying the activity, and often various conflicting stakeholders struggle for their interests simultaneously. Analyses of such conflicts are typically confined to unpacking the more structural or long-term dimension, the actual actions of the stakeholders or the sequence of incidents. We believe that such strategies have limitations, and in particular can often not explain how in most cases a certain equilibrium, an arrangement, a ‘conflict choreography’ emerges. To be able to account for such situations, we introduce a multi-temporal model for conflict analysis in small-scale gold mining. We distinguish between a protracted structural dimension, concentrating on the underlying causes, an expeditious dimension of the actual interactions and confrontations, and an intermediate dimension of the preparation or equipment of the actors, focusing on such questions as: from what backgrounds and with what aspirations do people come? And what identity, collectively and individually, did that formation produce? We argue that only by taking into account the latter dimension might we be able to better analyse the how's and why's of the low-intensity nature of mining conflicts that, at face value, should result in unrelenting hostilities.","author":[{"dropping-particle":"","family":"Salman","given":"T","non-dropping-particle":"","parse-names":false,"suffix":""},{"dropping-particle":"","family":"Theije","given":"M","non-dropping-particle":"de","parse-names":false,"suffix":""}],"container-title":"Extractive Industries and Society","id":"ITEM-1","issue":"3","issued":{"date-parts":[["2017"]]},"page":"586-594","publisher":"Elsevier Ltd.","title":"Analysing conflicts around small-scale gold mining in the Amazon: the contribution of a multi-temporal model","type":"article-journal","volume":"4"},"uris":["http://www.mendeley.com/documents/?uuid=a17f6c82-71f6-4835-b780-bb856c812d87"]},{"id":"ITEM-2","itemData":{"author":[{"dropping-particle":"","family":"Salman","given":"T","non-dropping-particle":"","parse-names":false,"suffix":""},{"dropping-particle":"","family":"Theije","given":"M","non-dropping-particle":"de","parse-names":false,"suffix":""},{"dropping-particle":"","family":"Vélez-Torres","given":"I","non-dropping-particle":"","parse-names":false,"suffix":""}],"container-title":"Ecology and Society","id":"ITEM-2","issue":"3","issued":{"date-parts":[["2018"]]},"page":"30","title":"Structures, actors, and interactions in the analysis of natural resource conflicts","type":"article-journal","volume":"23"},"uris":["http://www.mendeley.com/documents/?uuid=99da8e39-5459-3445-8be1-c3f9a66af206"]}],"mendeley":{"formattedCitation":"(Salman &amp; de Theije, 2017; Salman et al., 2018)","manualFormatting":"(Salman &amp; de Theije, 2017; Salman et al., 2018)","plainTextFormattedCitation":"(Salman &amp; de Theije, 2017; Salman et al., 2018)","previouslyFormattedCitation":"(Salman &amp; de Theije, 2017; Salman et al., 2018)"},"properties":{"noteIndex":0},"schema":"https://github.com/citation-style-language/schema/raw/master/csl-citation.json"}</w:instrText>
      </w:r>
      <w:r w:rsidR="000D03CC" w:rsidRPr="004E053C">
        <w:rPr>
          <w:rFonts w:eastAsia="Times New Roman" w:cstheme="minorHAnsi"/>
          <w:sz w:val="22"/>
          <w:szCs w:val="22"/>
          <w:lang w:val="en-GB" w:eastAsia="zh-CN"/>
        </w:rPr>
        <w:fldChar w:fldCharType="separate"/>
      </w:r>
      <w:r w:rsidR="000D03CC" w:rsidRPr="004E053C">
        <w:rPr>
          <w:rFonts w:eastAsia="Times New Roman" w:cstheme="minorHAnsi"/>
          <w:noProof/>
          <w:sz w:val="22"/>
          <w:szCs w:val="22"/>
          <w:lang w:val="en-GB" w:eastAsia="zh-CN"/>
        </w:rPr>
        <w:t>(Salman &amp; de Theije, 2017; Salman et al., 2018)</w:t>
      </w:r>
      <w:r w:rsidR="000D03CC" w:rsidRPr="004E053C">
        <w:rPr>
          <w:rFonts w:eastAsia="Times New Roman" w:cstheme="minorHAnsi"/>
          <w:sz w:val="22"/>
          <w:szCs w:val="22"/>
          <w:lang w:val="en-GB" w:eastAsia="zh-CN"/>
        </w:rPr>
        <w:fldChar w:fldCharType="end"/>
      </w:r>
      <w:r w:rsidRPr="004E053C">
        <w:rPr>
          <w:rFonts w:eastAsia="Times New Roman" w:cstheme="minorHAnsi"/>
          <w:sz w:val="22"/>
          <w:szCs w:val="22"/>
          <w:lang w:val="en-GB" w:eastAsia="zh-CN"/>
        </w:rPr>
        <w:t>. However, it is still a shared experience of negative</w:t>
      </w:r>
      <w:r w:rsidRPr="004E053C">
        <w:rPr>
          <w:rFonts w:cstheme="minorHAnsi"/>
          <w:bCs/>
          <w:sz w:val="22"/>
          <w:szCs w:val="22"/>
          <w:lang w:val="en-GB"/>
        </w:rPr>
        <w:t xml:space="preserve"> interactions with the state that has made the miners acutely aware of their vulnerability as individuals, and thus realise the power of collective organisation </w:t>
      </w:r>
      <w:r w:rsidR="000D03CC" w:rsidRPr="004E053C">
        <w:rPr>
          <w:rFonts w:cstheme="minorHAnsi"/>
          <w:bCs/>
          <w:sz w:val="22"/>
          <w:szCs w:val="22"/>
          <w:lang w:val="en-GB"/>
        </w:rPr>
        <w:fldChar w:fldCharType="begin" w:fldLock="1"/>
      </w:r>
      <w:r w:rsidR="002F0CEA">
        <w:rPr>
          <w:rFonts w:cstheme="minorHAnsi"/>
          <w:bCs/>
          <w:sz w:val="22"/>
          <w:szCs w:val="22"/>
          <w:lang w:val="en-GB"/>
        </w:rPr>
        <w:instrText>ADDIN CSL_CITATION {"citationItems":[{"id":"ITEM-1","itemData":{"abstract":"Conflict is small-scale gold mining's middle name. In only a very few situations do mining operations take place without some sort of conflict accompanying the activity, and often various conflicting stakeholders struggle for their interests simultaneously. Analyses of such conflicts are typically confined to unpacking the more structural or long-term dimension, the actual actions of the stakeholders or the sequence of incidents. We believe that such strategies have limitations, and in particular can often not explain how in most cases a certain equilibrium, an arrangement, a ‘conflict choreography’ emerges. To be able to account for such situations, we introduce a multi-temporal model for conflict analysis in small-scale gold mining. We distinguish between a protracted structural dimension, concentrating on the underlying causes, an expeditious dimension of the actual interactions and confrontations, and an intermediate dimension of the preparation or equipment of the actors, focusing on such questions as: from what backgrounds and with what aspirations do people come? And what identity, collectively and individually, did that formation produce? We argue that only by taking into account the latter dimension might we be able to better analyse the how's and why's of the low-intensity nature of mining conflicts that, at face value, should result in unrelenting hostilities.","author":[{"dropping-particle":"","family":"Salman","given":"T","non-dropping-particle":"","parse-names":false,"suffix":""},{"dropping-particle":"","family":"Theije","given":"M","non-dropping-particle":"de","parse-names":false,"suffix":""}],"container-title":"Extractive Industries and Society","id":"ITEM-1","issue":"3","issued":{"date-parts":[["2017"]]},"page":"586-594","publisher":"Elsevier Ltd.","title":"Analysing conflicts around small-scale gold mining in the Amazon: the contribution of a multi-temporal model","type":"article-journal","volume":"4"},"uris":["http://www.mendeley.com/documents/?uuid=a17f6c82-71f6-4835-b780-bb856c812d87"]}],"mendeley":{"formattedCitation":"(Salman &amp; de Theije, 2017)","manualFormatting":"(Salman &amp; de Theije, 2017)","plainTextFormattedCitation":"(Salman &amp; de Theije, 2017)","previouslyFormattedCitation":"(Salman &amp; de Theije, 2017)"},"properties":{"noteIndex":0},"schema":"https://github.com/citation-style-language/schema/raw/master/csl-citation.json"}</w:instrText>
      </w:r>
      <w:r w:rsidR="000D03CC" w:rsidRPr="004E053C">
        <w:rPr>
          <w:rFonts w:cstheme="minorHAnsi"/>
          <w:bCs/>
          <w:sz w:val="22"/>
          <w:szCs w:val="22"/>
          <w:lang w:val="en-GB"/>
        </w:rPr>
        <w:fldChar w:fldCharType="separate"/>
      </w:r>
      <w:r w:rsidR="003A08B7" w:rsidRPr="004E053C">
        <w:rPr>
          <w:rFonts w:cstheme="minorHAnsi"/>
          <w:bCs/>
          <w:noProof/>
          <w:sz w:val="22"/>
          <w:szCs w:val="22"/>
          <w:lang w:val="en-GB"/>
        </w:rPr>
        <w:t>(</w:t>
      </w:r>
      <w:r w:rsidR="000D03CC" w:rsidRPr="004E053C">
        <w:rPr>
          <w:rFonts w:cstheme="minorHAnsi"/>
          <w:bCs/>
          <w:noProof/>
          <w:sz w:val="22"/>
          <w:szCs w:val="22"/>
          <w:lang w:val="en-GB"/>
        </w:rPr>
        <w:t>Salman &amp; de Theije, 2017)</w:t>
      </w:r>
      <w:r w:rsidR="000D03CC" w:rsidRPr="004E053C">
        <w:rPr>
          <w:rFonts w:cstheme="minorHAnsi"/>
          <w:bCs/>
          <w:sz w:val="22"/>
          <w:szCs w:val="22"/>
          <w:lang w:val="en-GB"/>
        </w:rPr>
        <w:fldChar w:fldCharType="end"/>
      </w:r>
      <w:r w:rsidR="003A08B7" w:rsidRPr="004E053C">
        <w:rPr>
          <w:rFonts w:eastAsia="Times New Roman" w:cstheme="minorHAnsi"/>
          <w:sz w:val="22"/>
          <w:szCs w:val="22"/>
          <w:lang w:val="en-GB" w:eastAsia="zh-CN"/>
        </w:rPr>
        <w:t>.</w:t>
      </w:r>
      <w:r w:rsidRPr="004E053C">
        <w:rPr>
          <w:rFonts w:eastAsia="Times New Roman" w:cstheme="minorHAnsi"/>
          <w:sz w:val="20"/>
          <w:szCs w:val="20"/>
          <w:lang w:val="en-GB" w:eastAsia="zh-CN"/>
        </w:rPr>
        <w:t xml:space="preserve"> </w:t>
      </w:r>
    </w:p>
    <w:p w14:paraId="5FFE5BE6" w14:textId="77777777" w:rsidR="00D36963" w:rsidRPr="004E053C" w:rsidRDefault="00D36963" w:rsidP="004E053C">
      <w:pPr>
        <w:spacing w:line="360" w:lineRule="auto"/>
        <w:jc w:val="both"/>
        <w:rPr>
          <w:rFonts w:cstheme="majorHAnsi"/>
          <w:color w:val="000000"/>
          <w:sz w:val="22"/>
          <w:szCs w:val="22"/>
          <w:lang w:val="en-GB"/>
        </w:rPr>
      </w:pPr>
    </w:p>
    <w:p w14:paraId="3C187693" w14:textId="6E0A6443" w:rsidR="00D36963" w:rsidRPr="004E053C" w:rsidRDefault="00D36963" w:rsidP="004E053C">
      <w:pPr>
        <w:spacing w:line="360" w:lineRule="auto"/>
        <w:jc w:val="both"/>
        <w:rPr>
          <w:rFonts w:cstheme="majorHAnsi"/>
          <w:sz w:val="22"/>
          <w:szCs w:val="22"/>
          <w:lang w:val="en-GB"/>
        </w:rPr>
      </w:pPr>
      <w:r w:rsidRPr="004E053C">
        <w:rPr>
          <w:rFonts w:cstheme="majorHAnsi"/>
          <w:color w:val="000000"/>
          <w:sz w:val="22"/>
          <w:szCs w:val="22"/>
          <w:lang w:val="en-GB"/>
        </w:rPr>
        <w:t>The work by</w:t>
      </w:r>
      <w:r w:rsidRPr="004E053C">
        <w:rPr>
          <w:rFonts w:cstheme="majorHAnsi"/>
          <w:bCs/>
          <w:sz w:val="22"/>
          <w:szCs w:val="22"/>
          <w:lang w:val="en-GB"/>
        </w:rPr>
        <w:t xml:space="preserve"> </w:t>
      </w:r>
      <w:r w:rsidR="003A08B7" w:rsidRPr="004E053C">
        <w:rPr>
          <w:sz w:val="22"/>
          <w:szCs w:val="22"/>
          <w:lang w:val="en-GB" w:eastAsia="zh-CN"/>
        </w:rPr>
        <w:t xml:space="preserve">Salman and de Theije </w:t>
      </w:r>
      <w:r w:rsidR="003A08B7" w:rsidRPr="004E053C">
        <w:rPr>
          <w:sz w:val="22"/>
          <w:szCs w:val="22"/>
          <w:lang w:val="en-GB" w:eastAsia="zh-CN"/>
        </w:rPr>
        <w:fldChar w:fldCharType="begin" w:fldLock="1"/>
      </w:r>
      <w:r w:rsidR="002F0CEA">
        <w:rPr>
          <w:sz w:val="22"/>
          <w:szCs w:val="22"/>
          <w:lang w:val="en-GB" w:eastAsia="zh-CN"/>
        </w:rPr>
        <w:instrText>ADDIN CSL_CITATION {"citationItems":[{"id":"ITEM-1","itemData":{"abstract":"Conflict is small-scale gold mining's middle name. In only a very few situations do mining operations take place without some sort of conflict accompanying the activity, and often various conflicting stakeholders struggle for their interests simultaneously. Analyses of such conflicts are typically confined to unpacking the more structural or long-term dimension, the actual actions of the stakeholders or the sequence of incidents. We believe that such strategies have limitations, and in particular can often not explain how in most cases a certain equilibrium, an arrangement, a ‘conflict choreography’ emerges. To be able to account for such situations, we introduce a multi-temporal model for conflict analysis in small-scale gold mining. We distinguish between a protracted structural dimension, concentrating on the underlying causes, an expeditious dimension of the actual interactions and confrontations, and an intermediate dimension of the preparation or equipment of the actors, focusing on such questions as: from what backgrounds and with what aspirations do people come? And what identity, collectively and individually, did that formation produce? We argue that only by taking into account the latter dimension might we be able to better analyse the how's and why's of the low-intensity nature of mining conflicts that, at face value, should result in unrelenting hostilities.","author":[{"dropping-particle":"","family":"Salman","given":"T","non-dropping-particle":"","parse-names":false,"suffix":""},{"dropping-particle":"","family":"Theije","given":"M","non-dropping-particle":"de","parse-names":false,"suffix":""}],"container-title":"Extractive Industries and Society","id":"ITEM-1","issue":"3","issued":{"date-parts":[["2017"]]},"page":"586-594","publisher":"Elsevier Ltd.","title":"Analysing conflicts around small-scale gold mining in the Amazon: the contribution of a multi-temporal model","type":"article-journal","volume":"4"},"uris":["http://www.mendeley.com/documents/?uuid=a17f6c82-71f6-4835-b780-bb856c812d87"]}],"mendeley":{"formattedCitation":"(Salman &amp; de Theije, 2017)","manualFormatting":"(2017)","plainTextFormattedCitation":"(Salman &amp; de Theije, 2017)","previouslyFormattedCitation":"(Salman &amp; de Theije, 2017)"},"properties":{"noteIndex":0},"schema":"https://github.com/citation-style-language/schema/raw/master/csl-citation.json"}</w:instrText>
      </w:r>
      <w:r w:rsidR="003A08B7" w:rsidRPr="004E053C">
        <w:rPr>
          <w:sz w:val="22"/>
          <w:szCs w:val="22"/>
          <w:lang w:val="en-GB" w:eastAsia="zh-CN"/>
        </w:rPr>
        <w:fldChar w:fldCharType="separate"/>
      </w:r>
      <w:r w:rsidR="003A08B7" w:rsidRPr="004E053C">
        <w:rPr>
          <w:noProof/>
          <w:sz w:val="22"/>
          <w:szCs w:val="22"/>
          <w:lang w:val="en-GB" w:eastAsia="zh-CN"/>
        </w:rPr>
        <w:t>(2017)</w:t>
      </w:r>
      <w:r w:rsidR="003A08B7" w:rsidRPr="004E053C">
        <w:rPr>
          <w:sz w:val="22"/>
          <w:szCs w:val="22"/>
          <w:lang w:val="en-GB" w:eastAsia="zh-CN"/>
        </w:rPr>
        <w:fldChar w:fldCharType="end"/>
      </w:r>
      <w:r w:rsidR="003A08B7" w:rsidRPr="004E053C">
        <w:rPr>
          <w:sz w:val="22"/>
          <w:szCs w:val="22"/>
          <w:lang w:val="en-GB" w:eastAsia="zh-CN"/>
        </w:rPr>
        <w:t xml:space="preserve"> </w:t>
      </w:r>
      <w:r w:rsidRPr="004E053C">
        <w:rPr>
          <w:sz w:val="22"/>
          <w:szCs w:val="22"/>
          <w:lang w:val="en-GB" w:eastAsia="zh-CN"/>
        </w:rPr>
        <w:t>has started to link collective resistance with a shared history and identity, which has otherwise been ignored in the ASM literature. However, in the example of Suriname, these connections are traditional and based on a strong</w:t>
      </w:r>
      <w:r w:rsidR="00FF7888" w:rsidRPr="004E053C">
        <w:rPr>
          <w:sz w:val="22"/>
          <w:szCs w:val="22"/>
          <w:lang w:val="en-GB" w:eastAsia="zh-CN"/>
        </w:rPr>
        <w:t>,</w:t>
      </w:r>
      <w:r w:rsidRPr="004E053C">
        <w:rPr>
          <w:sz w:val="22"/>
          <w:szCs w:val="22"/>
          <w:lang w:val="en-GB" w:eastAsia="zh-CN"/>
        </w:rPr>
        <w:t xml:space="preserve"> shared history, which is often not present in the majority of migrant communities. Furthermore, their multi-temporal model focuses more on how this history shapes conflict resolution and negotiation, rather than how criminalisation, marginalisation and future aspiration may create a shared identity. </w:t>
      </w:r>
      <w:r w:rsidRPr="004E053C">
        <w:rPr>
          <w:rFonts w:cstheme="majorHAnsi"/>
          <w:bCs/>
          <w:sz w:val="22"/>
          <w:szCs w:val="22"/>
          <w:lang w:val="en-GB"/>
        </w:rPr>
        <w:t>Preservation of identity and a way of life has been implicated numerous times in community resistance against large-scale extraction development.</w:t>
      </w:r>
      <w:r w:rsidR="00FF7888" w:rsidRPr="004E053C">
        <w:rPr>
          <w:rFonts w:cstheme="majorHAnsi"/>
          <w:bCs/>
          <w:sz w:val="22"/>
          <w:szCs w:val="22"/>
          <w:lang w:val="en-GB"/>
        </w:rPr>
        <w:t xml:space="preserve"> For example, Bebbington et al</w:t>
      </w:r>
      <w:r w:rsidRPr="004E053C">
        <w:rPr>
          <w:rFonts w:cstheme="majorHAnsi"/>
          <w:bCs/>
          <w:sz w:val="22"/>
          <w:szCs w:val="22"/>
          <w:lang w:val="en-GB"/>
        </w:rPr>
        <w:t xml:space="preserve"> </w:t>
      </w:r>
      <w:r w:rsidRPr="004E053C">
        <w:rPr>
          <w:rFonts w:cstheme="majorHAnsi"/>
          <w:bCs/>
          <w:sz w:val="22"/>
          <w:szCs w:val="22"/>
          <w:lang w:val="en-GB"/>
        </w:rPr>
        <w:fldChar w:fldCharType="begin" w:fldLock="1"/>
      </w:r>
      <w:r w:rsidRPr="004E053C">
        <w:rPr>
          <w:rFonts w:cstheme="majorHAnsi"/>
          <w:bCs/>
          <w:sz w:val="22"/>
          <w:szCs w:val="22"/>
          <w:lang w:val="en-GB"/>
        </w:rPr>
        <w:instrText>ADDIN CSL_CITATION {"citationItems":[{"id":"ITEM-1","itemData":{"abstract":"Social movements have been viewed as vehicles through which the concerns of poor and marginalized groups are given greater visibility within civil society, lauded for being the means to achieve local empowerment and citizen activism, and seen as essential in holding the state to account and constituting a grassroots mechanism for promoting democracy. However, within development studies little attention has been paid to understanding how social movements can affect trajectories of development and rural livelihood in given spaces, and how these effects are related to movements’ internal dynamics and their interaction with the broader environment within which they operate. This paper addresses this theme for the case of social movements protesting contemporary forms of mining investment in Latin America. On the basis of cases from Peru and Ecuador, the paper argues that the presence and nature of social movements has significant influences both on forms taken by extractive industries (in this case mining) and on the effects of this extraction on rural livelihoods. In this sense, one can usefully talk about rural development as being co-produced by movements, mining companies, and other actors, in particular the state. The terms of this co-production, however, vary greatly among different locations, reflecting the distinct geographies of social mobilization and of mineral investment, as well as the varying power relationships among the different actors involved.","author":[{"dropping-particle":"","family":"Bebbington","given":"Anthony","non-dropping-particle":"","parse-names":false,"suffix":""},{"dropping-particle":"","family":"Bebbington","given":"Denise Humphreys","non-dropping-particle":"","parse-names":false,"suffix":""},{"dropping-particle":"","family":"Bury","given":"J.","non-dropping-particle":"","parse-names":false,"suffix":""},{"dropping-particle":"","family":"Lingan","given":"J.","non-dropping-particle":"","parse-names":false,"suffix":""},{"dropping-particle":"","family":"Munoz","given":"J.P.","non-dropping-particle":"","parse-names":false,"suffix":""},{"dropping-particle":"","family":"Scurrah","given":"M","non-dropping-particle":"","parse-names":false,"suffix":""}],"container-title":"World Development","id":"ITEM-1","issue":"12","issued":{"date-parts":[["2008"]]},"page":"2888-2905","title":"Mining and social movements: struggles over livelihood and rural territory development in the Andes","type":"article-journal","volume":"36"},"uris":["http://www.mendeley.com/documents/?uuid=6ef87e78-b359-4d7f-9787-53a7c0136eff"]}],"mendeley":{"formattedCitation":"(Bebbington, Bebbington, et al., 2008)","manualFormatting":"(2008)","plainTextFormattedCitation":"(Bebbington, Bebbington, et al., 2008)","previouslyFormattedCitation":"(Bebbington, Bebbington, et al., 2008)"},"properties":{"noteIndex":0},"schema":"https://github.com/citation-style-language/schema/raw/master/csl-citation.json"}</w:instrText>
      </w:r>
      <w:r w:rsidRPr="004E053C">
        <w:rPr>
          <w:rFonts w:cstheme="majorHAnsi"/>
          <w:bCs/>
          <w:sz w:val="22"/>
          <w:szCs w:val="22"/>
          <w:lang w:val="en-GB"/>
        </w:rPr>
        <w:fldChar w:fldCharType="separate"/>
      </w:r>
      <w:r w:rsidRPr="004E053C">
        <w:rPr>
          <w:rFonts w:cstheme="majorHAnsi"/>
          <w:bCs/>
          <w:noProof/>
          <w:sz w:val="22"/>
          <w:szCs w:val="22"/>
          <w:lang w:val="en-GB"/>
        </w:rPr>
        <w:t>(2008)</w:t>
      </w:r>
      <w:r w:rsidRPr="004E053C">
        <w:rPr>
          <w:rFonts w:cstheme="majorHAnsi"/>
          <w:bCs/>
          <w:sz w:val="22"/>
          <w:szCs w:val="22"/>
          <w:lang w:val="en-GB"/>
        </w:rPr>
        <w:fldChar w:fldCharType="end"/>
      </w:r>
      <w:r w:rsidRPr="004E053C">
        <w:rPr>
          <w:rFonts w:cstheme="majorHAnsi"/>
          <w:bCs/>
          <w:sz w:val="22"/>
          <w:szCs w:val="22"/>
          <w:lang w:val="en-GB"/>
        </w:rPr>
        <w:t xml:space="preserve"> dre</w:t>
      </w:r>
      <w:r w:rsidR="00E65D31" w:rsidRPr="004E053C">
        <w:rPr>
          <w:rFonts w:cstheme="majorHAnsi"/>
          <w:bCs/>
          <w:sz w:val="22"/>
          <w:szCs w:val="22"/>
          <w:lang w:val="en-GB"/>
        </w:rPr>
        <w:t xml:space="preserve">w on the work of Habermas </w:t>
      </w:r>
      <w:r w:rsidR="00E65D31" w:rsidRPr="004E053C">
        <w:rPr>
          <w:rFonts w:cstheme="majorHAnsi"/>
          <w:bCs/>
          <w:sz w:val="22"/>
          <w:szCs w:val="22"/>
          <w:lang w:val="en-GB"/>
        </w:rPr>
        <w:fldChar w:fldCharType="begin" w:fldLock="1"/>
      </w:r>
      <w:r w:rsidR="001044F7" w:rsidRPr="004E053C">
        <w:rPr>
          <w:rFonts w:cstheme="majorHAnsi"/>
          <w:bCs/>
          <w:sz w:val="22"/>
          <w:szCs w:val="22"/>
          <w:lang w:val="en-GB"/>
        </w:rPr>
        <w:instrText>ADDIN CSL_CITATION {"citationItems":[{"id":"ITEM-1","itemData":{"author":[{"dropping-particle":"","family":"Habermas","given":"J","non-dropping-particle":"","parse-names":false,"suffix":""}],"id":"ITEM-1","issued":{"date-parts":[["1987"]]},"publisher":"Polity Press","publisher-place":"Cambridge","title":"The Theory of Communicative Action (vol.2): System and Lifeworld","type":"book"},"uris":["http://www.mendeley.com/documents/?uuid=29243d23-e6de-4af0-b378-6700b8ea2e19"]}],"mendeley":{"formattedCitation":"(Habermas, 1987)","manualFormatting":"(1987)","plainTextFormattedCitation":"(Habermas, 1987)","previouslyFormattedCitation":"(Habermas, 1987)"},"properties":{"noteIndex":0},"schema":"https://github.com/citation-style-language/schema/raw/master/csl-citation.json"}</w:instrText>
      </w:r>
      <w:r w:rsidR="00E65D31" w:rsidRPr="004E053C">
        <w:rPr>
          <w:rFonts w:cstheme="majorHAnsi"/>
          <w:bCs/>
          <w:sz w:val="22"/>
          <w:szCs w:val="22"/>
          <w:lang w:val="en-GB"/>
        </w:rPr>
        <w:fldChar w:fldCharType="separate"/>
      </w:r>
      <w:r w:rsidR="00E65D31" w:rsidRPr="004E053C">
        <w:rPr>
          <w:rFonts w:cstheme="majorHAnsi"/>
          <w:bCs/>
          <w:noProof/>
          <w:sz w:val="22"/>
          <w:szCs w:val="22"/>
          <w:lang w:val="en-GB"/>
        </w:rPr>
        <w:t>(1987)</w:t>
      </w:r>
      <w:r w:rsidR="00E65D31" w:rsidRPr="004E053C">
        <w:rPr>
          <w:rFonts w:cstheme="majorHAnsi"/>
          <w:bCs/>
          <w:sz w:val="22"/>
          <w:szCs w:val="22"/>
          <w:lang w:val="en-GB"/>
        </w:rPr>
        <w:fldChar w:fldCharType="end"/>
      </w:r>
      <w:r w:rsidRPr="004E053C">
        <w:rPr>
          <w:rFonts w:cstheme="majorHAnsi"/>
          <w:bCs/>
          <w:sz w:val="22"/>
          <w:szCs w:val="22"/>
          <w:lang w:val="en-GB"/>
        </w:rPr>
        <w:t xml:space="preserve"> to highlight how rural communities might resist large-scale developments and modernisation because they threaten their domains of everyday, meaningful practice, as well as the local environment. Similarly, </w:t>
      </w:r>
      <w:r w:rsidRPr="004E053C">
        <w:rPr>
          <w:rFonts w:cstheme="majorHAnsi"/>
          <w:sz w:val="22"/>
          <w:szCs w:val="22"/>
          <w:lang w:val="en-GB"/>
        </w:rPr>
        <w:t xml:space="preserve">Walter and Urkidi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{"citationItems":[{"id":"ITEM-1","itemData":{"abstract":"From 2002 to 2012, 68 community consultations/referenda on large-scale mining activities have been conducted in Latin America challenging centralized decision-making procedures. These consultations are fostered by communities and social movements and usually supported by local governments. Around 700,000 people have participated, expressing a massive rejection of mining activities in Peru, Guatemala, Argentina, Colombia and Ecuador. Community consultations have contributed to ease local tensions temporarily, slowing down or stopping mining projects in some cases. This paper analyses the process of emergence and spread of such consultations exploring how they challenge the governance of mining activities. We claim that community consultations are being institutionalized in the context of mining conflicts in Latin America. Consultations are not isolated experiences but constitute a strategy diffused and transformed in the midst of multi-scalar social learning processes where social movements exchange strategies and discourses and a hybridising process occurs in relation to political and cultural local features. We sustain that community consultations are a hybrid institution where non-state and state actors and formal and informal institutions are mobilized. Consultations are a strategic tool of social movements and a contested emergent institution – as different state bodies support or reject their validity – that reclaim the right of affected populations and indigenous peoples to participate, in empowering forms, in high-stake decisions that affect their territories, livelihoods and future.","author":[{"dropping-particle":"","family":"Walter","given":"Mariana","non-dropping-particle":"","parse-names":false,"suffix":""},{"dropping-particle":"","family":"Urkidi","given":"Leire","non-dropping-particle":"","parse-names":false,"suffix":""}],"container-title":"Geoforum","id":"ITEM-1","issued":{"date-parts":[["2017"]]},"page":"265-279","publisher":"Elsevier Ltd","title":"Community mining consultations in Latin America (2002–2012): The contested emergence of a hybrid institution for participation","type":"article-journal","volume":"84"},"uris":["http://www.mendeley.com/documents/?uuid=b2e6dd9e-8d78-493b-9206-ebd7be5c3813"]}],"mendeley":{"formattedCitation":"(Walter &amp; Urkidi, 2017)","manualFormatting":"(2017)","plainTextFormattedCitation":"(Walter &amp; Urkidi, 2017)","previouslyFormattedCitation":"(Walter &amp; Urkidi, 2017)"},"properties":{"noteIndex":0},"schema":"https://github.com/citation-style-language/schema/raw/master/csl-citation.json"}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(2017)</w:t>
      </w:r>
      <w:r w:rsidRPr="004E053C">
        <w:rPr>
          <w:rFonts w:cstheme="majorHAnsi"/>
          <w:sz w:val="22"/>
          <w:szCs w:val="22"/>
          <w:lang w:val="en-GB"/>
        </w:rPr>
        <w:fldChar w:fldCharType="end"/>
      </w:r>
      <w:r w:rsidRPr="004E053C">
        <w:rPr>
          <w:rFonts w:cstheme="majorHAnsi"/>
          <w:sz w:val="22"/>
          <w:szCs w:val="22"/>
          <w:lang w:val="en-GB"/>
        </w:rPr>
        <w:t xml:space="preserve"> have shown that protestors in the Tambogrande mine in Peru claimed to be fighting to protect their agriculturalist identity rather than just their farming livelihood. Although it seems likely that the strong cultural aspects of ASM livelihoods means that informal ASM miners are also fighting to protect their identity as well as their income when they resistant government attempts to shut down their operations, this is yet to be explored in detail in the literature.</w:t>
      </w:r>
    </w:p>
    <w:p w14:paraId="1189AE16" w14:textId="77777777" w:rsidR="00D36963" w:rsidRPr="004E053C" w:rsidRDefault="00D36963" w:rsidP="004E053C">
      <w:pPr>
        <w:spacing w:line="360" w:lineRule="auto"/>
        <w:jc w:val="both"/>
        <w:rPr>
          <w:rFonts w:cstheme="majorHAnsi"/>
          <w:sz w:val="22"/>
          <w:szCs w:val="22"/>
          <w:lang w:val="en-GB"/>
        </w:rPr>
      </w:pPr>
    </w:p>
    <w:p w14:paraId="69E83CCF" w14:textId="0BEA1E72" w:rsidR="00D36963" w:rsidRPr="004E053C" w:rsidRDefault="00D36963" w:rsidP="004E053C">
      <w:pPr>
        <w:spacing w:line="360" w:lineRule="auto"/>
        <w:jc w:val="both"/>
        <w:rPr>
          <w:rFonts w:cstheme="majorHAnsi"/>
          <w:bCs/>
          <w:sz w:val="22"/>
          <w:szCs w:val="22"/>
          <w:lang w:val="en-GB"/>
        </w:rPr>
      </w:pPr>
      <w:r w:rsidRPr="004E053C">
        <w:rPr>
          <w:rFonts w:cstheme="majorHAnsi"/>
          <w:sz w:val="22"/>
          <w:szCs w:val="22"/>
          <w:lang w:val="en-GB"/>
        </w:rPr>
        <w:t xml:space="preserve">The formation of such identities in large-scale mining conflicts has also been linked to public discourse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{"citationItems":[{"id":"ITEM-1","itemData":{"author":[{"dropping-particle":"","family":"Crossley","given":"Nick","non-dropping-particle":"","parse-names":false,"suffix":""}],"id":"ITEM-1","issued":{"date-parts":[["2002"]]},"number-of-pages":"201","publisher":"Open University Press","publisher-place":"Buckingham, UK","title":"Making Sense of Social Movements","type":"book"},"uris":["http://www.mendeley.com/documents/?uuid=815753ba-882a-4645-ac55-de008e26b36c"]},{"id":"ITEM-2","itemData":{"abstract":"This paper addresses institutional and political relationships that govern the interactions between natural resource extraction, economy and society with a focus on the mining and hydrocarbon sectors. These relationships help define the implications of resource extraction for democracy and the qualities of growth. On that basis it explores the conditions under which these relationships are likely to be reproduced or changed, and the ways in which they might mediate the interactions between extraction and inclusion. The paper grounds this framework in two perspectives. The first perspective draws on a more general literature dealing with political settlements, contentious politics and the politics of ideas, placing particular emphasis on the role of social mobilization and political coalitions in processes of institutional change. The second perspective engages with the specific relationships of scale, space and time that characterize the natural resource sector and give it its specificity. These questions of space and time are especially important in influencing how the growth of an extractive economy influences the relationships between growth, redistribution and the politics of recognition. The implication is that any effort to understand the governance of extraction and of its relationships to development must be spatially and historically explicit. In light of these arguments the paper closes with a discussion of the conditions that might favour the emergence of institutional arrangements under which resource extraction is more likely to foster inclusive development.","author":[{"dropping-particle":"","family":"Bebbington","given":"Anthony","non-dropping-particle":"","parse-names":false,"suffix":""}],"collection-title":"ESID Working Paper","id":"ITEM-2","issued":{"date-parts":[["2013"]]},"number":"21","number-of-pages":"40","publisher-place":"Manchester","title":"Natural resource extraction and the possibilities of inclusive development: politics across space and time","type":"report"},"uris":["http://www.mendeley.com/documents/?uuid=d727d1fa-cf9e-4271-b57e-46d0def960d3"]}],"mendeley":{"formattedCitation":"(Bebbington, 2013; Crossley, 2002)","manualFormatting":"(Bebbington, 2013; Crossley, 2002)","plainTextFormattedCitation":"(Bebbington, 2013; Crossley, 2002)","previouslyFormattedCitation":"(Bebbington, 2013; Crossley, 2002)"},"properties":{"noteIndex":0},"schema":"https://github.com/citation-style-language/schema/raw/master/csl-citation.json"}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(Bebbington, 2013; Crossley, 2002)</w:t>
      </w:r>
      <w:r w:rsidRPr="004E053C">
        <w:rPr>
          <w:rFonts w:cstheme="majorHAnsi"/>
          <w:sz w:val="22"/>
          <w:szCs w:val="22"/>
          <w:lang w:val="en-GB"/>
        </w:rPr>
        <w:fldChar w:fldCharType="end"/>
      </w:r>
      <w:r w:rsidRPr="004E053C">
        <w:rPr>
          <w:rFonts w:cstheme="majorHAnsi"/>
          <w:sz w:val="22"/>
          <w:szCs w:val="22"/>
          <w:lang w:val="en-GB"/>
        </w:rPr>
        <w:t xml:space="preserve">, but there is limited exploration of the impact of negative public discourse on identity in ASM. Dell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{"citationItems":[{"id":"ITEM-1","itemData":{"abstract":"For nearly a century, successive authorities in Mali have created a ‘local’ identity in southern Kayes that naturalises state authority and justifies various interventions in the name of ‘development’. This identity has been used as a pretext for agricultural development policies that attempt to limit people's geographical and political mobility and access to one of the region's most valuable natural resources – gold. Populations in southern Kayes, however, through artisanal gold mining (orpaillage), migration and transnational protest movements, have resisted both this ‘identity’ and the state interventions influenced by it, constructing competing political systems that challenge official discourse and state power. Today, as both governance and resistance to it become increasingly transnational, questions about the meaning of ‘local’ and ‘localness’ have become particularly salient. Rather than disappearing, however, the category has become entrenched in new power hierarchies that include migrant hometown associations, NGOs, mining companies and state governments.","author":[{"dropping-particle":"","family":"Dell","given":"Matthew","non-dropping-particle":"","parse-names":false,"suffix":""}],"container-title":"Journal of Intercultural Studies","id":"ITEM-1","issue":"5","issued":{"date-parts":[["2013"]]},"page":"584-603","title":"Undermining the ‘local’: migration, development and gold in southern Kayes","type":"article-journal","volume":"34"},"uris":["http://www.mendeley.com/documents/?uuid=53082f94-a03d-4f15-b058-64e0f38789dc"]}],"mendeley":{"formattedCitation":"(Dell, 2013)","manualFormatting":"(2013)","plainTextFormattedCitation":"(Dell, 2013)","previouslyFormattedCitation":"(Dell, 2013)"},"properties":{"noteIndex":0},"schema":"https://github.com/citation-style-language/schema/raw/master/csl-citation.json"}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(2013)</w:t>
      </w:r>
      <w:r w:rsidRPr="004E053C">
        <w:rPr>
          <w:rFonts w:cstheme="majorHAnsi"/>
          <w:sz w:val="22"/>
          <w:szCs w:val="22"/>
          <w:lang w:val="en-GB"/>
        </w:rPr>
        <w:fldChar w:fldCharType="end"/>
      </w:r>
      <w:r w:rsidRPr="004E053C">
        <w:rPr>
          <w:rFonts w:cstheme="majorHAnsi"/>
          <w:sz w:val="22"/>
          <w:szCs w:val="22"/>
          <w:lang w:val="en-GB"/>
        </w:rPr>
        <w:t xml:space="preserve"> has however shown the importance of discourses when challenging government and corporate power. In his example of the Southern Kayes in Mali, Dell showed how local protestors challenged their ‘local’ identity as agrarian and uneducated, by claiming the right to work at the industrial mine that displaced their homes and livelihoods, yet also used their ‘localness’ to justify their priority in the mine’s hiring processes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{"citationItems":[{"id":"ITEM-1","itemData":{"abstract":"For nearly a century, successive authorities in Mali have created a ‘local’ identity in southern Kayes that naturalises state authority and justifies various interventions in the name of ‘development’. This identity has been used as a pretext for agricultural development policies that attempt to limit people's geographical and political mobility and access to one of the region's most valuable natural resources – gold. Populations in southern Kayes, however, through artisanal gold mining (orpaillage), migration and transnational protest movements, have resisted both this ‘identity’ and the state interventions influenced by it, constructing competing political systems that challenge official discourse and state power. Today, as both governance and resistance to it become increasingly transnational, questions about the meaning of ‘local’ and ‘localness’ have become particularly salient. Rather than disappearing, however, the category has become entrenched in new power hierarchies that include migrant hometown associations, NGOs, mining companies and state governments.","author":[{"dropping-particle":"","family":"Dell","given":"Matthew","non-dropping-particle":"","parse-names":false,"suffix":""}],"container-title":"Journal of Intercultural Studies","id":"ITEM-1","issue":"5","issued":{"date-parts":[["2013"]]},"page":"584-603","title":"Undermining the ‘local’: migration, development and gold in southern Kayes","type":"article-journal","volume":"34"},"uris":["http://www.mendeley.com/documents/?uuid=53082f94-a03d-4f15-b058-64e0f38789dc"]}],"mendeley":{"formattedCitation":"(Dell, 2013)","manualFormatting":"(Ibid.)","plainTextFormattedCitation":"(Dell, 2013)","previouslyFormattedCitation":"(Dell, 2013)"},"properties":{"noteIndex":0},"schema":"https://github.com/citation-style-language/schema/raw/master/csl-citation.json"}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(Ibid.)</w:t>
      </w:r>
      <w:r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bCs/>
          <w:sz w:val="22"/>
          <w:szCs w:val="22"/>
          <w:lang w:val="en-GB"/>
        </w:rPr>
        <w:t xml:space="preserve">Werthmann </w:t>
      </w:r>
      <w:r w:rsidRPr="004E053C">
        <w:rPr>
          <w:rFonts w:cstheme="majorHAnsi"/>
          <w:bCs/>
          <w:sz w:val="22"/>
          <w:szCs w:val="22"/>
          <w:lang w:val="en-GB"/>
        </w:rPr>
        <w:fldChar w:fldCharType="begin" w:fldLock="1"/>
      </w:r>
      <w:r w:rsidRPr="004E053C">
        <w:rPr>
          <w:rFonts w:cstheme="maj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Pr="004E053C">
        <w:rPr>
          <w:rFonts w:cstheme="majorHAnsi"/>
          <w:bCs/>
          <w:sz w:val="22"/>
          <w:szCs w:val="22"/>
          <w:lang w:val="en-GB"/>
        </w:rPr>
        <w:fldChar w:fldCharType="separate"/>
      </w:r>
      <w:r w:rsidRPr="004E053C">
        <w:rPr>
          <w:rFonts w:cstheme="majorHAnsi"/>
          <w:bCs/>
          <w:noProof/>
          <w:sz w:val="22"/>
          <w:szCs w:val="22"/>
          <w:lang w:val="en-GB"/>
        </w:rPr>
        <w:t>(2010)</w:t>
      </w:r>
      <w:r w:rsidRPr="004E053C">
        <w:rPr>
          <w:rFonts w:cstheme="majorHAnsi"/>
          <w:bCs/>
          <w:sz w:val="22"/>
          <w:szCs w:val="22"/>
          <w:lang w:val="en-GB"/>
        </w:rPr>
        <w:fldChar w:fldCharType="end"/>
      </w:r>
      <w:r w:rsidRPr="004E053C">
        <w:rPr>
          <w:rFonts w:cstheme="majorHAnsi"/>
          <w:bCs/>
          <w:sz w:val="22"/>
          <w:szCs w:val="22"/>
          <w:lang w:val="en-GB"/>
        </w:rPr>
        <w:t xml:space="preserve"> has also observed how the way that men and women who live in mining sites are perceived can create a deviant identity. As a result, mine sites become ‘heterotopias’, where the rigid social norms of the dominant society can be contradicted and alternative modes of being, which would ordinarily not be considered respec</w:t>
      </w:r>
      <w:r w:rsidR="003A08B7" w:rsidRPr="004E053C">
        <w:rPr>
          <w:rFonts w:cstheme="majorHAnsi"/>
          <w:bCs/>
          <w:sz w:val="22"/>
          <w:szCs w:val="22"/>
          <w:lang w:val="en-GB"/>
        </w:rPr>
        <w:t xml:space="preserve">table, are possible </w:t>
      </w:r>
      <w:r w:rsidR="003A08B7" w:rsidRPr="004E053C">
        <w:rPr>
          <w:rFonts w:cstheme="majorHAnsi"/>
          <w:bCs/>
          <w:sz w:val="22"/>
          <w:szCs w:val="22"/>
          <w:lang w:val="en-GB"/>
        </w:rPr>
        <w:fldChar w:fldCharType="begin" w:fldLock="1"/>
      </w:r>
      <w:r w:rsidR="00EB10C1" w:rsidRPr="004E053C">
        <w:rPr>
          <w:rFonts w:cstheme="maj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2010)","manualFormatting":"(Ibid.)","plainTextFormattedCitation":"(Werthmann, 2010)","previouslyFormattedCitation":"(Werthmann, 2010)"},"properties":{"noteIndex":0},"schema":"https://github.com/citation-style-language/schema/raw/master/csl-citation.json"}</w:instrText>
      </w:r>
      <w:r w:rsidR="003A08B7" w:rsidRPr="004E053C">
        <w:rPr>
          <w:rFonts w:cstheme="majorHAnsi"/>
          <w:bCs/>
          <w:sz w:val="22"/>
          <w:szCs w:val="22"/>
          <w:lang w:val="en-GB"/>
        </w:rPr>
        <w:fldChar w:fldCharType="separate"/>
      </w:r>
      <w:r w:rsidR="003A08B7" w:rsidRPr="004E053C">
        <w:rPr>
          <w:rFonts w:cstheme="majorHAnsi"/>
          <w:bCs/>
          <w:noProof/>
          <w:sz w:val="22"/>
          <w:szCs w:val="22"/>
          <w:lang w:val="en-GB"/>
        </w:rPr>
        <w:t>(Ibid.)</w:t>
      </w:r>
      <w:r w:rsidR="003A08B7" w:rsidRPr="004E053C">
        <w:rPr>
          <w:rFonts w:cstheme="majorHAnsi"/>
          <w:bCs/>
          <w:sz w:val="22"/>
          <w:szCs w:val="22"/>
          <w:lang w:val="en-GB"/>
        </w:rPr>
        <w:fldChar w:fldCharType="end"/>
      </w:r>
      <w:r w:rsidRPr="004E053C">
        <w:rPr>
          <w:rFonts w:cstheme="majorHAnsi"/>
          <w:bCs/>
          <w:sz w:val="22"/>
          <w:szCs w:val="22"/>
          <w:lang w:val="en-GB"/>
        </w:rPr>
        <w:t xml:space="preserve">. She does not </w:t>
      </w:r>
      <w:r w:rsidRPr="004E053C">
        <w:rPr>
          <w:rFonts w:cstheme="majorHAnsi"/>
          <w:bCs/>
          <w:sz w:val="22"/>
          <w:szCs w:val="22"/>
          <w:lang w:val="en-GB"/>
        </w:rPr>
        <w:lastRenderedPageBreak/>
        <w:t>however link this identity to a resistance against the state, but more to a continuation of behaviour, such as excessive alcohol consumption, which may go against the norms of the dominant society.</w:t>
      </w:r>
    </w:p>
    <w:p w14:paraId="0D71C198" w14:textId="77777777" w:rsidR="00D36963" w:rsidRPr="004E053C" w:rsidRDefault="00D36963" w:rsidP="004E053C">
      <w:pPr>
        <w:spacing w:line="360" w:lineRule="auto"/>
        <w:jc w:val="both"/>
        <w:rPr>
          <w:rFonts w:cstheme="majorHAnsi"/>
          <w:b/>
          <w:sz w:val="22"/>
          <w:szCs w:val="22"/>
          <w:lang w:val="en-GB"/>
        </w:rPr>
      </w:pPr>
    </w:p>
    <w:p w14:paraId="601CA960" w14:textId="77777777" w:rsidR="00D36963" w:rsidRPr="004E053C" w:rsidRDefault="00D36963" w:rsidP="004E053C">
      <w:pPr>
        <w:keepNext/>
        <w:keepLines/>
        <w:spacing w:line="360" w:lineRule="auto"/>
        <w:jc w:val="both"/>
        <w:outlineLvl w:val="1"/>
        <w:rPr>
          <w:rFonts w:eastAsiaTheme="majorEastAsia" w:cstheme="majorHAnsi"/>
          <w:sz w:val="26"/>
          <w:szCs w:val="26"/>
          <w:lang w:val="en-GB"/>
        </w:rPr>
      </w:pPr>
      <w:bookmarkStart w:id="30" w:name="_Toc424671878"/>
      <w:bookmarkStart w:id="31" w:name="_Toc428636328"/>
      <w:bookmarkStart w:id="32" w:name="_Toc33293081"/>
      <w:r w:rsidRPr="004E053C">
        <w:rPr>
          <w:rFonts w:eastAsiaTheme="majorEastAsia" w:cstheme="majorHAnsi"/>
          <w:sz w:val="26"/>
          <w:szCs w:val="26"/>
          <w:lang w:val="en-GB"/>
        </w:rPr>
        <w:t xml:space="preserve">2.8. </w:t>
      </w:r>
      <w:bookmarkEnd w:id="30"/>
      <w:r w:rsidRPr="004E053C">
        <w:rPr>
          <w:rFonts w:eastAsiaTheme="majorEastAsia" w:cstheme="majorHAnsi"/>
          <w:sz w:val="26"/>
          <w:szCs w:val="26"/>
          <w:lang w:val="en-GB"/>
        </w:rPr>
        <w:t>Summary</w:t>
      </w:r>
      <w:bookmarkEnd w:id="31"/>
      <w:bookmarkEnd w:id="32"/>
    </w:p>
    <w:p w14:paraId="469ABAD1" w14:textId="77777777" w:rsidR="00D36963" w:rsidRPr="004E053C" w:rsidRDefault="00D36963" w:rsidP="004E053C">
      <w:pPr>
        <w:widowControl w:val="0"/>
        <w:autoSpaceDE w:val="0"/>
        <w:autoSpaceDN w:val="0"/>
        <w:adjustRightInd w:val="0"/>
        <w:spacing w:line="360" w:lineRule="auto"/>
        <w:jc w:val="both"/>
        <w:rPr>
          <w:rFonts w:cstheme="majorHAnsi"/>
          <w:b/>
          <w:bCs/>
          <w:color w:val="262626"/>
          <w:sz w:val="22"/>
          <w:szCs w:val="22"/>
          <w:lang w:val="en-GB"/>
        </w:rPr>
      </w:pPr>
    </w:p>
    <w:p w14:paraId="38FDAFD4" w14:textId="359E8950" w:rsidR="00D36963" w:rsidRPr="004E053C" w:rsidRDefault="007A7DCE" w:rsidP="004E053C">
      <w:pPr>
        <w:spacing w:line="360" w:lineRule="auto"/>
        <w:jc w:val="both"/>
        <w:rPr>
          <w:rFonts w:cstheme="majorHAnsi"/>
          <w:sz w:val="22"/>
          <w:szCs w:val="22"/>
          <w:lang w:val="en-GB" w:eastAsia="zh-CN"/>
        </w:rPr>
      </w:pPr>
      <w:r>
        <w:rPr>
          <w:rFonts w:cstheme="majorHAnsi"/>
          <w:sz w:val="22"/>
          <w:szCs w:val="22"/>
          <w:lang w:val="en-GB" w:eastAsia="zh-CN"/>
        </w:rPr>
        <w:t>In recent years, researcher</w:t>
      </w:r>
      <w:r w:rsidR="00D36963" w:rsidRPr="004E053C">
        <w:rPr>
          <w:rFonts w:cstheme="majorHAnsi"/>
          <w:sz w:val="22"/>
          <w:szCs w:val="22"/>
          <w:lang w:val="en-GB" w:eastAsia="zh-CN"/>
        </w:rPr>
        <w:t xml:space="preserve">s have started to emphasise the heterogeneity of miners and in particular the tendency for some to successfully pursue capital interests and accumulate wealth through their engagement in the sector </w:t>
      </w:r>
      <w:r w:rsidR="00D36963"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{"citationItems":[{"id":"ITEM-1","itemData":{"abstract":"In line with trends observed in several other countries, small-scale gold mining in Compostela Valley (ComVal) province has expanded immensely, and now boasts a high number of more advanced i.e. more capitalized and mechanized operations that push the edge of what is usually considered artisanal and small-scale mining (ASM). A historical, fieldwork-based analysis is presented of the diverse factors underlying the current situation. It is argued that existing accounts of ASM-expansion, by focusing disproportionately on the role of poverty in pushing people into ASM, fail to satisfactorily account for the state of gold mining in ComVal. Whereas this poverty-driven narrative may well explain the constant supply of mining recruits, it risks obscuring how for certain groups, ASM harbors important opportunities for capital accumulation. More specifically, the increased engagement in gold mining on the part of a heterogeneous class of mining financiers enabled ASM to evolve from rudimentary into relatively mechanized operations with highly complex working practices and revenue sharing arrangements. The nascent gold mining elite has entrenched itself in a regulatory environment amenable to the further expansion of gold mining. These observations suggest that more critical attention should be paid to the 'capital interests' driving similar transformations of ASM elsewhere. © 2014 Elsevier Ltd.","author":[{"dropping-particle":"","family":"Verbrugge","given":"Boris","non-dropping-particle":"","parse-names":false,"suffix":""}],"container-title":"Extractive Industries and Society","id":"ITEM-1","issue":"1","issued":{"date-parts":[["2014"]]},"page":"86-95","publisher":"Elsevier Ltd","title":"Capital interests: a historical analysis of the transformation of small-scale gold mining in Compostela Valley province, Southern Philippines","type":"article-journal","volume":"1"},"uris":["http://www.mendeley.com/documents/?uuid=7900df1e-3ca3-4f89-b985-69d57f5c9473"]},{"id":"ITEM-2","itemData":{"author":[{"dropping-particle":"","family":"Cortés-McPherson","given":"Dolores","non-dropping-particle":"","parse-names":false,"suffix":""}],"container-title":"The Extractive Industries and Society","id":"ITEM-2","issue":"2","issued":{"date-parts":[["2019"]]},"page":"382-389","title":"Expansion of small-scale gold mining in Madre de Dios: ‘capital interests’ and the emergence of a new elite of entrepreneurs in the Peruvian Amazon","type":"article-journal","volume":"6"},"uris":["http://www.mendeley.com/documents/?uuid=402f7023-8f80-4150-99dd-21c5e92f9a63"]}],"mendeley":{"formattedCitation":"(Cortés-McPherson, 2019; Verbrugge, 2014)","plainTextFormattedCitation":"(Cortés-McPherson, 2019; Verbrugge, 2014)","previouslyFormattedCitation":"(Cortés-McPherson, 2019; Verbrugge, 2014)"},"properties":{"noteIndex":0},"schema":"https://github.com/citation-style-language/schema/raw/master/csl-citation.json"}</w:instrText>
      </w:r>
      <w:r w:rsidR="00D36963" w:rsidRPr="004E053C">
        <w:rPr>
          <w:rFonts w:cstheme="majorHAnsi"/>
          <w:sz w:val="22"/>
          <w:szCs w:val="22"/>
          <w:lang w:val="en-GB" w:eastAsia="zh-CN"/>
        </w:rPr>
        <w:fldChar w:fldCharType="separate"/>
      </w:r>
      <w:r w:rsidR="00D36963" w:rsidRPr="004E053C">
        <w:rPr>
          <w:rFonts w:cstheme="majorHAnsi"/>
          <w:noProof/>
          <w:sz w:val="22"/>
          <w:szCs w:val="22"/>
          <w:lang w:val="en-GB" w:eastAsia="zh-CN"/>
        </w:rPr>
        <w:t>(Cortés-McPherson, 2019; Verbrugge, 2014)</w:t>
      </w:r>
      <w:r w:rsidR="00D36963" w:rsidRPr="004E053C">
        <w:rPr>
          <w:rFonts w:cstheme="majorHAnsi"/>
          <w:sz w:val="22"/>
          <w:szCs w:val="22"/>
          <w:lang w:val="en-GB" w:eastAsia="zh-CN"/>
        </w:rPr>
        <w:fldChar w:fldCharType="end"/>
      </w:r>
      <w:r w:rsidR="00D36963" w:rsidRPr="004E053C">
        <w:rPr>
          <w:rFonts w:cstheme="majorHAnsi"/>
          <w:sz w:val="22"/>
          <w:szCs w:val="22"/>
          <w:lang w:val="en-GB" w:eastAsia="zh-CN"/>
        </w:rPr>
        <w:t>. However, while this exploration of differentiation within the mining community feels long overdue, this chapter has pointed to several gaps in our understanding of the diverse nature of these communities and the impact this has on community dynamics. This is imp</w:t>
      </w:r>
      <w:r>
        <w:rPr>
          <w:rFonts w:cstheme="majorHAnsi"/>
          <w:sz w:val="22"/>
          <w:szCs w:val="22"/>
          <w:lang w:val="en-GB" w:eastAsia="zh-CN"/>
        </w:rPr>
        <w:t>ortant, because several academic</w:t>
      </w:r>
      <w:r w:rsidR="00D36963" w:rsidRPr="004E053C">
        <w:rPr>
          <w:rFonts w:cstheme="majorHAnsi"/>
          <w:sz w:val="22"/>
          <w:szCs w:val="22"/>
          <w:lang w:val="en-GB" w:eastAsia="zh-CN"/>
        </w:rPr>
        <w:t>s have argued that understanding communities and including them in the debate is critical for the successful design of ASM policy.</w:t>
      </w:r>
      <w:r w:rsidR="00D36963" w:rsidRPr="004E053C">
        <w:rPr>
          <w:rFonts w:cstheme="majorHAnsi"/>
          <w:sz w:val="22"/>
          <w:szCs w:val="22"/>
          <w:lang w:val="en-GB"/>
        </w:rPr>
        <w:t xml:space="preserve"> The three key gaps that I argue exist in our understanding of ASM communities relate to the translocal nature of ASM livelihoods, which incorporates both origin and host locations, the community identity and the role of women.</w:t>
      </w:r>
    </w:p>
    <w:p w14:paraId="774F31ED" w14:textId="77777777" w:rsidR="00D36963" w:rsidRPr="004E053C" w:rsidRDefault="00D36963" w:rsidP="004E053C">
      <w:pPr>
        <w:tabs>
          <w:tab w:val="left" w:pos="5234"/>
        </w:tabs>
        <w:spacing w:line="360" w:lineRule="auto"/>
        <w:jc w:val="both"/>
        <w:rPr>
          <w:rFonts w:cstheme="majorHAnsi"/>
          <w:sz w:val="22"/>
          <w:szCs w:val="22"/>
          <w:lang w:val="en-GB" w:eastAsia="zh-CN"/>
        </w:rPr>
      </w:pPr>
      <w:r w:rsidRPr="004E053C">
        <w:rPr>
          <w:rFonts w:cstheme="majorHAnsi"/>
          <w:sz w:val="22"/>
          <w:szCs w:val="22"/>
          <w:lang w:val="en-GB" w:eastAsia="zh-CN"/>
        </w:rPr>
        <w:tab/>
      </w:r>
    </w:p>
    <w:p w14:paraId="343B501A" w14:textId="5168B622" w:rsidR="00D36963" w:rsidRPr="004E053C" w:rsidRDefault="00D36963" w:rsidP="004E053C">
      <w:pPr>
        <w:spacing w:line="360" w:lineRule="auto"/>
        <w:jc w:val="both"/>
        <w:rPr>
          <w:rFonts w:cstheme="majorHAnsi"/>
          <w:sz w:val="22"/>
          <w:szCs w:val="22"/>
          <w:lang w:val="en-GB" w:eastAsia="zh-CN"/>
        </w:rPr>
      </w:pPr>
      <w:r w:rsidRPr="004E053C">
        <w:rPr>
          <w:rFonts w:cstheme="majorHAnsi"/>
          <w:sz w:val="22"/>
          <w:szCs w:val="22"/>
          <w:lang w:val="en-GB" w:eastAsia="zh-CN"/>
        </w:rPr>
        <w:t>After providing a brief background on ASM, the chapter first discussed the emerging literature on women’s engagement in the sector and their position within mining towns and settlements. It then goes on to show that wh</w:t>
      </w:r>
      <w:r w:rsidR="00176FEF">
        <w:rPr>
          <w:rFonts w:cstheme="majorHAnsi"/>
          <w:sz w:val="22"/>
          <w:szCs w:val="22"/>
          <w:lang w:val="en-GB" w:eastAsia="zh-CN"/>
        </w:rPr>
        <w:t xml:space="preserve">ile high </w:t>
      </w:r>
      <w:r w:rsidRPr="004E053C">
        <w:rPr>
          <w:rFonts w:cstheme="majorHAnsi"/>
          <w:sz w:val="22"/>
          <w:szCs w:val="22"/>
          <w:lang w:val="en-GB" w:eastAsia="zh-CN"/>
        </w:rPr>
        <w:t xml:space="preserve">mobility is known to be a key characteristic of the sector, thorough explorations of the implications of this are surprisingly limited. Most significantly, there are no existing studies which focus on both origin and destination community in a holistic manner. This means that studies that have looked at the social anthropological implications of ASM have generally only done so through the consideration of a spatially bound mining town or settlement. This has obvious implications for our understanding of women’s roles in the sector. At the same time, I have also shown that there is little knowledge of divergences in livelihood trajectories and the temporality of engagement in ASM. Certainly, the information that does exist makes no attempt to link it to other literature that discusses the emergence of miner identities. The chapter then used evidence from several countries to illustrate the problems associated with criminalisation, but also how mining operatives have been able to continue mining. While this is interesting, I point to the fact that there has as yet been no exploration of what criminalisation may imply for the mining identity. </w:t>
      </w:r>
    </w:p>
    <w:p w14:paraId="627CCAC9" w14:textId="77777777" w:rsidR="00D36963" w:rsidRPr="004E053C" w:rsidRDefault="00D36963" w:rsidP="004E053C">
      <w:pPr>
        <w:spacing w:line="360" w:lineRule="auto"/>
        <w:jc w:val="both"/>
        <w:rPr>
          <w:rFonts w:cstheme="majorHAnsi"/>
          <w:sz w:val="22"/>
          <w:szCs w:val="22"/>
          <w:lang w:val="en-GB" w:eastAsia="zh-CN"/>
        </w:rPr>
      </w:pPr>
    </w:p>
    <w:p w14:paraId="3626F00F" w14:textId="77777777" w:rsidR="00713CC4" w:rsidRPr="004E053C" w:rsidRDefault="00713CC4" w:rsidP="004E053C">
      <w:pPr>
        <w:spacing w:line="360" w:lineRule="auto"/>
        <w:jc w:val="both"/>
        <w:rPr>
          <w:rFonts w:cstheme="majorHAnsi"/>
          <w:sz w:val="22"/>
          <w:szCs w:val="22"/>
          <w:lang w:val="en-GB"/>
        </w:rPr>
      </w:pPr>
      <w:r w:rsidRPr="004E053C">
        <w:rPr>
          <w:rFonts w:cstheme="majorHAnsi"/>
          <w:sz w:val="22"/>
          <w:szCs w:val="22"/>
          <w:lang w:val="en-GB"/>
        </w:rPr>
        <w:br w:type="page"/>
      </w:r>
    </w:p>
    <w:p w14:paraId="67451111" w14:textId="7A697D12" w:rsidR="00375961" w:rsidRPr="004E053C" w:rsidRDefault="00EA7F83" w:rsidP="004E053C">
      <w:pPr>
        <w:pStyle w:val="Heading1"/>
        <w:spacing w:line="360" w:lineRule="auto"/>
        <w:jc w:val="both"/>
        <w:rPr>
          <w:rFonts w:asciiTheme="minorHAnsi" w:hAnsiTheme="minorHAnsi" w:cstheme="majorHAnsi"/>
          <w:b w:val="0"/>
          <w:lang w:val="en-GB"/>
        </w:rPr>
      </w:pPr>
      <w:bookmarkStart w:id="33" w:name="_Toc33293082"/>
      <w:r w:rsidRPr="004E053C">
        <w:rPr>
          <w:rFonts w:asciiTheme="minorHAnsi" w:hAnsiTheme="minorHAnsi" w:cstheme="majorHAnsi"/>
          <w:b w:val="0"/>
          <w:lang w:val="en-GB"/>
        </w:rPr>
        <w:lastRenderedPageBreak/>
        <w:t>3</w:t>
      </w:r>
      <w:r w:rsidR="001E6F34" w:rsidRPr="004E053C">
        <w:rPr>
          <w:rFonts w:asciiTheme="minorHAnsi" w:hAnsiTheme="minorHAnsi" w:cstheme="majorHAnsi"/>
          <w:b w:val="0"/>
          <w:lang w:val="en-GB"/>
        </w:rPr>
        <w:t xml:space="preserve">. </w:t>
      </w:r>
      <w:r w:rsidRPr="004E053C">
        <w:rPr>
          <w:rFonts w:asciiTheme="minorHAnsi" w:hAnsiTheme="minorHAnsi" w:cstheme="majorHAnsi"/>
          <w:b w:val="0"/>
          <w:lang w:val="en-GB"/>
        </w:rPr>
        <w:t xml:space="preserve">The Peruvian </w:t>
      </w:r>
      <w:r w:rsidR="004E5F90" w:rsidRPr="004E053C">
        <w:rPr>
          <w:rFonts w:asciiTheme="minorHAnsi" w:hAnsiTheme="minorHAnsi" w:cstheme="majorHAnsi"/>
          <w:b w:val="0"/>
          <w:lang w:val="en-GB"/>
        </w:rPr>
        <w:t>c</w:t>
      </w:r>
      <w:r w:rsidR="001E6F34" w:rsidRPr="004E053C">
        <w:rPr>
          <w:rFonts w:asciiTheme="minorHAnsi" w:hAnsiTheme="minorHAnsi" w:cstheme="majorHAnsi"/>
          <w:b w:val="0"/>
          <w:lang w:val="en-GB"/>
        </w:rPr>
        <w:t>ontext</w:t>
      </w:r>
      <w:bookmarkEnd w:id="33"/>
    </w:p>
    <w:p w14:paraId="2B94C9EF" w14:textId="77777777" w:rsidR="004E5F90" w:rsidRPr="004E053C" w:rsidRDefault="004E5F90" w:rsidP="004E053C">
      <w:pPr>
        <w:jc w:val="both"/>
      </w:pPr>
    </w:p>
    <w:p w14:paraId="5FACB99A" w14:textId="589225C6" w:rsidR="00375961" w:rsidRPr="004E053C" w:rsidRDefault="00502226" w:rsidP="004E053C">
      <w:pPr>
        <w:pStyle w:val="Heading2"/>
        <w:spacing w:before="0" w:line="360" w:lineRule="auto"/>
        <w:jc w:val="both"/>
      </w:pPr>
      <w:bookmarkStart w:id="34" w:name="_Toc33293083"/>
      <w:r w:rsidRPr="004E053C">
        <w:t>3.</w:t>
      </w:r>
      <w:r w:rsidR="00375961" w:rsidRPr="004E053C">
        <w:t>1. Introduction</w:t>
      </w:r>
      <w:bookmarkEnd w:id="34"/>
      <w:r w:rsidR="00375961" w:rsidRPr="004E053C">
        <w:t xml:space="preserve"> </w:t>
      </w:r>
    </w:p>
    <w:p w14:paraId="00592F87" w14:textId="77777777" w:rsidR="00375961" w:rsidRPr="004E053C" w:rsidRDefault="00375961" w:rsidP="004E053C">
      <w:pPr>
        <w:spacing w:line="360" w:lineRule="auto"/>
        <w:jc w:val="both"/>
        <w:rPr>
          <w:rFonts w:cstheme="majorHAnsi"/>
          <w:b/>
        </w:rPr>
      </w:pPr>
    </w:p>
    <w:p w14:paraId="7880F4B4" w14:textId="00ADEE70" w:rsidR="00375961" w:rsidRPr="004E053C" w:rsidRDefault="00912ED8" w:rsidP="004E053C">
      <w:pPr>
        <w:spacing w:line="360" w:lineRule="auto"/>
        <w:jc w:val="both"/>
        <w:rPr>
          <w:rFonts w:eastAsia="Times New Roman" w:cstheme="minorHAnsi"/>
          <w:color w:val="000000"/>
          <w:sz w:val="22"/>
          <w:szCs w:val="22"/>
          <w:shd w:val="clear" w:color="auto" w:fill="FFFFFF"/>
        </w:rPr>
      </w:pPr>
      <w:r w:rsidRPr="004E053C">
        <w:rPr>
          <w:rFonts w:cstheme="minorHAnsi"/>
          <w:sz w:val="22"/>
          <w:szCs w:val="22"/>
        </w:rPr>
        <w:t xml:space="preserve">Peru is a </w:t>
      </w:r>
      <w:r w:rsidR="00375961" w:rsidRPr="004E053C">
        <w:rPr>
          <w:rFonts w:cstheme="minorHAnsi"/>
          <w:sz w:val="22"/>
          <w:szCs w:val="22"/>
        </w:rPr>
        <w:t xml:space="preserve">geographically complex </w:t>
      </w:r>
      <w:r w:rsidRPr="004E053C">
        <w:rPr>
          <w:rFonts w:cstheme="minorHAnsi"/>
          <w:sz w:val="22"/>
          <w:szCs w:val="22"/>
        </w:rPr>
        <w:t xml:space="preserve">country </w:t>
      </w:r>
      <w:r w:rsidR="00375961" w:rsidRPr="004E053C">
        <w:rPr>
          <w:rFonts w:cstheme="minorHAnsi"/>
          <w:sz w:val="22"/>
          <w:szCs w:val="22"/>
        </w:rPr>
        <w:t xml:space="preserve">divided into three major regions: </w:t>
      </w:r>
      <w:r w:rsidRPr="004E053C">
        <w:rPr>
          <w:rFonts w:cstheme="minorHAnsi"/>
          <w:sz w:val="22"/>
          <w:szCs w:val="22"/>
        </w:rPr>
        <w:t>a</w:t>
      </w:r>
      <w:r w:rsidR="00375961" w:rsidRPr="004E053C">
        <w:rPr>
          <w:rFonts w:cstheme="minorHAnsi"/>
          <w:sz w:val="22"/>
          <w:szCs w:val="22"/>
        </w:rPr>
        <w:t xml:space="preserve"> coastal </w:t>
      </w:r>
      <w:r w:rsidRPr="004E053C">
        <w:rPr>
          <w:rFonts w:cstheme="minorHAnsi"/>
          <w:sz w:val="22"/>
          <w:szCs w:val="22"/>
        </w:rPr>
        <w:t xml:space="preserve">desert </w:t>
      </w:r>
      <w:r w:rsidR="00375961" w:rsidRPr="004E053C">
        <w:rPr>
          <w:rFonts w:cstheme="minorHAnsi"/>
          <w:sz w:val="22"/>
          <w:szCs w:val="22"/>
        </w:rPr>
        <w:t>plain</w:t>
      </w:r>
      <w:r w:rsidRPr="004E053C">
        <w:rPr>
          <w:rFonts w:cstheme="minorHAnsi"/>
          <w:sz w:val="22"/>
          <w:szCs w:val="22"/>
        </w:rPr>
        <w:t xml:space="preserve"> to the west, the</w:t>
      </w:r>
      <w:r w:rsidR="00375961" w:rsidRPr="004E053C">
        <w:rPr>
          <w:rFonts w:cstheme="minorHAnsi"/>
          <w:sz w:val="22"/>
          <w:szCs w:val="22"/>
        </w:rPr>
        <w:t xml:space="preserve"> lowland jungle of the Amazon Basin </w:t>
      </w:r>
      <w:r w:rsidRPr="004E053C">
        <w:rPr>
          <w:rFonts w:cstheme="minorHAnsi"/>
          <w:sz w:val="22"/>
          <w:szCs w:val="22"/>
        </w:rPr>
        <w:t>to the west, and the high and rugged Andes running down</w:t>
      </w:r>
      <w:r w:rsidR="00375961" w:rsidRPr="004E053C">
        <w:rPr>
          <w:rFonts w:cstheme="minorHAnsi"/>
          <w:sz w:val="22"/>
          <w:szCs w:val="22"/>
        </w:rPr>
        <w:t xml:space="preserve"> the </w:t>
      </w:r>
      <w:r w:rsidR="00C66190" w:rsidRPr="004E053C">
        <w:rPr>
          <w:rFonts w:cstheme="minorHAnsi"/>
          <w:sz w:val="22"/>
          <w:szCs w:val="22"/>
        </w:rPr>
        <w:t>center</w:t>
      </w:r>
      <w:r w:rsidR="00375961" w:rsidRPr="004E053C">
        <w:rPr>
          <w:rFonts w:cstheme="minorHAnsi"/>
          <w:sz w:val="22"/>
          <w:szCs w:val="22"/>
        </w:rPr>
        <w:t xml:space="preserve"> </w:t>
      </w:r>
      <w:r w:rsidR="00375961" w:rsidRPr="004E053C">
        <w:rPr>
          <w:rFonts w:cstheme="minorHAnsi"/>
          <w:sz w:val="22"/>
          <w:szCs w:val="22"/>
        </w:rPr>
        <w:fldChar w:fldCharType="begin" w:fldLock="1"/>
      </w:r>
      <w:r w:rsidR="00680892" w:rsidRPr="004E053C">
        <w:rPr>
          <w:rFonts w:cstheme="minorHAnsi"/>
          <w:sz w:val="22"/>
          <w:szCs w:val="22"/>
        </w:rPr>
        <w:instrText>ADDIN CSL_CITATION {"citationItems":[{"id":"ITEM-1","itemData":{"author":[{"dropping-particle":"","family":"Sørensen","given":"N","non-dropping-particle":"","parse-names":false,"suffix":""}],"container-title":"Work and Migration: Life and Livelihoods in a Globalizing World","editor":[{"dropping-particle":"","family":"Olwig","given":"K.F","non-dropping-particle":"","parse-names":false,"suffix":""},{"dropping-particle":"","family":"Sorensen","given":"N.N","non-dropping-particle":"","parse-names":false,"suffix":""}],"id":"ITEM-1","issued":{"date-parts":[["2002"]]},"page":"23-44","publisher":"Routledge","publisher-place":"London, UK","title":"Representing the local: mobile livelihood practices in the Peruvian Central Sierra","type":"chapter"},"uris":["http://www.mendeley.com/documents/?uuid=da5c8a60-7323-4b01-846e-4af88ae79834"]}],"mendeley":{"formattedCitation":"(Sørensen, 2002)","plainTextFormattedCitation":"(Sørensen, 2002)","previouslyFormattedCitation":"(Sørensen, 2002)"},"properties":{"noteIndex":0},"schema":"https://github.com/citation-style-language/schema/raw/master/csl-citation.json"}</w:instrText>
      </w:r>
      <w:r w:rsidR="00375961" w:rsidRPr="004E053C">
        <w:rPr>
          <w:rFonts w:cstheme="minorHAnsi"/>
          <w:sz w:val="22"/>
          <w:szCs w:val="22"/>
        </w:rPr>
        <w:fldChar w:fldCharType="separate"/>
      </w:r>
      <w:r w:rsidR="00375961" w:rsidRPr="004E053C">
        <w:rPr>
          <w:rFonts w:cstheme="minorHAnsi"/>
          <w:noProof/>
          <w:sz w:val="22"/>
          <w:szCs w:val="22"/>
        </w:rPr>
        <w:t>(Sørensen, 2002)</w:t>
      </w:r>
      <w:r w:rsidR="00375961" w:rsidRPr="004E053C">
        <w:rPr>
          <w:rFonts w:cstheme="minorHAnsi"/>
          <w:sz w:val="22"/>
          <w:szCs w:val="22"/>
        </w:rPr>
        <w:fldChar w:fldCharType="end"/>
      </w:r>
      <w:r w:rsidR="00375961" w:rsidRPr="004E053C">
        <w:rPr>
          <w:rFonts w:cstheme="minorHAnsi"/>
          <w:sz w:val="22"/>
          <w:szCs w:val="22"/>
        </w:rPr>
        <w:t xml:space="preserve">. </w:t>
      </w:r>
      <w:r w:rsidRPr="004E053C">
        <w:rPr>
          <w:rFonts w:cstheme="minorHAnsi"/>
          <w:sz w:val="22"/>
          <w:szCs w:val="22"/>
        </w:rPr>
        <w:t>Although large-scale mining occurs in the Andes and the co</w:t>
      </w:r>
      <w:r w:rsidR="001044F7" w:rsidRPr="004E053C">
        <w:rPr>
          <w:rFonts w:cstheme="minorHAnsi"/>
          <w:sz w:val="22"/>
          <w:szCs w:val="22"/>
        </w:rPr>
        <w:t>a</w:t>
      </w:r>
      <w:r w:rsidRPr="004E053C">
        <w:rPr>
          <w:rFonts w:cstheme="minorHAnsi"/>
          <w:sz w:val="22"/>
          <w:szCs w:val="22"/>
        </w:rPr>
        <w:t xml:space="preserve">st, there is </w:t>
      </w:r>
      <w:r w:rsidR="00260A59" w:rsidRPr="004E053C">
        <w:rPr>
          <w:rFonts w:cstheme="minorHAnsi"/>
          <w:sz w:val="22"/>
          <w:szCs w:val="22"/>
        </w:rPr>
        <w:t xml:space="preserve">also a </w:t>
      </w:r>
      <w:r w:rsidRPr="004E053C">
        <w:rPr>
          <w:rFonts w:cstheme="minorHAnsi"/>
          <w:sz w:val="22"/>
          <w:szCs w:val="22"/>
        </w:rPr>
        <w:t xml:space="preserve">growing presence </w:t>
      </w:r>
      <w:r w:rsidR="00260A59" w:rsidRPr="004E053C">
        <w:rPr>
          <w:rFonts w:cstheme="minorHAnsi"/>
          <w:sz w:val="22"/>
          <w:szCs w:val="22"/>
        </w:rPr>
        <w:t xml:space="preserve">of ASM </w:t>
      </w:r>
      <w:r w:rsidRPr="004E053C">
        <w:rPr>
          <w:rFonts w:cstheme="minorHAnsi"/>
          <w:sz w:val="22"/>
          <w:szCs w:val="22"/>
        </w:rPr>
        <w:t>in the Amazon</w:t>
      </w:r>
      <w:r w:rsidR="00260A59" w:rsidRPr="004E053C">
        <w:rPr>
          <w:rFonts w:cstheme="minorHAnsi"/>
          <w:sz w:val="22"/>
          <w:szCs w:val="22"/>
        </w:rPr>
        <w:t xml:space="preserve">ian region of Madre de Dios. It is on migration to mining towns and settlement in this region that this study focuses. </w:t>
      </w:r>
      <w:r w:rsidR="001044F7" w:rsidRPr="004E053C">
        <w:rPr>
          <w:rFonts w:eastAsia="Times New Roman" w:cstheme="minorHAnsi"/>
          <w:color w:val="000000"/>
          <w:sz w:val="22"/>
          <w:szCs w:val="22"/>
          <w:shd w:val="clear" w:color="auto" w:fill="FFFFFF"/>
        </w:rPr>
        <w:t xml:space="preserve">Peru has </w:t>
      </w:r>
      <w:r w:rsidR="00375961" w:rsidRPr="004E053C">
        <w:rPr>
          <w:rFonts w:eastAsia="Times New Roman" w:cstheme="minorHAnsi"/>
          <w:color w:val="000000"/>
          <w:sz w:val="22"/>
          <w:szCs w:val="22"/>
          <w:shd w:val="clear" w:color="auto" w:fill="FFFFFF"/>
        </w:rPr>
        <w:t>strong ethnic diversity due to</w:t>
      </w:r>
      <w:r w:rsidR="001044F7" w:rsidRPr="004E053C">
        <w:rPr>
          <w:rFonts w:eastAsia="Times New Roman" w:cstheme="minorHAnsi"/>
          <w:color w:val="000000"/>
          <w:sz w:val="22"/>
          <w:szCs w:val="22"/>
          <w:shd w:val="clear" w:color="auto" w:fill="FFFFFF"/>
        </w:rPr>
        <w:t xml:space="preserve"> centuries of migration and is also extremely biodiverse. </w:t>
      </w:r>
      <w:r w:rsidRPr="004E053C">
        <w:rPr>
          <w:rFonts w:eastAsia="Times New Roman" w:cstheme="minorHAnsi"/>
          <w:color w:val="000000"/>
          <w:sz w:val="22"/>
          <w:szCs w:val="22"/>
          <w:shd w:val="clear" w:color="auto" w:fill="FFFFFF"/>
        </w:rPr>
        <w:t xml:space="preserve">Thus, while it is also home to a </w:t>
      </w:r>
      <w:r w:rsidR="00C66190" w:rsidRPr="004E053C">
        <w:rPr>
          <w:rFonts w:eastAsia="Times New Roman" w:cstheme="minorHAnsi"/>
          <w:color w:val="000000"/>
          <w:sz w:val="22"/>
          <w:szCs w:val="22"/>
          <w:shd w:val="clear" w:color="auto" w:fill="FFFFFF"/>
        </w:rPr>
        <w:t>wealth</w:t>
      </w:r>
      <w:r w:rsidRPr="004E053C">
        <w:rPr>
          <w:rFonts w:eastAsia="Times New Roman" w:cstheme="minorHAnsi"/>
          <w:color w:val="000000"/>
          <w:sz w:val="22"/>
          <w:szCs w:val="22"/>
          <w:shd w:val="clear" w:color="auto" w:fill="FFFFFF"/>
        </w:rPr>
        <w:t xml:space="preserve"> of mineral and gas resources, the extraction of both has massive implications for this delicate environment.</w:t>
      </w:r>
    </w:p>
    <w:p w14:paraId="0638931C" w14:textId="77777777" w:rsidR="00375961" w:rsidRPr="004E053C" w:rsidRDefault="00375961" w:rsidP="004E053C">
      <w:pPr>
        <w:spacing w:line="360" w:lineRule="auto"/>
        <w:jc w:val="both"/>
        <w:rPr>
          <w:rFonts w:eastAsia="Times New Roman" w:cstheme="minorHAnsi"/>
          <w:color w:val="000000"/>
          <w:sz w:val="22"/>
          <w:szCs w:val="22"/>
          <w:shd w:val="clear" w:color="auto" w:fill="FFFFFF"/>
        </w:rPr>
      </w:pPr>
    </w:p>
    <w:p w14:paraId="43704275" w14:textId="66F844EF" w:rsidR="00375961" w:rsidRPr="004E053C" w:rsidRDefault="00375961" w:rsidP="004E053C">
      <w:pPr>
        <w:spacing w:line="360" w:lineRule="auto"/>
        <w:jc w:val="both"/>
        <w:rPr>
          <w:rFonts w:eastAsia="Times New Roman" w:cstheme="minorHAnsi"/>
          <w:color w:val="000000"/>
          <w:sz w:val="22"/>
          <w:szCs w:val="22"/>
          <w:shd w:val="clear" w:color="auto" w:fill="FFFFFF"/>
        </w:rPr>
      </w:pPr>
      <w:r w:rsidRPr="004E053C">
        <w:rPr>
          <w:rFonts w:eastAsia="Times New Roman" w:cstheme="minorHAnsi"/>
          <w:color w:val="000000"/>
          <w:sz w:val="22"/>
          <w:szCs w:val="22"/>
          <w:shd w:val="clear" w:color="auto" w:fill="FFFFFF"/>
        </w:rPr>
        <w:t>This chapter will introduce the Peruvian context in mor</w:t>
      </w:r>
      <w:r w:rsidR="00B329B2" w:rsidRPr="004E053C">
        <w:rPr>
          <w:rFonts w:eastAsia="Times New Roman" w:cstheme="minorHAnsi"/>
          <w:color w:val="000000"/>
          <w:sz w:val="22"/>
          <w:szCs w:val="22"/>
          <w:shd w:val="clear" w:color="auto" w:fill="FFFFFF"/>
        </w:rPr>
        <w:t>e detail, providing background a</w:t>
      </w:r>
      <w:r w:rsidR="00260A59" w:rsidRPr="004E053C">
        <w:rPr>
          <w:rFonts w:eastAsia="Times New Roman" w:cstheme="minorHAnsi"/>
          <w:color w:val="000000"/>
          <w:sz w:val="22"/>
          <w:szCs w:val="22"/>
          <w:shd w:val="clear" w:color="auto" w:fill="FFFFFF"/>
        </w:rPr>
        <w:t>nd context to the research that is to be presented in the following chapters</w:t>
      </w:r>
      <w:r w:rsidR="00B329B2" w:rsidRPr="004E053C">
        <w:rPr>
          <w:rFonts w:eastAsia="Times New Roman" w:cstheme="minorHAnsi"/>
          <w:color w:val="000000"/>
          <w:sz w:val="22"/>
          <w:szCs w:val="22"/>
          <w:shd w:val="clear" w:color="auto" w:fill="FFFFFF"/>
        </w:rPr>
        <w:t xml:space="preserve">. Given the importance of the economy to any discussion on extractive industries, I start by providing a brief economic history of Peru. This highlights the centrality of trade to Peru’s economic fortunes, detailing the country’s move from policies of </w:t>
      </w:r>
      <w:r w:rsidR="00277027">
        <w:rPr>
          <w:rFonts w:eastAsia="Times New Roman" w:cstheme="minorHAnsi"/>
          <w:color w:val="000000"/>
          <w:sz w:val="22"/>
          <w:szCs w:val="22"/>
          <w:shd w:val="clear" w:color="auto" w:fill="FFFFFF"/>
        </w:rPr>
        <w:t>import substitution to liberalis</w:t>
      </w:r>
      <w:r w:rsidR="00B329B2" w:rsidRPr="004E053C">
        <w:rPr>
          <w:rFonts w:eastAsia="Times New Roman" w:cstheme="minorHAnsi"/>
          <w:color w:val="000000"/>
          <w:sz w:val="22"/>
          <w:szCs w:val="22"/>
          <w:shd w:val="clear" w:color="auto" w:fill="FFFFFF"/>
        </w:rPr>
        <w:t>ation. I then take a more human focus, discussing the structur</w:t>
      </w:r>
      <w:r w:rsidR="00277027">
        <w:rPr>
          <w:rFonts w:eastAsia="Times New Roman" w:cstheme="minorHAnsi"/>
          <w:color w:val="000000"/>
          <w:sz w:val="22"/>
          <w:szCs w:val="22"/>
          <w:shd w:val="clear" w:color="auto" w:fill="FFFFFF"/>
        </w:rPr>
        <w:t>al inequalities that characteris</w:t>
      </w:r>
      <w:r w:rsidR="00B329B2" w:rsidRPr="004E053C">
        <w:rPr>
          <w:rFonts w:eastAsia="Times New Roman" w:cstheme="minorHAnsi"/>
          <w:color w:val="000000"/>
          <w:sz w:val="22"/>
          <w:szCs w:val="22"/>
          <w:shd w:val="clear" w:color="auto" w:fill="FFFFFF"/>
        </w:rPr>
        <w:t xml:space="preserve">e the population and how this is tied to patterns of migration. These ethnic tensions contributed to years of civil unrest perpetrated by </w:t>
      </w:r>
      <w:r w:rsidR="00B329B2" w:rsidRPr="004E053C">
        <w:rPr>
          <w:rFonts w:eastAsia="Times New Roman" w:cstheme="minorHAnsi"/>
          <w:i/>
          <w:color w:val="000000"/>
          <w:sz w:val="22"/>
          <w:szCs w:val="22"/>
          <w:shd w:val="clear" w:color="auto" w:fill="FFFFFF"/>
        </w:rPr>
        <w:t>Sendero Luminoso,</w:t>
      </w:r>
      <w:r w:rsidR="00B329B2" w:rsidRPr="004E053C">
        <w:rPr>
          <w:rFonts w:eastAsia="Times New Roman" w:cstheme="minorHAnsi"/>
          <w:color w:val="000000"/>
          <w:sz w:val="22"/>
          <w:szCs w:val="22"/>
          <w:shd w:val="clear" w:color="auto" w:fill="FFFFFF"/>
        </w:rPr>
        <w:t xml:space="preserve"> and details of this conflict and its legac</w:t>
      </w:r>
      <w:r w:rsidR="00260A59" w:rsidRPr="004E053C">
        <w:rPr>
          <w:rFonts w:eastAsia="Times New Roman" w:cstheme="minorHAnsi"/>
          <w:color w:val="000000"/>
          <w:sz w:val="22"/>
          <w:szCs w:val="22"/>
          <w:shd w:val="clear" w:color="auto" w:fill="FFFFFF"/>
        </w:rPr>
        <w:t>y and elaborated on in section 4</w:t>
      </w:r>
      <w:r w:rsidR="00B329B2" w:rsidRPr="004E053C">
        <w:rPr>
          <w:rFonts w:eastAsia="Times New Roman" w:cstheme="minorHAnsi"/>
          <w:color w:val="000000"/>
          <w:sz w:val="22"/>
          <w:szCs w:val="22"/>
          <w:shd w:val="clear" w:color="auto" w:fill="FFFFFF"/>
        </w:rPr>
        <w:t>. I then focus in on the mining sector in Peru, looking at the history of extractive industries, the more contemporary affects of neoliberalism and the recent growth in ASM. Finally, this chapter concludes with a focus on resistance. While collective resistance has long been a feature of Peruvia</w:t>
      </w:r>
      <w:r w:rsidR="00484C52" w:rsidRPr="004E053C">
        <w:rPr>
          <w:rFonts w:eastAsia="Times New Roman" w:cstheme="minorHAnsi"/>
          <w:color w:val="000000"/>
          <w:sz w:val="22"/>
          <w:szCs w:val="22"/>
          <w:shd w:val="clear" w:color="auto" w:fill="FFFFFF"/>
        </w:rPr>
        <w:t xml:space="preserve">n society, it has </w:t>
      </w:r>
      <w:r w:rsidR="00484C52" w:rsidRPr="004E053C">
        <w:rPr>
          <w:rFonts w:eastAsia="Times New Roman" w:cstheme="minorHAnsi"/>
          <w:sz w:val="22"/>
          <w:szCs w:val="22"/>
          <w:shd w:val="clear" w:color="auto" w:fill="FFFFFF"/>
        </w:rPr>
        <w:t>had a particularly strong resurgence in recent years in response to mineral and natural gas extraction</w:t>
      </w:r>
      <w:r w:rsidR="00260A59" w:rsidRPr="004E053C">
        <w:rPr>
          <w:rFonts w:eastAsia="Times New Roman" w:cstheme="minorHAnsi"/>
          <w:sz w:val="22"/>
          <w:szCs w:val="22"/>
          <w:shd w:val="clear" w:color="auto" w:fill="FFFFFF"/>
        </w:rPr>
        <w:t xml:space="preserve">, and is thus highly relevant to this research. </w:t>
      </w:r>
    </w:p>
    <w:p w14:paraId="44B25F91" w14:textId="77777777" w:rsidR="00375961" w:rsidRPr="004E053C" w:rsidRDefault="00375961" w:rsidP="004E053C">
      <w:pPr>
        <w:spacing w:line="360" w:lineRule="auto"/>
        <w:jc w:val="both"/>
        <w:rPr>
          <w:rFonts w:eastAsia="Times New Roman" w:cstheme="minorHAnsi"/>
          <w:color w:val="000000"/>
          <w:sz w:val="22"/>
          <w:szCs w:val="22"/>
          <w:shd w:val="clear" w:color="auto" w:fill="FFFFFF"/>
        </w:rPr>
      </w:pPr>
    </w:p>
    <w:p w14:paraId="0A090815" w14:textId="392D8220" w:rsidR="00375961" w:rsidRPr="004E053C" w:rsidRDefault="00502226" w:rsidP="004E053C">
      <w:pPr>
        <w:pStyle w:val="Heading2"/>
        <w:spacing w:before="0" w:line="360" w:lineRule="auto"/>
        <w:jc w:val="both"/>
      </w:pPr>
      <w:bookmarkStart w:id="35" w:name="_Toc33293084"/>
      <w:r w:rsidRPr="004E053C">
        <w:t>3.</w:t>
      </w:r>
      <w:r w:rsidR="004E5F90" w:rsidRPr="004E053C">
        <w:t>2. Economic b</w:t>
      </w:r>
      <w:r w:rsidR="00375961" w:rsidRPr="004E053C">
        <w:t>ackground</w:t>
      </w:r>
      <w:bookmarkEnd w:id="35"/>
    </w:p>
    <w:p w14:paraId="5027420A" w14:textId="77777777" w:rsidR="00375961" w:rsidRPr="004E053C" w:rsidRDefault="00375961" w:rsidP="004E053C">
      <w:pPr>
        <w:spacing w:line="360" w:lineRule="auto"/>
        <w:jc w:val="both"/>
        <w:rPr>
          <w:rFonts w:eastAsia="Times New Roman" w:cstheme="minorHAnsi"/>
          <w:sz w:val="22"/>
          <w:szCs w:val="22"/>
        </w:rPr>
      </w:pPr>
    </w:p>
    <w:p w14:paraId="6E197347" w14:textId="66FA193C" w:rsidR="00484C52" w:rsidRPr="004E053C" w:rsidRDefault="00484C52" w:rsidP="004E053C">
      <w:pPr>
        <w:spacing w:line="360" w:lineRule="auto"/>
        <w:jc w:val="both"/>
        <w:rPr>
          <w:rFonts w:eastAsia="Times New Roman" w:cstheme="minorHAnsi"/>
          <w:sz w:val="22"/>
          <w:szCs w:val="22"/>
        </w:rPr>
      </w:pPr>
      <w:r w:rsidRPr="004E053C">
        <w:rPr>
          <w:rFonts w:eastAsia="Times New Roman" w:cstheme="minorHAnsi"/>
          <w:sz w:val="22"/>
          <w:szCs w:val="22"/>
        </w:rPr>
        <w:t>Peru’s economy is highly reliant on extractive</w:t>
      </w:r>
      <w:r w:rsidR="009B0F5A" w:rsidRPr="004E053C">
        <w:rPr>
          <w:rFonts w:eastAsia="Times New Roman" w:cstheme="minorHAnsi"/>
          <w:sz w:val="22"/>
          <w:szCs w:val="22"/>
        </w:rPr>
        <w:t xml:space="preserve"> industries </w:t>
      </w:r>
      <w:r w:rsidRPr="004E053C">
        <w:rPr>
          <w:rFonts w:eastAsia="Times New Roman" w:cstheme="minorHAnsi"/>
          <w:sz w:val="22"/>
          <w:szCs w:val="22"/>
        </w:rPr>
        <w:t>and the economic policies pursued by governments have had a profound impact on the rate and method through</w:t>
      </w:r>
      <w:r w:rsidR="009B0F5A" w:rsidRPr="004E053C">
        <w:rPr>
          <w:rFonts w:eastAsia="Times New Roman" w:cstheme="minorHAnsi"/>
          <w:sz w:val="22"/>
          <w:szCs w:val="22"/>
        </w:rPr>
        <w:t xml:space="preserve"> which resources are extracted. Throughout it’s history as an independent country, these policies have changed dramatically, and a brief background of these changes over time is crucial foregrounding for research on Peruvian extractives. </w:t>
      </w:r>
    </w:p>
    <w:p w14:paraId="642D96BF" w14:textId="77777777" w:rsidR="0078143E" w:rsidRPr="004E053C" w:rsidRDefault="0078143E" w:rsidP="004E053C">
      <w:pPr>
        <w:spacing w:line="360" w:lineRule="auto"/>
        <w:jc w:val="both"/>
        <w:rPr>
          <w:rFonts w:eastAsia="Times New Roman" w:cstheme="minorHAnsi"/>
          <w:sz w:val="22"/>
          <w:szCs w:val="22"/>
        </w:rPr>
      </w:pPr>
    </w:p>
    <w:p w14:paraId="0D1D4769" w14:textId="73E24B35" w:rsidR="00375961" w:rsidRPr="004E053C" w:rsidRDefault="00502226" w:rsidP="004E053C">
      <w:pPr>
        <w:pStyle w:val="Heading3"/>
        <w:rPr>
          <w:rFonts w:asciiTheme="minorHAnsi" w:hAnsiTheme="minorHAnsi"/>
        </w:rPr>
      </w:pPr>
      <w:r w:rsidRPr="004E053C">
        <w:rPr>
          <w:rFonts w:asciiTheme="minorHAnsi" w:hAnsiTheme="minorHAnsi"/>
        </w:rPr>
        <w:t>3.</w:t>
      </w:r>
      <w:r w:rsidR="004E5F90" w:rsidRPr="004E053C">
        <w:rPr>
          <w:rFonts w:asciiTheme="minorHAnsi" w:hAnsiTheme="minorHAnsi"/>
        </w:rPr>
        <w:t>2.1. Trade and import s</w:t>
      </w:r>
      <w:r w:rsidR="00375961" w:rsidRPr="004E053C">
        <w:rPr>
          <w:rFonts w:asciiTheme="minorHAnsi" w:hAnsiTheme="minorHAnsi"/>
        </w:rPr>
        <w:t>ubstitution</w:t>
      </w:r>
    </w:p>
    <w:p w14:paraId="37494F74" w14:textId="77777777" w:rsidR="00375961" w:rsidRPr="004E053C" w:rsidRDefault="00375961" w:rsidP="004E053C">
      <w:pPr>
        <w:spacing w:line="360" w:lineRule="auto"/>
        <w:jc w:val="both"/>
        <w:rPr>
          <w:rFonts w:eastAsia="Times New Roman" w:cstheme="minorHAnsi"/>
          <w:b/>
          <w:sz w:val="22"/>
          <w:szCs w:val="22"/>
        </w:rPr>
      </w:pPr>
      <w:r w:rsidRPr="004E053C">
        <w:rPr>
          <w:rFonts w:eastAsia="Times New Roman" w:cstheme="minorHAnsi"/>
          <w:b/>
          <w:sz w:val="22"/>
          <w:szCs w:val="22"/>
        </w:rPr>
        <w:t xml:space="preserve"> </w:t>
      </w:r>
    </w:p>
    <w:p w14:paraId="1279D37C" w14:textId="35B24DEB"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 xml:space="preserve">Exports are a corner stone of Peruvian economic development and have ensured its integration into the world </w:t>
      </w:r>
      <w:r w:rsidR="003A08B7" w:rsidRPr="004E053C">
        <w:rPr>
          <w:rFonts w:eastAsia="Times New Roman" w:cstheme="minorHAnsi"/>
          <w:sz w:val="22"/>
          <w:szCs w:val="22"/>
        </w:rPr>
        <w:t xml:space="preserve">economy </w:t>
      </w:r>
      <w:r w:rsidR="00EB10C1" w:rsidRPr="004E053C">
        <w:rPr>
          <w:rFonts w:eastAsia="Times New Roman" w:cstheme="minorHAnsi"/>
          <w:sz w:val="22"/>
          <w:szCs w:val="22"/>
        </w:rPr>
        <w:fldChar w:fldCharType="begin" w:fldLock="1"/>
      </w:r>
      <w:r w:rsidR="00EB10C1" w:rsidRPr="004E053C">
        <w:rPr>
          <w:rFonts w:eastAsia="Times New Roman"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1984)","manualFormatting":"(Long &amp; Roberts, 1984)","plainTextFormattedCitation":"(Norman Long &amp; Roberts, 1984)","previouslyFormattedCitation":"(Norman Long &amp; Roberts, 1984)"},"properties":{"noteIndex":0},"schema":"https://github.com/citation-style-language/schema/raw/master/csl-citation.json"}</w:instrText>
      </w:r>
      <w:r w:rsidR="00EB10C1" w:rsidRPr="004E053C">
        <w:rPr>
          <w:rFonts w:eastAsia="Times New Roman" w:cstheme="minorHAnsi"/>
          <w:sz w:val="22"/>
          <w:szCs w:val="22"/>
        </w:rPr>
        <w:fldChar w:fldCharType="separate"/>
      </w:r>
      <w:r w:rsidR="00EB10C1" w:rsidRPr="004E053C">
        <w:rPr>
          <w:rFonts w:eastAsia="Times New Roman" w:cstheme="minorHAnsi"/>
          <w:noProof/>
          <w:sz w:val="22"/>
          <w:szCs w:val="22"/>
        </w:rPr>
        <w:t>(Long &amp; Roberts, 1984)</w:t>
      </w:r>
      <w:r w:rsidR="00EB10C1" w:rsidRPr="004E053C">
        <w:rPr>
          <w:rFonts w:eastAsia="Times New Roman" w:cstheme="minorHAnsi"/>
          <w:sz w:val="22"/>
          <w:szCs w:val="22"/>
        </w:rPr>
        <w:fldChar w:fldCharType="end"/>
      </w:r>
      <w:r w:rsidRPr="004E053C">
        <w:rPr>
          <w:rFonts w:eastAsia="Times New Roman" w:cstheme="minorHAnsi"/>
          <w:sz w:val="22"/>
          <w:szCs w:val="22"/>
        </w:rPr>
        <w:t>. Over the years, trade policy has swung between protectionism and</w:t>
      </w:r>
      <w:r w:rsidR="00176FEF">
        <w:rPr>
          <w:rFonts w:eastAsia="Times New Roman" w:cstheme="minorHAnsi"/>
          <w:sz w:val="22"/>
          <w:szCs w:val="22"/>
        </w:rPr>
        <w:t xml:space="preserve"> free trade. The initially high </w:t>
      </w:r>
      <w:r w:rsidRPr="004E053C">
        <w:rPr>
          <w:rFonts w:eastAsia="Times New Roman" w:cstheme="minorHAnsi"/>
          <w:sz w:val="22"/>
          <w:szCs w:val="22"/>
        </w:rPr>
        <w:t xml:space="preserve">tariffs of the pre-independence era gave way to free trade at the turn of the century </w:t>
      </w:r>
      <w:r w:rsidR="00EB10C1" w:rsidRPr="004E053C">
        <w:rPr>
          <w:rFonts w:eastAsia="Times New Roman" w:cstheme="minorHAnsi"/>
          <w:sz w:val="22"/>
          <w:szCs w:val="22"/>
        </w:rPr>
        <w:fldChar w:fldCharType="begin" w:fldLock="1"/>
      </w:r>
      <w:r w:rsidR="00EB10C1" w:rsidRPr="004E053C">
        <w:rPr>
          <w:rFonts w:eastAsia="Times New Roman" w:cstheme="minorHAnsi"/>
          <w:sz w:val="22"/>
          <w:szCs w:val="22"/>
        </w:rPr>
        <w:instrText>ADDIN CSL_CITATION {"citationItems":[{"id":"ITEM-1","itemData":{"author":[{"dropping-particle":"","family":"Coatsworth","given":"J.H.","non-dropping-particle":"","parse-names":false,"suffix":""},{"dropping-particle":"","family":"Williamson","given":"J","non-dropping-particle":"","parse-names":false,"suffix":""}],"container-title":"Journal of Latin American Studies","id":"ITEM-1","issue":"2","issued":{"date-parts":[["2004"]]},"page":"205-232","title":"Always protectionist? Latin American tariffs from independence to Great Depression","type":"article-journal","volume":"36"},"uris":["http://www.mendeley.com/documents/?uuid=475725a1-2380-403a-8a39-f758319746bc"]}],"mendeley":{"formattedCitation":"(Coatsworth &amp; Williamson, 2004)","plainTextFormattedCitation":"(Coatsworth &amp; Williamson, 2004)","previouslyFormattedCitation":"(Coatsworth &amp; Williamson, 2004)"},"properties":{"noteIndex":0},"schema":"https://github.com/citation-style-language/schema/raw/master/csl-citation.json"}</w:instrText>
      </w:r>
      <w:r w:rsidR="00EB10C1" w:rsidRPr="004E053C">
        <w:rPr>
          <w:rFonts w:eastAsia="Times New Roman" w:cstheme="minorHAnsi"/>
          <w:sz w:val="22"/>
          <w:szCs w:val="22"/>
        </w:rPr>
        <w:fldChar w:fldCharType="separate"/>
      </w:r>
      <w:r w:rsidR="00EB10C1" w:rsidRPr="004E053C">
        <w:rPr>
          <w:rFonts w:eastAsia="Times New Roman" w:cstheme="minorHAnsi"/>
          <w:noProof/>
          <w:sz w:val="22"/>
          <w:szCs w:val="22"/>
        </w:rPr>
        <w:t>(Coatsworth &amp; Williamson, 2004)</w:t>
      </w:r>
      <w:r w:rsidR="00EB10C1" w:rsidRPr="004E053C">
        <w:rPr>
          <w:rFonts w:eastAsia="Times New Roman" w:cstheme="minorHAnsi"/>
          <w:sz w:val="22"/>
          <w:szCs w:val="22"/>
        </w:rPr>
        <w:fldChar w:fldCharType="end"/>
      </w:r>
      <w:r w:rsidRPr="004E053C">
        <w:rPr>
          <w:rFonts w:eastAsia="Times New Roman" w:cstheme="minorHAnsi"/>
          <w:sz w:val="22"/>
          <w:szCs w:val="22"/>
        </w:rPr>
        <w:t xml:space="preserve"> before going up again after the Great Depression. However, in the later 1960s, Peru adopted the Import Substitution (IS) policies that had been implemented around much of Latin America </w:t>
      </w:r>
      <w:r w:rsidR="00EB10C1" w:rsidRPr="004E053C">
        <w:rPr>
          <w:rFonts w:eastAsia="Times New Roman" w:cstheme="minorHAnsi"/>
          <w:sz w:val="22"/>
          <w:szCs w:val="22"/>
        </w:rPr>
        <w:fldChar w:fldCharType="begin" w:fldLock="1"/>
      </w:r>
      <w:r w:rsidR="00BB0F8C" w:rsidRPr="004E053C">
        <w:rPr>
          <w:rFonts w:eastAsia="Times New Roman"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EB10C1" w:rsidRPr="004E053C">
        <w:rPr>
          <w:rFonts w:eastAsia="Times New Roman" w:cstheme="minorHAnsi"/>
          <w:sz w:val="22"/>
          <w:szCs w:val="22"/>
        </w:rPr>
        <w:fldChar w:fldCharType="separate"/>
      </w:r>
      <w:r w:rsidR="00EB10C1" w:rsidRPr="004E053C">
        <w:rPr>
          <w:rFonts w:eastAsia="Times New Roman" w:cstheme="minorHAnsi"/>
          <w:noProof/>
          <w:sz w:val="22"/>
          <w:szCs w:val="22"/>
        </w:rPr>
        <w:t>(Orihuela, 2012)</w:t>
      </w:r>
      <w:r w:rsidR="00EB10C1" w:rsidRPr="004E053C">
        <w:rPr>
          <w:rFonts w:eastAsia="Times New Roman" w:cstheme="minorHAnsi"/>
          <w:sz w:val="22"/>
          <w:szCs w:val="22"/>
        </w:rPr>
        <w:fldChar w:fldCharType="end"/>
      </w:r>
      <w:r w:rsidRPr="004E053C">
        <w:rPr>
          <w:rFonts w:eastAsia="Times New Roman" w:cstheme="minorHAnsi"/>
          <w:sz w:val="22"/>
          <w:szCs w:val="22"/>
        </w:rPr>
        <w:t xml:space="preserve">. These were designed to </w:t>
      </w:r>
      <w:r w:rsidRPr="004E053C">
        <w:rPr>
          <w:rFonts w:cstheme="minorHAnsi"/>
          <w:sz w:val="22"/>
          <w:szCs w:val="22"/>
        </w:rPr>
        <w:t xml:space="preserve">limit foreign trade and investment and instead build the national industrial capacity to replace reliance on foreign imports </w:t>
      </w:r>
      <w:r w:rsidR="00A65956" w:rsidRPr="004E053C">
        <w:rPr>
          <w:rFonts w:cstheme="minorHAnsi"/>
          <w:sz w:val="22"/>
          <w:szCs w:val="22"/>
        </w:rPr>
        <w:fldChar w:fldCharType="begin" w:fldLock="1"/>
      </w:r>
      <w:r w:rsidR="002F0CEA">
        <w:rPr>
          <w:rFonts w:cstheme="minorHAnsi"/>
          <w:sz w:val="22"/>
          <w:szCs w:val="22"/>
        </w:rPr>
        <w:instrText>ADDIN CSL_CITATION {"citationItems":[{"id":"ITEM-1","itemData":{"author":[{"dropping-particle":"","family":"Green","given":"D","non-dropping-particle":"","parse-names":false,"suffix":""}],"id":"ITEM-1","issued":{"date-parts":[["2003"]]},"publisher":"Latin American Bureau and Cassell","publisher-place":"London, UK","title":"The Silent Revolution: The Rise of Market Economics in Latin America","type":"book"},"uris":["http://www.mendeley.com/documents/?uuid=33a4281c-9bd8-4912-9a5c-362e0ea5df17"]},{"id":"ITEM-2","itemData":{"author":[{"dropping-particle":"","family":"Green","given":"D","non-dropping-particle":"","parse-names":false,"suffix":""}],"container-title":"Developments in Latin American Political Economy: States, Markets and Actors","id":"ITEM-2","issued":{"date-parts":[["1999"]]},"page":"13-32","publisher":"Manchester University Press","publisher-place":"Manchester, UK","title":"A trip to the market: the impact of neoliberalism in Latin America","type":"chapter"},"uris":["http://www.mendeley.com/documents/?uuid=fc1f3622-9a9c-4fc4-b564-a666921e29fa"]},{"id":"ITEM-3","itemData":{"abstract":"This review article synthesizes research findings which demonstrate that mining in the Andes is transforming local livelihoods by changing water quality and quantity and land tenure practices upon which traditional livelihoods depend, as well as by generating new employment opportunities in mining communities. I argue that research on livelihood change in Andean mining communities would be enriched by 1) a deeper attendance to the gendered, raced, and classed nature of these changes and 2) the disaggregation of different mining management regimes (e.g. state-run, privately-run, cooperative-run) to allow for comparisons of the livelihood impacts between them.","author":[{"dropping-particle":"","family":"Brain","given":"Kelsey A.","non-dropping-particle":"","parse-names":false,"suffix":""}],"container-title":"Extractive Industries and Society","id":"ITEM-3","issue":"2","issued":{"date-parts":[["2017"]]},"page":"410-418","publisher":"Elsevier Ltd.","title":"The impacts of mining on livelihoods in the Andes: a critical overview","type":"article-journal","volume":"4"},"uris":["http://www.mendeley.com/documents/?uuid=ec00d2a6-d618-4c51-88cd-2ef762c1aea2"]}],"mendeley":{"formattedCitation":"(Brain, 2017; Green, 1999, 2003)","plainTextFormattedCitation":"(Brain, 2017; Green, 1999, 2003)","previouslyFormattedCitation":"(Brain, 2017; Green, 1999, 2003)"},"properties":{"noteIndex":0},"schema":"https://github.com/citation-style-language/schema/raw/master/csl-citation.json"}</w:instrText>
      </w:r>
      <w:r w:rsidR="00A65956" w:rsidRPr="004E053C">
        <w:rPr>
          <w:rFonts w:cstheme="minorHAnsi"/>
          <w:sz w:val="22"/>
          <w:szCs w:val="22"/>
        </w:rPr>
        <w:fldChar w:fldCharType="separate"/>
      </w:r>
      <w:r w:rsidR="00A65956" w:rsidRPr="004E053C">
        <w:rPr>
          <w:rFonts w:cstheme="minorHAnsi"/>
          <w:noProof/>
          <w:sz w:val="22"/>
          <w:szCs w:val="22"/>
        </w:rPr>
        <w:t>(Brain, 2017; Green, 1999, 2003)</w:t>
      </w:r>
      <w:r w:rsidR="00A65956" w:rsidRPr="004E053C">
        <w:rPr>
          <w:rFonts w:cstheme="minorHAnsi"/>
          <w:sz w:val="22"/>
          <w:szCs w:val="22"/>
        </w:rPr>
        <w:fldChar w:fldCharType="end"/>
      </w:r>
      <w:r w:rsidR="00A65956" w:rsidRPr="004E053C">
        <w:rPr>
          <w:rFonts w:cstheme="minorHAnsi"/>
          <w:sz w:val="22"/>
          <w:szCs w:val="22"/>
        </w:rPr>
        <w:t>.</w:t>
      </w:r>
      <w:r w:rsidRPr="004E053C">
        <w:rPr>
          <w:rFonts w:eastAsia="Times New Roman" w:cstheme="minorHAnsi"/>
          <w:sz w:val="22"/>
          <w:szCs w:val="22"/>
        </w:rPr>
        <w:t xml:space="preserve"> </w:t>
      </w:r>
    </w:p>
    <w:p w14:paraId="66B2F451" w14:textId="77777777" w:rsidR="00375961" w:rsidRPr="004E053C" w:rsidRDefault="00375961" w:rsidP="004E053C">
      <w:pPr>
        <w:spacing w:line="360" w:lineRule="auto"/>
        <w:jc w:val="both"/>
        <w:rPr>
          <w:rFonts w:eastAsia="Times New Roman" w:cstheme="minorHAnsi"/>
          <w:sz w:val="22"/>
          <w:szCs w:val="22"/>
        </w:rPr>
      </w:pPr>
    </w:p>
    <w:p w14:paraId="7A53B112" w14:textId="2750AD5F"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Initially IS proved to be somewhat successful, providing new capital and enhanced national industry. However, by the start of the 1980s, like many Latin American countries, Peru was suffering from hyperinflation and poor economic growth</w:t>
      </w:r>
      <w:r w:rsidR="001044F7" w:rsidRPr="004E053C">
        <w:rPr>
          <w:rFonts w:eastAsia="Times New Roman" w:cstheme="minorHAnsi"/>
          <w:sz w:val="22"/>
          <w:szCs w:val="22"/>
        </w:rPr>
        <w:t xml:space="preserve"> </w:t>
      </w:r>
      <w:r w:rsidR="001044F7" w:rsidRPr="004E053C">
        <w:rPr>
          <w:rFonts w:eastAsia="Times New Roman" w:cstheme="minorHAnsi"/>
          <w:sz w:val="22"/>
          <w:szCs w:val="22"/>
        </w:rPr>
        <w:fldChar w:fldCharType="begin" w:fldLock="1"/>
      </w:r>
      <w:r w:rsidR="00ED1093" w:rsidRPr="004E053C">
        <w:rPr>
          <w:rFonts w:eastAsia="Times New Roman"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2013)","plainTextFormattedCitation":"(Bebbington &amp; Bury, 2013)","previouslyFormattedCitation":"(Bebbington &amp; Bury, 2013)"},"properties":{"noteIndex":0},"schema":"https://github.com/citation-style-language/schema/raw/master/csl-citation.json"}</w:instrText>
      </w:r>
      <w:r w:rsidR="001044F7" w:rsidRPr="004E053C">
        <w:rPr>
          <w:rFonts w:eastAsia="Times New Roman" w:cstheme="minorHAnsi"/>
          <w:sz w:val="22"/>
          <w:szCs w:val="22"/>
        </w:rPr>
        <w:fldChar w:fldCharType="separate"/>
      </w:r>
      <w:r w:rsidR="001044F7" w:rsidRPr="004E053C">
        <w:rPr>
          <w:rFonts w:eastAsia="Times New Roman" w:cstheme="minorHAnsi"/>
          <w:noProof/>
          <w:sz w:val="22"/>
          <w:szCs w:val="22"/>
        </w:rPr>
        <w:t>(Bebbington &amp; Bury, 2013)</w:t>
      </w:r>
      <w:r w:rsidR="001044F7" w:rsidRPr="004E053C">
        <w:rPr>
          <w:rFonts w:eastAsia="Times New Roman" w:cstheme="minorHAnsi"/>
          <w:sz w:val="22"/>
          <w:szCs w:val="22"/>
        </w:rPr>
        <w:fldChar w:fldCharType="end"/>
      </w:r>
      <w:r w:rsidR="001044F7" w:rsidRPr="004E053C">
        <w:rPr>
          <w:rFonts w:eastAsia="Times New Roman" w:cstheme="minorHAnsi"/>
          <w:sz w:val="22"/>
          <w:szCs w:val="22"/>
        </w:rPr>
        <w:t>. I</w:t>
      </w:r>
      <w:r w:rsidRPr="004E053C">
        <w:rPr>
          <w:rFonts w:eastAsia="Times New Roman" w:cstheme="minorHAnsi"/>
          <w:sz w:val="22"/>
          <w:szCs w:val="22"/>
        </w:rPr>
        <w:t xml:space="preserve">mport substitution was blamed for the falling GDP, massive annual inflation and extremely low employment rates </w:t>
      </w:r>
      <w:r w:rsidR="004B4C46"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Glewwe","given":"Paul","non-dropping-particle":"","parse-names":false,"suffix":""},{"dropping-particle":"","family":"Tray","given":"Dennis","non-dropping-particle":"de","parse-names":false,"suffix":""}],"container-title":"Economic Development and Cultural Change","id":"ITEM-1","issue":"1","issued":{"date-parts":[["1991"]]},"page":"27-54","title":"The poor in Latin America during adjustment: a case study of Peru","type":"article-journal","volume":"40"},"uris":["http://www.mendeley.com/documents/?uuid=408761fd-3b2b-4022-a621-c901da74089e"]},{"id":"ITEM-2","itemData":{"author":[{"dropping-particle":"","family":"Elias","given":"Lidia","non-dropping-particle":"","parse-names":false,"suffix":""}],"id":"ITEM-2","issued":{"date-parts":[["1991"]]},"publisher-place":"Lima, Peru","title":"La Politica Macroeconomica en los '80: Resena de un Debacle","type":"report"},"uris":["http://www.mendeley.com/documents/?uuid=7aa3867f-869e-4d4f-8158-18f0306ad7b9"]},{"id":"ITEM-3","itemData":{"abstract":"Structural adjustment and stabilization policies have been implemented in various Latin American countries besieged by debt crisis and high inflation. Recent development literature has suggested that the negative effects of such policies are borne disproportionately by the poor of these countries, and more specifically by poor women. Empirical studies are lacking, however, and the connection between the crises and women is not always clear. The present study attempts to contribute to the literature on the subject by analyzing the situation of women in Lima, Peru. Using data on the cost of living, poverty levels, unemployment and underemployment, job segregation and discrimination, and female wages relative to male wages, the study tries to analyze whether women have been more negatively affected by the Peruvian crisis and structural adjustment policies than men. The findings do indeed suggest that the economic crisis is severe for all, but that it is particularly harsh on Lima's women. © 1994.","author":[{"dropping-particle":"","family":"Tanski","given":"Janet M.","non-dropping-particle":"","parse-names":false,"suffix":""}],"container-title":"World Development","id":"ITEM-3","issue":"11","issued":{"date-parts":[["1994"]]},"page":"1627-1642","title":"The impact of crisis, stabilization and structural adjustment on women in Lima, Peru","type":"article-journal","volume":"22"},"uris":["http://www.mendeley.com/documents/?uuid=a44a4e2d-c2c2-4327-9532-e6bd2cc66e0e"]}],"mendeley":{"formattedCitation":"(L. Elias, 1991; Paul Glewwe &amp; de Tray, 1991; Tanski, 1994)","manualFormatting":"(Elias, 1991; Glewwe &amp; de Tray, 1991; Tanski, 1994)","plainTextFormattedCitation":"(L. Elias, 1991; Paul Glewwe &amp; de Tray, 1991; Tanski, 1994)","previouslyFormattedCitation":"(L. Elias, 1991; Paul Glewwe &amp; de Tray, 1991; Tanski, 1994)"},"properties":{"noteIndex":0},"schema":"https://github.com/citation-style-language/schema/raw/master/csl-citation.json"}</w:instrText>
      </w:r>
      <w:r w:rsidR="004B4C46" w:rsidRPr="004E053C">
        <w:rPr>
          <w:rFonts w:eastAsia="Times New Roman" w:cstheme="minorHAnsi"/>
          <w:sz w:val="22"/>
          <w:szCs w:val="22"/>
        </w:rPr>
        <w:fldChar w:fldCharType="separate"/>
      </w:r>
      <w:r w:rsidR="009003C9" w:rsidRPr="004E053C">
        <w:rPr>
          <w:rFonts w:eastAsia="Times New Roman" w:cstheme="minorHAnsi"/>
          <w:noProof/>
          <w:sz w:val="22"/>
          <w:szCs w:val="22"/>
        </w:rPr>
        <w:t>(</w:t>
      </w:r>
      <w:r w:rsidR="004B4C46" w:rsidRPr="004E053C">
        <w:rPr>
          <w:rFonts w:eastAsia="Times New Roman" w:cstheme="minorHAnsi"/>
          <w:noProof/>
          <w:sz w:val="22"/>
          <w:szCs w:val="22"/>
        </w:rPr>
        <w:t>Elias, 1991; Glewwe &amp; de Tray, 1991; Tanski, 1994)</w:t>
      </w:r>
      <w:r w:rsidR="004B4C46" w:rsidRPr="004E053C">
        <w:rPr>
          <w:rFonts w:eastAsia="Times New Roman" w:cstheme="minorHAnsi"/>
          <w:sz w:val="22"/>
          <w:szCs w:val="22"/>
        </w:rPr>
        <w:fldChar w:fldCharType="end"/>
      </w:r>
      <w:r w:rsidRPr="004E053C">
        <w:rPr>
          <w:rFonts w:eastAsia="Times New Roman" w:cstheme="minorHAnsi"/>
          <w:sz w:val="22"/>
          <w:szCs w:val="22"/>
        </w:rPr>
        <w:t xml:space="preserve">, as well as the weakened state and growing violence </w:t>
      </w:r>
      <w:r w:rsidR="009003C9"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{"citationItems":[{"id":"ITEM-1","itemData":{"author":[{"dropping-particle":"","family":"Gonzales de Olarte","given":"Efrain","non-dropping-particle":"","parse-names":false,"suffix":""},{"dropping-particle":"","family":"Sammame","given":"Lilian","non-dropping-particle":"","parse-names":false,"suffix":""}],"id":"ITEM-1","issued":{"date-parts":[["1991"]]},"publisher":"Instituto de Estudios Peruanos","publisher-place":"Lima, Peru","title":"El Péndulo Peruano: Políticas Económicas, Gobernabilidad y Subdesarrollo, 1963-1990","type":"book"},"uris":["http://www.mendeley.com/documents/?uuid=c0effee7-8588-49f6-9f72-df2779a889de"]},{"id":"ITEM-2","itemData":{"author":[{"dropping-particle":"","family":"Paredes","given":"Carlos E.","non-dropping-particle":"","parse-names":false,"suffix":""},{"dropping-particle":"","family":"Sachs","given":"Jeffrey D.","non-dropping-particle":"","parse-names":false,"suffix":""}],"id":"ITEM-2","issued":{"date-parts":[["1991"]]},"publisher":"Brookings Institution","publisher-place":"Washington D.C.","title":"Peru's Path to Recovery: A Plan for Economic Stabilization and Growth","type":"book"},"uris":["http://www.mendeley.com/documents/?uuid=b79381c8-05dd-495c-9bcb-6e3a7ac81368"]},{"id":"ITEM-3","itemData":{"abstract":"This article analyzes the failure of the Peruvian stabilization and development program, 1985-1990. It critically assesses major contributions during the 1980s to a theory of heterodox stabilization strategies for Latin American countries, and articulates a more comprehensive approach to the conceptualization and study of heterodox programs. This approach revolves around three key elements: the need to break inflationary inertia, the necessity of reconciling short- and long-term policies, and the importance of evaluating et ante the plan's political-economic feasibility. Serious misconceptualization with respect to all three elements are found to explain the disastrous outcome of Peru's heterodox program. Lessons for future heterodox programs are discussed. © 1991.","author":[{"dropping-particle":"","family":"Paus","given":"Eva A.","non-dropping-particle":"","parse-names":false,"suffix":""}],"container-title":"World Development","id":"ITEM-3","issue":"5","issued":{"date-parts":[["1991"]]},"page":"411-434","title":"Adjustment and development in Latin America: the failure of Peruvian Heterodoxy, 1985-90","type":"article-journal","volume":"19"},"uris":["http://www.mendeley.com/documents/?uuid=d467feac-7ed0-4d38-9711-29d34bfc6938"]},{"id":"ITEM-4","itemData":{"abstract":"The first section explains the basic hypothesis about the key economic variables within liberalization programs as well as some aspects of the relationships between structural adjustment and direct social programs. The next three sections examine characteristics of the individual adjustment processes in Chile, Mexico, and Peru. The final section interprets regularities and contrasts in these experiences, raising some questions about what is actually possible for these countries.","author":[{"dropping-particle":"","family":"Sheahan","given":"J.","non-dropping-particle":"","parse-names":false,"suffix":""}],"container-title":"Latin American Research Review","id":"ITEM-4","issue":"3","issued":{"date-parts":[["1997"]]},"page":"7-37","title":"Effects of liberalization programs on poverty and inequality: Chile, Mexico, and Peru","type":"article-journal","volume":"32"},"uris":["http://www.mendeley.com/documents/?uuid=8ef89d92-9011-45e6-b5f6-dda71f5e6780"]}],"mendeley":{"formattedCitation":"(Gonzales de Olarte &amp; Sammame, 1991; C. E. Paredes &amp; Sachs, 1991; Paus, 1991; Sheahan, 1997)","manualFormatting":"(Gonzales de Olarte &amp; Sammame, 1991; Paredes &amp; Sachs, 1991; Paus, 1991; Sheahan, 1997)","plainTextFormattedCitation":"(Gonzales de Olarte &amp; Sammame, 1991; C. E. Paredes &amp; Sachs, 1991; Paus, 1991; Sheahan, 1997)","previouslyFormattedCitation":"(Gonzales de Olarte &amp; Sammame, 1991; C. E. Paredes &amp; Sachs, 1991; Paus, 1991; Sheahan, 1997)"},"properties":{"noteIndex":0},"schema":"https://github.com/citation-style-language/schema/raw/master/csl-citation.json"}</w:instrText>
      </w:r>
      <w:r w:rsidR="009003C9" w:rsidRPr="004E053C">
        <w:rPr>
          <w:rFonts w:eastAsia="Times New Roman" w:cstheme="minorHAnsi"/>
          <w:sz w:val="22"/>
          <w:szCs w:val="22"/>
        </w:rPr>
        <w:fldChar w:fldCharType="separate"/>
      </w:r>
      <w:r w:rsidR="009003C9" w:rsidRPr="004E053C">
        <w:rPr>
          <w:rFonts w:eastAsia="Times New Roman" w:cstheme="minorHAnsi"/>
          <w:noProof/>
          <w:sz w:val="22"/>
          <w:szCs w:val="22"/>
        </w:rPr>
        <w:t>(Gonzales de Olarte &amp; Sammame, 1991; Paredes &amp; Sachs, 1991; Paus, 1991; Sheahan, 1997)</w:t>
      </w:r>
      <w:r w:rsidR="009003C9" w:rsidRPr="004E053C">
        <w:rPr>
          <w:rFonts w:eastAsia="Times New Roman" w:cstheme="minorHAnsi"/>
          <w:sz w:val="22"/>
          <w:szCs w:val="22"/>
        </w:rPr>
        <w:fldChar w:fldCharType="end"/>
      </w:r>
      <w:r w:rsidR="009003C9" w:rsidRPr="004E053C">
        <w:rPr>
          <w:rFonts w:eastAsia="Times New Roman" w:cstheme="minorHAnsi"/>
          <w:sz w:val="22"/>
          <w:szCs w:val="22"/>
        </w:rPr>
        <w:t>.</w:t>
      </w:r>
      <w:r w:rsidRPr="004E053C">
        <w:rPr>
          <w:rFonts w:eastAsia="Times New Roman" w:cstheme="minorHAnsi"/>
          <w:sz w:val="22"/>
          <w:szCs w:val="22"/>
        </w:rPr>
        <w:t xml:space="preserve"> However, there were several other contributing factors, including declining terms of trade, low or non-existent growth in aggregate investment and low productivity in the agricultura</w:t>
      </w:r>
      <w:r w:rsidR="00473584" w:rsidRPr="004E053C">
        <w:rPr>
          <w:rFonts w:eastAsia="Times New Roman" w:cstheme="minorHAnsi"/>
          <w:sz w:val="22"/>
          <w:szCs w:val="22"/>
        </w:rPr>
        <w:t xml:space="preserve">l sector </w:t>
      </w:r>
      <w:r w:rsidR="000D3B60" w:rsidRPr="004E053C">
        <w:rPr>
          <w:rFonts w:eastAsia="Times New Roman" w:cstheme="minorHAnsi"/>
          <w:sz w:val="22"/>
          <w:szCs w:val="22"/>
        </w:rPr>
        <w:fldChar w:fldCharType="begin" w:fldLock="1"/>
      </w:r>
      <w:r w:rsidR="00ED1093" w:rsidRPr="004E053C">
        <w:rPr>
          <w:rFonts w:eastAsia="Times New Roman" w:cstheme="minorHAnsi"/>
          <w:sz w:val="22"/>
          <w:szCs w:val="22"/>
        </w:rPr>
        <w:instrText>ADDIN CSL_CITATION {"citationItems":[{"id":"ITEM-1","itemData":{"author":[{"dropping-particle":"","family":"Glewwe","given":"Paul","non-dropping-particle":"","parse-names":false,"suffix":""},{"dropping-particle":"","family":"Tray","given":"Dennis","non-dropping-particle":"de","parse-names":false,"suffix":""}],"container-title":"Economic Development and Cultural Change","id":"ITEM-1","issue":"1","issued":{"date-parts":[["1991"]]},"page":"27-54","title":"The poor in Latin America during adjustment: a case study of Peru","type":"article-journal","volume":"40"},"uris":["http://www.mendeley.com/documents/?uuid=408761fd-3b2b-4022-a621-c901da74089e"]}],"mendeley":{"formattedCitation":"(Paul Glewwe &amp; de Tray, 1991)","manualFormatting":"(Glewwe &amp; de Tray, 1991)","plainTextFormattedCitation":"(Paul Glewwe &amp; de Tray, 1991)","previouslyFormattedCitation":"(Paul Glewwe &amp; de Tray, 1991)"},"properties":{"noteIndex":0},"schema":"https://github.com/citation-style-language/schema/raw/master/csl-citation.json"}</w:instrText>
      </w:r>
      <w:r w:rsidR="000D3B60" w:rsidRPr="004E053C">
        <w:rPr>
          <w:rFonts w:eastAsia="Times New Roman" w:cstheme="minorHAnsi"/>
          <w:sz w:val="22"/>
          <w:szCs w:val="22"/>
        </w:rPr>
        <w:fldChar w:fldCharType="separate"/>
      </w:r>
      <w:r w:rsidR="001044F7" w:rsidRPr="004E053C">
        <w:rPr>
          <w:rFonts w:eastAsia="Times New Roman" w:cstheme="minorHAnsi"/>
          <w:noProof/>
          <w:sz w:val="22"/>
          <w:szCs w:val="22"/>
        </w:rPr>
        <w:t>(</w:t>
      </w:r>
      <w:r w:rsidR="00A0508E" w:rsidRPr="004E053C">
        <w:rPr>
          <w:rFonts w:eastAsia="Times New Roman" w:cstheme="minorHAnsi"/>
          <w:noProof/>
          <w:sz w:val="22"/>
          <w:szCs w:val="22"/>
        </w:rPr>
        <w:t>Glewwe &amp; de Tray, 1991)</w:t>
      </w:r>
      <w:r w:rsidR="000D3B60" w:rsidRPr="004E053C">
        <w:rPr>
          <w:rFonts w:eastAsia="Times New Roman" w:cstheme="minorHAnsi"/>
          <w:sz w:val="22"/>
          <w:szCs w:val="22"/>
        </w:rPr>
        <w:fldChar w:fldCharType="end"/>
      </w:r>
      <w:r w:rsidR="000D3B60" w:rsidRPr="004E053C">
        <w:rPr>
          <w:rFonts w:eastAsia="Times New Roman" w:cstheme="minorHAnsi"/>
          <w:sz w:val="22"/>
          <w:szCs w:val="22"/>
        </w:rPr>
        <w:t>.</w:t>
      </w:r>
      <w:r w:rsidRPr="004E053C">
        <w:rPr>
          <w:rFonts w:eastAsia="Times New Roman" w:cstheme="minorHAnsi"/>
          <w:sz w:val="22"/>
          <w:szCs w:val="22"/>
        </w:rPr>
        <w:t xml:space="preserve"> Peru’s high debt burden also meant it was very sensitive to high international interest rates, and by 1988, debt as a percentage of GNP was 47.3% </w:t>
      </w:r>
      <w:r w:rsidR="000D3B60"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{"citationItems":[{"id":"ITEM-1","itemData":{"abstract":"Structural adjustment and stabilization policies have been implemented in various Latin American countries besieged by debt crisis and high inflation. Recent development literature has suggested that the negative effects of such policies are borne disproportionately by the poor of these countries, and more specifically by poor women. Empirical studies are lacking, however, and the connection between the crises and women is not always clear. The present study attempts to contribute to the literature on the subject by analyzing the situation of women in Lima, Peru. Using data on the cost of living, poverty levels, unemployment and underemployment, job segregation and discrimination, and female wages relative to male wages, the study tries to analyze whether women have been more negatively affected by the Peruvian crisis and structural adjustment policies than men. The findings do indeed suggest that the economic crisis is severe for all, but that it is particularly harsh on Lima's women. © 1994.","author":[{"dropping-particle":"","family":"Tanski","given":"Janet M.","non-dropping-particle":"","parse-names":false,"suffix":""}],"container-title":"World Development","id":"ITEM-1","issue":"11","issued":{"date-parts":[["1994"]]},"page":"1627-1642","title":"The impact of crisis, stabilization and structural adjustment on women in Lima, Peru","type":"article-journal","volume":"22"},"uris":["http://www.mendeley.com/documents/?uuid=a44a4e2d-c2c2-4327-9532-e6bd2cc66e0e"]}],"mendeley":{"formattedCitation":"(Tanski, 1994)","plainTextFormattedCitation":"(Tanski, 1994)","previouslyFormattedCitation":"(Tanski, 1994)"},"properties":{"noteIndex":0},"schema":"https://github.com/citation-style-language/schema/raw/master/csl-citation.json"}</w:instrText>
      </w:r>
      <w:r w:rsidR="000D3B60" w:rsidRPr="004E053C">
        <w:rPr>
          <w:rFonts w:eastAsia="Times New Roman" w:cstheme="minorHAnsi"/>
          <w:sz w:val="22"/>
          <w:szCs w:val="22"/>
        </w:rPr>
        <w:fldChar w:fldCharType="separate"/>
      </w:r>
      <w:r w:rsidR="000D3B60" w:rsidRPr="004E053C">
        <w:rPr>
          <w:rFonts w:eastAsia="Times New Roman" w:cstheme="minorHAnsi"/>
          <w:noProof/>
          <w:sz w:val="22"/>
          <w:szCs w:val="22"/>
        </w:rPr>
        <w:t>(Tanski, 1994)</w:t>
      </w:r>
      <w:r w:rsidR="000D3B60" w:rsidRPr="004E053C">
        <w:rPr>
          <w:rFonts w:eastAsia="Times New Roman" w:cstheme="minorHAnsi"/>
          <w:sz w:val="22"/>
          <w:szCs w:val="22"/>
        </w:rPr>
        <w:fldChar w:fldCharType="end"/>
      </w:r>
      <w:r w:rsidR="000D3B60" w:rsidRPr="004E053C">
        <w:rPr>
          <w:rFonts w:eastAsia="Times New Roman" w:cstheme="minorHAnsi"/>
          <w:sz w:val="22"/>
          <w:szCs w:val="22"/>
        </w:rPr>
        <w:t>.</w:t>
      </w:r>
      <w:r w:rsidRPr="004E053C">
        <w:rPr>
          <w:rFonts w:eastAsia="Times New Roman" w:cstheme="minorHAnsi"/>
          <w:sz w:val="22"/>
          <w:szCs w:val="22"/>
        </w:rPr>
        <w:t xml:space="preserve"> </w:t>
      </w:r>
    </w:p>
    <w:p w14:paraId="77BD0416" w14:textId="77777777" w:rsidR="00375961" w:rsidRPr="004E053C" w:rsidRDefault="00375961" w:rsidP="004E053C">
      <w:pPr>
        <w:spacing w:line="360" w:lineRule="auto"/>
        <w:jc w:val="both"/>
        <w:rPr>
          <w:rFonts w:eastAsia="Times New Roman" w:cstheme="minorHAnsi"/>
          <w:sz w:val="22"/>
          <w:szCs w:val="22"/>
        </w:rPr>
      </w:pPr>
    </w:p>
    <w:p w14:paraId="2952A645" w14:textId="6EA30C5E" w:rsidR="00375961" w:rsidRPr="004E053C" w:rsidRDefault="00375961" w:rsidP="004E053C">
      <w:pPr>
        <w:pStyle w:val="NormalWeb"/>
        <w:spacing w:before="0" w:beforeAutospacing="0" w:after="0" w:afterAutospacing="0" w:line="360" w:lineRule="auto"/>
        <w:jc w:val="both"/>
        <w:rPr>
          <w:rFonts w:asciiTheme="minorHAnsi" w:hAnsiTheme="minorHAnsi" w:cstheme="minorHAnsi"/>
          <w:color w:val="505050"/>
          <w:sz w:val="22"/>
          <w:szCs w:val="22"/>
        </w:rPr>
      </w:pPr>
      <w:r w:rsidRPr="004E053C">
        <w:rPr>
          <w:rFonts w:asciiTheme="minorHAnsi" w:eastAsia="Times New Roman" w:hAnsiTheme="minorHAnsi" w:cstheme="minorHAnsi"/>
          <w:sz w:val="22"/>
          <w:szCs w:val="22"/>
        </w:rPr>
        <w:t>In response to the global debt crisis, the I</w:t>
      </w:r>
      <w:r w:rsidR="001044F7" w:rsidRPr="004E053C">
        <w:rPr>
          <w:rFonts w:asciiTheme="minorHAnsi" w:eastAsia="Times New Roman" w:hAnsiTheme="minorHAnsi" w:cstheme="minorHAnsi"/>
          <w:sz w:val="22"/>
          <w:szCs w:val="22"/>
        </w:rPr>
        <w:t>nternational Monetary Fund (IMF)</w:t>
      </w:r>
      <w:r w:rsidRPr="004E053C">
        <w:rPr>
          <w:rFonts w:asciiTheme="minorHAnsi" w:eastAsia="Times New Roman" w:hAnsiTheme="minorHAnsi" w:cstheme="minorHAnsi"/>
          <w:sz w:val="22"/>
          <w:szCs w:val="22"/>
        </w:rPr>
        <w:t xml:space="preserve"> and the World Bank prescribed Structural Adjustment policies (SAPs) aimed at imposing institutional and economic reform in order to promote economic efficiency and stable growth. This was primarily achieved through removing price and other distortions, such as barriers to trade, and promoting the private sector while reducing government expenditure </w:t>
      </w:r>
      <w:r w:rsidR="000D3B60" w:rsidRPr="004E053C">
        <w:rPr>
          <w:rFonts w:asciiTheme="minorHAnsi" w:eastAsia="Times New Roman" w:hAnsiTheme="minorHAnsi" w:cstheme="minorHAnsi"/>
          <w:sz w:val="22"/>
          <w:szCs w:val="22"/>
        </w:rPr>
        <w:fldChar w:fldCharType="begin" w:fldLock="1"/>
      </w:r>
      <w:r w:rsidR="00ED1093" w:rsidRPr="004E053C">
        <w:rPr>
          <w:rFonts w:asciiTheme="minorHAnsi" w:eastAsia="Times New Roman" w:hAnsiTheme="minorHAnsi" w:cstheme="minorHAnsi"/>
          <w:sz w:val="22"/>
          <w:szCs w:val="22"/>
        </w:rPr>
        <w:instrText>ADDIN CSL_CITATION {"citationItems":[{"id":"ITEM-1","itemData":{"author":[{"dropping-particle":"","family":"Glewwe","given":"Paul","non-dropping-particle":"","parse-names":false,"suffix":""},{"dropping-particle":"","family":"Tray","given":"Dennis","non-dropping-particle":"de","parse-names":false,"suffix":""}],"container-title":"Economic Development and Cultural Change","id":"ITEM-1","issue":"1","issued":{"date-parts":[["1991"]]},"page":"27-54","title":"The poor in Latin America during adjustment: a case study of Peru","type":"article-journal","volume":"40"},"uris":["http://www.mendeley.com/documents/?uuid=408761fd-3b2b-4022-a621-c901da74089e"]}],"mendeley":{"formattedCitation":"(Paul Glewwe &amp; de Tray, 1991)","manualFormatting":"(Glewwe &amp; de Tray, 1991)","plainTextFormattedCitation":"(Paul Glewwe &amp; de Tray, 1991)","previouslyFormattedCitation":"(Paul Glewwe &amp; de Tray, 1991)"},"properties":{"noteIndex":0},"schema":"https://github.com/citation-style-language/schema/raw/master/csl-citation.json"}</w:instrText>
      </w:r>
      <w:r w:rsidR="000D3B60" w:rsidRPr="004E053C">
        <w:rPr>
          <w:rFonts w:asciiTheme="minorHAnsi" w:eastAsia="Times New Roman" w:hAnsiTheme="minorHAnsi" w:cstheme="minorHAnsi"/>
          <w:sz w:val="22"/>
          <w:szCs w:val="22"/>
        </w:rPr>
        <w:fldChar w:fldCharType="separate"/>
      </w:r>
      <w:r w:rsidR="001044F7" w:rsidRPr="004E053C">
        <w:rPr>
          <w:rFonts w:asciiTheme="minorHAnsi" w:eastAsia="Times New Roman" w:hAnsiTheme="minorHAnsi" w:cstheme="minorHAnsi"/>
          <w:noProof/>
          <w:sz w:val="22"/>
          <w:szCs w:val="22"/>
        </w:rPr>
        <w:t>(</w:t>
      </w:r>
      <w:r w:rsidR="00A0508E" w:rsidRPr="004E053C">
        <w:rPr>
          <w:rFonts w:asciiTheme="minorHAnsi" w:eastAsia="Times New Roman" w:hAnsiTheme="minorHAnsi" w:cstheme="minorHAnsi"/>
          <w:noProof/>
          <w:sz w:val="22"/>
          <w:szCs w:val="22"/>
        </w:rPr>
        <w:t>Glewwe &amp; de Tray, 1991)</w:t>
      </w:r>
      <w:r w:rsidR="000D3B60" w:rsidRPr="004E053C">
        <w:rPr>
          <w:rFonts w:asciiTheme="minorHAnsi" w:eastAsia="Times New Roman" w:hAnsiTheme="minorHAnsi" w:cstheme="minorHAnsi"/>
          <w:sz w:val="22"/>
          <w:szCs w:val="22"/>
        </w:rPr>
        <w:fldChar w:fldCharType="end"/>
      </w:r>
      <w:r w:rsidRPr="004E053C">
        <w:rPr>
          <w:rFonts w:asciiTheme="minorHAnsi" w:eastAsia="Times New Roman" w:hAnsiTheme="minorHAnsi" w:cstheme="minorHAnsi"/>
          <w:sz w:val="22"/>
          <w:szCs w:val="22"/>
        </w:rPr>
        <w:t xml:space="preserve">. In essence, these were austerity measures </w:t>
      </w:r>
      <w:r w:rsidRPr="004E053C">
        <w:rPr>
          <w:rFonts w:asciiTheme="minorHAnsi" w:hAnsiTheme="minorHAnsi" w:cstheme="minorHAnsi"/>
          <w:sz w:val="22"/>
          <w:szCs w:val="22"/>
        </w:rPr>
        <w:t xml:space="preserve">that required state governments </w:t>
      </w:r>
      <w:r w:rsidR="000D3B60" w:rsidRPr="004E053C">
        <w:rPr>
          <w:rFonts w:asciiTheme="minorHAnsi" w:hAnsiTheme="minorHAnsi" w:cstheme="minorHAnsi"/>
          <w:sz w:val="22"/>
          <w:szCs w:val="22"/>
        </w:rPr>
        <w:t>open themselves up to</w:t>
      </w:r>
      <w:r w:rsidRPr="004E053C">
        <w:rPr>
          <w:rFonts w:asciiTheme="minorHAnsi" w:hAnsiTheme="minorHAnsi" w:cstheme="minorHAnsi"/>
          <w:sz w:val="22"/>
          <w:szCs w:val="22"/>
        </w:rPr>
        <w:t xml:space="preserve"> </w:t>
      </w:r>
      <w:r w:rsidR="000D3B60" w:rsidRPr="004E053C">
        <w:rPr>
          <w:rFonts w:asciiTheme="minorHAnsi" w:hAnsiTheme="minorHAnsi" w:cstheme="minorHAnsi"/>
          <w:sz w:val="22"/>
          <w:szCs w:val="22"/>
        </w:rPr>
        <w:t xml:space="preserve">FDI </w:t>
      </w:r>
      <w:r w:rsidR="00A0508E" w:rsidRPr="004E053C">
        <w:rPr>
          <w:rFonts w:asciiTheme="minorHAnsi" w:hAnsiTheme="minorHAnsi" w:cstheme="minorHAnsi"/>
          <w:sz w:val="22"/>
          <w:szCs w:val="22"/>
        </w:rPr>
        <w:t>in the hope that they</w:t>
      </w:r>
      <w:r w:rsidR="000D3B60" w:rsidRPr="004E053C">
        <w:rPr>
          <w:rFonts w:asciiTheme="minorHAnsi" w:hAnsiTheme="minorHAnsi" w:cstheme="minorHAnsi"/>
          <w:sz w:val="22"/>
          <w:szCs w:val="22"/>
        </w:rPr>
        <w:t xml:space="preserve"> might</w:t>
      </w:r>
      <w:r w:rsidRPr="004E053C">
        <w:rPr>
          <w:rFonts w:asciiTheme="minorHAnsi" w:hAnsiTheme="minorHAnsi" w:cstheme="minorHAnsi"/>
          <w:sz w:val="22"/>
          <w:szCs w:val="22"/>
        </w:rPr>
        <w:t xml:space="preserve"> </w:t>
      </w:r>
      <w:r w:rsidR="000D3B60" w:rsidRPr="004E053C">
        <w:rPr>
          <w:rFonts w:asciiTheme="minorHAnsi" w:hAnsiTheme="minorHAnsi" w:cstheme="minorHAnsi"/>
          <w:sz w:val="22"/>
          <w:szCs w:val="22"/>
        </w:rPr>
        <w:t xml:space="preserve">eventually </w:t>
      </w:r>
      <w:r w:rsidR="00A0508E" w:rsidRPr="004E053C">
        <w:rPr>
          <w:rFonts w:asciiTheme="minorHAnsi" w:hAnsiTheme="minorHAnsi" w:cstheme="minorHAnsi"/>
          <w:sz w:val="22"/>
          <w:szCs w:val="22"/>
        </w:rPr>
        <w:t xml:space="preserve">use it to </w:t>
      </w:r>
      <w:r w:rsidRPr="004E053C">
        <w:rPr>
          <w:rFonts w:asciiTheme="minorHAnsi" w:hAnsiTheme="minorHAnsi" w:cstheme="minorHAnsi"/>
          <w:sz w:val="22"/>
          <w:szCs w:val="22"/>
        </w:rPr>
        <w:t xml:space="preserve">pay off their debt </w:t>
      </w:r>
      <w:r w:rsidR="000D3B60" w:rsidRPr="004E053C">
        <w:rPr>
          <w:rFonts w:asciiTheme="minorHAnsi" w:hAnsiTheme="minorHAnsi" w:cstheme="minorHAnsi"/>
          <w:sz w:val="22"/>
          <w:szCs w:val="22"/>
        </w:rPr>
        <w:fldChar w:fldCharType="begin" w:fldLock="1"/>
      </w:r>
      <w:r w:rsidR="002F0CEA">
        <w:rPr>
          <w:rFonts w:asciiTheme="minorHAnsi" w:hAnsiTheme="minorHAnsi" w:cstheme="minorHAnsi"/>
          <w:sz w:val="22"/>
          <w:szCs w:val="22"/>
        </w:rPr>
        <w:instrText>ADDIN CSL_CITATION {"citationItems":[{"id":"ITEM-1","itemData":{"author":[{"dropping-particle":"","family":"Perreault","given":"T.","non-dropping-particle":"","parse-names":false,"suffix":""},{"dropping-particle":"","family":"Martin","given":"P.","non-dropping-particle":"","parse-names":false,"suffix":""}],"container-title":"Environment and Planning A: Economy and Space","id":"ITEM-1","issue":"2","issued":{"date-parts":[["2005"]]},"page":"191-201","title":"Geographies of neoliberalism in Latin America","type":"article-journal","volume":"37"},"uris":["http://www.mendeley.com/documents/?uuid=6afddb76-92ab-4081-89a8-73ebc2c552d3"]},{"id":"ITEM-2","itemData":{"abstract":"This review article synthesizes research findings which demonstrate that mining in the Andes is transforming local livelihoods by changing water quality and quantity and land tenure practices upon which traditional livelihoods depend, as well as by generating new employment opportunities in mining communities. I argue that research on livelihood change in Andean mining communities would be enriched by 1) a deeper attendance to the gendered, raced, and classed nature of these changes and 2) the disaggregation of different mining management regimes (e.g. state-run, privately-run, cooperative-run) to allow for comparisons of the livelihood impacts between them.","author":[{"dropping-particle":"","family":"Brain","given":"Kelsey A.","non-dropping-particle":"","parse-names":false,"suffix":""}],"container-title":"Extractive Industries and Society","id":"ITEM-2","issue":"2","issued":{"date-parts":[["2017"]]},"page":"410-418","publisher":"Elsevier Ltd.","title":"The impacts of mining on livelihoods in the Andes: a critical overview","type":"article-journal","volume":"4"},"uris":["http://www.mendeley.com/documents/?uuid=ec00d2a6-d618-4c51-88cd-2ef762c1aea2"]}],"mendeley":{"formattedCitation":"(Brain, 2017; Perreault &amp; Martin, 2005)","plainTextFormattedCitation":"(Brain, 2017; Perreault &amp; Martin, 2005)","previouslyFormattedCitation":"(Brain, 2017; Perreault &amp; Martin, 2005)"},"properties":{"noteIndex":0},"schema":"https://github.com/citation-style-language/schema/raw/master/csl-citation.json"}</w:instrText>
      </w:r>
      <w:r w:rsidR="000D3B60" w:rsidRPr="004E053C">
        <w:rPr>
          <w:rFonts w:asciiTheme="minorHAnsi" w:hAnsiTheme="minorHAnsi" w:cstheme="minorHAnsi"/>
          <w:sz w:val="22"/>
          <w:szCs w:val="22"/>
        </w:rPr>
        <w:fldChar w:fldCharType="separate"/>
      </w:r>
      <w:r w:rsidR="000D3B60" w:rsidRPr="004E053C">
        <w:rPr>
          <w:rFonts w:asciiTheme="minorHAnsi" w:hAnsiTheme="minorHAnsi" w:cstheme="minorHAnsi"/>
          <w:noProof/>
          <w:sz w:val="22"/>
          <w:szCs w:val="22"/>
        </w:rPr>
        <w:t>(Brain, 2017; Perreault &amp; Martin, 2005)</w:t>
      </w:r>
      <w:r w:rsidR="000D3B60" w:rsidRPr="004E053C">
        <w:rPr>
          <w:rFonts w:asciiTheme="minorHAnsi" w:hAnsiTheme="minorHAnsi" w:cstheme="minorHAnsi"/>
          <w:sz w:val="22"/>
          <w:szCs w:val="22"/>
        </w:rPr>
        <w:fldChar w:fldCharType="end"/>
      </w:r>
      <w:r w:rsidRPr="004E053C">
        <w:rPr>
          <w:rFonts w:asciiTheme="minorHAnsi" w:hAnsiTheme="minorHAnsi" w:cstheme="minorHAnsi"/>
          <w:sz w:val="22"/>
          <w:szCs w:val="22"/>
        </w:rPr>
        <w:t xml:space="preserve">. </w:t>
      </w:r>
      <w:r w:rsidRPr="004E053C">
        <w:rPr>
          <w:rFonts w:asciiTheme="minorHAnsi" w:eastAsia="Times New Roman" w:hAnsiTheme="minorHAnsi" w:cstheme="minorHAnsi"/>
          <w:sz w:val="22"/>
          <w:szCs w:val="22"/>
        </w:rPr>
        <w:t xml:space="preserve">Although there were expected to be numerous long-term benefits of this reform, there were more immediate effects on households, and these were not generally positive. These included increased prices of consumables, loss of employment or wages and changes in the provision of public services </w:t>
      </w:r>
      <w:r w:rsidR="00A0508E" w:rsidRPr="004E053C">
        <w:rPr>
          <w:rFonts w:asciiTheme="minorHAnsi" w:eastAsia="Times New Roman" w:hAnsiTheme="minorHAnsi" w:cstheme="minorHAnsi"/>
          <w:sz w:val="22"/>
          <w:szCs w:val="22"/>
        </w:rPr>
        <w:fldChar w:fldCharType="begin" w:fldLock="1"/>
      </w:r>
      <w:r w:rsidR="00ED1093" w:rsidRPr="004E053C">
        <w:rPr>
          <w:rFonts w:asciiTheme="minorHAnsi" w:eastAsia="Times New Roman" w:hAnsiTheme="minorHAnsi" w:cstheme="minorHAnsi"/>
          <w:sz w:val="22"/>
          <w:szCs w:val="22"/>
        </w:rPr>
        <w:instrText>ADDIN CSL_CITATION {"citationItems":[{"id":"ITEM-1","itemData":{"author":[{"dropping-particle":"","family":"Glewwe","given":"Paul","non-dropping-particle":"","parse-names":false,"suffix":""},{"dropping-particle":"","family":"Tray","given":"Dennis","non-dropping-particle":"de","parse-names":false,"suffix":""}],"container-title":"Economic Development and Cultural Change","id":"ITEM-1","issue":"1","issued":{"date-parts":[["1991"]]},"page":"27-54","title":"The poor in Latin America during adjustment: a case study of Peru","type":"article-journal","volume":"40"},"uris":["http://www.mendeley.com/documents/?uuid=408761fd-3b2b-4022-a621-c901da74089e"]}],"mendeley":{"formattedCitation":"(Paul Glewwe &amp; de Tray, 1991)","manualFormatting":"(Glewwe &amp; de Tray, 1991)","plainTextFormattedCitation":"(Paul Glewwe &amp; de Tray, 1991)","previouslyFormattedCitation":"(Paul Glewwe &amp; de Tray, 1991)"},"properties":{"noteIndex":0},"schema":"https://github.com/citation-style-language/schema/raw/master/csl-citation.json"}</w:instrText>
      </w:r>
      <w:r w:rsidR="00A0508E" w:rsidRPr="004E053C">
        <w:rPr>
          <w:rFonts w:asciiTheme="minorHAnsi" w:eastAsia="Times New Roman" w:hAnsiTheme="minorHAnsi" w:cstheme="minorHAnsi"/>
          <w:sz w:val="22"/>
          <w:szCs w:val="22"/>
        </w:rPr>
        <w:fldChar w:fldCharType="separate"/>
      </w:r>
      <w:r w:rsidR="001044F7" w:rsidRPr="004E053C">
        <w:rPr>
          <w:rFonts w:asciiTheme="minorHAnsi" w:eastAsia="Times New Roman" w:hAnsiTheme="minorHAnsi" w:cstheme="minorHAnsi"/>
          <w:noProof/>
          <w:sz w:val="22"/>
          <w:szCs w:val="22"/>
        </w:rPr>
        <w:t>(</w:t>
      </w:r>
      <w:r w:rsidR="00A0508E" w:rsidRPr="004E053C">
        <w:rPr>
          <w:rFonts w:asciiTheme="minorHAnsi" w:eastAsia="Times New Roman" w:hAnsiTheme="minorHAnsi" w:cstheme="minorHAnsi"/>
          <w:noProof/>
          <w:sz w:val="22"/>
          <w:szCs w:val="22"/>
        </w:rPr>
        <w:t xml:space="preserve">Glewwe </w:t>
      </w:r>
      <w:r w:rsidR="00A0508E" w:rsidRPr="004E053C">
        <w:rPr>
          <w:rFonts w:asciiTheme="minorHAnsi" w:eastAsia="Times New Roman" w:hAnsiTheme="minorHAnsi" w:cstheme="minorHAnsi"/>
          <w:noProof/>
          <w:sz w:val="22"/>
          <w:szCs w:val="22"/>
        </w:rPr>
        <w:lastRenderedPageBreak/>
        <w:t>&amp; de Tray, 1991)</w:t>
      </w:r>
      <w:r w:rsidR="00A0508E" w:rsidRPr="004E053C">
        <w:rPr>
          <w:rFonts w:asciiTheme="minorHAnsi" w:eastAsia="Times New Roman" w:hAnsiTheme="minorHAnsi" w:cstheme="minorHAnsi"/>
          <w:sz w:val="22"/>
          <w:szCs w:val="22"/>
        </w:rPr>
        <w:fldChar w:fldCharType="end"/>
      </w:r>
      <w:r w:rsidRPr="004E053C">
        <w:rPr>
          <w:rFonts w:asciiTheme="minorHAnsi" w:eastAsia="Times New Roman" w:hAnsiTheme="minorHAnsi" w:cstheme="minorHAnsi"/>
          <w:sz w:val="22"/>
          <w:szCs w:val="22"/>
        </w:rPr>
        <w:t>. In the years that followed, the devastating impact that the SAPs ha</w:t>
      </w:r>
      <w:r w:rsidR="00A0508E" w:rsidRPr="004E053C">
        <w:rPr>
          <w:rFonts w:asciiTheme="minorHAnsi" w:eastAsia="Times New Roman" w:hAnsiTheme="minorHAnsi" w:cstheme="minorHAnsi"/>
          <w:sz w:val="22"/>
          <w:szCs w:val="22"/>
        </w:rPr>
        <w:t xml:space="preserve">d on the world’s global poor became clear and received widespread criticism. </w:t>
      </w:r>
      <w:r w:rsidRPr="004E053C">
        <w:rPr>
          <w:rFonts w:asciiTheme="minorHAnsi" w:eastAsia="Times New Roman" w:hAnsiTheme="minorHAnsi" w:cstheme="minorHAnsi"/>
          <w:sz w:val="22"/>
          <w:szCs w:val="22"/>
        </w:rPr>
        <w:t xml:space="preserve"> </w:t>
      </w:r>
    </w:p>
    <w:p w14:paraId="62C17CA8" w14:textId="77777777" w:rsidR="00375961" w:rsidRPr="004E053C" w:rsidRDefault="00375961" w:rsidP="004E053C">
      <w:pPr>
        <w:spacing w:line="360" w:lineRule="auto"/>
        <w:jc w:val="both"/>
        <w:rPr>
          <w:rFonts w:eastAsia="Times New Roman" w:cstheme="minorHAnsi"/>
          <w:color w:val="000000"/>
          <w:sz w:val="22"/>
          <w:szCs w:val="22"/>
          <w:shd w:val="clear" w:color="auto" w:fill="FFFFFF"/>
        </w:rPr>
      </w:pPr>
    </w:p>
    <w:p w14:paraId="33D81FD5" w14:textId="2678681C"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Peru had initially tried to resist the SAPs, and instead President</w:t>
      </w:r>
      <w:r w:rsidRPr="004E053C">
        <w:rPr>
          <w:rFonts w:eastAsia="Times New Roman" w:cstheme="minorHAnsi"/>
          <w:color w:val="222222"/>
          <w:sz w:val="22"/>
          <w:szCs w:val="22"/>
          <w:shd w:val="clear" w:color="auto" w:fill="FFFFFF"/>
        </w:rPr>
        <w:t xml:space="preserve"> García Perez had implemented a range of </w:t>
      </w:r>
      <w:r w:rsidRPr="004E053C">
        <w:rPr>
          <w:rFonts w:eastAsia="Times New Roman" w:cstheme="minorHAnsi"/>
          <w:sz w:val="22"/>
          <w:szCs w:val="22"/>
        </w:rPr>
        <w:t>heterodox adjustment policies as an alternative to those advocated by the IMF,</w:t>
      </w:r>
      <w:r w:rsidR="00277027">
        <w:rPr>
          <w:rFonts w:eastAsia="Times New Roman" w:cstheme="minorHAnsi"/>
          <w:sz w:val="22"/>
          <w:szCs w:val="22"/>
        </w:rPr>
        <w:t xml:space="preserve"> which claimed to offer stabilis</w:t>
      </w:r>
      <w:r w:rsidRPr="004E053C">
        <w:rPr>
          <w:rFonts w:eastAsia="Times New Roman" w:cstheme="minorHAnsi"/>
          <w:sz w:val="22"/>
          <w:szCs w:val="22"/>
        </w:rPr>
        <w:t>ation, redistributio</w:t>
      </w:r>
      <w:r w:rsidR="00A0508E" w:rsidRPr="004E053C">
        <w:rPr>
          <w:rFonts w:eastAsia="Times New Roman" w:cstheme="minorHAnsi"/>
          <w:sz w:val="22"/>
          <w:szCs w:val="22"/>
        </w:rPr>
        <w:t xml:space="preserve">n and restructuring </w:t>
      </w:r>
      <w:r w:rsidR="00A0508E"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{"citationItems":[{"id":"ITEM-1","itemData":{"abstract":"This article analyzes the failure of the Peruvian stabilization and development program, 1985-1990. It critically assesses major contributions during the 1980s to a theory of heterodox stabilization strategies for Latin American countries, and articulates a more comprehensive approach to the conceptualization and study of heterodox programs. This approach revolves around three key elements: the need to break inflationary inertia, the necessity of reconciling short- and long-term policies, and the importance of evaluating et ante the plan's political-economic feasibility. Serious misconceptualization with respect to all three elements are found to explain the disastrous outcome of Peru's heterodox program. Lessons for future heterodox programs are discussed. © 1991.","author":[{"dropping-particle":"","family":"Paus","given":"Eva A.","non-dropping-particle":"","parse-names":false,"suffix":""}],"container-title":"World Development","id":"ITEM-1","issue":"5","issued":{"date-parts":[["1991"]]},"page":"411-434","title":"Adjustment and development in Latin America: the failure of Peruvian Heterodoxy, 1985-90","type":"article-journal","volume":"19"},"uris":["http://www.mendeley.com/documents/?uuid=d467feac-7ed0-4d38-9711-29d34bfc6938"]}],"mendeley":{"formattedCitation":"(Paus, 1991)","plainTextFormattedCitation":"(Paus, 1991)","previouslyFormattedCitation":"(Paus, 1991)"},"properties":{"noteIndex":0},"schema":"https://github.com/citation-style-language/schema/raw/master/csl-citation.json"}</w:instrText>
      </w:r>
      <w:r w:rsidR="00A0508E" w:rsidRPr="004E053C">
        <w:rPr>
          <w:rFonts w:eastAsia="Times New Roman" w:cstheme="minorHAnsi"/>
          <w:sz w:val="22"/>
          <w:szCs w:val="22"/>
        </w:rPr>
        <w:fldChar w:fldCharType="separate"/>
      </w:r>
      <w:r w:rsidR="00A0508E" w:rsidRPr="004E053C">
        <w:rPr>
          <w:rFonts w:eastAsia="Times New Roman" w:cstheme="minorHAnsi"/>
          <w:noProof/>
          <w:sz w:val="22"/>
          <w:szCs w:val="22"/>
        </w:rPr>
        <w:t>(Paus, 1991)</w:t>
      </w:r>
      <w:r w:rsidR="00A0508E" w:rsidRPr="004E053C">
        <w:rPr>
          <w:rFonts w:eastAsia="Times New Roman" w:cstheme="minorHAnsi"/>
          <w:sz w:val="22"/>
          <w:szCs w:val="22"/>
        </w:rPr>
        <w:fldChar w:fldCharType="end"/>
      </w:r>
      <w:r w:rsidRPr="004E053C">
        <w:rPr>
          <w:rFonts w:eastAsia="Times New Roman" w:cstheme="minorHAnsi"/>
          <w:sz w:val="22"/>
          <w:szCs w:val="22"/>
        </w:rPr>
        <w:t xml:space="preserve">. </w:t>
      </w:r>
      <w:r w:rsidRPr="004E053C">
        <w:rPr>
          <w:rFonts w:eastAsia="Times New Roman" w:cstheme="minorHAnsi"/>
          <w:color w:val="222222"/>
          <w:sz w:val="22"/>
          <w:szCs w:val="22"/>
          <w:shd w:val="clear" w:color="auto" w:fill="FFFFFF"/>
        </w:rPr>
        <w:t xml:space="preserve">The set of policies included placing an upper limit of 10% on the amount of export earnings to be used for debt repayments and a moderate devaluation of the currency </w:t>
      </w:r>
      <w:r w:rsidR="00A0508E" w:rsidRPr="004E053C">
        <w:rPr>
          <w:rFonts w:eastAsia="Times New Roman" w:cstheme="minorHAnsi"/>
          <w:color w:val="222222"/>
          <w:sz w:val="22"/>
          <w:szCs w:val="22"/>
          <w:shd w:val="clear" w:color="auto" w:fill="FFFFFF"/>
        </w:rPr>
        <w:fldChar w:fldCharType="begin" w:fldLock="1"/>
      </w:r>
      <w:r w:rsidR="002F0CEA">
        <w:rPr>
          <w:rFonts w:eastAsia="Times New Roman" w:cstheme="minorHAnsi"/>
          <w:color w:val="222222"/>
          <w:sz w:val="22"/>
          <w:szCs w:val="22"/>
          <w:shd w:val="clear" w:color="auto" w:fill="FFFFFF"/>
        </w:rPr>
        <w:instrText>ADDIN CSL_CITATION {"citationItems":[{"id":"ITEM-1","itemData":{"author":[{"dropping-particle":"","family":"Glewwe","given":"Paul","non-dropping-particle":"","parse-names":false,"suffix":""},{"dropping-particle":"","family":"Tray","given":"Dennis","non-dropping-particle":"de","parse-names":false,"suffix":""}],"container-title":"Economic Development and Cultural Change","id":"ITEM-1","issue":"1","issued":{"date-parts":[["1991"]]},"page":"27-54","title":"The poor in Latin America during adjustment: a case study of Peru","type":"article-journal","volume":"40"},"uris":["http://www.mendeley.com/documents/?uuid=408761fd-3b2b-4022-a621-c901da74089e"]},{"id":"ITEM-2","itemData":{"author":[{"dropping-particle":"","family":"Glewwe","given":"P.","non-dropping-particle":"","parse-names":false,"suffix":""},{"dropping-particle":"","family":"Hall","given":"G.","non-dropping-particle":"","parse-names":false,"suffix":""}],"id":"ITEM-2","issued":{"date-parts":[["1992"]]},"publisher":"World Bank","publisher-place":"New York, NY","title":"Poverty and Inequality During Unorthodox Adjustment: The Case of Peru, 1985-1990","type":"book"},"uris":["http://www.mendeley.com/documents/?uuid=6504ad19-4ea5-4756-ad6d-37b2d3900e0b"]},{"id":"ITEM-3","itemData":{"abstract":"Since the early 1980s, development in Latin America has been defined by neo-liberal restructuring in response to the region's precarious debt. This paper examines the distinctly gendered impact of structural adjustment by analysing, first, the changing status of women's lives under neo-liberal reform and, second, their efforts to mitigate the deteriorating status of their households. The formation of community kitchens and village banks by women in shanty towns surrounding Lima offer examples of grassroots organisation to ensure collective survival and development. Such efforts constitute acts of resistance to neo-liberal restructuring and, hence, are part of a broader movement of resistance to neo-liberalism as a prescription for economic recovery and development.","author":[{"dropping-particle":"","family":"Hays-Mitchell","given":"Maureen","non-dropping-particle":"","parse-names":false,"suffix":""}],"container-title":"Gender and Development","id":"ITEM-3","issue":"3","issued":{"date-parts":[["2002"]]},"page":"71-81","title":"Resisting austerity: A gendered perspective on neo-liberal restructing in Peru","type":"article-journal","volume":"10"},"uris":["http://www.mendeley.com/documents/?uuid=081b2a14-ca98-4996-8f02-7e5d7da733ab"]}],"mendeley":{"formattedCitation":"(P. Glewwe &amp; Hall, 1992; Paul Glewwe &amp; de Tray, 1991; Hays-Mitchell, 2002)","manualFormatting":"(Glewwe &amp; Hall, 1992; Glewwe &amp; de Tray, 1991; Hays-Mitchell, 2002)","plainTextFormattedCitation":"(P. Glewwe &amp; Hall, 1992; Paul Glewwe &amp; de Tray, 1991; Hays-Mitchell, 2002)","previouslyFormattedCitation":"(P. Glewwe &amp; Hall, 1992; Paul Glewwe &amp; de Tray, 1991; Hays-Mitchell, 2002)"},"properties":{"noteIndex":0},"schema":"https://github.com/citation-style-language/schema/raw/master/csl-citation.json"}</w:instrText>
      </w:r>
      <w:r w:rsidR="00A0508E" w:rsidRPr="004E053C">
        <w:rPr>
          <w:rFonts w:eastAsia="Times New Roman" w:cstheme="minorHAnsi"/>
          <w:color w:val="222222"/>
          <w:sz w:val="22"/>
          <w:szCs w:val="22"/>
          <w:shd w:val="clear" w:color="auto" w:fill="FFFFFF"/>
        </w:rPr>
        <w:fldChar w:fldCharType="separate"/>
      </w:r>
      <w:r w:rsidR="00A0508E" w:rsidRPr="004E053C">
        <w:rPr>
          <w:rFonts w:eastAsia="Times New Roman" w:cstheme="minorHAnsi"/>
          <w:noProof/>
          <w:color w:val="222222"/>
          <w:sz w:val="22"/>
          <w:szCs w:val="22"/>
          <w:shd w:val="clear" w:color="auto" w:fill="FFFFFF"/>
        </w:rPr>
        <w:t>(Glewwe &amp; Hall, 1992; Glewwe &amp; de Tray, 1991; Hays-Mitchell, 2002)</w:t>
      </w:r>
      <w:r w:rsidR="00A0508E" w:rsidRPr="004E053C">
        <w:rPr>
          <w:rFonts w:eastAsia="Times New Roman" w:cstheme="minorHAnsi"/>
          <w:color w:val="222222"/>
          <w:sz w:val="22"/>
          <w:szCs w:val="22"/>
          <w:shd w:val="clear" w:color="auto" w:fill="FFFFFF"/>
        </w:rPr>
        <w:fldChar w:fldCharType="end"/>
      </w:r>
      <w:r w:rsidRPr="004E053C">
        <w:rPr>
          <w:rFonts w:eastAsia="Times New Roman" w:cstheme="minorHAnsi"/>
          <w:color w:val="222222"/>
          <w:sz w:val="22"/>
          <w:szCs w:val="22"/>
          <w:shd w:val="clear" w:color="auto" w:fill="FFFFFF"/>
        </w:rPr>
        <w:t>. There was also an emphasis on protectionism through increas</w:t>
      </w:r>
      <w:r w:rsidR="00277027">
        <w:rPr>
          <w:rFonts w:eastAsia="Times New Roman" w:cstheme="minorHAnsi"/>
          <w:color w:val="222222"/>
          <w:sz w:val="22"/>
          <w:szCs w:val="22"/>
          <w:shd w:val="clear" w:color="auto" w:fill="FFFFFF"/>
        </w:rPr>
        <w:t>ing import barriers and subsidis</w:t>
      </w:r>
      <w:r w:rsidRPr="004E053C">
        <w:rPr>
          <w:rFonts w:eastAsia="Times New Roman" w:cstheme="minorHAnsi"/>
          <w:color w:val="222222"/>
          <w:sz w:val="22"/>
          <w:szCs w:val="22"/>
          <w:shd w:val="clear" w:color="auto" w:fill="FFFFFF"/>
        </w:rPr>
        <w:t xml:space="preserve">ing local agricultural inputs </w:t>
      </w:r>
      <w:r w:rsidR="00A0508E" w:rsidRPr="004E053C">
        <w:rPr>
          <w:rFonts w:eastAsia="Times New Roman" w:cstheme="minorHAnsi"/>
          <w:color w:val="222222"/>
          <w:sz w:val="22"/>
          <w:szCs w:val="22"/>
          <w:shd w:val="clear" w:color="auto" w:fill="FFFFFF"/>
        </w:rPr>
        <w:fldChar w:fldCharType="begin" w:fldLock="1"/>
      </w:r>
      <w:r w:rsidR="00A0508E" w:rsidRPr="004E053C">
        <w:rPr>
          <w:rFonts w:eastAsia="Times New Roman" w:cstheme="minorHAnsi"/>
          <w:color w:val="222222"/>
          <w:sz w:val="22"/>
          <w:szCs w:val="22"/>
          <w:shd w:val="clear" w:color="auto" w:fill="FFFFFF"/>
        </w:rPr>
        <w:instrText>ADDIN CSL_CITATION {"citationItems":[{"id":"ITEM-1","itemData":{"author":[{"dropping-particle":"","family":"Glewwe","given":"Paul","non-dropping-particle":"","parse-names":false,"suffix":""},{"dropping-particle":"","family":"Tray","given":"Dennis","non-dropping-particle":"de","parse-names":false,"suffix":""}],"container-title":"Economic Development and Cultural Change","id":"ITEM-1","issue":"1","issued":{"date-parts":[["1991"]]},"page":"27-54","title":"The poor in Latin America during adjustment: a case study of Peru","type":"article-journal","volume":"40"},"uris":["http://www.mendeley.com/documents/?uuid=408761fd-3b2b-4022-a621-c901da74089e"]}],"mendeley":{"formattedCitation":"(Paul Glewwe &amp; de Tray, 1991)","manualFormatting":"(Glewwe &amp; de Tray, 1991)","plainTextFormattedCitation":"(Paul Glewwe &amp; de Tray, 1991)","previouslyFormattedCitation":"(Paul Glewwe &amp; de Tray, 1991)"},"properties":{"noteIndex":0},"schema":"https://github.com/citation-style-language/schema/raw/master/csl-citation.json"}</w:instrText>
      </w:r>
      <w:r w:rsidR="00A0508E" w:rsidRPr="004E053C">
        <w:rPr>
          <w:rFonts w:eastAsia="Times New Roman" w:cstheme="minorHAnsi"/>
          <w:color w:val="222222"/>
          <w:sz w:val="22"/>
          <w:szCs w:val="22"/>
          <w:shd w:val="clear" w:color="auto" w:fill="FFFFFF"/>
        </w:rPr>
        <w:fldChar w:fldCharType="separate"/>
      </w:r>
      <w:r w:rsidR="00A0508E" w:rsidRPr="004E053C">
        <w:rPr>
          <w:rFonts w:eastAsia="Times New Roman" w:cstheme="minorHAnsi"/>
          <w:noProof/>
          <w:color w:val="222222"/>
          <w:sz w:val="22"/>
          <w:szCs w:val="22"/>
          <w:shd w:val="clear" w:color="auto" w:fill="FFFFFF"/>
        </w:rPr>
        <w:t>(Glewwe &amp; de Tray, 1991)</w:t>
      </w:r>
      <w:r w:rsidR="00A0508E" w:rsidRPr="004E053C">
        <w:rPr>
          <w:rFonts w:eastAsia="Times New Roman" w:cstheme="minorHAnsi"/>
          <w:color w:val="222222"/>
          <w:sz w:val="22"/>
          <w:szCs w:val="22"/>
          <w:shd w:val="clear" w:color="auto" w:fill="FFFFFF"/>
        </w:rPr>
        <w:fldChar w:fldCharType="end"/>
      </w:r>
      <w:r w:rsidRPr="004E053C">
        <w:rPr>
          <w:rFonts w:eastAsia="Times New Roman" w:cstheme="minorHAnsi"/>
          <w:color w:val="222222"/>
          <w:sz w:val="22"/>
          <w:szCs w:val="22"/>
          <w:shd w:val="clear" w:color="auto" w:fill="FFFFFF"/>
        </w:rPr>
        <w:t xml:space="preserve">. Initially Garcia’s approach had a positive impact, with GDP growing by 8.5% in 1986. However, the policies and related changes were unsustainable, largely because </w:t>
      </w:r>
      <w:r w:rsidRPr="004E053C">
        <w:rPr>
          <w:rFonts w:eastAsia="Times New Roman" w:cstheme="minorHAnsi"/>
          <w:sz w:val="22"/>
          <w:szCs w:val="22"/>
        </w:rPr>
        <w:t xml:space="preserve">Peru became ostracised from the international financial community from deviating from the IMF-prescribed restructuring policies </w:t>
      </w:r>
      <w:r w:rsidR="00A0508E"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{"citationItems":[{"id":"ITEM-1","itemData":{"abstract":"Since the early 1980s, development in Latin America has been defined by neo-liberal restructuring in response to the region's precarious debt. This paper examines the distinctly gendered impact of structural adjustment by analysing, first, the changing status of women's lives under neo-liberal reform and, second, their efforts to mitigate the deteriorating status of their households. The formation of community kitchens and village banks by women in shanty towns surrounding Lima offer examples of grassroots organisation to ensure collective survival and development. Such efforts constitute acts of resistance to neo-liberal restructuring and, hence, are part of a broader movement of resistance to neo-liberalism as a prescription for economic recovery and development.","author":[{"dropping-particle":"","family":"Hays-Mitchell","given":"Maureen","non-dropping-particle":"","parse-names":false,"suffix":""}],"container-title":"Gender and Development","id":"ITEM-1","issue":"3","issued":{"date-parts":[["2002"]]},"page":"71-81","title":"Resisting austerity: A gendered perspective on neo-liberal restructing in Peru","type":"article-journal","volume":"10"},"uris":["http://www.mendeley.com/documents/?uuid=081b2a14-ca98-4996-8f02-7e5d7da733ab"]}],"mendeley":{"formattedCitation":"(Hays-Mitchell, 2002)","plainTextFormattedCitation":"(Hays-Mitchell, 2002)","previouslyFormattedCitation":"(Hays-Mitchell, 2002)"},"properties":{"noteIndex":0},"schema":"https://github.com/citation-style-language/schema/raw/master/csl-citation.json"}</w:instrText>
      </w:r>
      <w:r w:rsidR="00A0508E" w:rsidRPr="004E053C">
        <w:rPr>
          <w:rFonts w:eastAsia="Times New Roman" w:cstheme="minorHAnsi"/>
          <w:sz w:val="22"/>
          <w:szCs w:val="22"/>
        </w:rPr>
        <w:fldChar w:fldCharType="separate"/>
      </w:r>
      <w:r w:rsidR="00A0508E" w:rsidRPr="004E053C">
        <w:rPr>
          <w:rFonts w:eastAsia="Times New Roman" w:cstheme="minorHAnsi"/>
          <w:noProof/>
          <w:sz w:val="22"/>
          <w:szCs w:val="22"/>
        </w:rPr>
        <w:t>(Hays-Mitchell, 2002)</w:t>
      </w:r>
      <w:r w:rsidR="00A0508E" w:rsidRPr="004E053C">
        <w:rPr>
          <w:rFonts w:eastAsia="Times New Roman" w:cstheme="minorHAnsi"/>
          <w:sz w:val="22"/>
          <w:szCs w:val="22"/>
        </w:rPr>
        <w:fldChar w:fldCharType="end"/>
      </w:r>
      <w:r w:rsidRPr="004E053C">
        <w:rPr>
          <w:rFonts w:eastAsia="Times New Roman" w:cstheme="minorHAnsi"/>
          <w:sz w:val="22"/>
          <w:szCs w:val="22"/>
        </w:rPr>
        <w:t xml:space="preserve">. </w:t>
      </w:r>
      <w:r w:rsidRPr="004E053C">
        <w:rPr>
          <w:rFonts w:eastAsia="Times New Roman" w:cstheme="minorHAnsi"/>
          <w:color w:val="222222"/>
          <w:sz w:val="22"/>
          <w:szCs w:val="22"/>
          <w:shd w:val="clear" w:color="auto" w:fill="FFFFFF"/>
        </w:rPr>
        <w:t xml:space="preserve">By 1987, the government were facing a fiscal deficit of 5.5% of GDP and an external deficit of 2% </w:t>
      </w:r>
      <w:r w:rsidR="002C13A8" w:rsidRPr="004E053C">
        <w:rPr>
          <w:rFonts w:eastAsia="Times New Roman" w:cstheme="minorHAnsi"/>
          <w:color w:val="222222"/>
          <w:sz w:val="22"/>
          <w:szCs w:val="22"/>
          <w:shd w:val="clear" w:color="auto" w:fill="FFFFFF"/>
        </w:rPr>
        <w:fldChar w:fldCharType="begin" w:fldLock="1"/>
      </w:r>
      <w:r w:rsidR="002C13A8" w:rsidRPr="004E053C">
        <w:rPr>
          <w:rFonts w:eastAsia="Times New Roman" w:cstheme="minorHAnsi"/>
          <w:color w:val="222222"/>
          <w:sz w:val="22"/>
          <w:szCs w:val="22"/>
          <w:shd w:val="clear" w:color="auto" w:fill="FFFFFF"/>
        </w:rPr>
        <w:instrText>ADDIN CSL_CITATION {"citationItems":[{"id":"ITEM-1","itemData":{"author":[{"dropping-particle":"","family":"Glewwe","given":"Paul","non-dropping-particle":"","parse-names":false,"suffix":""},{"dropping-particle":"","family":"Tray","given":"Dennis","non-dropping-particle":"de","parse-names":false,"suffix":""}],"container-title":"Economic Development and Cultural Change","id":"ITEM-1","issue":"1","issued":{"date-parts":[["1991"]]},"page":"27-54","title":"The poor in Latin America during adjustment: a case study of Peru","type":"article-journal","volume":"40"},"uris":["http://www.mendeley.com/documents/?uuid=408761fd-3b2b-4022-a621-c901da74089e"]}],"mendeley":{"formattedCitation":"(Paul Glewwe &amp; de Tray, 1991)","manualFormatting":"(Glewwe &amp; de Tray, 1991)","plainTextFormattedCitation":"(Paul Glewwe &amp; de Tray, 1991)","previouslyFormattedCitation":"(Paul Glewwe &amp; de Tray, 1991)"},"properties":{"noteIndex":0},"schema":"https://github.com/citation-style-language/schema/raw/master/csl-citation.json"}</w:instrText>
      </w:r>
      <w:r w:rsidR="002C13A8" w:rsidRPr="004E053C">
        <w:rPr>
          <w:rFonts w:eastAsia="Times New Roman" w:cstheme="minorHAnsi"/>
          <w:color w:val="222222"/>
          <w:sz w:val="22"/>
          <w:szCs w:val="22"/>
          <w:shd w:val="clear" w:color="auto" w:fill="FFFFFF"/>
        </w:rPr>
        <w:fldChar w:fldCharType="separate"/>
      </w:r>
      <w:r w:rsidR="002C13A8" w:rsidRPr="004E053C">
        <w:rPr>
          <w:rFonts w:eastAsia="Times New Roman" w:cstheme="minorHAnsi"/>
          <w:noProof/>
          <w:color w:val="222222"/>
          <w:sz w:val="22"/>
          <w:szCs w:val="22"/>
          <w:shd w:val="clear" w:color="auto" w:fill="FFFFFF"/>
        </w:rPr>
        <w:t>(Glewwe &amp; de Tray, 1991)</w:t>
      </w:r>
      <w:r w:rsidR="002C13A8" w:rsidRPr="004E053C">
        <w:rPr>
          <w:rFonts w:eastAsia="Times New Roman" w:cstheme="minorHAnsi"/>
          <w:color w:val="222222"/>
          <w:sz w:val="22"/>
          <w:szCs w:val="22"/>
          <w:shd w:val="clear" w:color="auto" w:fill="FFFFFF"/>
        </w:rPr>
        <w:fldChar w:fldCharType="end"/>
      </w:r>
      <w:r w:rsidRPr="004E053C">
        <w:rPr>
          <w:rFonts w:eastAsia="Times New Roman" w:cstheme="minorHAnsi"/>
          <w:sz w:val="22"/>
          <w:szCs w:val="22"/>
        </w:rPr>
        <w:t xml:space="preserve">. </w:t>
      </w:r>
      <w:r w:rsidRPr="004E053C">
        <w:rPr>
          <w:rFonts w:eastAsia="Times New Roman" w:cstheme="minorHAnsi"/>
          <w:color w:val="222222"/>
          <w:sz w:val="22"/>
          <w:szCs w:val="22"/>
          <w:shd w:val="clear" w:color="auto" w:fill="FFFFFF"/>
        </w:rPr>
        <w:t>The crisis was having a devastating impact on the poor</w:t>
      </w:r>
      <w:r w:rsidRPr="004E053C">
        <w:rPr>
          <w:rFonts w:eastAsia="Times New Roman" w:cstheme="minorHAnsi"/>
          <w:sz w:val="22"/>
          <w:szCs w:val="22"/>
        </w:rPr>
        <w:t xml:space="preserve">, reflected in the falling level of GDP per capita and in the contrast between the value of a basic food basket and the average income of the workers </w:t>
      </w:r>
      <w:r w:rsidR="002C13A8"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{"citationItems":[{"id":"ITEM-1","itemData":{"abstract":"Structural adjustment and stabilization policies have been implemented in various Latin American countries besieged by debt crisis and high inflation. Recent development literature has suggested that the negative effects of such policies are borne disproportionately by the poor of these countries, and more specifically by poor women. Empirical studies are lacking, however, and the connection between the crises and women is not always clear. The present study attempts to contribute to the literature on the subject by analyzing the situation of women in Lima, Peru. Using data on the cost of living, poverty levels, unemployment and underemployment, job segregation and discrimination, and female wages relative to male wages, the study tries to analyze whether women have been more negatively affected by the Peruvian crisis and structural adjustment policies than men. The findings do indeed suggest that the economic crisis is severe for all, but that it is particularly harsh on Lima's women. © 1994.","author":[{"dropping-particle":"","family":"Tanski","given":"Janet M.","non-dropping-particle":"","parse-names":false,"suffix":""}],"container-title":"World Development","id":"ITEM-1","issue":"11","issued":{"date-parts":[["1994"]]},"page":"1627-1642","title":"The impact of crisis, stabilization and structural adjustment on women in Lima, Peru","type":"article-journal","volume":"22"},"uris":["http://www.mendeley.com/documents/?uuid=a44a4e2d-c2c2-4327-9532-e6bd2cc66e0e"]}],"mendeley":{"formattedCitation":"(Tanski, 1994)","plainTextFormattedCitation":"(Tanski, 1994)","previouslyFormattedCitation":"(Tanski, 1994)"},"properties":{"noteIndex":0},"schema":"https://github.com/citation-style-language/schema/raw/master/csl-citation.json"}</w:instrText>
      </w:r>
      <w:r w:rsidR="002C13A8" w:rsidRPr="004E053C">
        <w:rPr>
          <w:rFonts w:eastAsia="Times New Roman" w:cstheme="minorHAnsi"/>
          <w:sz w:val="22"/>
          <w:szCs w:val="22"/>
        </w:rPr>
        <w:fldChar w:fldCharType="separate"/>
      </w:r>
      <w:r w:rsidR="002C13A8" w:rsidRPr="004E053C">
        <w:rPr>
          <w:rFonts w:eastAsia="Times New Roman" w:cstheme="minorHAnsi"/>
          <w:noProof/>
          <w:sz w:val="22"/>
          <w:szCs w:val="22"/>
        </w:rPr>
        <w:t>(Tanski, 1994)</w:t>
      </w:r>
      <w:r w:rsidR="002C13A8" w:rsidRPr="004E053C">
        <w:rPr>
          <w:rFonts w:eastAsia="Times New Roman" w:cstheme="minorHAnsi"/>
          <w:sz w:val="22"/>
          <w:szCs w:val="22"/>
        </w:rPr>
        <w:fldChar w:fldCharType="end"/>
      </w:r>
      <w:r w:rsidRPr="004E053C">
        <w:rPr>
          <w:rFonts w:eastAsia="Times New Roman" w:cstheme="minorHAnsi"/>
          <w:color w:val="222222"/>
          <w:sz w:val="22"/>
          <w:szCs w:val="22"/>
          <w:shd w:val="clear" w:color="auto" w:fill="FFFFFF"/>
        </w:rPr>
        <w:t xml:space="preserve">. Large numbers of previously non-poor households found themselves forced into poverty. Indeed, the </w:t>
      </w:r>
      <w:r w:rsidRPr="004E053C">
        <w:rPr>
          <w:rFonts w:eastAsia="Times New Roman" w:cstheme="minorHAnsi"/>
          <w:sz w:val="22"/>
          <w:szCs w:val="22"/>
        </w:rPr>
        <w:t>perce</w:t>
      </w:r>
      <w:r w:rsidR="00260A59" w:rsidRPr="004E053C">
        <w:rPr>
          <w:rFonts w:eastAsia="Times New Roman" w:cstheme="minorHAnsi"/>
          <w:sz w:val="22"/>
          <w:szCs w:val="22"/>
        </w:rPr>
        <w:t>ntage of households defined as ‘poor’</w:t>
      </w:r>
      <w:r w:rsidRPr="004E053C">
        <w:rPr>
          <w:rFonts w:eastAsia="Times New Roman" w:cstheme="minorHAnsi"/>
          <w:sz w:val="22"/>
          <w:szCs w:val="22"/>
        </w:rPr>
        <w:t xml:space="preserve"> in metropolitan Lima went from 16.9% in 1985-86 to 44.3% in 1990 </w:t>
      </w:r>
      <w:r w:rsidR="002C13A8" w:rsidRPr="004E053C">
        <w:rPr>
          <w:rFonts w:eastAsia="Times New Roman" w:cstheme="minorHAnsi"/>
          <w:sz w:val="22"/>
          <w:szCs w:val="22"/>
        </w:rPr>
        <w:fldChar w:fldCharType="begin" w:fldLock="1"/>
      </w:r>
      <w:r w:rsidR="002C13A8" w:rsidRPr="004E053C">
        <w:rPr>
          <w:rFonts w:eastAsia="Times New Roman" w:cstheme="minorHAnsi"/>
          <w:sz w:val="22"/>
          <w:szCs w:val="22"/>
        </w:rPr>
        <w:instrText>ADDIN CSL_CITATION {"citationItems":[{"id":"ITEM-1","itemData":{"author":[{"dropping-particle":"","family":"Instituto Cuanto","given":"","non-dropping-particle":"","parse-names":false,"suffix":""}],"id":"ITEM-1","issued":{"date-parts":[["1991"]]},"publisher-place":"Lima, Peru","title":"Ajuste Economia Familiar: 1985-1990","type":"report"},"uris":["http://www.mendeley.com/documents/?uuid=9f151800-acb2-4488-9e05-71f697d175ad"]}],"mendeley":{"formattedCitation":"(Instituto Cuanto, 1991)","plainTextFormattedCitation":"(Instituto Cuanto, 1991)","previouslyFormattedCitation":"(Instituto Cuanto, 1991)"},"properties":{"noteIndex":0},"schema":"https://github.com/citation-style-language/schema/raw/master/csl-citation.json"}</w:instrText>
      </w:r>
      <w:r w:rsidR="002C13A8" w:rsidRPr="004E053C">
        <w:rPr>
          <w:rFonts w:eastAsia="Times New Roman" w:cstheme="minorHAnsi"/>
          <w:sz w:val="22"/>
          <w:szCs w:val="22"/>
        </w:rPr>
        <w:fldChar w:fldCharType="separate"/>
      </w:r>
      <w:r w:rsidR="002C13A8" w:rsidRPr="004E053C">
        <w:rPr>
          <w:rFonts w:eastAsia="Times New Roman" w:cstheme="minorHAnsi"/>
          <w:noProof/>
          <w:sz w:val="22"/>
          <w:szCs w:val="22"/>
        </w:rPr>
        <w:t>(Instituto Cuanto, 1991)</w:t>
      </w:r>
      <w:r w:rsidR="002C13A8" w:rsidRPr="004E053C">
        <w:rPr>
          <w:rFonts w:eastAsia="Times New Roman" w:cstheme="minorHAnsi"/>
          <w:sz w:val="22"/>
          <w:szCs w:val="22"/>
        </w:rPr>
        <w:fldChar w:fldCharType="end"/>
      </w:r>
      <w:r w:rsidR="002C13A8" w:rsidRPr="004E053C">
        <w:rPr>
          <w:rFonts w:eastAsia="Times New Roman" w:cstheme="minorHAnsi"/>
          <w:sz w:val="22"/>
          <w:szCs w:val="22"/>
        </w:rPr>
        <w:t>.</w:t>
      </w:r>
      <w:r w:rsidRPr="004E053C">
        <w:rPr>
          <w:rFonts w:eastAsia="Times New Roman" w:cstheme="minorHAnsi"/>
          <w:sz w:val="22"/>
          <w:szCs w:val="22"/>
        </w:rPr>
        <w:t xml:space="preserve"> By 1990, Peru had experienced one of the ‘most rapid and severe peace-time deteriorations of living standards ever recorded’ </w:t>
      </w:r>
      <w:r w:rsidR="002C13A8" w:rsidRPr="004E053C">
        <w:rPr>
          <w:rFonts w:eastAsia="Times New Roman" w:cstheme="minorHAnsi"/>
          <w:sz w:val="22"/>
          <w:szCs w:val="22"/>
        </w:rPr>
        <w:fldChar w:fldCharType="begin" w:fldLock="1"/>
      </w:r>
      <w:r w:rsidR="002C13A8" w:rsidRPr="004E053C">
        <w:rPr>
          <w:rFonts w:eastAsia="Times New Roman" w:cstheme="minorHAnsi"/>
          <w:sz w:val="22"/>
          <w:szCs w:val="22"/>
        </w:rPr>
        <w:instrText>ADDIN CSL_CITATION {"citationItems":[{"id":"ITEM-1","itemData":{"author":[{"dropping-particle":"","family":"Glewwe","given":"P.","non-dropping-particle":"","parse-names":false,"suffix":""},{"dropping-particle":"","family":"Hall","given":"G.","non-dropping-particle":"","parse-names":false,"suffix":""}],"id":"ITEM-1","issued":{"date-parts":[["1992"]]},"publisher":"World Bank","publisher-place":"New York, NY","title":"Poverty and Inequality During Unorthodox Adjustment: The Case of Peru, 1985-1990","type":"book"},"uris":["http://www.mendeley.com/documents/?uuid=6504ad19-4ea5-4756-ad6d-37b2d3900e0b"]}],"mendeley":{"formattedCitation":"(P. Glewwe &amp; Hall, 1992)","manualFormatting":"(Glewwe &amp; Hall, 1992, p.7)","plainTextFormattedCitation":"(P. Glewwe &amp; Hall, 1992)","previouslyFormattedCitation":"(P. Glewwe &amp; Hall, 1992)"},"properties":{"noteIndex":0},"schema":"https://github.com/citation-style-language/schema/raw/master/csl-citation.json"}</w:instrText>
      </w:r>
      <w:r w:rsidR="002C13A8" w:rsidRPr="004E053C">
        <w:rPr>
          <w:rFonts w:eastAsia="Times New Roman" w:cstheme="minorHAnsi"/>
          <w:sz w:val="22"/>
          <w:szCs w:val="22"/>
        </w:rPr>
        <w:fldChar w:fldCharType="separate"/>
      </w:r>
      <w:r w:rsidR="002C13A8" w:rsidRPr="004E053C">
        <w:rPr>
          <w:rFonts w:eastAsia="Times New Roman" w:cstheme="minorHAnsi"/>
          <w:noProof/>
          <w:sz w:val="22"/>
          <w:szCs w:val="22"/>
        </w:rPr>
        <w:t>(Glewwe &amp; Hall, 1992, p.7)</w:t>
      </w:r>
      <w:r w:rsidR="002C13A8" w:rsidRPr="004E053C">
        <w:rPr>
          <w:rFonts w:eastAsia="Times New Roman" w:cstheme="minorHAnsi"/>
          <w:sz w:val="22"/>
          <w:szCs w:val="22"/>
        </w:rPr>
        <w:fldChar w:fldCharType="end"/>
      </w:r>
      <w:r w:rsidR="002C13A8" w:rsidRPr="004E053C">
        <w:rPr>
          <w:rFonts w:eastAsia="Times New Roman" w:cstheme="minorHAnsi"/>
          <w:sz w:val="22"/>
          <w:szCs w:val="22"/>
        </w:rPr>
        <w:t>.</w:t>
      </w:r>
    </w:p>
    <w:p w14:paraId="054A1050" w14:textId="77777777" w:rsidR="00375961" w:rsidRPr="004E053C" w:rsidRDefault="00375961" w:rsidP="004E053C">
      <w:pPr>
        <w:spacing w:line="360" w:lineRule="auto"/>
        <w:jc w:val="both"/>
        <w:rPr>
          <w:rFonts w:eastAsia="Times New Roman" w:cstheme="minorHAnsi"/>
          <w:sz w:val="22"/>
          <w:szCs w:val="22"/>
        </w:rPr>
      </w:pPr>
    </w:p>
    <w:p w14:paraId="0560900D" w14:textId="11D21AF0" w:rsidR="00375961" w:rsidRPr="004E053C" w:rsidRDefault="00502226" w:rsidP="004E053C">
      <w:pPr>
        <w:pStyle w:val="Heading3"/>
        <w:rPr>
          <w:rFonts w:asciiTheme="minorHAnsi" w:hAnsiTheme="minorHAnsi"/>
        </w:rPr>
      </w:pPr>
      <w:r w:rsidRPr="004E053C">
        <w:rPr>
          <w:rFonts w:asciiTheme="minorHAnsi" w:hAnsiTheme="minorHAnsi"/>
        </w:rPr>
        <w:t>3.</w:t>
      </w:r>
      <w:r w:rsidR="00375961" w:rsidRPr="004E053C">
        <w:rPr>
          <w:rFonts w:asciiTheme="minorHAnsi" w:hAnsiTheme="minorHAnsi"/>
        </w:rPr>
        <w:t>2.2. Albe</w:t>
      </w:r>
      <w:r w:rsidR="004E5F90" w:rsidRPr="004E053C">
        <w:rPr>
          <w:rFonts w:asciiTheme="minorHAnsi" w:hAnsiTheme="minorHAnsi"/>
        </w:rPr>
        <w:t>rto Fujimore and the neo-liberal a</w:t>
      </w:r>
      <w:r w:rsidR="00375961" w:rsidRPr="004E053C">
        <w:rPr>
          <w:rFonts w:asciiTheme="minorHAnsi" w:hAnsiTheme="minorHAnsi"/>
        </w:rPr>
        <w:t>genda</w:t>
      </w:r>
    </w:p>
    <w:p w14:paraId="64830508" w14:textId="77777777" w:rsidR="00375961" w:rsidRPr="004E053C" w:rsidRDefault="00375961" w:rsidP="004E053C">
      <w:pPr>
        <w:spacing w:line="360" w:lineRule="auto"/>
        <w:jc w:val="both"/>
        <w:rPr>
          <w:rFonts w:eastAsia="Times New Roman" w:cstheme="minorHAnsi"/>
          <w:b/>
          <w:sz w:val="22"/>
          <w:szCs w:val="22"/>
        </w:rPr>
      </w:pPr>
    </w:p>
    <w:p w14:paraId="1164FA99" w14:textId="56CC6AD1"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By the time Alberto Fujimori took office in July 1990, the country was in deep economic crisis. Despite campaigning on a promise to not implement IMF-style SAPs, the new president quickly set about doing just that with sudden reforms that became known as ‘Fujishock’ (Hays-Mitchell, 2002). Fujimore’s stabilisation measures included the elimination of food subsidies and the upward adjustment of controlled prices. This was followed by structural adjustment measures which included, but were not limited to; the liberali</w:t>
      </w:r>
      <w:r w:rsidR="00277027">
        <w:rPr>
          <w:rFonts w:eastAsia="Times New Roman" w:cstheme="minorHAnsi"/>
          <w:sz w:val="22"/>
          <w:szCs w:val="22"/>
        </w:rPr>
        <w:t>s</w:t>
      </w:r>
      <w:r w:rsidRPr="004E053C">
        <w:rPr>
          <w:rFonts w:eastAsia="Times New Roman" w:cstheme="minorHAnsi"/>
          <w:sz w:val="22"/>
          <w:szCs w:val="22"/>
        </w:rPr>
        <w:t xml:space="preserve">ation of exchange rates; the elimination of FDI restrictions; the elimination of import restrictions and a reduction of import tariffs; the privatisation of state firms and a reduction of state expenditure on education, health and infrastructure; and the relaxation of minimum wage laws </w:t>
      </w:r>
      <w:r w:rsidR="002C13A8"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{"citationItems":[{"id":"ITEM-1","itemData":{"abstract":"Structural adjustment and stabilization policies have been implemented in various Latin American countries besieged by debt crisis and high inflation. Recent development literature has suggested that the negative effects of such policies are borne disproportionately by the poor of these countries, and more specifically by poor women. Empirical studies are lacking, however, and the connection between the crises and women is not always clear. The present study attempts to contribute to the literature on the subject by analyzing the situation of women in Lima, Peru. Using data on the cost of living, poverty levels, unemployment and underemployment, job segregation and discrimination, and female wages relative to male wages, the study tries to analyze whether women have been more negatively affected by the Peruvian crisis and structural adjustment policies than men. The findings do indeed suggest that the economic crisis is severe for all, but that it is particularly harsh on Lima's women. © 1994.","author":[{"dropping-particle":"","family":"Tanski","given":"Janet M.","non-dropping-particle":"","parse-names":false,"suffix":""}],"container-title":"World Development","id":"ITEM-1","issue":"11","issued":{"date-parts":[["1994"]]},"page":"1627-1642","title":"The impact of crisis, stabilization and structural adjustment on women in Lima, Peru","type":"article-journal","volume":"22"},"uris":["http://www.mendeley.com/documents/?uuid=a44a4e2d-c2c2-4327-9532-e6bd2cc66e0e"]}],"mendeley":{"formattedCitation":"(Tanski, 1994)","plainTextFormattedCitation":"(Tanski, 1994)","previouslyFormattedCitation":"(Tanski, 1994)"},"properties":{"noteIndex":0},"schema":"https://github.com/citation-style-language/schema/raw/master/csl-citation.json"}</w:instrText>
      </w:r>
      <w:r w:rsidR="002C13A8" w:rsidRPr="004E053C">
        <w:rPr>
          <w:rFonts w:eastAsia="Times New Roman" w:cstheme="minorHAnsi"/>
          <w:sz w:val="22"/>
          <w:szCs w:val="22"/>
        </w:rPr>
        <w:fldChar w:fldCharType="separate"/>
      </w:r>
      <w:r w:rsidR="002C13A8" w:rsidRPr="004E053C">
        <w:rPr>
          <w:rFonts w:eastAsia="Times New Roman" w:cstheme="minorHAnsi"/>
          <w:noProof/>
          <w:sz w:val="22"/>
          <w:szCs w:val="22"/>
        </w:rPr>
        <w:t>(Tanski, 1994)</w:t>
      </w:r>
      <w:r w:rsidR="002C13A8" w:rsidRPr="004E053C">
        <w:rPr>
          <w:rFonts w:eastAsia="Times New Roman" w:cstheme="minorHAnsi"/>
          <w:sz w:val="22"/>
          <w:szCs w:val="22"/>
        </w:rPr>
        <w:fldChar w:fldCharType="end"/>
      </w:r>
      <w:r w:rsidRPr="004E053C">
        <w:rPr>
          <w:rFonts w:eastAsia="Times New Roman" w:cstheme="minorHAnsi"/>
          <w:sz w:val="22"/>
          <w:szCs w:val="22"/>
        </w:rPr>
        <w:t xml:space="preserve">. </w:t>
      </w:r>
    </w:p>
    <w:p w14:paraId="69EE6844" w14:textId="77777777" w:rsidR="00375961" w:rsidRPr="004E053C" w:rsidRDefault="00375961" w:rsidP="004E053C">
      <w:pPr>
        <w:pStyle w:val="NoSpacing"/>
        <w:spacing w:line="360" w:lineRule="auto"/>
        <w:jc w:val="both"/>
        <w:rPr>
          <w:rFonts w:cstheme="minorHAnsi"/>
        </w:rPr>
      </w:pPr>
    </w:p>
    <w:p w14:paraId="7A22EABE" w14:textId="0D907ECE"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lastRenderedPageBreak/>
        <w:t xml:space="preserve">Fujishock undoubtedly delivered radical change and with immediate effect. Overnight the prices soared and inflation rose by 400% in August alone, while real wages declined by more than 50% </w:t>
      </w:r>
      <w:r w:rsidR="002C13A8"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Webb","given":"R.","non-dropping-particle":"","parse-names":false,"suffix":""},{"dropping-particle":"","family":"Fernández-Baca","given":"G.","non-dropping-particle":"","parse-names":false,"suffix":""}],"id":"ITEM-1","issued":{"date-parts":[["1993"]]},"publisher":"Instituto Cuanto","publisher-place":"Lima, Peru","title":"Peru en Numeros","type":"book"},"uris":["http://www.mendeley.com/documents/?uuid=c16769af-7ba5-456b-ac71-4fa658fb07b8"]},{"id":"ITEM-2","itemData":{"abstract":"Since the early 1980s, development in Latin America has been defined by neo-liberal restructuring in response to the region's precarious debt. This paper examines the distinctly gendered impact of structural adjustment by analysing, first, the changing status of women's lives under neo-liberal reform and, second, their efforts to mitigate the deteriorating status of their households. The formation of community kitchens and village banks by women in shanty towns surrounding Lima offer examples of grassroots organisation to ensure collective survival and development. Such efforts constitute acts of resistance to neo-liberal restructuring and, hence, are part of a broader movement of resistance to neo-liberalism as a prescription for economic recovery and development.","author":[{"dropping-particle":"","family":"Hays-Mitchell","given":"Maureen","non-dropping-particle":"","parse-names":false,"suffix":""}],"container-title":"Gender and Development","id":"ITEM-2","issue":"3","issued":{"date-parts":[["2002"]]},"page":"71-81","title":"Resisting austerity: A gendered perspective on neo-liberal restructing in Peru","type":"article-journal","volume":"10"},"uris":["http://www.mendeley.com/documents/?uuid=081b2a14-ca98-4996-8f02-7e5d7da733ab"]}],"mendeley":{"formattedCitation":"(Hays-Mitchell, 2002; Webb &amp; Fernández-Baca, 1993)","plainTextFormattedCitation":"(Hays-Mitchell, 2002; Webb &amp; Fernández-Baca, 1993)","previouslyFormattedCitation":"(Hays-Mitchell, 2002; Webb &amp; Fernández-Baca, 1993)"},"properties":{"noteIndex":0},"schema":"https://github.com/citation-style-language/schema/raw/master/csl-citation.json"}</w:instrText>
      </w:r>
      <w:r w:rsidR="002C13A8" w:rsidRPr="004E053C">
        <w:rPr>
          <w:rFonts w:eastAsia="Times New Roman" w:cstheme="minorHAnsi"/>
          <w:sz w:val="22"/>
          <w:szCs w:val="22"/>
        </w:rPr>
        <w:fldChar w:fldCharType="separate"/>
      </w:r>
      <w:r w:rsidR="002C13A8" w:rsidRPr="004E053C">
        <w:rPr>
          <w:rFonts w:eastAsia="Times New Roman" w:cstheme="minorHAnsi"/>
          <w:noProof/>
          <w:sz w:val="22"/>
          <w:szCs w:val="22"/>
        </w:rPr>
        <w:t>(Hays-Mitchell, 2002; Webb &amp; Fernández-Baca, 1993)</w:t>
      </w:r>
      <w:r w:rsidR="002C13A8" w:rsidRPr="004E053C">
        <w:rPr>
          <w:rFonts w:eastAsia="Times New Roman" w:cstheme="minorHAnsi"/>
          <w:sz w:val="22"/>
          <w:szCs w:val="22"/>
        </w:rPr>
        <w:fldChar w:fldCharType="end"/>
      </w:r>
      <w:r w:rsidRPr="004E053C">
        <w:rPr>
          <w:rFonts w:eastAsia="Times New Roman" w:cstheme="minorHAnsi"/>
          <w:sz w:val="22"/>
          <w:szCs w:val="22"/>
        </w:rPr>
        <w:t xml:space="preserve">. High interest rates and a capital inflow made the currency appreciate, and this, combined with the continued violence of </w:t>
      </w:r>
      <w:r w:rsidRPr="004E053C">
        <w:rPr>
          <w:rFonts w:eastAsia="Times New Roman" w:cstheme="minorHAnsi"/>
          <w:i/>
          <w:sz w:val="22"/>
          <w:szCs w:val="22"/>
        </w:rPr>
        <w:t>Sendero Luminoso</w:t>
      </w:r>
      <w:r w:rsidRPr="004E053C">
        <w:rPr>
          <w:rFonts w:eastAsia="Times New Roman" w:cstheme="minorHAnsi"/>
          <w:sz w:val="22"/>
          <w:szCs w:val="22"/>
        </w:rPr>
        <w:t xml:space="preserve">, meant that output continued to fall </w:t>
      </w:r>
      <w:r w:rsidR="002C13A8"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{"citationItems":[{"id":"ITEM-1","itemData":{"abstract":"The first section explains the basic hypothesis about the key economic variables within liberalization programs as well as some aspects of the relationships between structural adjustment and direct social programs. The next three sections examine characteristics of the individual adjustment processes in Chile, Mexico, and Peru. The final section interprets regularities and contrasts in these experiences, raising some questions about what is actually possible for these countries.","author":[{"dropping-particle":"","family":"Sheahan","given":"J.","non-dropping-particle":"","parse-names":false,"suffix":""}],"container-title":"Latin American Research Review","id":"ITEM-1","issue":"3","issued":{"date-parts":[["1997"]]},"page":"7-37","title":"Effects of liberalization programs on poverty and inequality: Chile, Mexico, and Peru","type":"article-journal","volume":"32"},"uris":["http://www.mendeley.com/documents/?uuid=8ef89d92-9011-45e6-b5f6-dda71f5e6780"]}],"mendeley":{"formattedCitation":"(Sheahan, 1997)","plainTextFormattedCitation":"(Sheahan, 1997)","previouslyFormattedCitation":"(Sheahan, 1997)"},"properties":{"noteIndex":0},"schema":"https://github.com/citation-style-language/schema/raw/master/csl-citation.json"}</w:instrText>
      </w:r>
      <w:r w:rsidR="002C13A8" w:rsidRPr="004E053C">
        <w:rPr>
          <w:rFonts w:eastAsia="Times New Roman" w:cstheme="minorHAnsi"/>
          <w:sz w:val="22"/>
          <w:szCs w:val="22"/>
        </w:rPr>
        <w:fldChar w:fldCharType="separate"/>
      </w:r>
      <w:r w:rsidR="002C13A8" w:rsidRPr="004E053C">
        <w:rPr>
          <w:rFonts w:eastAsia="Times New Roman" w:cstheme="minorHAnsi"/>
          <w:noProof/>
          <w:sz w:val="22"/>
          <w:szCs w:val="22"/>
        </w:rPr>
        <w:t>(Sheahan, 1997)</w:t>
      </w:r>
      <w:r w:rsidR="002C13A8" w:rsidRPr="004E053C">
        <w:rPr>
          <w:rFonts w:eastAsia="Times New Roman" w:cstheme="minorHAnsi"/>
          <w:sz w:val="22"/>
          <w:szCs w:val="22"/>
        </w:rPr>
        <w:fldChar w:fldCharType="end"/>
      </w:r>
      <w:r w:rsidRPr="004E053C">
        <w:rPr>
          <w:rFonts w:eastAsia="Times New Roman" w:cstheme="minorHAnsi"/>
          <w:sz w:val="22"/>
          <w:szCs w:val="22"/>
        </w:rPr>
        <w:t xml:space="preserve">. However, over the next few years Peru’s economy began to recover and by 1994, it was the most rapidly growing economy in the world </w:t>
      </w:r>
      <w:r w:rsidR="002C13A8"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{"citationItems":[{"id":"ITEM-1","itemData":{"abstract":"Since the early 1980s, development in Latin America has been defined by neo-liberal restructuring in response to the region's precarious debt. This paper examines the distinctly gendered impact of structural adjustment by analysing, first, the changing status of women's lives under neo-liberal reform and, second, their efforts to mitigate the deteriorating status of their households. The formation of community kitchens and village banks by women in shanty towns surrounding Lima offer examples of grassroots organisation to ensure collective survival and development. Such efforts constitute acts of resistance to neo-liberal restructuring and, hence, are part of a broader movement of resistance to neo-liberalism as a prescription for economic recovery and development.","author":[{"dropping-particle":"","family":"Hays-Mitchell","given":"Maureen","non-dropping-particle":"","parse-names":false,"suffix":""}],"container-title":"Gender and Development","id":"ITEM-1","issue":"3","issued":{"date-parts":[["2002"]]},"page":"71-81","title":"Resisting austerity: A gendered perspective on neo-liberal restructing in Peru","type":"article-journal","volume":"10"},"uris":["http://www.mendeley.com/documents/?uuid=081b2a14-ca98-4996-8f02-7e5d7da733ab"]}],"mendeley":{"formattedCitation":"(Hays-Mitchell, 2002)","plainTextFormattedCitation":"(Hays-Mitchell, 2002)","previouslyFormattedCitation":"(Hays-Mitchell, 2002)"},"properties":{"noteIndex":0},"schema":"https://github.com/citation-style-language/schema/raw/master/csl-citation.json"}</w:instrText>
      </w:r>
      <w:r w:rsidR="002C13A8" w:rsidRPr="004E053C">
        <w:rPr>
          <w:rFonts w:eastAsia="Times New Roman" w:cstheme="minorHAnsi"/>
          <w:sz w:val="22"/>
          <w:szCs w:val="22"/>
        </w:rPr>
        <w:fldChar w:fldCharType="separate"/>
      </w:r>
      <w:r w:rsidR="002C13A8" w:rsidRPr="004E053C">
        <w:rPr>
          <w:rFonts w:eastAsia="Times New Roman" w:cstheme="minorHAnsi"/>
          <w:noProof/>
          <w:sz w:val="22"/>
          <w:szCs w:val="22"/>
        </w:rPr>
        <w:t>(Hays-Mitchell, 2002)</w:t>
      </w:r>
      <w:r w:rsidR="002C13A8" w:rsidRPr="004E053C">
        <w:rPr>
          <w:rFonts w:eastAsia="Times New Roman" w:cstheme="minorHAnsi"/>
          <w:sz w:val="22"/>
          <w:szCs w:val="22"/>
        </w:rPr>
        <w:fldChar w:fldCharType="end"/>
      </w:r>
      <w:r w:rsidR="002C13A8" w:rsidRPr="004E053C">
        <w:rPr>
          <w:rFonts w:eastAsia="Times New Roman" w:cstheme="minorHAnsi"/>
          <w:sz w:val="22"/>
          <w:szCs w:val="22"/>
        </w:rPr>
        <w:t>.</w:t>
      </w:r>
      <w:r w:rsidRPr="004E053C">
        <w:rPr>
          <w:rFonts w:eastAsia="Times New Roman" w:cstheme="minorHAnsi"/>
          <w:sz w:val="22"/>
          <w:szCs w:val="22"/>
        </w:rPr>
        <w:t xml:space="preserve"> While one may be tempted to attribute this solely to Fujimore’s neoliberal reforms, Sheahan </w:t>
      </w:r>
      <w:r w:rsidR="002C13A8"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{"citationItems":[{"id":"ITEM-1","itemData":{"abstract":"The first section explains the basic hypothesis about the key economic variables within liberalization programs as well as some aspects of the relationships between structural adjustment and direct social programs. The next three sections examine characteristics of the individual adjustment processes in Chile, Mexico, and Peru. The final section interprets regularities and contrasts in these experiences, raising some questions about what is actually possible for these countries.","author":[{"dropping-particle":"","family":"Sheahan","given":"J.","non-dropping-particle":"","parse-names":false,"suffix":""}],"container-title":"Latin American Research Review","id":"ITEM-1","issue":"3","issued":{"date-parts":[["1997"]]},"page":"7-37","title":"Effects of liberalization programs on poverty and inequality: Chile, Mexico, and Peru","type":"article-journal","volume":"32"},"uris":["http://www.mendeley.com/documents/?uuid=8ef89d92-9011-45e6-b5f6-dda71f5e6780"]}],"mendeley":{"formattedCitation":"(Sheahan, 1997)","manualFormatting":"(1997)","plainTextFormattedCitation":"(Sheahan, 1997)","previouslyFormattedCitation":"(Sheahan, 1997)"},"properties":{"noteIndex":0},"schema":"https://github.com/citation-style-language/schema/raw/master/csl-citation.json"}</w:instrText>
      </w:r>
      <w:r w:rsidR="002C13A8" w:rsidRPr="004E053C">
        <w:rPr>
          <w:rFonts w:eastAsia="Times New Roman" w:cstheme="minorHAnsi"/>
          <w:sz w:val="22"/>
          <w:szCs w:val="22"/>
        </w:rPr>
        <w:fldChar w:fldCharType="separate"/>
      </w:r>
      <w:r w:rsidR="002C13A8" w:rsidRPr="004E053C">
        <w:rPr>
          <w:rFonts w:eastAsia="Times New Roman" w:cstheme="minorHAnsi"/>
          <w:noProof/>
          <w:sz w:val="22"/>
          <w:szCs w:val="22"/>
        </w:rPr>
        <w:t>(1997)</w:t>
      </w:r>
      <w:r w:rsidR="002C13A8" w:rsidRPr="004E053C">
        <w:rPr>
          <w:rFonts w:eastAsia="Times New Roman" w:cstheme="minorHAnsi"/>
          <w:sz w:val="22"/>
          <w:szCs w:val="22"/>
        </w:rPr>
        <w:fldChar w:fldCharType="end"/>
      </w:r>
      <w:r w:rsidRPr="004E053C">
        <w:rPr>
          <w:rFonts w:eastAsia="Times New Roman" w:cstheme="minorHAnsi"/>
          <w:sz w:val="22"/>
          <w:szCs w:val="22"/>
        </w:rPr>
        <w:t xml:space="preserve"> argues that there were two important events in 1992 that contributed greatly to the change in fortune. The first was Fujimore’s decision to close down congress in order to prevent any </w:t>
      </w:r>
      <w:r w:rsidR="00277027">
        <w:rPr>
          <w:rFonts w:eastAsia="Times New Roman" w:cstheme="minorHAnsi"/>
          <w:sz w:val="22"/>
          <w:szCs w:val="22"/>
        </w:rPr>
        <w:t>opposition to both his liberalis</w:t>
      </w:r>
      <w:r w:rsidRPr="004E053C">
        <w:rPr>
          <w:rFonts w:eastAsia="Times New Roman" w:cstheme="minorHAnsi"/>
          <w:sz w:val="22"/>
          <w:szCs w:val="22"/>
        </w:rPr>
        <w:t xml:space="preserve">ation programme and the army’s numerous reported human rights violations. The second was the capture of the head of </w:t>
      </w:r>
      <w:r w:rsidRPr="004E053C">
        <w:rPr>
          <w:rFonts w:eastAsia="Times New Roman" w:cstheme="minorHAnsi"/>
          <w:i/>
          <w:sz w:val="22"/>
          <w:szCs w:val="22"/>
        </w:rPr>
        <w:t>Sendero Luminoso</w:t>
      </w:r>
      <w:r w:rsidRPr="004E053C">
        <w:rPr>
          <w:rFonts w:eastAsia="Times New Roman" w:cstheme="minorHAnsi"/>
          <w:sz w:val="22"/>
          <w:szCs w:val="22"/>
        </w:rPr>
        <w:t xml:space="preserve"> and several of his associates. Both were extremely popular with the public and investors, and there was a steep increase in FDI that contributed to an increase in output </w:t>
      </w:r>
      <w:r w:rsidR="008A0358"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{"citationItems":[{"id":"ITEM-1","itemData":{"abstract":"The first section explains the basic hypothesis about the key economic variables within liberalization programs as well as some aspects of the relationships between structural adjustment and direct social programs. The next three sections examine characteristics of the individual adjustment processes in Chile, Mexico, and Peru. The final section interprets regularities and contrasts in these experiences, raising some questions about what is actually possible for these countries.","author":[{"dropping-particle":"","family":"Sheahan","given":"J.","non-dropping-particle":"","parse-names":false,"suffix":""}],"container-title":"Latin American Research Review","id":"ITEM-1","issue":"3","issued":{"date-parts":[["1997"]]},"page":"7-37","title":"Effects of liberalization programs on poverty and inequality: Chile, Mexico, and Peru","type":"article-journal","volume":"32"},"uris":["http://www.mendeley.com/documents/?uuid=8ef89d92-9011-45e6-b5f6-dda71f5e6780"]}],"mendeley":{"formattedCitation":"(Sheahan, 1997)","manualFormatting":"(Ibid.)","plainTextFormattedCitation":"(Sheahan, 1997)","previouslyFormattedCitation":"(Sheahan, 1997)"},"properties":{"noteIndex":0},"schema":"https://github.com/citation-style-language/schema/raw/master/csl-citation.json"}</w:instrText>
      </w:r>
      <w:r w:rsidR="008A0358" w:rsidRPr="004E053C">
        <w:rPr>
          <w:rFonts w:eastAsia="Times New Roman" w:cstheme="minorHAnsi"/>
          <w:sz w:val="22"/>
          <w:szCs w:val="22"/>
        </w:rPr>
        <w:fldChar w:fldCharType="separate"/>
      </w:r>
      <w:r w:rsidR="001044F7" w:rsidRPr="004E053C">
        <w:rPr>
          <w:rFonts w:eastAsia="Times New Roman" w:cstheme="minorHAnsi"/>
          <w:noProof/>
          <w:sz w:val="22"/>
          <w:szCs w:val="22"/>
        </w:rPr>
        <w:t>(Ibid.</w:t>
      </w:r>
      <w:r w:rsidR="008A0358" w:rsidRPr="004E053C">
        <w:rPr>
          <w:rFonts w:eastAsia="Times New Roman" w:cstheme="minorHAnsi"/>
          <w:noProof/>
          <w:sz w:val="22"/>
          <w:szCs w:val="22"/>
        </w:rPr>
        <w:t>)</w:t>
      </w:r>
      <w:r w:rsidR="008A0358" w:rsidRPr="004E053C">
        <w:rPr>
          <w:rFonts w:eastAsia="Times New Roman" w:cstheme="minorHAnsi"/>
          <w:sz w:val="22"/>
          <w:szCs w:val="22"/>
        </w:rPr>
        <w:fldChar w:fldCharType="end"/>
      </w:r>
      <w:r w:rsidRPr="004E053C">
        <w:rPr>
          <w:rFonts w:eastAsia="Times New Roman" w:cstheme="minorHAnsi"/>
          <w:sz w:val="22"/>
          <w:szCs w:val="22"/>
        </w:rPr>
        <w:t xml:space="preserve">. </w:t>
      </w:r>
    </w:p>
    <w:p w14:paraId="28946666" w14:textId="77777777" w:rsidR="00375961" w:rsidRPr="004E053C" w:rsidRDefault="00375961" w:rsidP="004E053C">
      <w:pPr>
        <w:spacing w:line="360" w:lineRule="auto"/>
        <w:jc w:val="both"/>
        <w:rPr>
          <w:rFonts w:eastAsia="Times New Roman" w:cstheme="minorHAnsi"/>
          <w:b/>
        </w:rPr>
      </w:pPr>
    </w:p>
    <w:p w14:paraId="602915C5" w14:textId="32882F39"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 xml:space="preserve">As was the case in other countries that experienced SAPs, there were devastating social impacts. In the first four months after the policies were introduced, the number of people living in poverty increased from 8 million to 12 million and consumption levels fell by 32.7% </w:t>
      </w:r>
      <w:r w:rsidR="008A0358"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{"citationItems":[{"id":"ITEM-1","itemData":{"author":[{"dropping-particle":"","family":"Elias","given":"Lidia","non-dropping-particle":"","parse-names":false,"suffix":""}],"id":"ITEM-1","issued":{"date-parts":[["1991"]]},"publisher-place":"Lima, Peru","title":"La Politica Macroeconomica en los '80: Resena de un Debacle","type":"report"},"uris":["http://www.mendeley.com/documents/?uuid=7aa3867f-869e-4d4f-8158-18f0306ad7b9"]},{"id":"ITEM-2","itemData":{"abstract":"Structural adjustment and stabilization policies have been implemented in various Latin American countries besieged by debt crisis and high inflation. Recent development literature has suggested that the negative effects of such policies are borne disproportionately by the poor of these countries, and more specifically by poor women. Empirical studies are lacking, however, and the connection between the crises and women is not always clear. The present study attempts to contribute to the literature on the subject by analyzing the situation of women in Lima, Peru. Using data on the cost of living, poverty levels, unemployment and underemployment, job segregation and discrimination, and female wages relative to male wages, the study tries to analyze whether women have been more negatively affected by the Peruvian crisis and structural adjustment policies than men. The findings do indeed suggest that the economic crisis is severe for all, but that it is particularly harsh on Lima's women. © 1994.","author":[{"dropping-particle":"","family":"Tanski","given":"Janet M.","non-dropping-particle":"","parse-names":false,"suffix":""}],"container-title":"World Development","id":"ITEM-2","issue":"11","issued":{"date-parts":[["1994"]]},"page":"1627-1642","title":"The impact of crisis, stabilization and structural adjustment on women in Lima, Peru","type":"article-journal","volume":"22"},"uris":["http://www.mendeley.com/documents/?uuid=a44a4e2d-c2c2-4327-9532-e6bd2cc66e0e"]}],"mendeley":{"formattedCitation":"(L. Elias, 1991; Tanski, 1994)","manualFormatting":"(Elias, 1991; Tanski, 1994)","plainTextFormattedCitation":"(L. Elias, 1991; Tanski, 1994)","previouslyFormattedCitation":"(L. Elias, 1991; Tanski, 1994)"},"properties":{"noteIndex":0},"schema":"https://github.com/citation-style-language/schema/raw/master/csl-citation.json"}</w:instrText>
      </w:r>
      <w:r w:rsidR="008A0358" w:rsidRPr="004E053C">
        <w:rPr>
          <w:rFonts w:eastAsia="Times New Roman" w:cstheme="minorHAnsi"/>
          <w:sz w:val="22"/>
          <w:szCs w:val="22"/>
        </w:rPr>
        <w:fldChar w:fldCharType="separate"/>
      </w:r>
      <w:r w:rsidR="008A0358" w:rsidRPr="004E053C">
        <w:rPr>
          <w:rFonts w:eastAsia="Times New Roman" w:cstheme="minorHAnsi"/>
          <w:noProof/>
          <w:sz w:val="22"/>
          <w:szCs w:val="22"/>
        </w:rPr>
        <w:t>(Elias, 1991; Tanski, 1994)</w:t>
      </w:r>
      <w:r w:rsidR="008A0358" w:rsidRPr="004E053C">
        <w:rPr>
          <w:rFonts w:eastAsia="Times New Roman" w:cstheme="minorHAnsi"/>
          <w:sz w:val="22"/>
          <w:szCs w:val="22"/>
        </w:rPr>
        <w:fldChar w:fldCharType="end"/>
      </w:r>
      <w:r w:rsidR="008A0358" w:rsidRPr="004E053C">
        <w:rPr>
          <w:rFonts w:eastAsia="Times New Roman" w:cstheme="minorHAnsi"/>
          <w:sz w:val="22"/>
          <w:szCs w:val="22"/>
        </w:rPr>
        <w:t xml:space="preserve">. </w:t>
      </w:r>
      <w:r w:rsidRPr="004E053C">
        <w:rPr>
          <w:rFonts w:eastAsia="Times New Roman" w:cstheme="minorHAnsi"/>
          <w:sz w:val="22"/>
          <w:szCs w:val="22"/>
        </w:rPr>
        <w:t xml:space="preserve">Employment also fell, particularly as national companies faced higher levels of competition and were forced to cut staffing costs </w:t>
      </w:r>
      <w:r w:rsidR="008A0358"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{"citationItems":[{"id":"ITEM-1","itemData":{"abstract":"The first section explains the basic hypothesis about the key economic variables within liberalization programs as well as some aspects of the relationships between structural adjustment and direct social programs. The next three sections examine characteristics of the individual adjustment processes in Chile, Mexico, and Peru. The final section interprets regularities and contrasts in these experiences, raising some questions about what is actually possible for these countries.","author":[{"dropping-particle":"","family":"Sheahan","given":"J.","non-dropping-particle":"","parse-names":false,"suffix":""}],"container-title":"Latin American Research Review","id":"ITEM-1","issue":"3","issued":{"date-parts":[["1997"]]},"page":"7-37","title":"Effects of liberalization programs on poverty and inequality: Chile, Mexico, and Peru","type":"article-journal","volume":"32"},"uris":["http://www.mendeley.com/documents/?uuid=8ef89d92-9011-45e6-b5f6-dda71f5e6780"]}],"mendeley":{"formattedCitation":"(Sheahan, 1997)","plainTextFormattedCitation":"(Sheahan, 1997)","previouslyFormattedCitation":"(Sheahan, 1997)"},"properties":{"noteIndex":0},"schema":"https://github.com/citation-style-language/schema/raw/master/csl-citation.json"}</w:instrText>
      </w:r>
      <w:r w:rsidR="008A0358" w:rsidRPr="004E053C">
        <w:rPr>
          <w:rFonts w:eastAsia="Times New Roman" w:cstheme="minorHAnsi"/>
          <w:sz w:val="22"/>
          <w:szCs w:val="22"/>
        </w:rPr>
        <w:fldChar w:fldCharType="separate"/>
      </w:r>
      <w:r w:rsidR="008A0358" w:rsidRPr="004E053C">
        <w:rPr>
          <w:rFonts w:eastAsia="Times New Roman" w:cstheme="minorHAnsi"/>
          <w:noProof/>
          <w:sz w:val="22"/>
          <w:szCs w:val="22"/>
        </w:rPr>
        <w:t>(Sheahan, 1997)</w:t>
      </w:r>
      <w:r w:rsidR="008A0358" w:rsidRPr="004E053C">
        <w:rPr>
          <w:rFonts w:eastAsia="Times New Roman" w:cstheme="minorHAnsi"/>
          <w:sz w:val="22"/>
          <w:szCs w:val="22"/>
        </w:rPr>
        <w:fldChar w:fldCharType="end"/>
      </w:r>
      <w:r w:rsidR="008A0358" w:rsidRPr="004E053C">
        <w:rPr>
          <w:rFonts w:eastAsia="Times New Roman" w:cstheme="minorHAnsi"/>
          <w:sz w:val="22"/>
          <w:szCs w:val="22"/>
        </w:rPr>
        <w:t>.</w:t>
      </w:r>
      <w:r w:rsidRPr="004E053C">
        <w:rPr>
          <w:rFonts w:eastAsia="Times New Roman" w:cstheme="minorHAnsi"/>
          <w:sz w:val="22"/>
          <w:szCs w:val="22"/>
        </w:rPr>
        <w:t xml:space="preserve"> An accompanying price increase meant that real wages and salaries fell by 50% </w:t>
      </w:r>
      <w:r w:rsidR="008A0358" w:rsidRPr="004E053C">
        <w:rPr>
          <w:rFonts w:eastAsia="Times New Roman" w:cstheme="minorHAnsi"/>
          <w:sz w:val="22"/>
          <w:szCs w:val="22"/>
        </w:rPr>
        <w:fldChar w:fldCharType="begin" w:fldLock="1"/>
      </w:r>
      <w:r w:rsidR="00570C82" w:rsidRPr="004E053C">
        <w:rPr>
          <w:rFonts w:eastAsia="Times New Roman" w:cstheme="minorHAnsi"/>
          <w:sz w:val="22"/>
          <w:szCs w:val="22"/>
        </w:rPr>
        <w:instrText>ADDIN CSL_CITATION {"citationItems":[{"id":"ITEM-1","itemData":{"author":[{"dropping-particle":"","family":"Elias","given":"Lidia","non-dropping-particle":"","parse-names":false,"suffix":""}],"id":"ITEM-1","issued":{"date-parts":[["1991"]]},"publisher-place":"Lima, Peru","title":"La Politica Macroeconomica en los '80: Resena de un Debacle","type":"report"},"uris":["http://www.mendeley.com/documents/?uuid=7aa3867f-869e-4d4f-8158-18f0306ad7b9"]}],"mendeley":{"formattedCitation":"(L. Elias, 1991)","manualFormatting":"(Elias, 1991)","plainTextFormattedCitation":"(L. Elias, 1991)","previouslyFormattedCitation":"(L. Elias, 1991)"},"properties":{"noteIndex":0},"schema":"https://github.com/citation-style-language/schema/raw/master/csl-citation.json"}</w:instrText>
      </w:r>
      <w:r w:rsidR="008A0358" w:rsidRPr="004E053C">
        <w:rPr>
          <w:rFonts w:eastAsia="Times New Roman" w:cstheme="minorHAnsi"/>
          <w:sz w:val="22"/>
          <w:szCs w:val="22"/>
        </w:rPr>
        <w:fldChar w:fldCharType="separate"/>
      </w:r>
      <w:r w:rsidR="008A0358" w:rsidRPr="004E053C">
        <w:rPr>
          <w:rFonts w:eastAsia="Times New Roman" w:cstheme="minorHAnsi"/>
          <w:noProof/>
          <w:sz w:val="22"/>
          <w:szCs w:val="22"/>
        </w:rPr>
        <w:t>(Elias, 1991)</w:t>
      </w:r>
      <w:r w:rsidR="008A0358" w:rsidRPr="004E053C">
        <w:rPr>
          <w:rFonts w:eastAsia="Times New Roman" w:cstheme="minorHAnsi"/>
          <w:sz w:val="22"/>
          <w:szCs w:val="22"/>
        </w:rPr>
        <w:fldChar w:fldCharType="end"/>
      </w:r>
      <w:r w:rsidRPr="004E053C">
        <w:rPr>
          <w:rFonts w:eastAsia="Times New Roman" w:cstheme="minorHAnsi"/>
          <w:sz w:val="22"/>
          <w:szCs w:val="22"/>
        </w:rPr>
        <w:t xml:space="preserve">. This had huge implications for informality, and by 1994 51.5% of the labour force of Lima was employed in the informal sector </w:t>
      </w:r>
      <w:r w:rsidR="00570C82" w:rsidRPr="004E053C">
        <w:rPr>
          <w:rFonts w:eastAsia="Times New Roman" w:cstheme="minorHAnsi"/>
          <w:sz w:val="22"/>
          <w:szCs w:val="22"/>
        </w:rPr>
        <w:fldChar w:fldCharType="begin" w:fldLock="1"/>
      </w:r>
      <w:r w:rsidR="00570C82" w:rsidRPr="004E053C">
        <w:rPr>
          <w:rFonts w:eastAsia="Times New Roman" w:cstheme="minorHAnsi"/>
          <w:sz w:val="22"/>
          <w:szCs w:val="22"/>
        </w:rPr>
        <w:instrText>ADDIN CSL_CITATION {"citationItems":[{"id":"ITEM-1","itemData":{"author":[{"dropping-particle":"","family":"Infante","given":"Ricardo","non-dropping-particle":"","parse-names":false,"suffix":""}],"id":"ITEM-1","issued":{"date-parts":[["1995"]]},"publisher-place":"Lima, Peru","title":"Reactivación y empleo urbano, 1990-94","type":"report"},"uris":["http://www.mendeley.com/documents/?uuid=43ee46d6-3e1a-4911-a5d7-57d7152a5eaf"]}],"mendeley":{"formattedCitation":"(Infante, 1995)","plainTextFormattedCitation":"(Infante, 1995)","previouslyFormattedCitation":"(Infante, 1995)"},"properties":{"noteIndex":0},"schema":"https://github.com/citation-style-language/schema/raw/master/csl-citation.json"}</w:instrText>
      </w:r>
      <w:r w:rsidR="00570C82" w:rsidRPr="004E053C">
        <w:rPr>
          <w:rFonts w:eastAsia="Times New Roman" w:cstheme="minorHAnsi"/>
          <w:sz w:val="22"/>
          <w:szCs w:val="22"/>
        </w:rPr>
        <w:fldChar w:fldCharType="separate"/>
      </w:r>
      <w:r w:rsidR="00570C82" w:rsidRPr="004E053C">
        <w:rPr>
          <w:rFonts w:eastAsia="Times New Roman" w:cstheme="minorHAnsi"/>
          <w:noProof/>
          <w:sz w:val="22"/>
          <w:szCs w:val="22"/>
        </w:rPr>
        <w:t>(Infante, 1995)</w:t>
      </w:r>
      <w:r w:rsidR="00570C82" w:rsidRPr="004E053C">
        <w:rPr>
          <w:rFonts w:eastAsia="Times New Roman" w:cstheme="minorHAnsi"/>
          <w:sz w:val="22"/>
          <w:szCs w:val="22"/>
        </w:rPr>
        <w:fldChar w:fldCharType="end"/>
      </w:r>
      <w:r w:rsidRPr="004E053C">
        <w:rPr>
          <w:rFonts w:eastAsia="Times New Roman" w:cstheme="minorHAnsi"/>
          <w:sz w:val="22"/>
          <w:szCs w:val="22"/>
        </w:rPr>
        <w:t xml:space="preserve">. In an attempt to alleviate some of these social issues, the government designed a social programme intended to target areas of extreme poverty </w:t>
      </w:r>
      <w:r w:rsidR="00570C82"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570C82" w:rsidRPr="004E053C">
        <w:rPr>
          <w:rFonts w:eastAsia="Times New Roman" w:cstheme="minorHAnsi"/>
          <w:sz w:val="22"/>
          <w:szCs w:val="22"/>
        </w:rPr>
        <w:fldChar w:fldCharType="separate"/>
      </w:r>
      <w:r w:rsidR="00570C82" w:rsidRPr="004E053C">
        <w:rPr>
          <w:rFonts w:eastAsia="Times New Roman" w:cstheme="minorHAnsi"/>
          <w:noProof/>
          <w:sz w:val="22"/>
          <w:szCs w:val="22"/>
        </w:rPr>
        <w:t>(Palmer, 2017)</w:t>
      </w:r>
      <w:r w:rsidR="00570C82" w:rsidRPr="004E053C">
        <w:rPr>
          <w:rFonts w:eastAsia="Times New Roman" w:cstheme="minorHAnsi"/>
          <w:sz w:val="22"/>
          <w:szCs w:val="22"/>
        </w:rPr>
        <w:fldChar w:fldCharType="end"/>
      </w:r>
      <w:r w:rsidRPr="004E053C">
        <w:rPr>
          <w:rFonts w:eastAsia="Times New Roman" w:cstheme="minorHAnsi"/>
          <w:sz w:val="22"/>
          <w:szCs w:val="22"/>
        </w:rPr>
        <w:t xml:space="preserve">. The programme was slow to get off the ground as spending was far below budget </w:t>
      </w:r>
      <w:r w:rsidR="00570C82"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{"citationItems":[{"id":"ITEM-1","itemData":{"abstract":"The first section explains the basic hypothesis about the key economic variables within liberalization programs as well as some aspects of the relationships between structural adjustment and direct social programs. The next three sections examine characteristics of the individual adjustment processes in Chile, Mexico, and Peru. The final section interprets regularities and contrasts in these experiences, raising some questions about what is actually possible for these countries.","author":[{"dropping-particle":"","family":"Sheahan","given":"J.","non-dropping-particle":"","parse-names":false,"suffix":""}],"container-title":"Latin American Research Review","id":"ITEM-1","issue":"3","issued":{"date-parts":[["1997"]]},"page":"7-37","title":"Effects of liberalization programs on poverty and inequality: Chile, Mexico, and Peru","type":"article-journal","volume":"32"},"uris":["http://www.mendeley.com/documents/?uuid=8ef89d92-9011-45e6-b5f6-dda71f5e6780"]}],"mendeley":{"formattedCitation":"(Sheahan, 1997)","plainTextFormattedCitation":"(Sheahan, 1997)","previouslyFormattedCitation":"(Sheahan, 1997)"},"properties":{"noteIndex":0},"schema":"https://github.com/citation-style-language/schema/raw/master/csl-citation.json"}</w:instrText>
      </w:r>
      <w:r w:rsidR="00570C82" w:rsidRPr="004E053C">
        <w:rPr>
          <w:rFonts w:eastAsia="Times New Roman" w:cstheme="minorHAnsi"/>
          <w:sz w:val="22"/>
          <w:szCs w:val="22"/>
        </w:rPr>
        <w:fldChar w:fldCharType="separate"/>
      </w:r>
      <w:r w:rsidR="00570C82" w:rsidRPr="004E053C">
        <w:rPr>
          <w:rFonts w:eastAsia="Times New Roman" w:cstheme="minorHAnsi"/>
          <w:noProof/>
          <w:sz w:val="22"/>
          <w:szCs w:val="22"/>
        </w:rPr>
        <w:t>(Sheahan, 1997)</w:t>
      </w:r>
      <w:r w:rsidR="00570C82" w:rsidRPr="004E053C">
        <w:rPr>
          <w:rFonts w:eastAsia="Times New Roman" w:cstheme="minorHAnsi"/>
          <w:sz w:val="22"/>
          <w:szCs w:val="22"/>
        </w:rPr>
        <w:fldChar w:fldCharType="end"/>
      </w:r>
      <w:r w:rsidRPr="004E053C">
        <w:rPr>
          <w:rFonts w:eastAsia="Times New Roman" w:cstheme="minorHAnsi"/>
          <w:sz w:val="22"/>
          <w:szCs w:val="22"/>
        </w:rPr>
        <w:t xml:space="preserve"> and the majority of the assistance initially went to people living in Lima rather than the impoverished rural areas </w:t>
      </w:r>
      <w:r w:rsidR="00570C82"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{"citationItems":[{"id":"ITEM-1","itemData":{"abstract":"Structural adjustment and stabilization policies have been implemented in various Latin American countries besieged by debt crisis and high inflation. Recent development literature has suggested that the negative effects of such policies are borne disproportionately by the poor of these countries, and more specifically by poor women. Empirical studies are lacking, however, and the connection between the crises and women is not always clear. The present study attempts to contribute to the literature on the subject by analyzing the situation of women in Lima, Peru. Using data on the cost of living, poverty levels, unemployment and underemployment, job segregation and discrimination, and female wages relative to male wages, the study tries to analyze whether women have been more negatively affected by the Peruvian crisis and structural adjustment policies than men. The findings do indeed suggest that the economic crisis is severe for all, but that it is particularly harsh on Lima's women. © 1994.","author":[{"dropping-particle":"","family":"Tanski","given":"Janet M.","non-dropping-particle":"","parse-names":false,"suffix":""}],"container-title":"World Development","id":"ITEM-1","issue":"11","issued":{"date-parts":[["1994"]]},"page":"1627-1642","title":"The impact of crisis, stabilization and structural adjustment on women in Lima, Peru","type":"article-journal","volume":"22"},"uris":["http://www.mendeley.com/documents/?uuid=a44a4e2d-c2c2-4327-9532-e6bd2cc66e0e"]}],"mendeley":{"formattedCitation":"(Tanski, 1994)","plainTextFormattedCitation":"(Tanski, 1994)","previouslyFormattedCitation":"(Tanski, 1994)"},"properties":{"noteIndex":0},"schema":"https://github.com/citation-style-language/schema/raw/master/csl-citation.json"}</w:instrText>
      </w:r>
      <w:r w:rsidR="00570C82" w:rsidRPr="004E053C">
        <w:rPr>
          <w:rFonts w:eastAsia="Times New Roman" w:cstheme="minorHAnsi"/>
          <w:sz w:val="22"/>
          <w:szCs w:val="22"/>
        </w:rPr>
        <w:fldChar w:fldCharType="separate"/>
      </w:r>
      <w:r w:rsidR="00570C82" w:rsidRPr="004E053C">
        <w:rPr>
          <w:rFonts w:eastAsia="Times New Roman" w:cstheme="minorHAnsi"/>
          <w:noProof/>
          <w:sz w:val="22"/>
          <w:szCs w:val="22"/>
        </w:rPr>
        <w:t>(Tanski, 1994)</w:t>
      </w:r>
      <w:r w:rsidR="00570C82" w:rsidRPr="004E053C">
        <w:rPr>
          <w:rFonts w:eastAsia="Times New Roman" w:cstheme="minorHAnsi"/>
          <w:sz w:val="22"/>
          <w:szCs w:val="22"/>
        </w:rPr>
        <w:fldChar w:fldCharType="end"/>
      </w:r>
      <w:r w:rsidRPr="004E053C">
        <w:rPr>
          <w:rFonts w:eastAsia="Times New Roman" w:cstheme="minorHAnsi"/>
          <w:sz w:val="22"/>
          <w:szCs w:val="22"/>
        </w:rPr>
        <w:t xml:space="preserve">. Eventually however, the President decided to orientate funds towards rural areas where his support against </w:t>
      </w:r>
      <w:r w:rsidRPr="004E053C">
        <w:rPr>
          <w:rFonts w:eastAsia="Times New Roman" w:cstheme="minorHAnsi"/>
          <w:i/>
          <w:sz w:val="22"/>
          <w:szCs w:val="22"/>
        </w:rPr>
        <w:t>Sendero Luminoso</w:t>
      </w:r>
      <w:r w:rsidRPr="004E053C">
        <w:rPr>
          <w:rFonts w:eastAsia="Times New Roman" w:cstheme="minorHAnsi"/>
          <w:sz w:val="22"/>
          <w:szCs w:val="22"/>
        </w:rPr>
        <w:t xml:space="preserve"> was weak </w:t>
      </w:r>
      <w:r w:rsidR="00570C82"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{"citationItems":[{"id":"ITEM-1","itemData":{"abstract":"The first section explains the basic hypothesis about the key economic variables within liberalization programs as well as some aspects of the relationships between structural adjustment and direct social programs. The next three sections examine characteristics of the individual adjustment processes in Chile, Mexico, and Peru. The final section interprets regularities and contrasts in these experiences, raising some questions about what is actually possible for these countries.","author":[{"dropping-particle":"","family":"Sheahan","given":"J.","non-dropping-particle":"","parse-names":false,"suffix":""}],"container-title":"Latin American Research Review","id":"ITEM-1","issue":"3","issued":{"date-parts":[["1997"]]},"page":"7-37","title":"Effects of liberalization programs on poverty and inequality: Chile, Mexico, and Peru","type":"article-journal","volume":"32"},"uris":["http://www.mendeley.com/documents/?uuid=8ef89d92-9011-45e6-b5f6-dda71f5e6780"]}],"mendeley":{"formattedCitation":"(Sheahan, 1997)","plainTextFormattedCitation":"(Sheahan, 1997)","previouslyFormattedCitation":"(Sheahan, 1997)"},"properties":{"noteIndex":0},"schema":"https://github.com/citation-style-language/schema/raw/master/csl-citation.json"}</w:instrText>
      </w:r>
      <w:r w:rsidR="00570C82" w:rsidRPr="004E053C">
        <w:rPr>
          <w:rFonts w:eastAsia="Times New Roman" w:cstheme="minorHAnsi"/>
          <w:sz w:val="22"/>
          <w:szCs w:val="22"/>
        </w:rPr>
        <w:fldChar w:fldCharType="separate"/>
      </w:r>
      <w:r w:rsidR="00570C82" w:rsidRPr="004E053C">
        <w:rPr>
          <w:rFonts w:eastAsia="Times New Roman" w:cstheme="minorHAnsi"/>
          <w:noProof/>
          <w:sz w:val="22"/>
          <w:szCs w:val="22"/>
        </w:rPr>
        <w:t>(Sheahan, 1997)</w:t>
      </w:r>
      <w:r w:rsidR="00570C82" w:rsidRPr="004E053C">
        <w:rPr>
          <w:rFonts w:eastAsia="Times New Roman" w:cstheme="minorHAnsi"/>
          <w:sz w:val="22"/>
          <w:szCs w:val="22"/>
        </w:rPr>
        <w:fldChar w:fldCharType="end"/>
      </w:r>
      <w:r w:rsidRPr="004E053C">
        <w:rPr>
          <w:rFonts w:eastAsia="Times New Roman" w:cstheme="minorHAnsi"/>
          <w:sz w:val="22"/>
          <w:szCs w:val="22"/>
        </w:rPr>
        <w:t xml:space="preserve">. By 1998, the extreme poverty rate had fallen from 31% of the population to 15% </w:t>
      </w:r>
      <w:r w:rsidR="00570C82"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570C82" w:rsidRPr="004E053C">
        <w:rPr>
          <w:rFonts w:eastAsia="Times New Roman" w:cstheme="minorHAnsi"/>
          <w:sz w:val="22"/>
          <w:szCs w:val="22"/>
        </w:rPr>
        <w:fldChar w:fldCharType="separate"/>
      </w:r>
      <w:r w:rsidR="00570C82" w:rsidRPr="004E053C">
        <w:rPr>
          <w:rFonts w:eastAsia="Times New Roman" w:cstheme="minorHAnsi"/>
          <w:noProof/>
          <w:sz w:val="22"/>
          <w:szCs w:val="22"/>
        </w:rPr>
        <w:t>(Palmer, 2017)</w:t>
      </w:r>
      <w:r w:rsidR="00570C82" w:rsidRPr="004E053C">
        <w:rPr>
          <w:rFonts w:eastAsia="Times New Roman" w:cstheme="minorHAnsi"/>
          <w:sz w:val="22"/>
          <w:szCs w:val="22"/>
        </w:rPr>
        <w:fldChar w:fldCharType="end"/>
      </w:r>
      <w:r w:rsidRPr="004E053C">
        <w:rPr>
          <w:rFonts w:eastAsia="Times New Roman" w:cstheme="minorHAnsi"/>
          <w:sz w:val="22"/>
          <w:szCs w:val="22"/>
        </w:rPr>
        <w:t xml:space="preserve">. This progress won Fujimore public support in the rural areas </w:t>
      </w:r>
      <w:r w:rsidR="00570C82"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2017)","manualFormatting":"(Ibid.)","plainTextFormattedCitation":"(Palmer, 2017)","previouslyFormattedCitation":"(Palmer, 2017)"},"properties":{"noteIndex":0},"schema":"https://github.com/citation-style-language/schema/raw/master/csl-citation.json"}</w:instrText>
      </w:r>
      <w:r w:rsidR="00570C82" w:rsidRPr="004E053C">
        <w:rPr>
          <w:rFonts w:eastAsia="Times New Roman" w:cstheme="minorHAnsi"/>
          <w:sz w:val="22"/>
          <w:szCs w:val="22"/>
        </w:rPr>
        <w:fldChar w:fldCharType="separate"/>
      </w:r>
      <w:r w:rsidR="001044F7" w:rsidRPr="004E053C">
        <w:rPr>
          <w:rFonts w:eastAsia="Times New Roman" w:cstheme="minorHAnsi"/>
          <w:noProof/>
          <w:sz w:val="22"/>
          <w:szCs w:val="22"/>
        </w:rPr>
        <w:t>(Ibid.</w:t>
      </w:r>
      <w:r w:rsidR="00570C82" w:rsidRPr="004E053C">
        <w:rPr>
          <w:rFonts w:eastAsia="Times New Roman" w:cstheme="minorHAnsi"/>
          <w:noProof/>
          <w:sz w:val="22"/>
          <w:szCs w:val="22"/>
        </w:rPr>
        <w:t>)</w:t>
      </w:r>
      <w:r w:rsidR="00570C82" w:rsidRPr="004E053C">
        <w:rPr>
          <w:rFonts w:eastAsia="Times New Roman" w:cstheme="minorHAnsi"/>
          <w:sz w:val="22"/>
          <w:szCs w:val="22"/>
        </w:rPr>
        <w:fldChar w:fldCharType="end"/>
      </w:r>
      <w:r w:rsidRPr="004E053C">
        <w:rPr>
          <w:rFonts w:eastAsia="Times New Roman" w:cstheme="minorHAnsi"/>
          <w:sz w:val="22"/>
          <w:szCs w:val="22"/>
        </w:rPr>
        <w:t xml:space="preserve">, but it has been argued that the debilitating effects the reforms were offset more by the collective survival strategies of poor communities themselves than any of the government’s actions </w:t>
      </w:r>
      <w:r w:rsidR="00570C82"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{"citationItems":[{"id":"ITEM-1","itemData":{"abstract":"Since the early 1980s, development in Latin America has been defined by neo-liberal restructuring in response to the region's precarious debt. This paper examines the distinctly gendered impact of structural adjustment by analysing, first, the changing status of women's lives under neo-liberal reform and, second, their efforts to mitigate the deteriorating status of their households. The formation of community kitchens and village banks by women in shanty towns surrounding Lima offer examples of grassroots organisation to ensure collective survival and development. Such efforts constitute acts of resistance to neo-liberal restructuring and, hence, are part of a broader movement of resistance to neo-liberalism as a prescription for economic recovery and development.","author":[{"dropping-particle":"","family":"Hays-Mitchell","given":"Maureen","non-dropping-particle":"","parse-names":false,"suffix":""}],"container-title":"Gender and Development","id":"ITEM-1","issue":"3","issued":{"date-parts":[["2002"]]},"page":"71-81","title":"Resisting austerity: A gendered perspective on neo-liberal restructing in Peru","type":"article-journal","volume":"10"},"uris":["http://www.mendeley.com/documents/?uuid=081b2a14-ca98-4996-8f02-7e5d7da733ab"]}],"mendeley":{"formattedCitation":"(Hays-Mitchell, 2002)","plainTextFormattedCitation":"(Hays-Mitchell, 2002)","previouslyFormattedCitation":"(Hays-Mitchell, 2002)"},"properties":{"noteIndex":0},"schema":"https://github.com/citation-style-language/schema/raw/master/csl-citation.json"}</w:instrText>
      </w:r>
      <w:r w:rsidR="00570C82" w:rsidRPr="004E053C">
        <w:rPr>
          <w:rFonts w:eastAsia="Times New Roman" w:cstheme="minorHAnsi"/>
          <w:sz w:val="22"/>
          <w:szCs w:val="22"/>
        </w:rPr>
        <w:fldChar w:fldCharType="separate"/>
      </w:r>
      <w:r w:rsidR="00570C82" w:rsidRPr="004E053C">
        <w:rPr>
          <w:rFonts w:eastAsia="Times New Roman" w:cstheme="minorHAnsi"/>
          <w:noProof/>
          <w:sz w:val="22"/>
          <w:szCs w:val="22"/>
        </w:rPr>
        <w:t>(Hays-Mitchell, 2002)</w:t>
      </w:r>
      <w:r w:rsidR="00570C82" w:rsidRPr="004E053C">
        <w:rPr>
          <w:rFonts w:eastAsia="Times New Roman" w:cstheme="minorHAnsi"/>
          <w:sz w:val="22"/>
          <w:szCs w:val="22"/>
        </w:rPr>
        <w:fldChar w:fldCharType="end"/>
      </w:r>
      <w:r w:rsidRPr="004E053C">
        <w:rPr>
          <w:rFonts w:eastAsia="Times New Roman" w:cstheme="minorHAnsi"/>
          <w:sz w:val="22"/>
          <w:szCs w:val="22"/>
        </w:rPr>
        <w:t>.</w:t>
      </w:r>
    </w:p>
    <w:p w14:paraId="233501AE" w14:textId="77777777" w:rsidR="00375961" w:rsidRPr="004E053C" w:rsidRDefault="00375961" w:rsidP="004E053C">
      <w:pPr>
        <w:spacing w:line="360" w:lineRule="auto"/>
        <w:jc w:val="both"/>
        <w:rPr>
          <w:rFonts w:eastAsia="Times New Roman" w:cstheme="minorHAnsi"/>
          <w:sz w:val="22"/>
          <w:szCs w:val="22"/>
        </w:rPr>
      </w:pPr>
    </w:p>
    <w:p w14:paraId="438E4541" w14:textId="756FE872" w:rsidR="00375961" w:rsidRPr="004E053C" w:rsidRDefault="00375961" w:rsidP="004E053C">
      <w:pPr>
        <w:spacing w:line="360" w:lineRule="auto"/>
        <w:jc w:val="both"/>
        <w:rPr>
          <w:rFonts w:eastAsia="Times New Roman" w:cstheme="minorHAnsi"/>
          <w:color w:val="242424"/>
          <w:sz w:val="22"/>
          <w:szCs w:val="22"/>
          <w:shd w:val="clear" w:color="auto" w:fill="FFFFFF"/>
        </w:rPr>
      </w:pPr>
      <w:r w:rsidRPr="004E053C">
        <w:rPr>
          <w:rFonts w:cstheme="minorHAnsi"/>
          <w:sz w:val="22"/>
          <w:szCs w:val="22"/>
        </w:rPr>
        <w:t xml:space="preserve">By the mid-1990s, the Peruvian economy was in a state of expansion and political violence had diminished dramatically. However, </w:t>
      </w:r>
      <w:r w:rsidR="00813973">
        <w:rPr>
          <w:rFonts w:eastAsia="Times New Roman" w:cstheme="minorHAnsi"/>
          <w:color w:val="000000"/>
          <w:sz w:val="22"/>
          <w:szCs w:val="22"/>
          <w:shd w:val="clear" w:color="auto" w:fill="FFFFFF"/>
        </w:rPr>
        <w:t>r</w:t>
      </w:r>
      <w:r w:rsidRPr="004E053C">
        <w:rPr>
          <w:rFonts w:eastAsia="Times New Roman" w:cstheme="minorHAnsi"/>
          <w:color w:val="000000"/>
          <w:sz w:val="22"/>
          <w:szCs w:val="22"/>
          <w:shd w:val="clear" w:color="auto" w:fill="FFFFFF"/>
        </w:rPr>
        <w:t xml:space="preserve">eductions in trade barriers continued throughout the 1990s, </w:t>
      </w:r>
      <w:r w:rsidRPr="004E053C">
        <w:rPr>
          <w:rFonts w:eastAsia="Times New Roman" w:cstheme="minorHAnsi"/>
          <w:color w:val="000000"/>
          <w:sz w:val="22"/>
          <w:szCs w:val="22"/>
          <w:shd w:val="clear" w:color="auto" w:fill="FFFFFF"/>
        </w:rPr>
        <w:lastRenderedPageBreak/>
        <w:t>with important reductions happening in 1997 and 2001</w:t>
      </w:r>
      <w:r w:rsidRPr="004E053C">
        <w:rPr>
          <w:rFonts w:eastAsia="Times New Roman" w:cstheme="minorHAnsi"/>
          <w:sz w:val="22"/>
          <w:szCs w:val="22"/>
          <w:shd w:val="clear" w:color="auto" w:fill="FFFFFF"/>
        </w:rPr>
        <w:t> </w:t>
      </w:r>
      <w:bookmarkStart w:id="36" w:name="p287"/>
      <w:bookmarkEnd w:id="36"/>
      <w:r w:rsidR="00D66410" w:rsidRPr="004E053C">
        <w:rPr>
          <w:rFonts w:eastAsia="Times New Roman" w:cstheme="minorHAnsi"/>
          <w:sz w:val="22"/>
          <w:szCs w:val="22"/>
          <w:shd w:val="clear" w:color="auto" w:fill="FFFFFF"/>
        </w:rPr>
        <w:fldChar w:fldCharType="begin" w:fldLock="1"/>
      </w:r>
      <w:r w:rsidR="004F1E34" w:rsidRPr="004E053C">
        <w:rPr>
          <w:rFonts w:eastAsia="Times New Roman" w:cstheme="minorHAnsi"/>
          <w:sz w:val="22"/>
          <w:szCs w:val="22"/>
          <w:shd w:val="clear" w:color="auto" w:fill="FFFFFF"/>
        </w:rPr>
        <w:instrText>ADDIN CSL_CITATION {"citationItems":[{"id":"ITEM-1","itemData":{"author":[{"dropping-particle":"","family":"Field","given":"Alfred J","non-dropping-particle":"","parse-names":false,"suffix":""},{"dropping-particle":"","family":"Field","given":"Erica","non-dropping-particle":"","parse-names":false,"suffix":""}],"chapter-number":"10","container-title":"The Poor under Globalization in Asia, Latin America and Africa","editor":[{"dropping-particle":"","family":"Nissanke","given":"Machiko","non-dropping-particle":"","parse-names":false,"suffix":""},{"dropping-particle":"","family":"Thorbecke","given":"Erik","non-dropping-particle":"","parse-names":false,"suffix":""}],"id":"ITEM-1","issued":{"date-parts":[["2010"]]},"page":"285-324","publisher":"Oxford Scholarship Online","publisher-place":"Oxford, UK","title":"Globalization, crop choice and property rights in rural Pery, 1994-2004","type":"chapter"},"uris":["http://www.mendeley.com/documents/?uuid=09c7217d-546e-4a23-821a-69884c73742e"]}],"mendeley":{"formattedCitation":"(Field &amp; Field, 2010)","plainTextFormattedCitation":"(Field &amp; Field, 2010)","previouslyFormattedCitation":"(Field &amp; Field, 2010)"},"properties":{"noteIndex":0},"schema":"https://github.com/citation-style-language/schema/raw/master/csl-citation.json"}</w:instrText>
      </w:r>
      <w:r w:rsidR="00D66410" w:rsidRPr="004E053C">
        <w:rPr>
          <w:rFonts w:eastAsia="Times New Roman" w:cstheme="minorHAnsi"/>
          <w:sz w:val="22"/>
          <w:szCs w:val="22"/>
          <w:shd w:val="clear" w:color="auto" w:fill="FFFFFF"/>
        </w:rPr>
        <w:fldChar w:fldCharType="separate"/>
      </w:r>
      <w:r w:rsidR="00D66410" w:rsidRPr="004E053C">
        <w:rPr>
          <w:rFonts w:eastAsia="Times New Roman" w:cstheme="minorHAnsi"/>
          <w:noProof/>
          <w:sz w:val="22"/>
          <w:szCs w:val="22"/>
          <w:shd w:val="clear" w:color="auto" w:fill="FFFFFF"/>
        </w:rPr>
        <w:t>(Field &amp; Field, 2010)</w:t>
      </w:r>
      <w:r w:rsidR="00D66410" w:rsidRPr="004E053C">
        <w:rPr>
          <w:rFonts w:eastAsia="Times New Roman" w:cstheme="minorHAnsi"/>
          <w:sz w:val="22"/>
          <w:szCs w:val="22"/>
          <w:shd w:val="clear" w:color="auto" w:fill="FFFFFF"/>
        </w:rPr>
        <w:fldChar w:fldCharType="end"/>
      </w:r>
      <w:r w:rsidRPr="004E053C">
        <w:rPr>
          <w:rFonts w:eastAsia="Times New Roman" w:cstheme="minorHAnsi"/>
          <w:bCs/>
          <w:sz w:val="22"/>
          <w:szCs w:val="22"/>
          <w:shd w:val="clear" w:color="auto" w:fill="FFFFFF"/>
        </w:rPr>
        <w:t>. In 2</w:t>
      </w:r>
      <w:r w:rsidR="00813973">
        <w:rPr>
          <w:rFonts w:eastAsia="Times New Roman" w:cstheme="minorHAnsi"/>
          <w:bCs/>
          <w:sz w:val="22"/>
          <w:szCs w:val="22"/>
          <w:shd w:val="clear" w:color="auto" w:fill="FFFFFF"/>
        </w:rPr>
        <w:t>000</w:t>
      </w:r>
      <w:r w:rsidR="00D66410" w:rsidRPr="004E053C">
        <w:rPr>
          <w:rFonts w:eastAsia="Times New Roman" w:cstheme="minorHAnsi"/>
          <w:bCs/>
          <w:sz w:val="22"/>
          <w:szCs w:val="22"/>
          <w:shd w:val="clear" w:color="auto" w:fill="FFFFFF"/>
        </w:rPr>
        <w:t>, Fujimore suddenly resigned</w:t>
      </w:r>
      <w:r w:rsidR="007C2BB7">
        <w:rPr>
          <w:rFonts w:eastAsia="Times New Roman" w:cstheme="minorHAnsi"/>
          <w:bCs/>
          <w:sz w:val="22"/>
          <w:szCs w:val="22"/>
          <w:shd w:val="clear" w:color="auto" w:fill="FFFFFF"/>
        </w:rPr>
        <w:t xml:space="preserve">, yet the legacy of neo-liberalism lived on. </w:t>
      </w:r>
      <w:r w:rsidR="007C2BB7">
        <w:rPr>
          <w:rFonts w:eastAsia="Times New Roman" w:cstheme="minorHAnsi"/>
          <w:color w:val="242424"/>
          <w:sz w:val="22"/>
          <w:szCs w:val="22"/>
          <w:shd w:val="clear" w:color="auto" w:fill="FFFFFF"/>
        </w:rPr>
        <w:t>During the 2000s</w:t>
      </w:r>
      <w:r w:rsidR="00CE5DD1">
        <w:rPr>
          <w:rFonts w:eastAsia="Times New Roman" w:cstheme="minorHAnsi"/>
          <w:color w:val="242424"/>
          <w:sz w:val="22"/>
          <w:szCs w:val="22"/>
          <w:shd w:val="clear" w:color="auto" w:fill="FFFFFF"/>
        </w:rPr>
        <w:t xml:space="preserve"> many </w:t>
      </w:r>
      <w:r w:rsidR="007C2BB7">
        <w:rPr>
          <w:rFonts w:eastAsia="Times New Roman" w:cstheme="minorHAnsi"/>
          <w:color w:val="242424"/>
          <w:sz w:val="22"/>
          <w:szCs w:val="22"/>
          <w:shd w:val="clear" w:color="auto" w:fill="FFFFFF"/>
        </w:rPr>
        <w:t xml:space="preserve">countries in Latin America </w:t>
      </w:r>
      <w:r w:rsidR="00CE5DD1">
        <w:rPr>
          <w:rFonts w:eastAsia="Times New Roman" w:cstheme="minorHAnsi"/>
          <w:color w:val="242424"/>
          <w:sz w:val="22"/>
          <w:szCs w:val="22"/>
          <w:shd w:val="clear" w:color="auto" w:fill="FFFFFF"/>
        </w:rPr>
        <w:t>ex</w:t>
      </w:r>
      <w:r w:rsidR="007C2BB7">
        <w:rPr>
          <w:rFonts w:eastAsia="Times New Roman" w:cstheme="minorHAnsi"/>
          <w:color w:val="242424"/>
          <w:sz w:val="22"/>
          <w:szCs w:val="22"/>
          <w:shd w:val="clear" w:color="auto" w:fill="FFFFFF"/>
        </w:rPr>
        <w:t>perienced</w:t>
      </w:r>
      <w:r w:rsidR="00A14051">
        <w:rPr>
          <w:rFonts w:eastAsia="Times New Roman" w:cstheme="minorHAnsi"/>
          <w:color w:val="242424"/>
          <w:sz w:val="22"/>
          <w:szCs w:val="22"/>
          <w:shd w:val="clear" w:color="auto" w:fill="FFFFFF"/>
        </w:rPr>
        <w:t xml:space="preserve"> a ‘Turn to the Left’, which </w:t>
      </w:r>
      <w:r w:rsidR="00CE5DD1">
        <w:rPr>
          <w:rFonts w:eastAsia="Times New Roman" w:cstheme="minorHAnsi"/>
          <w:color w:val="242424"/>
          <w:sz w:val="22"/>
          <w:szCs w:val="22"/>
          <w:shd w:val="clear" w:color="auto" w:fill="FFFFFF"/>
        </w:rPr>
        <w:t>became heavily associated with a deepening of extractive activity, particularly in countri</w:t>
      </w:r>
      <w:r w:rsidR="007C2BB7">
        <w:rPr>
          <w:rFonts w:eastAsia="Times New Roman" w:cstheme="minorHAnsi"/>
          <w:color w:val="242424"/>
          <w:sz w:val="22"/>
          <w:szCs w:val="22"/>
          <w:shd w:val="clear" w:color="auto" w:fill="FFFFFF"/>
        </w:rPr>
        <w:t>e</w:t>
      </w:r>
      <w:r w:rsidR="00CE5DD1">
        <w:rPr>
          <w:rFonts w:eastAsia="Times New Roman" w:cstheme="minorHAnsi"/>
          <w:color w:val="242424"/>
          <w:sz w:val="22"/>
          <w:szCs w:val="22"/>
          <w:shd w:val="clear" w:color="auto" w:fill="FFFFFF"/>
        </w:rPr>
        <w:t xml:space="preserve">s such as Venezuala </w:t>
      </w:r>
      <w:r w:rsidR="002F0CEA">
        <w:rPr>
          <w:rFonts w:eastAsia="Times New Roman" w:cstheme="minorHAnsi"/>
          <w:color w:val="242424"/>
          <w:sz w:val="22"/>
          <w:szCs w:val="22"/>
          <w:shd w:val="clear" w:color="auto" w:fill="FFFFFF"/>
        </w:rPr>
        <w:fldChar w:fldCharType="begin" w:fldLock="1"/>
      </w:r>
      <w:r w:rsidR="005D0B08">
        <w:rPr>
          <w:rFonts w:eastAsia="Times New Roman" w:cstheme="minorHAnsi"/>
          <w:color w:val="242424"/>
          <w:sz w:val="22"/>
          <w:szCs w:val="22"/>
          <w:shd w:val="clear" w:color="auto" w:fill="FFFFFF"/>
        </w:rPr>
        <w:instrText>ADDIN CSL_CITATION {"citationItems":[{"id":"ITEM-1","itemData":{"abstract":"This paper introduces the special issue on the ‘Extractive Imperative in Latin America’. It highlights the rise in conflicts over the intensification and deepening of extractive activities in the region, especially countries associated with the Left Turn. Given the nature of the extractive imperative, which results in an approach to development where more extraction emerges as the response to all internal and external challenges, this brief introduction also argues that these conflicts are set to continue and intensify even if commodity prices remain below their historic highs or if the progressive governments are voted out of office.","author":[{"dropping-particle":"","family":"Arsel","given":"Murat","non-dropping-particle":"","parse-names":false,"suffix":""},{"dropping-particle":"","family":"Hogenboom","given":"Barbara","non-dropping-particle":"","parse-names":false,"suffix":""},{"dropping-particle":"","family":"Pellegrini","given":"Lorenzo","non-dropping-particle":"","parse-names":false,"suffix":""}],"container-title":"Extractive Industries and Society","id":"ITEM-1","issue":"4","issued":{"date-parts":[["2016"]]},"page":"877-879","publisher":"Elsevier Ltd.","title":"The extractive imperative and the boom in environmental conflicts at the end of the progressive cycle in Latin America","type":"article-journal","volume":"3"},"uris":["http://www.mendeley.com/documents/?uuid=1e9c230e-a0fd-46a3-9e3a-646d238380a0"]}],"mendeley":{"formattedCitation":"(Arsel, Hogenboom, &amp; Pellegrini, 2016)","plainTextFormattedCitation":"(Arsel, Hogenboom, &amp; Pellegrini, 2016)","previouslyFormattedCitation":"(Arsel, Hogenboom, &amp; Pellegrini, 2016)"},"properties":{"noteIndex":0},"schema":"https://github.com/citation-style-language/schema/raw/master/csl-citation.json"}</w:instrText>
      </w:r>
      <w:r w:rsidR="002F0CEA">
        <w:rPr>
          <w:rFonts w:eastAsia="Times New Roman" w:cstheme="minorHAnsi"/>
          <w:color w:val="242424"/>
          <w:sz w:val="22"/>
          <w:szCs w:val="22"/>
          <w:shd w:val="clear" w:color="auto" w:fill="FFFFFF"/>
        </w:rPr>
        <w:fldChar w:fldCharType="separate"/>
      </w:r>
      <w:r w:rsidR="002F0CEA" w:rsidRPr="002F0CEA">
        <w:rPr>
          <w:rFonts w:eastAsia="Times New Roman" w:cstheme="minorHAnsi"/>
          <w:noProof/>
          <w:color w:val="242424"/>
          <w:sz w:val="22"/>
          <w:szCs w:val="22"/>
          <w:shd w:val="clear" w:color="auto" w:fill="FFFFFF"/>
        </w:rPr>
        <w:t>(Arsel, Hogenboom, &amp; Pellegrini, 2016)</w:t>
      </w:r>
      <w:r w:rsidR="002F0CEA">
        <w:rPr>
          <w:rFonts w:eastAsia="Times New Roman" w:cstheme="minorHAnsi"/>
          <w:color w:val="242424"/>
          <w:sz w:val="22"/>
          <w:szCs w:val="22"/>
          <w:shd w:val="clear" w:color="auto" w:fill="FFFFFF"/>
        </w:rPr>
        <w:fldChar w:fldCharType="end"/>
      </w:r>
      <w:r w:rsidR="00CE5DD1">
        <w:rPr>
          <w:rFonts w:eastAsia="Times New Roman" w:cstheme="minorHAnsi"/>
          <w:color w:val="242424"/>
          <w:sz w:val="22"/>
          <w:szCs w:val="22"/>
          <w:shd w:val="clear" w:color="auto" w:fill="FFFFFF"/>
        </w:rPr>
        <w:t xml:space="preserve">. </w:t>
      </w:r>
      <w:r w:rsidR="002F0CEA">
        <w:rPr>
          <w:rFonts w:eastAsia="Times New Roman" w:cstheme="minorHAnsi"/>
          <w:color w:val="242424"/>
          <w:sz w:val="22"/>
          <w:szCs w:val="22"/>
          <w:shd w:val="clear" w:color="auto" w:fill="FFFFFF"/>
        </w:rPr>
        <w:t>However,</w:t>
      </w:r>
      <w:r w:rsidR="00A14051">
        <w:rPr>
          <w:rFonts w:eastAsia="Times New Roman" w:cstheme="minorHAnsi"/>
          <w:color w:val="242424"/>
          <w:sz w:val="22"/>
          <w:szCs w:val="22"/>
          <w:shd w:val="clear" w:color="auto" w:fill="FFFFFF"/>
        </w:rPr>
        <w:t xml:space="preserve"> </w:t>
      </w:r>
      <w:r w:rsidR="002F0CEA">
        <w:rPr>
          <w:rFonts w:eastAsia="Times New Roman" w:cstheme="minorHAnsi"/>
          <w:color w:val="242424"/>
          <w:sz w:val="22"/>
          <w:szCs w:val="22"/>
          <w:shd w:val="clear" w:color="auto" w:fill="FFFFFF"/>
        </w:rPr>
        <w:t xml:space="preserve">in Peru Fujimore’s successor, </w:t>
      </w:r>
      <w:r w:rsidR="00813973">
        <w:rPr>
          <w:rFonts w:eastAsia="Times New Roman" w:cstheme="minorHAnsi"/>
          <w:color w:val="242424"/>
          <w:sz w:val="22"/>
          <w:szCs w:val="22"/>
          <w:shd w:val="clear" w:color="auto" w:fill="FFFFFF"/>
        </w:rPr>
        <w:t>Alejandro</w:t>
      </w:r>
      <w:r w:rsidR="002130FB">
        <w:rPr>
          <w:rFonts w:eastAsia="Times New Roman" w:cstheme="minorHAnsi"/>
          <w:color w:val="242424"/>
          <w:sz w:val="22"/>
          <w:szCs w:val="22"/>
          <w:shd w:val="clear" w:color="auto" w:fill="FFFFFF"/>
        </w:rPr>
        <w:t xml:space="preserve"> Toledo, continued the</w:t>
      </w:r>
      <w:r w:rsidR="007874F5">
        <w:rPr>
          <w:rFonts w:eastAsia="Times New Roman" w:cstheme="minorHAnsi"/>
          <w:color w:val="242424"/>
          <w:sz w:val="22"/>
          <w:szCs w:val="22"/>
          <w:shd w:val="clear" w:color="auto" w:fill="FFFFFF"/>
        </w:rPr>
        <w:t xml:space="preserve"> neoliberal economic model and this</w:t>
      </w:r>
      <w:r w:rsidR="002130FB">
        <w:rPr>
          <w:rFonts w:eastAsia="Times New Roman" w:cstheme="minorHAnsi"/>
          <w:color w:val="242424"/>
          <w:sz w:val="22"/>
          <w:szCs w:val="22"/>
          <w:shd w:val="clear" w:color="auto" w:fill="FFFFFF"/>
        </w:rPr>
        <w:t xml:space="preserve"> generated a high growth rate </w:t>
      </w:r>
      <w:r w:rsidR="002F0CEA">
        <w:rPr>
          <w:rFonts w:eastAsia="Times New Roman" w:cstheme="minorHAnsi"/>
          <w:color w:val="242424"/>
          <w:sz w:val="22"/>
          <w:szCs w:val="22"/>
          <w:shd w:val="clear" w:color="auto" w:fill="FFFFFF"/>
        </w:rPr>
        <w:fldChar w:fldCharType="begin" w:fldLock="1"/>
      </w:r>
      <w:r w:rsidR="002F0CEA">
        <w:rPr>
          <w:rFonts w:eastAsia="Times New Roman" w:cstheme="minorHAnsi"/>
          <w:color w:val="242424"/>
          <w:sz w:val="22"/>
          <w:szCs w:val="22"/>
          <w:shd w:val="clear" w:color="auto" w:fill="FFFFFF"/>
        </w:rPr>
        <w:instrText>ADDIN CSL_CITATION {"citationItems":[{"id":"ITEM-1","itemData":{"author":[{"dropping-particle":"","family":"Cameron","given":"Maxwell A","non-dropping-particle":"","parse-names":false,"suffix":""}],"chapter-number":"16","container-title":"The Resurgence of the Latin American Left","id":"ITEM-1","issued":{"date-parts":[["2011"]]},"page":"375-398","publisher":"Johns Hopkins University Press","publisher-place":"Baltimore, MD","title":"Peru: the left turn that wasn’t","type":"chapter"},"uris":["http://www.mendeley.com/documents/?uuid=325aa0d8-c91d-4544-b1a6-1d791a15d0d5"]}],"mendeley":{"formattedCitation":"(Cameron, 2011)","plainTextFormattedCitation":"(Cameron, 2011)","previouslyFormattedCitation":"(Cameron, 2011)"},"properties":{"noteIndex":0},"schema":"https://github.com/citation-style-language/schema/raw/master/csl-citation.json"}</w:instrText>
      </w:r>
      <w:r w:rsidR="002F0CEA">
        <w:rPr>
          <w:rFonts w:eastAsia="Times New Roman" w:cstheme="minorHAnsi"/>
          <w:color w:val="242424"/>
          <w:sz w:val="22"/>
          <w:szCs w:val="22"/>
          <w:shd w:val="clear" w:color="auto" w:fill="FFFFFF"/>
        </w:rPr>
        <w:fldChar w:fldCharType="separate"/>
      </w:r>
      <w:r w:rsidR="002F0CEA" w:rsidRPr="002F0CEA">
        <w:rPr>
          <w:rFonts w:eastAsia="Times New Roman" w:cstheme="minorHAnsi"/>
          <w:noProof/>
          <w:color w:val="242424"/>
          <w:sz w:val="22"/>
          <w:szCs w:val="22"/>
          <w:shd w:val="clear" w:color="auto" w:fill="FFFFFF"/>
        </w:rPr>
        <w:t>(Cameron, 2011)</w:t>
      </w:r>
      <w:r w:rsidR="002F0CEA">
        <w:rPr>
          <w:rFonts w:eastAsia="Times New Roman" w:cstheme="minorHAnsi"/>
          <w:color w:val="242424"/>
          <w:sz w:val="22"/>
          <w:szCs w:val="22"/>
          <w:shd w:val="clear" w:color="auto" w:fill="FFFFFF"/>
        </w:rPr>
        <w:fldChar w:fldCharType="end"/>
      </w:r>
      <w:r w:rsidR="00813973">
        <w:rPr>
          <w:rFonts w:eastAsia="Times New Roman" w:cstheme="minorHAnsi"/>
          <w:color w:val="242424"/>
          <w:sz w:val="22"/>
          <w:szCs w:val="22"/>
          <w:shd w:val="clear" w:color="auto" w:fill="FFFFFF"/>
        </w:rPr>
        <w:t>. When he was replaced in 2006</w:t>
      </w:r>
      <w:r w:rsidR="002130FB">
        <w:rPr>
          <w:rFonts w:eastAsia="Times New Roman" w:cstheme="minorHAnsi"/>
          <w:color w:val="242424"/>
          <w:sz w:val="22"/>
          <w:szCs w:val="22"/>
          <w:shd w:val="clear" w:color="auto" w:fill="FFFFFF"/>
        </w:rPr>
        <w:t>, th</w:t>
      </w:r>
      <w:r w:rsidR="00813973">
        <w:rPr>
          <w:rFonts w:eastAsia="Times New Roman" w:cstheme="minorHAnsi"/>
          <w:color w:val="242424"/>
          <w:sz w:val="22"/>
          <w:szCs w:val="22"/>
          <w:shd w:val="clear" w:color="auto" w:fill="FFFFFF"/>
        </w:rPr>
        <w:t>e in-coming President Garcia had</w:t>
      </w:r>
      <w:r w:rsidR="002130FB">
        <w:rPr>
          <w:rFonts w:eastAsia="Times New Roman" w:cstheme="minorHAnsi"/>
          <w:color w:val="242424"/>
          <w:sz w:val="22"/>
          <w:szCs w:val="22"/>
          <w:shd w:val="clear" w:color="auto" w:fill="FFFFFF"/>
        </w:rPr>
        <w:t xml:space="preserve"> </w:t>
      </w:r>
      <w:r w:rsidR="007874F5">
        <w:rPr>
          <w:rFonts w:eastAsia="Times New Roman" w:cstheme="minorHAnsi"/>
          <w:color w:val="242424"/>
          <w:sz w:val="22"/>
          <w:szCs w:val="22"/>
          <w:shd w:val="clear" w:color="auto" w:fill="FFFFFF"/>
        </w:rPr>
        <w:t xml:space="preserve">apparently </w:t>
      </w:r>
      <w:r w:rsidR="002130FB">
        <w:rPr>
          <w:rFonts w:eastAsia="Times New Roman" w:cstheme="minorHAnsi"/>
          <w:color w:val="242424"/>
          <w:sz w:val="22"/>
          <w:szCs w:val="22"/>
          <w:shd w:val="clear" w:color="auto" w:fill="FFFFFF"/>
        </w:rPr>
        <w:t>learnt fr</w:t>
      </w:r>
      <w:r w:rsidR="00813973">
        <w:rPr>
          <w:rFonts w:eastAsia="Times New Roman" w:cstheme="minorHAnsi"/>
          <w:color w:val="242424"/>
          <w:sz w:val="22"/>
          <w:szCs w:val="22"/>
          <w:shd w:val="clear" w:color="auto" w:fill="FFFFFF"/>
        </w:rPr>
        <w:t>om his first time in office</w:t>
      </w:r>
      <w:r w:rsidR="007874F5">
        <w:rPr>
          <w:rFonts w:eastAsia="Times New Roman" w:cstheme="minorHAnsi"/>
          <w:color w:val="242424"/>
          <w:sz w:val="22"/>
          <w:szCs w:val="22"/>
          <w:shd w:val="clear" w:color="auto" w:fill="FFFFFF"/>
        </w:rPr>
        <w:t>,</w:t>
      </w:r>
      <w:r w:rsidR="00813973">
        <w:rPr>
          <w:rFonts w:eastAsia="Times New Roman" w:cstheme="minorHAnsi"/>
          <w:color w:val="242424"/>
          <w:sz w:val="22"/>
          <w:szCs w:val="22"/>
          <w:shd w:val="clear" w:color="auto" w:fill="FFFFFF"/>
        </w:rPr>
        <w:t xml:space="preserve"> during which he had governed very much from the left. W</w:t>
      </w:r>
      <w:r w:rsidR="002130FB">
        <w:rPr>
          <w:rFonts w:eastAsia="Times New Roman" w:cstheme="minorHAnsi"/>
          <w:color w:val="242424"/>
          <w:sz w:val="22"/>
          <w:szCs w:val="22"/>
          <w:shd w:val="clear" w:color="auto" w:fill="FFFFFF"/>
        </w:rPr>
        <w:t xml:space="preserve">hilst he remained ideologically in the centre of the political spectrum, he continued with the neo-liberal policies he thought would </w:t>
      </w:r>
      <w:r w:rsidR="00813973">
        <w:rPr>
          <w:rFonts w:eastAsia="Times New Roman" w:cstheme="minorHAnsi"/>
          <w:color w:val="242424"/>
          <w:sz w:val="22"/>
          <w:szCs w:val="22"/>
          <w:shd w:val="clear" w:color="auto" w:fill="FFFFFF"/>
        </w:rPr>
        <w:t xml:space="preserve">not only </w:t>
      </w:r>
      <w:r w:rsidR="002130FB">
        <w:rPr>
          <w:rFonts w:eastAsia="Times New Roman" w:cstheme="minorHAnsi"/>
          <w:color w:val="242424"/>
          <w:sz w:val="22"/>
          <w:szCs w:val="22"/>
          <w:shd w:val="clear" w:color="auto" w:fill="FFFFFF"/>
        </w:rPr>
        <w:t xml:space="preserve">allow him to </w:t>
      </w:r>
      <w:r w:rsidR="00813973">
        <w:rPr>
          <w:rFonts w:eastAsia="Times New Roman" w:cstheme="minorHAnsi"/>
          <w:color w:val="242424"/>
          <w:sz w:val="22"/>
          <w:szCs w:val="22"/>
          <w:shd w:val="clear" w:color="auto" w:fill="FFFFFF"/>
        </w:rPr>
        <w:t xml:space="preserve">become the default leader of the right, but also build a strong governing coalition (Ibid.). </w:t>
      </w:r>
      <w:r w:rsidR="007874F5">
        <w:rPr>
          <w:rFonts w:eastAsia="Times New Roman" w:cstheme="minorHAnsi"/>
          <w:bCs/>
          <w:sz w:val="22"/>
          <w:szCs w:val="22"/>
          <w:shd w:val="clear" w:color="auto" w:fill="FFFFFF"/>
        </w:rPr>
        <w:t>As a result, Peru</w:t>
      </w:r>
      <w:r w:rsidR="00A14051">
        <w:rPr>
          <w:rFonts w:eastAsia="Times New Roman" w:cstheme="minorHAnsi"/>
          <w:bCs/>
          <w:sz w:val="22"/>
          <w:szCs w:val="22"/>
          <w:shd w:val="clear" w:color="auto" w:fill="FFFFFF"/>
        </w:rPr>
        <w:t xml:space="preserve"> </w:t>
      </w:r>
      <w:r w:rsidR="007C2BB7" w:rsidRPr="004E053C">
        <w:rPr>
          <w:rFonts w:eastAsia="Times New Roman" w:cstheme="minorHAnsi"/>
          <w:bCs/>
          <w:sz w:val="22"/>
          <w:szCs w:val="22"/>
          <w:shd w:val="clear" w:color="auto" w:fill="FFFFFF"/>
        </w:rPr>
        <w:t xml:space="preserve">continued to </w:t>
      </w:r>
      <w:r w:rsidR="007C2BB7" w:rsidRPr="004E053C">
        <w:rPr>
          <w:rFonts w:eastAsia="Times New Roman" w:cstheme="minorHAnsi"/>
          <w:color w:val="242424"/>
          <w:sz w:val="22"/>
          <w:szCs w:val="22"/>
          <w:shd w:val="clear" w:color="auto" w:fill="FFFFFF"/>
        </w:rPr>
        <w:t xml:space="preserve">promote foreign investment in the primary export sector </w:t>
      </w:r>
      <w:r w:rsidR="007C2BB7" w:rsidRPr="004E053C">
        <w:rPr>
          <w:rFonts w:eastAsia="Times New Roman" w:cstheme="minorHAnsi"/>
          <w:color w:val="242424"/>
          <w:sz w:val="22"/>
          <w:szCs w:val="22"/>
          <w:shd w:val="clear" w:color="auto" w:fill="FFFFFF"/>
        </w:rPr>
        <w:fldChar w:fldCharType="begin" w:fldLock="1"/>
      </w:r>
      <w:r w:rsidR="002F0CEA">
        <w:rPr>
          <w:rFonts w:eastAsia="Times New Roman" w:cstheme="minorHAnsi"/>
          <w:color w:val="242424"/>
          <w:sz w:val="22"/>
          <w:szCs w:val="22"/>
          <w:shd w:val="clear" w:color="auto" w:fill="FFFFFF"/>
        </w:rPr>
        <w:instrText>ADDIN CSL_CITATION {"citationItems":[{"id":"ITEM-1","itemData":{"author":[{"dropping-particle":"","family":"McClintock","given":"Cynthia","non-dropping-particle":"","parse-names":false,"suffix":""}],"container-title":"Oxford Research Encyclopedia of Politics","id":"ITEM-1","issue":"April","issued":{"date-parts":[["2019"]]},"page":"1-23","title":"Peru’s Cleavages, Conflict, and Precarious Democracy","type":"article-journal"},"uris":["http://www.mendeley.com/documents/?uuid=2d615a3f-4bd4-4bd4-9a1e-39b7435f9e63"]}],"mendeley":{"formattedCitation":"(McClintock, 2019)","plainTextFormattedCitation":"(McClintock, 2019)","previouslyFormattedCitation":"(McClintock, 2019)"},"properties":{"noteIndex":0},"schema":"https://github.com/citation-style-language/schema/raw/master/csl-citation.json"}</w:instrText>
      </w:r>
      <w:r w:rsidR="007C2BB7" w:rsidRPr="004E053C">
        <w:rPr>
          <w:rFonts w:eastAsia="Times New Roman" w:cstheme="minorHAnsi"/>
          <w:color w:val="242424"/>
          <w:sz w:val="22"/>
          <w:szCs w:val="22"/>
          <w:shd w:val="clear" w:color="auto" w:fill="FFFFFF"/>
        </w:rPr>
        <w:fldChar w:fldCharType="separate"/>
      </w:r>
      <w:r w:rsidR="007C2BB7" w:rsidRPr="004E053C">
        <w:rPr>
          <w:rFonts w:eastAsia="Times New Roman" w:cstheme="minorHAnsi"/>
          <w:noProof/>
          <w:color w:val="242424"/>
          <w:sz w:val="22"/>
          <w:szCs w:val="22"/>
          <w:shd w:val="clear" w:color="auto" w:fill="FFFFFF"/>
        </w:rPr>
        <w:t>(McClintock, 2019)</w:t>
      </w:r>
      <w:r w:rsidR="007C2BB7" w:rsidRPr="004E053C">
        <w:rPr>
          <w:rFonts w:eastAsia="Times New Roman" w:cstheme="minorHAnsi"/>
          <w:color w:val="242424"/>
          <w:sz w:val="22"/>
          <w:szCs w:val="22"/>
          <w:shd w:val="clear" w:color="auto" w:fill="FFFFFF"/>
        </w:rPr>
        <w:fldChar w:fldCharType="end"/>
      </w:r>
      <w:r w:rsidR="00A14051">
        <w:rPr>
          <w:rFonts w:eastAsia="Times New Roman" w:cstheme="minorHAnsi"/>
          <w:color w:val="242424"/>
          <w:sz w:val="22"/>
          <w:szCs w:val="22"/>
          <w:shd w:val="clear" w:color="auto" w:fill="FFFFFF"/>
        </w:rPr>
        <w:t xml:space="preserve">. </w:t>
      </w:r>
      <w:r w:rsidR="006E191D">
        <w:rPr>
          <w:rFonts w:eastAsia="Times New Roman" w:cstheme="minorHAnsi"/>
          <w:bCs/>
          <w:sz w:val="22"/>
          <w:szCs w:val="22"/>
          <w:shd w:val="clear" w:color="auto" w:fill="FFFFFF"/>
        </w:rPr>
        <w:t>This has made the country</w:t>
      </w:r>
      <w:r w:rsidRPr="004E053C">
        <w:rPr>
          <w:rFonts w:eastAsia="Times New Roman" w:cstheme="minorHAnsi"/>
          <w:bCs/>
          <w:sz w:val="22"/>
          <w:szCs w:val="22"/>
          <w:shd w:val="clear" w:color="auto" w:fill="FFFFFF"/>
        </w:rPr>
        <w:t xml:space="preserve"> reliant on exports, and it has proven to be vulnerable in the face of the recent deterioration in the</w:t>
      </w:r>
      <w:r w:rsidRPr="004E053C">
        <w:rPr>
          <w:rFonts w:eastAsia="Times New Roman" w:cstheme="minorHAnsi"/>
          <w:color w:val="242424"/>
          <w:sz w:val="22"/>
          <w:szCs w:val="22"/>
          <w:shd w:val="clear" w:color="auto" w:fill="FFFFFF"/>
        </w:rPr>
        <w:t xml:space="preserve"> terms of trade and the downturn in exports to China </w:t>
      </w:r>
      <w:r w:rsidR="004F1E34" w:rsidRPr="004E053C">
        <w:rPr>
          <w:rFonts w:eastAsia="Times New Roman" w:cstheme="minorHAnsi"/>
          <w:color w:val="242424"/>
          <w:sz w:val="22"/>
          <w:szCs w:val="22"/>
          <w:shd w:val="clear" w:color="auto" w:fill="FFFFFF"/>
        </w:rPr>
        <w:fldChar w:fldCharType="begin" w:fldLock="1"/>
      </w:r>
      <w:r w:rsidR="00A75E80" w:rsidRPr="004E053C">
        <w:rPr>
          <w:rFonts w:eastAsia="Times New Roman" w:cstheme="minorHAnsi"/>
          <w:color w:val="242424"/>
          <w:sz w:val="22"/>
          <w:szCs w:val="22"/>
          <w:shd w:val="clear" w:color="auto" w:fill="FFFFFF"/>
        </w:rPr>
        <w:instrText>ADDIN CSL_CITATION {"citationItems":[{"id":"ITEM-1","itemData":{"author":[{"dropping-particle":"","family":"Herrera","given":"Javier","non-dropping-particle":"","parse-names":false,"suffix":""}],"container-title":"Alternative Pathways to Sustainable Development: Lessons from Latin America","id":"ITEM-1","issued":{"date-parts":[["2017"]]},"page":"138-173","publisher":"Graduate Institute Publications, Brill-Nijhoff","publisher-place":"Geneva","title":"Poverty and economic inequalities in Peru during the boom in growth: 2004-14","type":"chapter"},"uris":["http://www.mendeley.com/documents/?uuid=4681b552-11ee-4dd6-ac17-8c07a509b34b"]}],"mendeley":{"formattedCitation":"(Herrera, 2017)","plainTextFormattedCitation":"(Herrera, 2017)","previouslyFormattedCitation":"(Herrera, 2017)"},"properties":{"noteIndex":0},"schema":"https://github.com/citation-style-language/schema/raw/master/csl-citation.json"}</w:instrText>
      </w:r>
      <w:r w:rsidR="004F1E34" w:rsidRPr="004E053C">
        <w:rPr>
          <w:rFonts w:eastAsia="Times New Roman" w:cstheme="minorHAnsi"/>
          <w:color w:val="242424"/>
          <w:sz w:val="22"/>
          <w:szCs w:val="22"/>
          <w:shd w:val="clear" w:color="auto" w:fill="FFFFFF"/>
        </w:rPr>
        <w:fldChar w:fldCharType="separate"/>
      </w:r>
      <w:r w:rsidR="004F1E34" w:rsidRPr="004E053C">
        <w:rPr>
          <w:rFonts w:eastAsia="Times New Roman" w:cstheme="minorHAnsi"/>
          <w:noProof/>
          <w:color w:val="242424"/>
          <w:sz w:val="22"/>
          <w:szCs w:val="22"/>
          <w:shd w:val="clear" w:color="auto" w:fill="FFFFFF"/>
        </w:rPr>
        <w:t>(Herrera, 2017)</w:t>
      </w:r>
      <w:r w:rsidR="004F1E34" w:rsidRPr="004E053C">
        <w:rPr>
          <w:rFonts w:eastAsia="Times New Roman" w:cstheme="minorHAnsi"/>
          <w:color w:val="242424"/>
          <w:sz w:val="22"/>
          <w:szCs w:val="22"/>
          <w:shd w:val="clear" w:color="auto" w:fill="FFFFFF"/>
        </w:rPr>
        <w:fldChar w:fldCharType="end"/>
      </w:r>
      <w:r w:rsidR="004F1E34" w:rsidRPr="004E053C">
        <w:rPr>
          <w:rFonts w:eastAsia="Times New Roman" w:cstheme="minorHAnsi"/>
          <w:color w:val="242424"/>
          <w:sz w:val="22"/>
          <w:szCs w:val="22"/>
          <w:shd w:val="clear" w:color="auto" w:fill="FFFFFF"/>
        </w:rPr>
        <w:t>.</w:t>
      </w:r>
      <w:r w:rsidRPr="004E053C">
        <w:rPr>
          <w:rFonts w:eastAsia="Times New Roman" w:cstheme="minorHAnsi"/>
          <w:color w:val="242424"/>
          <w:sz w:val="22"/>
          <w:szCs w:val="22"/>
          <w:shd w:val="clear" w:color="auto" w:fill="FFFFFF"/>
        </w:rPr>
        <w:t xml:space="preserve"> </w:t>
      </w:r>
    </w:p>
    <w:p w14:paraId="1DD4287F" w14:textId="77777777" w:rsidR="00502226" w:rsidRPr="004E053C" w:rsidRDefault="00502226" w:rsidP="004E053C">
      <w:pPr>
        <w:spacing w:line="360" w:lineRule="auto"/>
        <w:jc w:val="both"/>
        <w:rPr>
          <w:rFonts w:eastAsia="Times New Roman" w:cstheme="minorHAnsi"/>
          <w:bCs/>
          <w:sz w:val="22"/>
          <w:szCs w:val="22"/>
          <w:shd w:val="clear" w:color="auto" w:fill="FFFFFF"/>
        </w:rPr>
      </w:pPr>
    </w:p>
    <w:p w14:paraId="4403AEAC" w14:textId="4B6694BF" w:rsidR="00375961" w:rsidRPr="004E053C" w:rsidRDefault="00502226" w:rsidP="004E053C">
      <w:pPr>
        <w:pStyle w:val="Heading2"/>
        <w:spacing w:before="0" w:line="360" w:lineRule="auto"/>
        <w:jc w:val="both"/>
      </w:pPr>
      <w:bookmarkStart w:id="37" w:name="_Toc33293085"/>
      <w:r w:rsidRPr="004E053C">
        <w:t>3.</w:t>
      </w:r>
      <w:r w:rsidR="004E5F90" w:rsidRPr="004E053C">
        <w:t>3. The human p</w:t>
      </w:r>
      <w:r w:rsidR="00375961" w:rsidRPr="004E053C">
        <w:t>opulation</w:t>
      </w:r>
      <w:bookmarkEnd w:id="37"/>
    </w:p>
    <w:p w14:paraId="44601FBC" w14:textId="77777777" w:rsidR="004E5F90" w:rsidRPr="004E053C" w:rsidRDefault="004E5F90" w:rsidP="004E053C">
      <w:pPr>
        <w:jc w:val="both"/>
      </w:pPr>
    </w:p>
    <w:p w14:paraId="5C50D114" w14:textId="1C979B9E" w:rsidR="00375961" w:rsidRPr="004E053C" w:rsidRDefault="00375961" w:rsidP="004E053C">
      <w:pPr>
        <w:spacing w:line="360" w:lineRule="auto"/>
        <w:jc w:val="both"/>
        <w:rPr>
          <w:rFonts w:cstheme="minorHAnsi"/>
          <w:sz w:val="22"/>
          <w:szCs w:val="22"/>
        </w:rPr>
      </w:pPr>
      <w:r w:rsidRPr="004E053C">
        <w:rPr>
          <w:rFonts w:cstheme="minorHAnsi"/>
          <w:sz w:val="22"/>
          <w:szCs w:val="22"/>
        </w:rPr>
        <w:t xml:space="preserve">Peru is an exceptionally </w:t>
      </w:r>
      <w:r w:rsidR="00C66190" w:rsidRPr="004E053C">
        <w:rPr>
          <w:rFonts w:cstheme="minorHAnsi"/>
          <w:sz w:val="22"/>
          <w:szCs w:val="22"/>
        </w:rPr>
        <w:t>heterogeneous</w:t>
      </w:r>
      <w:r w:rsidRPr="004E053C">
        <w:rPr>
          <w:rFonts w:cstheme="minorHAnsi"/>
          <w:sz w:val="22"/>
          <w:szCs w:val="22"/>
        </w:rPr>
        <w:t xml:space="preserve"> society and has a long history of international migration. However, the ethnic divides introduced during the colonial period have held an enduring legacy and continue to result in strong divides between groups of the population. </w:t>
      </w:r>
      <w:r w:rsidRPr="004E053C">
        <w:rPr>
          <w:rFonts w:eastAsia="Times New Roman" w:cstheme="minorHAnsi"/>
          <w:color w:val="242424"/>
          <w:sz w:val="22"/>
          <w:szCs w:val="22"/>
          <w:shd w:val="clear" w:color="auto" w:fill="FFFFFF"/>
        </w:rPr>
        <w:t>In</w:t>
      </w:r>
      <w:r w:rsidRPr="004E053C">
        <w:rPr>
          <w:rFonts w:eastAsia="Times New Roman" w:cstheme="minorHAnsi"/>
          <w:sz w:val="22"/>
          <w:szCs w:val="22"/>
        </w:rPr>
        <w:t xml:space="preserve">equality is stark and in 2016 the population living in poverty was still estimated to be 21% </w:t>
      </w:r>
      <w:r w:rsidR="00A75E80" w:rsidRPr="004E053C">
        <w:rPr>
          <w:rFonts w:eastAsia="Times New Roman" w:cstheme="minorHAnsi"/>
          <w:sz w:val="22"/>
          <w:szCs w:val="22"/>
        </w:rPr>
        <w:fldChar w:fldCharType="begin" w:fldLock="1"/>
      </w:r>
      <w:r w:rsidR="00A75E80" w:rsidRPr="004E053C">
        <w:rPr>
          <w:rFonts w:eastAsia="Times New Roman" w:cstheme="minorHAnsi"/>
          <w:sz w:val="22"/>
          <w:szCs w:val="22"/>
        </w:rPr>
        <w:instrText>ADDIN CSL_CITATION {"citationItems":[{"id":"ITEM-1","itemData":{"URL":"https://www.economist.com/the-americas/2018/05/10/a-warning-on-poverty-from-peru","accessed":{"date-parts":[["2019","1","2"]]},"author":[{"dropping-particle":"","family":"The Economist","given":"","non-dropping-particle":"","parse-names":false,"suffix":""}],"id":"ITEM-1","issued":{"date-parts":[["2018"]]},"title":"A warning on poverty from Peru: a setback on the long road to poverty eradication","type":"webpage"},"uris":["http://www.mendeley.com/documents/?uuid=644b33f7-e8f0-45b4-84c6-0b3069183c27"]}],"mendeley":{"formattedCitation":"(The Economist, 2018)","plainTextFormattedCitation":"(The Economist, 2018)","previouslyFormattedCitation":"(The Economist, 2018)"},"properties":{"noteIndex":0},"schema":"https://github.com/citation-style-language/schema/raw/master/csl-citation.json"}</w:instrText>
      </w:r>
      <w:r w:rsidR="00A75E80" w:rsidRPr="004E053C">
        <w:rPr>
          <w:rFonts w:eastAsia="Times New Roman" w:cstheme="minorHAnsi"/>
          <w:sz w:val="22"/>
          <w:szCs w:val="22"/>
        </w:rPr>
        <w:fldChar w:fldCharType="separate"/>
      </w:r>
      <w:r w:rsidR="00A75E80" w:rsidRPr="004E053C">
        <w:rPr>
          <w:rFonts w:eastAsia="Times New Roman" w:cstheme="minorHAnsi"/>
          <w:noProof/>
          <w:sz w:val="22"/>
          <w:szCs w:val="22"/>
        </w:rPr>
        <w:t>(The Economist, 2018)</w:t>
      </w:r>
      <w:r w:rsidR="00A75E80" w:rsidRPr="004E053C">
        <w:rPr>
          <w:rFonts w:eastAsia="Times New Roman" w:cstheme="minorHAnsi"/>
          <w:sz w:val="22"/>
          <w:szCs w:val="22"/>
        </w:rPr>
        <w:fldChar w:fldCharType="end"/>
      </w:r>
      <w:r w:rsidR="00ED1093" w:rsidRPr="004E053C">
        <w:rPr>
          <w:rFonts w:eastAsia="Times New Roman" w:cstheme="minorHAnsi"/>
          <w:sz w:val="22"/>
          <w:szCs w:val="22"/>
        </w:rPr>
        <w:t>.</w:t>
      </w:r>
      <w:r w:rsidRPr="004E053C">
        <w:rPr>
          <w:rFonts w:eastAsia="Times New Roman" w:cstheme="minorHAnsi"/>
          <w:sz w:val="22"/>
          <w:szCs w:val="22"/>
        </w:rPr>
        <w:t xml:space="preserve"> </w:t>
      </w:r>
      <w:r w:rsidRPr="004E053C">
        <w:rPr>
          <w:rFonts w:cstheme="minorHAnsi"/>
          <w:sz w:val="22"/>
          <w:szCs w:val="22"/>
        </w:rPr>
        <w:t>This section wil</w:t>
      </w:r>
      <w:r w:rsidR="00ED1093" w:rsidRPr="004E053C">
        <w:rPr>
          <w:rFonts w:cstheme="minorHAnsi"/>
          <w:sz w:val="22"/>
          <w:szCs w:val="22"/>
        </w:rPr>
        <w:t>l highlight how Peru’s economic growth has not been p</w:t>
      </w:r>
      <w:r w:rsidR="000C1151" w:rsidRPr="004E053C">
        <w:rPr>
          <w:rFonts w:cstheme="minorHAnsi"/>
          <w:sz w:val="22"/>
          <w:szCs w:val="22"/>
        </w:rPr>
        <w:t>ro-poor and has instead resulted</w:t>
      </w:r>
      <w:r w:rsidR="00ED1093" w:rsidRPr="004E053C">
        <w:rPr>
          <w:rFonts w:cstheme="minorHAnsi"/>
          <w:sz w:val="22"/>
          <w:szCs w:val="22"/>
        </w:rPr>
        <w:t xml:space="preserve"> in enduring levels of inequality that reinforce ethnic divides. It will then go on to discuss the patterns of migration that have come to characteri</w:t>
      </w:r>
      <w:r w:rsidR="00277027">
        <w:rPr>
          <w:rFonts w:cstheme="minorHAnsi"/>
          <w:sz w:val="22"/>
          <w:szCs w:val="22"/>
        </w:rPr>
        <w:t>s</w:t>
      </w:r>
      <w:r w:rsidR="00ED1093" w:rsidRPr="004E053C">
        <w:rPr>
          <w:rFonts w:cstheme="minorHAnsi"/>
          <w:sz w:val="22"/>
          <w:szCs w:val="22"/>
        </w:rPr>
        <w:t>e life in Peru, with many people having relied on it for livelihood opportunities. This provides an important background when exploring migration in relation to ASM.</w:t>
      </w:r>
    </w:p>
    <w:p w14:paraId="36AE5221" w14:textId="77777777" w:rsidR="004E5F90" w:rsidRPr="004E053C" w:rsidRDefault="004E5F90" w:rsidP="004E053C">
      <w:pPr>
        <w:spacing w:line="360" w:lineRule="auto"/>
        <w:jc w:val="both"/>
        <w:rPr>
          <w:rFonts w:cstheme="minorHAnsi"/>
          <w:b/>
          <w:color w:val="000000"/>
          <w:sz w:val="22"/>
          <w:szCs w:val="22"/>
        </w:rPr>
      </w:pPr>
    </w:p>
    <w:p w14:paraId="2371C8E1" w14:textId="519FEDF6" w:rsidR="00375961" w:rsidRPr="004E053C" w:rsidRDefault="00502226" w:rsidP="004E053C">
      <w:pPr>
        <w:pStyle w:val="Heading3"/>
        <w:rPr>
          <w:rFonts w:asciiTheme="minorHAnsi" w:hAnsiTheme="minorHAnsi"/>
          <w:shd w:val="clear" w:color="auto" w:fill="FFFFFF"/>
        </w:rPr>
      </w:pPr>
      <w:r w:rsidRPr="004E053C">
        <w:rPr>
          <w:rFonts w:asciiTheme="minorHAnsi" w:hAnsiTheme="minorHAnsi"/>
          <w:shd w:val="clear" w:color="auto" w:fill="FFFFFF"/>
        </w:rPr>
        <w:t>3.</w:t>
      </w:r>
      <w:r w:rsidR="004E5F90" w:rsidRPr="004E053C">
        <w:rPr>
          <w:rFonts w:asciiTheme="minorHAnsi" w:hAnsiTheme="minorHAnsi"/>
          <w:shd w:val="clear" w:color="auto" w:fill="FFFFFF"/>
        </w:rPr>
        <w:t>3.1. Economic i</w:t>
      </w:r>
      <w:r w:rsidR="00375961" w:rsidRPr="004E053C">
        <w:rPr>
          <w:rFonts w:asciiTheme="minorHAnsi" w:hAnsiTheme="minorHAnsi"/>
          <w:shd w:val="clear" w:color="auto" w:fill="FFFFFF"/>
        </w:rPr>
        <w:t xml:space="preserve">nequality </w:t>
      </w:r>
    </w:p>
    <w:p w14:paraId="5F3426B2" w14:textId="77777777" w:rsidR="00375961" w:rsidRPr="004E053C" w:rsidRDefault="00375961" w:rsidP="004E053C">
      <w:pPr>
        <w:autoSpaceDE w:val="0"/>
        <w:autoSpaceDN w:val="0"/>
        <w:adjustRightInd w:val="0"/>
        <w:spacing w:line="360" w:lineRule="auto"/>
        <w:jc w:val="both"/>
        <w:rPr>
          <w:rFonts w:eastAsia="Times New Roman" w:cstheme="minorHAnsi"/>
          <w:b/>
          <w:color w:val="000000"/>
          <w:sz w:val="22"/>
          <w:szCs w:val="22"/>
          <w:shd w:val="clear" w:color="auto" w:fill="FFFFFF"/>
        </w:rPr>
      </w:pPr>
    </w:p>
    <w:p w14:paraId="6EBD5506" w14:textId="41EE9F80" w:rsidR="00375961" w:rsidRPr="004E053C" w:rsidRDefault="00375961" w:rsidP="004E053C">
      <w:pPr>
        <w:autoSpaceDE w:val="0"/>
        <w:autoSpaceDN w:val="0"/>
        <w:adjustRightInd w:val="0"/>
        <w:spacing w:line="360" w:lineRule="auto"/>
        <w:jc w:val="both"/>
        <w:rPr>
          <w:rFonts w:eastAsia="Times New Roman" w:cstheme="minorHAnsi"/>
          <w:color w:val="000000"/>
          <w:sz w:val="22"/>
          <w:szCs w:val="22"/>
          <w:shd w:val="clear" w:color="auto" w:fill="FFFFFF"/>
        </w:rPr>
      </w:pPr>
      <w:r w:rsidRPr="004E053C">
        <w:rPr>
          <w:rFonts w:eastAsia="Times New Roman" w:cstheme="minorHAnsi"/>
          <w:color w:val="000000"/>
          <w:sz w:val="22"/>
          <w:szCs w:val="22"/>
          <w:shd w:val="clear" w:color="auto" w:fill="FFFFFF"/>
        </w:rPr>
        <w:t xml:space="preserve">The vast majority of Peru’s inhabitants live in the coastal region, particularly in the capital city of Lima, which is home to </w:t>
      </w:r>
      <w:r w:rsidRPr="004E053C">
        <w:rPr>
          <w:rFonts w:cstheme="minorHAnsi"/>
          <w:sz w:val="22"/>
          <w:szCs w:val="22"/>
        </w:rPr>
        <w:t>roughly a third of Peru’s total populatio</w:t>
      </w:r>
      <w:r w:rsidR="00A75E80" w:rsidRPr="004E053C">
        <w:rPr>
          <w:rFonts w:cstheme="minorHAnsi"/>
          <w:sz w:val="22"/>
          <w:szCs w:val="22"/>
        </w:rPr>
        <w:t xml:space="preserve">n </w:t>
      </w:r>
      <w:r w:rsidR="00A75E80" w:rsidRPr="004E053C">
        <w:rPr>
          <w:rFonts w:cstheme="minorHAnsi"/>
          <w:sz w:val="22"/>
          <w:szCs w:val="22"/>
        </w:rPr>
        <w:fldChar w:fldCharType="begin" w:fldLock="1"/>
      </w:r>
      <w:r w:rsidR="00A75E80"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A75E80" w:rsidRPr="004E053C">
        <w:rPr>
          <w:rFonts w:cstheme="minorHAnsi"/>
          <w:sz w:val="22"/>
          <w:szCs w:val="22"/>
        </w:rPr>
        <w:fldChar w:fldCharType="separate"/>
      </w:r>
      <w:r w:rsidR="00A75E80" w:rsidRPr="004E053C">
        <w:rPr>
          <w:rFonts w:cstheme="minorHAnsi"/>
          <w:noProof/>
          <w:sz w:val="22"/>
          <w:szCs w:val="22"/>
        </w:rPr>
        <w:t>(Orihuela, 2012)</w:t>
      </w:r>
      <w:r w:rsidR="00A75E80" w:rsidRPr="004E053C">
        <w:rPr>
          <w:rFonts w:cstheme="minorHAnsi"/>
          <w:sz w:val="22"/>
          <w:szCs w:val="22"/>
        </w:rPr>
        <w:fldChar w:fldCharType="end"/>
      </w:r>
      <w:r w:rsidRPr="004E053C">
        <w:rPr>
          <w:rFonts w:cstheme="minorHAnsi"/>
          <w:sz w:val="22"/>
          <w:szCs w:val="22"/>
        </w:rPr>
        <w:t>.</w:t>
      </w:r>
      <w:r w:rsidRPr="004E053C">
        <w:rPr>
          <w:rFonts w:eastAsia="Times New Roman" w:cstheme="minorHAnsi"/>
          <w:color w:val="000000"/>
          <w:sz w:val="22"/>
          <w:szCs w:val="22"/>
          <w:shd w:val="clear" w:color="auto" w:fill="FFFFFF"/>
        </w:rPr>
        <w:t xml:space="preserve"> Meanwhile, the Andean and Amazon regions are sparsely populated, with many communities being extremely remote </w:t>
      </w:r>
      <w:r w:rsidR="00A75E80" w:rsidRPr="004E053C">
        <w:rPr>
          <w:rFonts w:eastAsia="Times New Roman" w:cstheme="minorHAnsi"/>
          <w:color w:val="000000"/>
          <w:sz w:val="22"/>
          <w:szCs w:val="22"/>
          <w:shd w:val="clear" w:color="auto" w:fill="FFFFFF"/>
        </w:rPr>
        <w:fldChar w:fldCharType="begin" w:fldLock="1"/>
      </w:r>
      <w:r w:rsidR="00A75E80" w:rsidRPr="004E053C">
        <w:rPr>
          <w:rFonts w:eastAsia="Times New Roman" w:cstheme="minorHAnsi"/>
          <w:color w:val="000000"/>
          <w:sz w:val="22"/>
          <w:szCs w:val="22"/>
          <w:shd w:val="clear" w:color="auto" w:fill="FFFFFF"/>
        </w:rPr>
        <w:instrText>ADDIN CSL_CITATION {"citationItems":[{"id":"ITEM-1","itemData":{"author":[{"dropping-particle":"","family":"Hoffman","given":"Max","non-dropping-particle":"","parse-names":false,"suffix":""},{"dropping-particle":"","family":"Grigera","given":"Ana I","non-dropping-particle":"","parse-names":false,"suffix":""}],"id":"ITEM-1","issued":{"date-parts":[["2013"]]},"number-of-pages":"110","publisher-place":"Washington D.C.","title":"Climate Change, Migration, and Conflict in the Amazon and the Andes Rising Tensions and Policy Options in South America","type":"report"},"uris":["http://www.mendeley.com/documents/?uuid=452d85a6-8009-3436-9de9-094826b567f3"]}],"mendeley":{"formattedCitation":"(Hoffman &amp; Grigera, 2013)","plainTextFormattedCitation":"(Hoffman &amp; Grigera, 2013)","previouslyFormattedCitation":"(Hoffman &amp; Grigera, 2013)"},"properties":{"noteIndex":0},"schema":"https://github.com/citation-style-language/schema/raw/master/csl-citation.json"}</w:instrText>
      </w:r>
      <w:r w:rsidR="00A75E80" w:rsidRPr="004E053C">
        <w:rPr>
          <w:rFonts w:eastAsia="Times New Roman" w:cstheme="minorHAnsi"/>
          <w:color w:val="000000"/>
          <w:sz w:val="22"/>
          <w:szCs w:val="22"/>
          <w:shd w:val="clear" w:color="auto" w:fill="FFFFFF"/>
        </w:rPr>
        <w:fldChar w:fldCharType="separate"/>
      </w:r>
      <w:r w:rsidR="00A75E80" w:rsidRPr="004E053C">
        <w:rPr>
          <w:rFonts w:eastAsia="Times New Roman" w:cstheme="minorHAnsi"/>
          <w:noProof/>
          <w:color w:val="000000"/>
          <w:sz w:val="22"/>
          <w:szCs w:val="22"/>
          <w:shd w:val="clear" w:color="auto" w:fill="FFFFFF"/>
        </w:rPr>
        <w:t>(Hoffman &amp; Grigera, 2013)</w:t>
      </w:r>
      <w:r w:rsidR="00A75E80" w:rsidRPr="004E053C">
        <w:rPr>
          <w:rFonts w:eastAsia="Times New Roman" w:cstheme="minorHAnsi"/>
          <w:color w:val="000000"/>
          <w:sz w:val="22"/>
          <w:szCs w:val="22"/>
          <w:shd w:val="clear" w:color="auto" w:fill="FFFFFF"/>
        </w:rPr>
        <w:fldChar w:fldCharType="end"/>
      </w:r>
      <w:r w:rsidR="00A75E80" w:rsidRPr="004E053C">
        <w:rPr>
          <w:rFonts w:eastAsia="Times New Roman" w:cstheme="minorHAnsi"/>
          <w:color w:val="000000"/>
          <w:sz w:val="22"/>
          <w:szCs w:val="22"/>
          <w:shd w:val="clear" w:color="auto" w:fill="FFFFFF"/>
        </w:rPr>
        <w:t>.</w:t>
      </w:r>
      <w:r w:rsidRPr="004E053C">
        <w:rPr>
          <w:rFonts w:eastAsia="Times New Roman" w:cstheme="minorHAnsi"/>
          <w:color w:val="000000"/>
          <w:sz w:val="22"/>
          <w:szCs w:val="22"/>
          <w:shd w:val="clear" w:color="auto" w:fill="FFFFFF"/>
        </w:rPr>
        <w:t xml:space="preserve"> </w:t>
      </w:r>
      <w:r w:rsidRPr="004E053C">
        <w:rPr>
          <w:rFonts w:eastAsia="Times New Roman" w:cstheme="minorHAnsi"/>
          <w:sz w:val="22"/>
          <w:szCs w:val="22"/>
        </w:rPr>
        <w:t xml:space="preserve">Peru’s export-linked economic sectors are based primarily in Lima and other coastal cities, </w:t>
      </w:r>
      <w:r w:rsidRPr="004E053C">
        <w:rPr>
          <w:rFonts w:cstheme="minorHAnsi"/>
          <w:sz w:val="22"/>
          <w:szCs w:val="22"/>
        </w:rPr>
        <w:t xml:space="preserve">even though it relies heavily on production in the other zones </w:t>
      </w:r>
      <w:r w:rsidR="00A75E80" w:rsidRPr="004E053C">
        <w:rPr>
          <w:rFonts w:cstheme="minorHAnsi"/>
          <w:sz w:val="22"/>
          <w:szCs w:val="22"/>
        </w:rPr>
        <w:fldChar w:fldCharType="begin" w:fldLock="1"/>
      </w:r>
      <w:r w:rsidR="00684D2E"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A75E80" w:rsidRPr="004E053C">
        <w:rPr>
          <w:rFonts w:cstheme="minorHAnsi"/>
          <w:sz w:val="22"/>
          <w:szCs w:val="22"/>
        </w:rPr>
        <w:fldChar w:fldCharType="separate"/>
      </w:r>
      <w:r w:rsidR="00A75E80" w:rsidRPr="004E053C">
        <w:rPr>
          <w:rFonts w:cstheme="minorHAnsi"/>
          <w:noProof/>
          <w:sz w:val="22"/>
          <w:szCs w:val="22"/>
        </w:rPr>
        <w:t>(Orihuela, 2012)</w:t>
      </w:r>
      <w:r w:rsidR="00A75E80" w:rsidRPr="004E053C">
        <w:rPr>
          <w:rFonts w:cstheme="minorHAnsi"/>
          <w:sz w:val="22"/>
          <w:szCs w:val="22"/>
        </w:rPr>
        <w:fldChar w:fldCharType="end"/>
      </w:r>
      <w:r w:rsidRPr="004E053C">
        <w:rPr>
          <w:rFonts w:cstheme="minorHAnsi"/>
          <w:sz w:val="22"/>
          <w:szCs w:val="22"/>
        </w:rPr>
        <w:t xml:space="preserve">. </w:t>
      </w:r>
      <w:r w:rsidRPr="004E053C">
        <w:rPr>
          <w:rFonts w:eastAsia="Times New Roman" w:cstheme="minorHAnsi"/>
          <w:sz w:val="22"/>
          <w:szCs w:val="22"/>
        </w:rPr>
        <w:t>This has created massive income disparities when compared with the rural population who engaged in subsistence agri</w:t>
      </w:r>
      <w:r w:rsidR="00ED1093" w:rsidRPr="004E053C">
        <w:rPr>
          <w:rFonts w:eastAsia="Times New Roman" w:cstheme="minorHAnsi"/>
          <w:sz w:val="22"/>
          <w:szCs w:val="22"/>
        </w:rPr>
        <w:t xml:space="preserve">culture </w:t>
      </w:r>
      <w:r w:rsidR="00ED1093" w:rsidRPr="004E053C">
        <w:rPr>
          <w:rFonts w:eastAsia="Times New Roman" w:cstheme="minorHAnsi"/>
          <w:sz w:val="22"/>
          <w:szCs w:val="22"/>
        </w:rPr>
        <w:fldChar w:fldCharType="begin" w:fldLock="1"/>
      </w:r>
      <w:r w:rsidR="00973554" w:rsidRPr="004E053C">
        <w:rPr>
          <w:rFonts w:eastAsia="Times New Roman"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1984)","manualFormatting":"(Long &amp; Roberts, 1984)","plainTextFormattedCitation":"(Norman Long &amp; Roberts, 1984)","previouslyFormattedCitation":"(Norman Long &amp; Roberts, 1984)"},"properties":{"noteIndex":0},"schema":"https://github.com/citation-style-language/schema/raw/master/csl-citation.json"}</w:instrText>
      </w:r>
      <w:r w:rsidR="00ED1093" w:rsidRPr="004E053C">
        <w:rPr>
          <w:rFonts w:eastAsia="Times New Roman" w:cstheme="minorHAnsi"/>
          <w:sz w:val="22"/>
          <w:szCs w:val="22"/>
        </w:rPr>
        <w:fldChar w:fldCharType="separate"/>
      </w:r>
      <w:r w:rsidR="00ED1093" w:rsidRPr="004E053C">
        <w:rPr>
          <w:rFonts w:eastAsia="Times New Roman" w:cstheme="minorHAnsi"/>
          <w:noProof/>
          <w:sz w:val="22"/>
          <w:szCs w:val="22"/>
        </w:rPr>
        <w:t>(Long &amp; Roberts, 1984)</w:t>
      </w:r>
      <w:r w:rsidR="00ED1093" w:rsidRPr="004E053C">
        <w:rPr>
          <w:rFonts w:eastAsia="Times New Roman" w:cstheme="minorHAnsi"/>
          <w:sz w:val="22"/>
          <w:szCs w:val="22"/>
        </w:rPr>
        <w:fldChar w:fldCharType="end"/>
      </w:r>
      <w:r w:rsidRPr="004E053C">
        <w:rPr>
          <w:rFonts w:eastAsia="Times New Roman" w:cstheme="minorHAnsi"/>
          <w:sz w:val="22"/>
          <w:szCs w:val="22"/>
        </w:rPr>
        <w:t xml:space="preserve">. </w:t>
      </w:r>
      <w:r w:rsidRPr="004E053C">
        <w:rPr>
          <w:rFonts w:eastAsia="Times New Roman" w:cstheme="minorHAnsi"/>
          <w:color w:val="000000"/>
          <w:sz w:val="22"/>
          <w:szCs w:val="22"/>
          <w:shd w:val="clear" w:color="auto" w:fill="FFFFFF"/>
        </w:rPr>
        <w:t xml:space="preserve">The Andes and the </w:t>
      </w:r>
      <w:r w:rsidRPr="004E053C">
        <w:rPr>
          <w:rFonts w:eastAsia="Times New Roman" w:cstheme="minorHAnsi"/>
          <w:color w:val="000000"/>
          <w:sz w:val="22"/>
          <w:szCs w:val="22"/>
          <w:shd w:val="clear" w:color="auto" w:fill="FFFFFF"/>
        </w:rPr>
        <w:lastRenderedPageBreak/>
        <w:t>Amazon have far higher levels of poverty than the coastal region, poor</w:t>
      </w:r>
      <w:r w:rsidR="000C1151" w:rsidRPr="004E053C">
        <w:rPr>
          <w:rFonts w:eastAsia="Times New Roman" w:cstheme="minorHAnsi"/>
          <w:color w:val="000000"/>
          <w:sz w:val="22"/>
          <w:szCs w:val="22"/>
          <w:shd w:val="clear" w:color="auto" w:fill="FFFFFF"/>
        </w:rPr>
        <w:t>er</w:t>
      </w:r>
      <w:r w:rsidRPr="004E053C">
        <w:rPr>
          <w:rFonts w:eastAsia="Times New Roman" w:cstheme="minorHAnsi"/>
          <w:color w:val="000000"/>
          <w:sz w:val="22"/>
          <w:szCs w:val="22"/>
          <w:shd w:val="clear" w:color="auto" w:fill="FFFFFF"/>
        </w:rPr>
        <w:t xml:space="preserve"> infrastructure and basic services, and fewer formal employment opportunities </w:t>
      </w:r>
      <w:r w:rsidR="00684D2E" w:rsidRPr="004E053C">
        <w:rPr>
          <w:rFonts w:eastAsia="Times New Roman" w:cstheme="minorHAnsi"/>
          <w:color w:val="000000"/>
          <w:sz w:val="22"/>
          <w:szCs w:val="22"/>
          <w:shd w:val="clear" w:color="auto" w:fill="FFFFFF"/>
        </w:rPr>
        <w:fldChar w:fldCharType="begin" w:fldLock="1"/>
      </w:r>
      <w:r w:rsidR="00684D2E" w:rsidRPr="004E053C">
        <w:rPr>
          <w:rFonts w:eastAsia="Times New Roman" w:cstheme="minorHAnsi"/>
          <w:color w:val="000000"/>
          <w:sz w:val="22"/>
          <w:szCs w:val="22"/>
          <w:shd w:val="clear" w:color="auto" w:fill="FFFFFF"/>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id":"ITEM-2","itemData":{"author":[{"dropping-particle":"","family":"Hoffman","given":"Max","non-dropping-particle":"","parse-names":false,"suffix":""},{"dropping-particle":"","family":"Grigera","given":"Ana I","non-dropping-particle":"","parse-names":false,"suffix":""}],"id":"ITEM-2","issued":{"date-parts":[["2013"]]},"number-of-pages":"110","publisher-place":"Washington D.C.","title":"Climate Change, Migration, and Conflict in the Amazon and the Andes Rising Tensions and Policy Options in South America","type":"report"},"uris":["http://www.mendeley.com/documents/?uuid=452d85a6-8009-3436-9de9-094826b567f3"]}],"mendeley":{"formattedCitation":"(Hoffman &amp; Grigera, 2013; Orihuela, 2012)","plainTextFormattedCitation":"(Hoffman &amp; Grigera, 2013; Orihuela, 2012)","previouslyFormattedCitation":"(Hoffman &amp; Grigera, 2013; Orihuela, 2012)"},"properties":{"noteIndex":0},"schema":"https://github.com/citation-style-language/schema/raw/master/csl-citation.json"}</w:instrText>
      </w:r>
      <w:r w:rsidR="00684D2E" w:rsidRPr="004E053C">
        <w:rPr>
          <w:rFonts w:eastAsia="Times New Roman" w:cstheme="minorHAnsi"/>
          <w:color w:val="000000"/>
          <w:sz w:val="22"/>
          <w:szCs w:val="22"/>
          <w:shd w:val="clear" w:color="auto" w:fill="FFFFFF"/>
        </w:rPr>
        <w:fldChar w:fldCharType="separate"/>
      </w:r>
      <w:r w:rsidR="00684D2E" w:rsidRPr="004E053C">
        <w:rPr>
          <w:rFonts w:eastAsia="Times New Roman" w:cstheme="minorHAnsi"/>
          <w:noProof/>
          <w:color w:val="000000"/>
          <w:sz w:val="22"/>
          <w:szCs w:val="22"/>
          <w:shd w:val="clear" w:color="auto" w:fill="FFFFFF"/>
        </w:rPr>
        <w:t>(Hoffman &amp; Grigera, 2013; Orihuela, 2012)</w:t>
      </w:r>
      <w:r w:rsidR="00684D2E" w:rsidRPr="004E053C">
        <w:rPr>
          <w:rFonts w:eastAsia="Times New Roman" w:cstheme="minorHAnsi"/>
          <w:color w:val="000000"/>
          <w:sz w:val="22"/>
          <w:szCs w:val="22"/>
          <w:shd w:val="clear" w:color="auto" w:fill="FFFFFF"/>
        </w:rPr>
        <w:fldChar w:fldCharType="end"/>
      </w:r>
      <w:r w:rsidR="00684D2E" w:rsidRPr="004E053C">
        <w:rPr>
          <w:rFonts w:eastAsia="Times New Roman" w:cstheme="minorHAnsi"/>
          <w:color w:val="000000"/>
          <w:sz w:val="22"/>
          <w:szCs w:val="22"/>
          <w:shd w:val="clear" w:color="auto" w:fill="FFFFFF"/>
        </w:rPr>
        <w:t>.</w:t>
      </w:r>
    </w:p>
    <w:p w14:paraId="7073C9A1" w14:textId="77777777" w:rsidR="00375961" w:rsidRPr="004E053C" w:rsidRDefault="00375961" w:rsidP="004E053C">
      <w:pPr>
        <w:autoSpaceDE w:val="0"/>
        <w:autoSpaceDN w:val="0"/>
        <w:adjustRightInd w:val="0"/>
        <w:spacing w:line="360" w:lineRule="auto"/>
        <w:jc w:val="both"/>
        <w:rPr>
          <w:rFonts w:eastAsia="Times New Roman" w:cstheme="minorHAnsi"/>
          <w:color w:val="000000"/>
          <w:sz w:val="22"/>
          <w:szCs w:val="22"/>
          <w:shd w:val="clear" w:color="auto" w:fill="FFFFFF"/>
        </w:rPr>
      </w:pPr>
    </w:p>
    <w:p w14:paraId="250B0878" w14:textId="59E424E7" w:rsidR="00375961" w:rsidRPr="004E053C" w:rsidRDefault="00375961" w:rsidP="004E053C">
      <w:pPr>
        <w:autoSpaceDE w:val="0"/>
        <w:autoSpaceDN w:val="0"/>
        <w:adjustRightInd w:val="0"/>
        <w:spacing w:line="360" w:lineRule="auto"/>
        <w:jc w:val="both"/>
        <w:rPr>
          <w:rFonts w:eastAsia="Times New Roman" w:cstheme="minorHAnsi"/>
          <w:color w:val="000000"/>
          <w:sz w:val="22"/>
          <w:szCs w:val="22"/>
          <w:shd w:val="clear" w:color="auto" w:fill="FFFFFF"/>
        </w:rPr>
      </w:pPr>
      <w:r w:rsidRPr="004E053C">
        <w:rPr>
          <w:rFonts w:eastAsia="Times New Roman" w:cstheme="minorHAnsi"/>
          <w:sz w:val="22"/>
          <w:szCs w:val="22"/>
        </w:rPr>
        <w:t xml:space="preserve"> </w:t>
      </w:r>
      <w:r w:rsidRPr="004E053C">
        <w:rPr>
          <w:rFonts w:eastAsia="Times New Roman" w:cstheme="minorHAnsi"/>
          <w:color w:val="000000"/>
          <w:sz w:val="22"/>
          <w:szCs w:val="22"/>
          <w:shd w:val="clear" w:color="auto" w:fill="FFFFFF"/>
        </w:rPr>
        <w:t>Livelihoods, particularly in the Andes, remain largely reliant on small hold subsistence agriculture and have to endure extreme altitudes, a fragile ecology and a short growing season</w:t>
      </w:r>
      <w:r w:rsidR="00BD2031" w:rsidRPr="004E053C">
        <w:rPr>
          <w:rFonts w:eastAsia="Times New Roman" w:cstheme="minorHAnsi"/>
          <w:color w:val="000000"/>
          <w:sz w:val="22"/>
          <w:szCs w:val="22"/>
          <w:shd w:val="clear" w:color="auto" w:fill="FFFFFF"/>
        </w:rPr>
        <w:t xml:space="preserve"> </w:t>
      </w:r>
      <w:r w:rsidR="00BD2031" w:rsidRPr="004E053C">
        <w:rPr>
          <w:rFonts w:eastAsia="Times New Roman" w:cstheme="minorHAnsi"/>
          <w:color w:val="000000"/>
          <w:sz w:val="22"/>
          <w:szCs w:val="22"/>
          <w:shd w:val="clear" w:color="auto" w:fill="FFFFFF"/>
        </w:rPr>
        <w:fldChar w:fldCharType="begin" w:fldLock="1"/>
      </w:r>
      <w:r w:rsidR="007A757C" w:rsidRPr="004E053C">
        <w:rPr>
          <w:rFonts w:eastAsia="Times New Roman" w:cstheme="minorHAnsi"/>
          <w:color w:val="000000"/>
          <w:sz w:val="22"/>
          <w:szCs w:val="22"/>
          <w:shd w:val="clear" w:color="auto" w:fill="FFFFFF"/>
        </w:rPr>
        <w:instrText>ADDIN CSL_CITATION {"citationItems":[{"id":"ITEM-1","itemData":{"author":[{"dropping-particle":"","family":"Becker","given":"David G.","non-dropping-particle":"","parse-names":false,"suffix":""}],"id":"ITEM-1","issued":{"date-parts":[["1983"]]},"number-of-pages":"419","publisher":"Princeton University Press","publisher-place":"Princeton, NJ","title":"The New Bourgeoisie and the Limits of Dependency: Mining, Class and Power in 'Revolutionary' Peru","type":"book"},"uris":["http://www.mendeley.com/documents/?uuid=13c0adb1-662f-4977-bb07-3645e008f35c"]}],"mendeley":{"formattedCitation":"(D. G. Becker, 1983)","manualFormatting":"(Becker, 1983)","plainTextFormattedCitation":"(D. G. Becker, 1983)","previouslyFormattedCitation":"(D. G. Becker, 1983)"},"properties":{"noteIndex":0},"schema":"https://github.com/citation-style-language/schema/raw/master/csl-citation.json"}</w:instrText>
      </w:r>
      <w:r w:rsidR="00BD2031" w:rsidRPr="004E053C">
        <w:rPr>
          <w:rFonts w:eastAsia="Times New Roman" w:cstheme="minorHAnsi"/>
          <w:color w:val="000000"/>
          <w:sz w:val="22"/>
          <w:szCs w:val="22"/>
          <w:shd w:val="clear" w:color="auto" w:fill="FFFFFF"/>
        </w:rPr>
        <w:fldChar w:fldCharType="separate"/>
      </w:r>
      <w:r w:rsidR="00BD2031" w:rsidRPr="004E053C">
        <w:rPr>
          <w:rFonts w:eastAsia="Times New Roman" w:cstheme="minorHAnsi"/>
          <w:noProof/>
          <w:color w:val="000000"/>
          <w:sz w:val="22"/>
          <w:szCs w:val="22"/>
          <w:shd w:val="clear" w:color="auto" w:fill="FFFFFF"/>
        </w:rPr>
        <w:t>(Becker, 1983)</w:t>
      </w:r>
      <w:r w:rsidR="00BD2031" w:rsidRPr="004E053C">
        <w:rPr>
          <w:rFonts w:eastAsia="Times New Roman" w:cstheme="minorHAnsi"/>
          <w:color w:val="000000"/>
          <w:sz w:val="22"/>
          <w:szCs w:val="22"/>
          <w:shd w:val="clear" w:color="auto" w:fill="FFFFFF"/>
        </w:rPr>
        <w:fldChar w:fldCharType="end"/>
      </w:r>
      <w:r w:rsidRPr="004E053C">
        <w:rPr>
          <w:rFonts w:eastAsia="Times New Roman" w:cstheme="minorHAnsi"/>
          <w:color w:val="000000"/>
          <w:sz w:val="22"/>
          <w:szCs w:val="22"/>
          <w:shd w:val="clear" w:color="auto" w:fill="FFFFFF"/>
        </w:rPr>
        <w:t xml:space="preserve">. Such livelihoods are also increasingly threatened by climate change and water scarcity </w:t>
      </w:r>
      <w:r w:rsidR="00BD2031" w:rsidRPr="004E053C">
        <w:rPr>
          <w:rFonts w:eastAsia="Times New Roman" w:cstheme="minorHAnsi"/>
          <w:color w:val="000000"/>
          <w:sz w:val="22"/>
          <w:szCs w:val="22"/>
          <w:shd w:val="clear" w:color="auto" w:fill="FFFFFF"/>
        </w:rPr>
        <w:fldChar w:fldCharType="begin" w:fldLock="1"/>
      </w:r>
      <w:r w:rsidR="00BD2031" w:rsidRPr="004E053C">
        <w:rPr>
          <w:rFonts w:eastAsia="Times New Roman" w:cstheme="minorHAnsi"/>
          <w:color w:val="000000"/>
          <w:sz w:val="22"/>
          <w:szCs w:val="22"/>
          <w:shd w:val="clear" w:color="auto" w:fill="FFFFFF"/>
        </w:rPr>
        <w:instrText>ADDIN CSL_CITATION {"citationItems":[{"id":"ITEM-1","itemData":{"author":[{"dropping-particle":"","family":"Hoffman","given":"Max","non-dropping-particle":"","parse-names":false,"suffix":""},{"dropping-particle":"","family":"Grigera","given":"Ana I","non-dropping-particle":"","parse-names":false,"suffix":""}],"id":"ITEM-1","issued":{"date-parts":[["2013"]]},"number-of-pages":"110","publisher-place":"Washington D.C.","title":"Climate Change, Migration, and Conflict in the Amazon and the Andes Rising Tensions and Policy Options in South America","type":"report"},"uris":["http://www.mendeley.com/documents/?uuid=452d85a6-8009-3436-9de9-094826b567f3"]}],"mendeley":{"formattedCitation":"(Hoffman &amp; Grigera, 2013)","plainTextFormattedCitation":"(Hoffman &amp; Grigera, 2013)","previouslyFormattedCitation":"(Hoffman &amp; Grigera, 2013)"},"properties":{"noteIndex":0},"schema":"https://github.com/citation-style-language/schema/raw/master/csl-citation.json"}</w:instrText>
      </w:r>
      <w:r w:rsidR="00BD2031" w:rsidRPr="004E053C">
        <w:rPr>
          <w:rFonts w:eastAsia="Times New Roman" w:cstheme="minorHAnsi"/>
          <w:color w:val="000000"/>
          <w:sz w:val="22"/>
          <w:szCs w:val="22"/>
          <w:shd w:val="clear" w:color="auto" w:fill="FFFFFF"/>
        </w:rPr>
        <w:fldChar w:fldCharType="separate"/>
      </w:r>
      <w:r w:rsidR="00BD2031" w:rsidRPr="004E053C">
        <w:rPr>
          <w:rFonts w:eastAsia="Times New Roman" w:cstheme="minorHAnsi"/>
          <w:noProof/>
          <w:color w:val="000000"/>
          <w:sz w:val="22"/>
          <w:szCs w:val="22"/>
          <w:shd w:val="clear" w:color="auto" w:fill="FFFFFF"/>
        </w:rPr>
        <w:t>(Hoffman &amp; Grigera, 2013)</w:t>
      </w:r>
      <w:r w:rsidR="00BD2031" w:rsidRPr="004E053C">
        <w:rPr>
          <w:rFonts w:eastAsia="Times New Roman" w:cstheme="minorHAnsi"/>
          <w:color w:val="000000"/>
          <w:sz w:val="22"/>
          <w:szCs w:val="22"/>
          <w:shd w:val="clear" w:color="auto" w:fill="FFFFFF"/>
        </w:rPr>
        <w:fldChar w:fldCharType="end"/>
      </w:r>
      <w:r w:rsidRPr="004E053C">
        <w:rPr>
          <w:rFonts w:eastAsia="Times New Roman" w:cstheme="minorHAnsi"/>
          <w:color w:val="000000"/>
          <w:sz w:val="22"/>
          <w:szCs w:val="22"/>
          <w:shd w:val="clear" w:color="auto" w:fill="FFFFFF"/>
        </w:rPr>
        <w:t xml:space="preserve">. There has been high population growth over the last few decades, which has increased the labour force at a rate that cannot be absorbed by these agricultural activities </w:t>
      </w:r>
      <w:r w:rsidR="00BD2031" w:rsidRPr="004E053C">
        <w:rPr>
          <w:rFonts w:eastAsia="Times New Roman" w:cstheme="minorHAnsi"/>
          <w:color w:val="000000"/>
          <w:sz w:val="22"/>
          <w:szCs w:val="22"/>
          <w:shd w:val="clear" w:color="auto" w:fill="FFFFFF"/>
        </w:rPr>
        <w:fldChar w:fldCharType="begin" w:fldLock="1"/>
      </w:r>
      <w:r w:rsidR="002F0CEA">
        <w:rPr>
          <w:rFonts w:eastAsia="Times New Roman" w:cstheme="minorHAnsi"/>
          <w:color w:val="000000"/>
          <w:sz w:val="22"/>
          <w:szCs w:val="22"/>
          <w:shd w:val="clear" w:color="auto" w:fill="FFFFFF"/>
        </w:rPr>
        <w:instrText>ADDIN CSL_CITATION {"citationItems":[{"id":"ITEM-1","itemData":{"author":[{"dropping-particle":"","family":"Menton","given":"M","non-dropping-particle":"","parse-names":false,"suffix":""},{"dropping-particle":"","family":"Cronkleton","given":"P","non-dropping-particle":"","parse-names":false,"suffix":""}],"container-title":"Migration and forests in the Peruvian Amazon: A review","id":"ITEM-1","issued":{"date-parts":[["2019"]]},"title":"Migration and forests in the Peruvian Amazon: A review","type":"article-journal"},"uris":["http://www.mendeley.com/documents/?uuid=a0ff1887-0449-48bb-9567-d943de189874"]}],"mendeley":{"formattedCitation":"(Menton &amp; Cronkleton, 2019)","plainTextFormattedCitation":"(Menton &amp; Cronkleton, 2019)","previouslyFormattedCitation":"(Menton &amp; Cronkleton, 2019)"},"properties":{"noteIndex":0},"schema":"https://github.com/citation-style-language/schema/raw/master/csl-citation.json"}</w:instrText>
      </w:r>
      <w:r w:rsidR="00BD2031" w:rsidRPr="004E053C">
        <w:rPr>
          <w:rFonts w:eastAsia="Times New Roman" w:cstheme="minorHAnsi"/>
          <w:color w:val="000000"/>
          <w:sz w:val="22"/>
          <w:szCs w:val="22"/>
          <w:shd w:val="clear" w:color="auto" w:fill="FFFFFF"/>
        </w:rPr>
        <w:fldChar w:fldCharType="separate"/>
      </w:r>
      <w:r w:rsidR="00BD2031" w:rsidRPr="004E053C">
        <w:rPr>
          <w:rFonts w:eastAsia="Times New Roman" w:cstheme="minorHAnsi"/>
          <w:noProof/>
          <w:color w:val="000000"/>
          <w:sz w:val="22"/>
          <w:szCs w:val="22"/>
          <w:shd w:val="clear" w:color="auto" w:fill="FFFFFF"/>
        </w:rPr>
        <w:t>(Menton &amp; Cronkleton, 2019)</w:t>
      </w:r>
      <w:r w:rsidR="00BD2031" w:rsidRPr="004E053C">
        <w:rPr>
          <w:rFonts w:eastAsia="Times New Roman" w:cstheme="minorHAnsi"/>
          <w:color w:val="000000"/>
          <w:sz w:val="22"/>
          <w:szCs w:val="22"/>
          <w:shd w:val="clear" w:color="auto" w:fill="FFFFFF"/>
        </w:rPr>
        <w:fldChar w:fldCharType="end"/>
      </w:r>
      <w:r w:rsidR="00BD2031" w:rsidRPr="004E053C">
        <w:rPr>
          <w:rFonts w:eastAsia="Times New Roman" w:cstheme="minorHAnsi"/>
          <w:color w:val="000000"/>
          <w:sz w:val="22"/>
          <w:szCs w:val="22"/>
          <w:shd w:val="clear" w:color="auto" w:fill="FFFFFF"/>
        </w:rPr>
        <w:t>.</w:t>
      </w:r>
      <w:r w:rsidRPr="004E053C">
        <w:rPr>
          <w:rFonts w:eastAsia="Times New Roman" w:cstheme="minorHAnsi"/>
          <w:color w:val="000000"/>
          <w:sz w:val="22"/>
          <w:szCs w:val="22"/>
          <w:shd w:val="clear" w:color="auto" w:fill="FFFFFF"/>
        </w:rPr>
        <w:t xml:space="preserve"> Meanwhile, the Amazon has historically been unpopulated apart from</w:t>
      </w:r>
      <w:r w:rsidR="000C1151" w:rsidRPr="004E053C">
        <w:rPr>
          <w:rFonts w:eastAsia="Times New Roman" w:cstheme="minorHAnsi"/>
          <w:color w:val="000000"/>
          <w:sz w:val="22"/>
          <w:szCs w:val="22"/>
          <w:shd w:val="clear" w:color="auto" w:fill="FFFFFF"/>
        </w:rPr>
        <w:t xml:space="preserve"> small indigenous tribes</w:t>
      </w:r>
      <w:r w:rsidRPr="004E053C">
        <w:rPr>
          <w:rFonts w:eastAsia="Times New Roman" w:cstheme="minorHAnsi"/>
          <w:color w:val="000000"/>
          <w:sz w:val="22"/>
          <w:szCs w:val="22"/>
          <w:shd w:val="clear" w:color="auto" w:fill="FFFFFF"/>
        </w:rPr>
        <w:t xml:space="preserve"> </w:t>
      </w:r>
      <w:r w:rsidR="00BD2031" w:rsidRPr="004E053C">
        <w:rPr>
          <w:rFonts w:eastAsia="Times New Roman" w:cstheme="minorHAnsi"/>
          <w:color w:val="000000"/>
          <w:sz w:val="22"/>
          <w:szCs w:val="22"/>
          <w:shd w:val="clear" w:color="auto" w:fill="FFFFFF"/>
        </w:rPr>
        <w:fldChar w:fldCharType="begin" w:fldLock="1"/>
      </w:r>
      <w:r w:rsidR="007A757C" w:rsidRPr="004E053C">
        <w:rPr>
          <w:rFonts w:eastAsia="Times New Roman" w:cstheme="minorHAnsi"/>
          <w:color w:val="000000"/>
          <w:sz w:val="22"/>
          <w:szCs w:val="22"/>
          <w:shd w:val="clear" w:color="auto" w:fill="FFFFFF"/>
        </w:rPr>
        <w:instrText>ADDIN CSL_CITATION {"citationItems":[{"id":"ITEM-1","itemData":{"author":[{"dropping-particle":"","family":"Becker","given":"David G.","non-dropping-particle":"","parse-names":false,"suffix":""}],"id":"ITEM-1","issued":{"date-parts":[["1983"]]},"number-of-pages":"419","publisher":"Princeton University Press","publisher-place":"Princeton, NJ","title":"The New Bourgeoisie and the Limits of Dependency: Mining, Class and Power in 'Revolutionary' Peru","type":"book"},"uris":["http://www.mendeley.com/documents/?uuid=13c0adb1-662f-4977-bb07-3645e008f35c"]}],"mendeley":{"formattedCitation":"(D. G. Becker, 1983)","manualFormatting":"(Becker, 1983)","plainTextFormattedCitation":"(D. G. Becker, 1983)","previouslyFormattedCitation":"(D. G. Becker, 1983)"},"properties":{"noteIndex":0},"schema":"https://github.com/citation-style-language/schema/raw/master/csl-citation.json"}</w:instrText>
      </w:r>
      <w:r w:rsidR="00BD2031" w:rsidRPr="004E053C">
        <w:rPr>
          <w:rFonts w:eastAsia="Times New Roman" w:cstheme="minorHAnsi"/>
          <w:color w:val="000000"/>
          <w:sz w:val="22"/>
          <w:szCs w:val="22"/>
          <w:shd w:val="clear" w:color="auto" w:fill="FFFFFF"/>
        </w:rPr>
        <w:fldChar w:fldCharType="separate"/>
      </w:r>
      <w:r w:rsidR="00BD2031" w:rsidRPr="004E053C">
        <w:rPr>
          <w:rFonts w:eastAsia="Times New Roman" w:cstheme="minorHAnsi"/>
          <w:noProof/>
          <w:color w:val="000000"/>
          <w:sz w:val="22"/>
          <w:szCs w:val="22"/>
          <w:shd w:val="clear" w:color="auto" w:fill="FFFFFF"/>
        </w:rPr>
        <w:t>(Becker, 1983)</w:t>
      </w:r>
      <w:r w:rsidR="00BD2031" w:rsidRPr="004E053C">
        <w:rPr>
          <w:rFonts w:eastAsia="Times New Roman" w:cstheme="minorHAnsi"/>
          <w:color w:val="000000"/>
          <w:sz w:val="22"/>
          <w:szCs w:val="22"/>
          <w:shd w:val="clear" w:color="auto" w:fill="FFFFFF"/>
        </w:rPr>
        <w:fldChar w:fldCharType="end"/>
      </w:r>
      <w:r w:rsidR="000C1151" w:rsidRPr="004E053C">
        <w:rPr>
          <w:rFonts w:eastAsia="Times New Roman" w:cstheme="minorHAnsi"/>
          <w:color w:val="000000"/>
          <w:sz w:val="22"/>
          <w:szCs w:val="22"/>
          <w:shd w:val="clear" w:color="auto" w:fill="FFFFFF"/>
        </w:rPr>
        <w:t xml:space="preserve"> and remains largely undeveloped</w:t>
      </w:r>
      <w:r w:rsidRPr="004E053C">
        <w:rPr>
          <w:rFonts w:eastAsia="Times New Roman" w:cstheme="minorHAnsi"/>
          <w:color w:val="000000"/>
          <w:sz w:val="22"/>
          <w:szCs w:val="22"/>
          <w:shd w:val="clear" w:color="auto" w:fill="FFFFFF"/>
        </w:rPr>
        <w:t xml:space="preserve">. It has only been relatively recently that the population in the Amazon has increased, as successive governments have attempted to “colonise” the area </w:t>
      </w:r>
      <w:r w:rsidR="00BD2031" w:rsidRPr="004E053C">
        <w:rPr>
          <w:rFonts w:eastAsia="Times New Roman" w:cstheme="minorHAnsi"/>
          <w:color w:val="000000"/>
          <w:sz w:val="22"/>
          <w:szCs w:val="22"/>
          <w:shd w:val="clear" w:color="auto" w:fill="FFFFFF"/>
        </w:rPr>
        <w:fldChar w:fldCharType="begin" w:fldLock="1"/>
      </w:r>
      <w:r w:rsidR="002F0CEA">
        <w:rPr>
          <w:rFonts w:eastAsia="Times New Roman" w:cstheme="minorHAnsi"/>
          <w:color w:val="000000"/>
          <w:sz w:val="22"/>
          <w:szCs w:val="22"/>
          <w:shd w:val="clear" w:color="auto" w:fill="FFFFFF"/>
        </w:rPr>
        <w:instrText>ADDIN CSL_CITATION {"citationItems":[{"id":"ITEM-1","itemData":{"author":[{"dropping-particle":"","family":"Menton","given":"M","non-dropping-particle":"","parse-names":false,"suffix":""},{"dropping-particle":"","family":"Cronkleton","given":"P","non-dropping-particle":"","parse-names":false,"suffix":""}],"container-title":"Migration and forests in the Peruvian Amazon: A review","id":"ITEM-1","issued":{"date-parts":[["2019"]]},"title":"Migration and forests in the Peruvian Amazon: A review","type":"article-journal"},"uris":["http://www.mendeley.com/documents/?uuid=a0ff1887-0449-48bb-9567-d943de189874"]}],"mendeley":{"formattedCitation":"(Menton &amp; Cronkleton, 2019)","plainTextFormattedCitation":"(Menton &amp; Cronkleton, 2019)","previouslyFormattedCitation":"(Menton &amp; Cronkleton, 2019)"},"properties":{"noteIndex":0},"schema":"https://github.com/citation-style-language/schema/raw/master/csl-citation.json"}</w:instrText>
      </w:r>
      <w:r w:rsidR="00BD2031" w:rsidRPr="004E053C">
        <w:rPr>
          <w:rFonts w:eastAsia="Times New Roman" w:cstheme="minorHAnsi"/>
          <w:color w:val="000000"/>
          <w:sz w:val="22"/>
          <w:szCs w:val="22"/>
          <w:shd w:val="clear" w:color="auto" w:fill="FFFFFF"/>
        </w:rPr>
        <w:fldChar w:fldCharType="separate"/>
      </w:r>
      <w:r w:rsidR="00BD2031" w:rsidRPr="004E053C">
        <w:rPr>
          <w:rFonts w:eastAsia="Times New Roman" w:cstheme="minorHAnsi"/>
          <w:noProof/>
          <w:color w:val="000000"/>
          <w:sz w:val="22"/>
          <w:szCs w:val="22"/>
          <w:shd w:val="clear" w:color="auto" w:fill="FFFFFF"/>
        </w:rPr>
        <w:t>(Menton &amp; Cronkleton, 2019)</w:t>
      </w:r>
      <w:r w:rsidR="00BD2031" w:rsidRPr="004E053C">
        <w:rPr>
          <w:rFonts w:eastAsia="Times New Roman" w:cstheme="minorHAnsi"/>
          <w:color w:val="000000"/>
          <w:sz w:val="22"/>
          <w:szCs w:val="22"/>
          <w:shd w:val="clear" w:color="auto" w:fill="FFFFFF"/>
        </w:rPr>
        <w:fldChar w:fldCharType="end"/>
      </w:r>
      <w:r w:rsidRPr="004E053C">
        <w:rPr>
          <w:rFonts w:eastAsia="Times New Roman" w:cstheme="minorHAnsi"/>
          <w:color w:val="000000"/>
          <w:sz w:val="22"/>
          <w:szCs w:val="22"/>
          <w:shd w:val="clear" w:color="auto" w:fill="FFFFFF"/>
        </w:rPr>
        <w:t xml:space="preserve">. This has caused numerous problems for indigenous people, </w:t>
      </w:r>
      <w:r w:rsidR="00ED1093" w:rsidRPr="004E053C">
        <w:rPr>
          <w:rFonts w:eastAsia="Times New Roman" w:cstheme="minorHAnsi"/>
          <w:color w:val="000000"/>
          <w:sz w:val="22"/>
          <w:szCs w:val="22"/>
          <w:shd w:val="clear" w:color="auto" w:fill="FFFFFF"/>
        </w:rPr>
        <w:t>who have found their traditional ways of life being threatened by development and industry in the region</w:t>
      </w:r>
      <w:r w:rsidR="00973554" w:rsidRPr="004E053C">
        <w:rPr>
          <w:rFonts w:eastAsia="Times New Roman" w:cstheme="minorHAnsi"/>
          <w:color w:val="000000"/>
          <w:sz w:val="22"/>
          <w:szCs w:val="22"/>
          <w:shd w:val="clear" w:color="auto" w:fill="FFFFFF"/>
        </w:rPr>
        <w:t xml:space="preserve"> </w:t>
      </w:r>
      <w:r w:rsidR="00973554" w:rsidRPr="004E053C">
        <w:rPr>
          <w:rFonts w:eastAsia="Times New Roman" w:cstheme="minorHAnsi"/>
          <w:color w:val="000000"/>
          <w:sz w:val="22"/>
          <w:szCs w:val="22"/>
          <w:shd w:val="clear" w:color="auto" w:fill="FFFFFF"/>
        </w:rPr>
        <w:fldChar w:fldCharType="begin" w:fldLock="1"/>
      </w:r>
      <w:r w:rsidR="002F0CEA">
        <w:rPr>
          <w:rFonts w:eastAsia="Times New Roman" w:cstheme="minorHAnsi"/>
          <w:color w:val="000000"/>
          <w:sz w:val="22"/>
          <w:szCs w:val="22"/>
          <w:shd w:val="clear" w:color="auto" w:fill="FFFFFF"/>
        </w:rPr>
        <w:instrText>ADDIN CSL_CITATION {"citationItems":[{"id":"ITEM-1","itemData":{"abstract":"The Peruvian Amazon is culturally and biologically one of the most diverse regions on Earth. Since the 1920s oil exploration and extraction in the region have threatened both biodiversity and indigenous peoples, particularly those living in voluntary isolation. We argue that the phenomenon of peak oil, combined with rising demand and consumption, is now pushing oil extraction into the most remote corners of the world. Modern patterns of production and consumption and high oil prices are forcing a new oil exploratory boom in the Peruvian Amazon. While conflicts spread on indigenous territories, new forms of resistance appear and indigenous political organizations are born and become more powerful. The impacts of oil exploration and exploitation and indigenous resistance throughout the oil history of the Peruvian Amazon are reviewed here, focusing on the Achuar people in Rio Corrientes. The driving forces, impacts, and responses to the current oil exploration boom are analyzed from an environmental justice perspective. We conclude that, in a context of peak oil and growing global demand for oil, such devastating effects for minor quantities of oil are likely to increase and impact other remote parts of the world. © 2010 Elsevier B.V.","author":[{"dropping-particle":"","family":"Orta-Martínez","given":"Martí","non-dropping-particle":"","parse-names":false,"suffix":""},{"dropping-particle":"","family":"Finer","given":"Matt","non-dropping-particle":"","parse-names":false,"suffix":""}],"container-title":"Ecological Economics","id":"ITEM-1","issue":"2","issued":{"date-parts":[["2010"]]},"page":"207-218","publisher":"Elsevier B.V.","title":"Oil frontiers and indigenous resistance in the Peruvian Amazon","type":"article-journal","volume":"70"},"uris":["http://www.mendeley.com/documents/?uuid=a00aafb5-364b-4ad3-acff-d8ca34ea1d63"]}],"mendeley":{"formattedCitation":"(Orta-Martínez &amp; Finer, 2010)","plainTextFormattedCitation":"(Orta-Martínez &amp; Finer, 2010)","previouslyFormattedCitation":"(Orta-Martínez &amp; Finer, 2010)"},"properties":{"noteIndex":0},"schema":"https://github.com/citation-style-language/schema/raw/master/csl-citation.json"}</w:instrText>
      </w:r>
      <w:r w:rsidR="00973554" w:rsidRPr="004E053C">
        <w:rPr>
          <w:rFonts w:eastAsia="Times New Roman" w:cstheme="minorHAnsi"/>
          <w:color w:val="000000"/>
          <w:sz w:val="22"/>
          <w:szCs w:val="22"/>
          <w:shd w:val="clear" w:color="auto" w:fill="FFFFFF"/>
        </w:rPr>
        <w:fldChar w:fldCharType="separate"/>
      </w:r>
      <w:r w:rsidR="00973554" w:rsidRPr="004E053C">
        <w:rPr>
          <w:rFonts w:eastAsia="Times New Roman" w:cstheme="minorHAnsi"/>
          <w:noProof/>
          <w:color w:val="000000"/>
          <w:sz w:val="22"/>
          <w:szCs w:val="22"/>
          <w:shd w:val="clear" w:color="auto" w:fill="FFFFFF"/>
        </w:rPr>
        <w:t>(Orta-Martínez &amp; Finer, 2010)</w:t>
      </w:r>
      <w:r w:rsidR="00973554" w:rsidRPr="004E053C">
        <w:rPr>
          <w:rFonts w:eastAsia="Times New Roman" w:cstheme="minorHAnsi"/>
          <w:color w:val="000000"/>
          <w:sz w:val="22"/>
          <w:szCs w:val="22"/>
          <w:shd w:val="clear" w:color="auto" w:fill="FFFFFF"/>
        </w:rPr>
        <w:fldChar w:fldCharType="end"/>
      </w:r>
      <w:r w:rsidR="00ED1093" w:rsidRPr="004E053C">
        <w:rPr>
          <w:rFonts w:eastAsia="Times New Roman" w:cstheme="minorHAnsi"/>
          <w:color w:val="000000"/>
          <w:sz w:val="22"/>
          <w:szCs w:val="22"/>
          <w:shd w:val="clear" w:color="auto" w:fill="FFFFFF"/>
        </w:rPr>
        <w:t>.</w:t>
      </w:r>
    </w:p>
    <w:p w14:paraId="3350BB7C" w14:textId="77777777" w:rsidR="00375961" w:rsidRPr="004E053C" w:rsidRDefault="00375961" w:rsidP="004E053C">
      <w:pPr>
        <w:spacing w:line="360" w:lineRule="auto"/>
        <w:jc w:val="both"/>
        <w:rPr>
          <w:rFonts w:eastAsia="Times New Roman" w:cstheme="minorHAnsi"/>
          <w:color w:val="000000"/>
          <w:sz w:val="22"/>
          <w:szCs w:val="22"/>
          <w:shd w:val="clear" w:color="auto" w:fill="FFFFFF"/>
        </w:rPr>
      </w:pPr>
    </w:p>
    <w:p w14:paraId="3B35605C" w14:textId="332DAF59" w:rsidR="00375961" w:rsidRPr="004E053C" w:rsidRDefault="00502226" w:rsidP="004E053C">
      <w:pPr>
        <w:pStyle w:val="Heading3"/>
        <w:rPr>
          <w:rFonts w:asciiTheme="minorHAnsi" w:hAnsiTheme="minorHAnsi"/>
          <w:shd w:val="clear" w:color="auto" w:fill="FFFFFF"/>
        </w:rPr>
      </w:pPr>
      <w:r w:rsidRPr="004E053C">
        <w:rPr>
          <w:rFonts w:asciiTheme="minorHAnsi" w:hAnsiTheme="minorHAnsi"/>
          <w:shd w:val="clear" w:color="auto" w:fill="FFFFFF"/>
        </w:rPr>
        <w:t>3.</w:t>
      </w:r>
      <w:r w:rsidR="004E5F90" w:rsidRPr="004E053C">
        <w:rPr>
          <w:rFonts w:asciiTheme="minorHAnsi" w:hAnsiTheme="minorHAnsi"/>
          <w:shd w:val="clear" w:color="auto" w:fill="FFFFFF"/>
        </w:rPr>
        <w:t>3.2. Ethnic divides and structural r</w:t>
      </w:r>
      <w:r w:rsidR="00375961" w:rsidRPr="004E053C">
        <w:rPr>
          <w:rFonts w:asciiTheme="minorHAnsi" w:hAnsiTheme="minorHAnsi"/>
          <w:shd w:val="clear" w:color="auto" w:fill="FFFFFF"/>
        </w:rPr>
        <w:t>acism</w:t>
      </w:r>
    </w:p>
    <w:p w14:paraId="09BE7ADF" w14:textId="77777777" w:rsidR="00375961" w:rsidRPr="004E053C" w:rsidRDefault="00375961" w:rsidP="004E053C">
      <w:pPr>
        <w:spacing w:line="360" w:lineRule="auto"/>
        <w:jc w:val="both"/>
        <w:rPr>
          <w:rFonts w:eastAsia="Times New Roman" w:cstheme="minorHAnsi"/>
          <w:b/>
          <w:color w:val="000000"/>
          <w:sz w:val="22"/>
          <w:szCs w:val="22"/>
          <w:shd w:val="clear" w:color="auto" w:fill="FFFFFF"/>
        </w:rPr>
      </w:pPr>
    </w:p>
    <w:p w14:paraId="6B7C817E" w14:textId="34EBE7DD" w:rsidR="00375961" w:rsidRPr="004E053C" w:rsidRDefault="00375961" w:rsidP="004E053C">
      <w:pPr>
        <w:spacing w:line="360" w:lineRule="auto"/>
        <w:jc w:val="both"/>
        <w:rPr>
          <w:rFonts w:cstheme="minorHAnsi"/>
        </w:rPr>
      </w:pPr>
      <w:r w:rsidRPr="004E053C">
        <w:rPr>
          <w:rFonts w:cstheme="minorHAnsi"/>
          <w:sz w:val="22"/>
          <w:szCs w:val="22"/>
        </w:rPr>
        <w:t xml:space="preserve">As Paerregaard </w:t>
      </w:r>
      <w:r w:rsidR="00BD2031" w:rsidRPr="004E053C">
        <w:rPr>
          <w:rFonts w:cstheme="minorHAnsi"/>
          <w:sz w:val="22"/>
          <w:szCs w:val="22"/>
        </w:rPr>
        <w:fldChar w:fldCharType="begin" w:fldLock="1"/>
      </w:r>
      <w:r w:rsidR="00973554" w:rsidRPr="004E053C">
        <w:rPr>
          <w:rFonts w:cstheme="minorHAnsi"/>
          <w:sz w:val="22"/>
          <w:szCs w:val="22"/>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1997)","manualFormatting":"(1997)","plainTextFormattedCitation":"(Paerregaard, 1997)","previouslyFormattedCitation":"(Paerregaard, 1997)"},"properties":{"noteIndex":0},"schema":"https://github.com/citation-style-language/schema/raw/master/csl-citation.json"}</w:instrText>
      </w:r>
      <w:r w:rsidR="00BD2031" w:rsidRPr="004E053C">
        <w:rPr>
          <w:rFonts w:cstheme="minorHAnsi"/>
          <w:sz w:val="22"/>
          <w:szCs w:val="22"/>
        </w:rPr>
        <w:fldChar w:fldCharType="separate"/>
      </w:r>
      <w:r w:rsidR="00973554" w:rsidRPr="004E053C">
        <w:rPr>
          <w:rFonts w:cstheme="minorHAnsi"/>
          <w:noProof/>
          <w:sz w:val="22"/>
          <w:szCs w:val="22"/>
        </w:rPr>
        <w:t>(</w:t>
      </w:r>
      <w:r w:rsidR="00BD2031" w:rsidRPr="004E053C">
        <w:rPr>
          <w:rFonts w:cstheme="minorHAnsi"/>
          <w:noProof/>
          <w:sz w:val="22"/>
          <w:szCs w:val="22"/>
        </w:rPr>
        <w:t>1997)</w:t>
      </w:r>
      <w:r w:rsidR="00BD2031" w:rsidRPr="004E053C">
        <w:rPr>
          <w:rFonts w:cstheme="minorHAnsi"/>
          <w:sz w:val="22"/>
          <w:szCs w:val="22"/>
        </w:rPr>
        <w:fldChar w:fldCharType="end"/>
      </w:r>
      <w:r w:rsidRPr="004E053C">
        <w:rPr>
          <w:rFonts w:cstheme="minorHAnsi"/>
          <w:sz w:val="22"/>
          <w:szCs w:val="22"/>
        </w:rPr>
        <w:t xml:space="preserve"> noted, the tense and contentious links and interactions between the different ethnic and linguistic groups that make up the Peruvian nation is a crucial aspect of society. </w:t>
      </w:r>
      <w:r w:rsidR="00973554" w:rsidRPr="004E053C">
        <w:rPr>
          <w:rFonts w:cstheme="minorHAnsi"/>
          <w:sz w:val="22"/>
          <w:szCs w:val="22"/>
        </w:rPr>
        <w:t>The population has been divided, with people of European descent being distinct from ‘</w:t>
      </w:r>
      <w:r w:rsidR="00973554" w:rsidRPr="004E053C">
        <w:rPr>
          <w:rFonts w:cstheme="minorHAnsi"/>
          <w:i/>
          <w:sz w:val="22"/>
          <w:szCs w:val="22"/>
        </w:rPr>
        <w:t>Indios</w:t>
      </w:r>
      <w:r w:rsidR="00973554" w:rsidRPr="004E053C">
        <w:rPr>
          <w:rFonts w:cstheme="minorHAnsi"/>
          <w:sz w:val="22"/>
          <w:szCs w:val="22"/>
        </w:rPr>
        <w:t>’ and ‘</w:t>
      </w:r>
      <w:r w:rsidR="00973554" w:rsidRPr="004E053C">
        <w:rPr>
          <w:rFonts w:cstheme="minorHAnsi"/>
          <w:i/>
          <w:sz w:val="22"/>
          <w:szCs w:val="22"/>
        </w:rPr>
        <w:t>Mestizos</w:t>
      </w:r>
      <w:r w:rsidR="00973554" w:rsidRPr="004E053C">
        <w:rPr>
          <w:rStyle w:val="FootnoteReference"/>
          <w:rFonts w:cstheme="minorHAnsi"/>
          <w:i/>
          <w:sz w:val="22"/>
          <w:szCs w:val="22"/>
        </w:rPr>
        <w:footnoteReference w:id="2"/>
      </w:r>
      <w:r w:rsidR="00973554" w:rsidRPr="004E053C">
        <w:rPr>
          <w:rFonts w:cstheme="minorHAnsi"/>
          <w:sz w:val="22"/>
          <w:szCs w:val="22"/>
        </w:rPr>
        <w:t>’, which has</w:t>
      </w:r>
      <w:r w:rsidRPr="004E053C">
        <w:rPr>
          <w:rFonts w:cstheme="minorHAnsi"/>
          <w:sz w:val="22"/>
          <w:szCs w:val="22"/>
        </w:rPr>
        <w:t xml:space="preserve"> strongly contributed to the creation of</w:t>
      </w:r>
      <w:r w:rsidR="00BD2031" w:rsidRPr="004E053C">
        <w:rPr>
          <w:rFonts w:cstheme="minorHAnsi"/>
          <w:sz w:val="22"/>
          <w:szCs w:val="22"/>
        </w:rPr>
        <w:t xml:space="preserve"> group identities </w:t>
      </w:r>
      <w:r w:rsidR="00BD2031" w:rsidRPr="004E053C">
        <w:rPr>
          <w:rFonts w:cstheme="minorHAnsi"/>
          <w:sz w:val="22"/>
          <w:szCs w:val="22"/>
        </w:rPr>
        <w:fldChar w:fldCharType="begin" w:fldLock="1"/>
      </w:r>
      <w:r w:rsidR="00BD2031"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BD2031" w:rsidRPr="004E053C">
        <w:rPr>
          <w:rFonts w:cstheme="minorHAnsi"/>
          <w:sz w:val="22"/>
          <w:szCs w:val="22"/>
        </w:rPr>
        <w:fldChar w:fldCharType="separate"/>
      </w:r>
      <w:r w:rsidR="00BD2031" w:rsidRPr="004E053C">
        <w:rPr>
          <w:rFonts w:cstheme="minorHAnsi"/>
          <w:noProof/>
          <w:sz w:val="22"/>
          <w:szCs w:val="22"/>
        </w:rPr>
        <w:t>(Orihuela, 2012)</w:t>
      </w:r>
      <w:r w:rsidR="00BD2031" w:rsidRPr="004E053C">
        <w:rPr>
          <w:rFonts w:cstheme="minorHAnsi"/>
          <w:sz w:val="22"/>
          <w:szCs w:val="22"/>
        </w:rPr>
        <w:fldChar w:fldCharType="end"/>
      </w:r>
      <w:r w:rsidRPr="004E053C">
        <w:rPr>
          <w:rFonts w:cstheme="minorHAnsi"/>
          <w:sz w:val="22"/>
          <w:szCs w:val="22"/>
        </w:rPr>
        <w:t xml:space="preserve">. </w:t>
      </w:r>
      <w:r w:rsidR="00CA2A33">
        <w:rPr>
          <w:rFonts w:cstheme="minorHAnsi"/>
          <w:sz w:val="22"/>
          <w:szCs w:val="22"/>
        </w:rPr>
        <w:t xml:space="preserve">Much of this group identity </w:t>
      </w:r>
      <w:r w:rsidR="006A5AD7">
        <w:rPr>
          <w:rFonts w:cstheme="minorHAnsi"/>
          <w:sz w:val="22"/>
          <w:szCs w:val="22"/>
        </w:rPr>
        <w:t>is related to linguistic background,</w:t>
      </w:r>
      <w:r w:rsidR="00CA2A33">
        <w:rPr>
          <w:rFonts w:cstheme="minorHAnsi"/>
          <w:sz w:val="22"/>
          <w:szCs w:val="22"/>
        </w:rPr>
        <w:t xml:space="preserve"> as </w:t>
      </w:r>
      <w:r w:rsidR="006A5AD7">
        <w:rPr>
          <w:rFonts w:cstheme="minorHAnsi"/>
          <w:sz w:val="22"/>
          <w:szCs w:val="22"/>
        </w:rPr>
        <w:t xml:space="preserve">while </w:t>
      </w:r>
      <w:r w:rsidR="00CA2A33">
        <w:rPr>
          <w:rFonts w:cstheme="minorHAnsi"/>
          <w:sz w:val="22"/>
          <w:szCs w:val="22"/>
        </w:rPr>
        <w:t xml:space="preserve">Spanish is </w:t>
      </w:r>
      <w:r w:rsidR="00A254B8">
        <w:rPr>
          <w:rFonts w:cstheme="minorHAnsi"/>
          <w:sz w:val="22"/>
          <w:szCs w:val="22"/>
        </w:rPr>
        <w:t>the most</w:t>
      </w:r>
      <w:r w:rsidR="006A5AD7">
        <w:rPr>
          <w:rFonts w:cstheme="minorHAnsi"/>
          <w:sz w:val="22"/>
          <w:szCs w:val="22"/>
        </w:rPr>
        <w:t xml:space="preserve"> widely spoken language, </w:t>
      </w:r>
      <w:r w:rsidR="00A254B8">
        <w:rPr>
          <w:rFonts w:cstheme="minorHAnsi"/>
          <w:sz w:val="22"/>
          <w:szCs w:val="22"/>
        </w:rPr>
        <w:t>the majority of indigenous Peruvians speak Quechua or Aymara as their first language (Rousseau and Dargent, 2019)</w:t>
      </w:r>
      <w:r w:rsidR="00A254B8">
        <w:rPr>
          <w:rStyle w:val="FootnoteReference"/>
          <w:rFonts w:cstheme="minorHAnsi"/>
          <w:sz w:val="22"/>
          <w:szCs w:val="22"/>
        </w:rPr>
        <w:footnoteReference w:id="3"/>
      </w:r>
      <w:r w:rsidR="006A5AD7">
        <w:rPr>
          <w:rFonts w:cstheme="minorHAnsi"/>
          <w:sz w:val="22"/>
          <w:szCs w:val="22"/>
        </w:rPr>
        <w:t xml:space="preserve">. </w:t>
      </w:r>
      <w:r w:rsidRPr="004E053C">
        <w:rPr>
          <w:rFonts w:cstheme="minorHAnsi"/>
          <w:sz w:val="22"/>
          <w:szCs w:val="22"/>
        </w:rPr>
        <w:t>Over the years, there have been numerous widespread confl</w:t>
      </w:r>
      <w:r w:rsidR="00A254B8">
        <w:rPr>
          <w:rFonts w:cstheme="minorHAnsi"/>
          <w:sz w:val="22"/>
          <w:szCs w:val="22"/>
        </w:rPr>
        <w:t>icts between, and amongst, Peru’s differeng ethnic g</w:t>
      </w:r>
      <w:r w:rsidRPr="004E053C">
        <w:rPr>
          <w:rFonts w:cstheme="minorHAnsi"/>
          <w:sz w:val="22"/>
          <w:szCs w:val="22"/>
        </w:rPr>
        <w:t xml:space="preserve">roups. This started with the violent encounters between indigenous communities and the Spanish and European settlers in the 1500’s, which continue to fuel antagonism and underscore rhetoric </w:t>
      </w:r>
      <w:r w:rsidR="00BD2031" w:rsidRPr="004E053C">
        <w:rPr>
          <w:rFonts w:cstheme="minorHAnsi"/>
          <w:sz w:val="22"/>
          <w:szCs w:val="22"/>
        </w:rPr>
        <w:fldChar w:fldCharType="begin" w:fldLock="1"/>
      </w:r>
      <w:r w:rsidR="00BD2031" w:rsidRPr="004E053C">
        <w:rPr>
          <w:rFonts w:cstheme="minorHAnsi"/>
          <w:sz w:val="22"/>
          <w:szCs w:val="22"/>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1997)","plainTextFormattedCitation":"(Paerregaard, 1997)","previouslyFormattedCitation":"(Paerregaard, 1997)"},"properties":{"noteIndex":0},"schema":"https://github.com/citation-style-language/schema/raw/master/csl-citation.json"}</w:instrText>
      </w:r>
      <w:r w:rsidR="00BD2031" w:rsidRPr="004E053C">
        <w:rPr>
          <w:rFonts w:cstheme="minorHAnsi"/>
          <w:sz w:val="22"/>
          <w:szCs w:val="22"/>
        </w:rPr>
        <w:fldChar w:fldCharType="separate"/>
      </w:r>
      <w:r w:rsidR="00BD2031" w:rsidRPr="004E053C">
        <w:rPr>
          <w:rFonts w:cstheme="minorHAnsi"/>
          <w:noProof/>
          <w:sz w:val="22"/>
          <w:szCs w:val="22"/>
        </w:rPr>
        <w:t>(Paerregaard, 1997)</w:t>
      </w:r>
      <w:r w:rsidR="00BD2031" w:rsidRPr="004E053C">
        <w:rPr>
          <w:rFonts w:cstheme="minorHAnsi"/>
          <w:sz w:val="22"/>
          <w:szCs w:val="22"/>
        </w:rPr>
        <w:fldChar w:fldCharType="end"/>
      </w:r>
      <w:r w:rsidRPr="004E053C">
        <w:rPr>
          <w:rFonts w:cstheme="minorHAnsi"/>
          <w:sz w:val="22"/>
          <w:szCs w:val="22"/>
        </w:rPr>
        <w:t xml:space="preserve">. Orihuela </w:t>
      </w:r>
      <w:r w:rsidR="00BD2031" w:rsidRPr="004E053C">
        <w:rPr>
          <w:rFonts w:cstheme="minorHAnsi"/>
          <w:sz w:val="22"/>
          <w:szCs w:val="22"/>
        </w:rPr>
        <w:fldChar w:fldCharType="begin" w:fldLock="1"/>
      </w:r>
      <w:r w:rsidR="00BD2031"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2012)","manualFormatting":"(2012)","plainTextFormattedCitation":"(Orihuela, 2012)","previouslyFormattedCitation":"(Orihuela, 2012)"},"properties":{"noteIndex":0},"schema":"https://github.com/citation-style-language/schema/raw/master/csl-citation.json"}</w:instrText>
      </w:r>
      <w:r w:rsidR="00BD2031" w:rsidRPr="004E053C">
        <w:rPr>
          <w:rFonts w:cstheme="minorHAnsi"/>
          <w:sz w:val="22"/>
          <w:szCs w:val="22"/>
        </w:rPr>
        <w:fldChar w:fldCharType="separate"/>
      </w:r>
      <w:r w:rsidR="00BD2031" w:rsidRPr="004E053C">
        <w:rPr>
          <w:rFonts w:cstheme="minorHAnsi"/>
          <w:noProof/>
          <w:sz w:val="22"/>
          <w:szCs w:val="22"/>
        </w:rPr>
        <w:t>(2012)</w:t>
      </w:r>
      <w:r w:rsidR="00BD2031" w:rsidRPr="004E053C">
        <w:rPr>
          <w:rFonts w:cstheme="minorHAnsi"/>
          <w:sz w:val="22"/>
          <w:szCs w:val="22"/>
        </w:rPr>
        <w:fldChar w:fldCharType="end"/>
      </w:r>
      <w:r w:rsidRPr="004E053C">
        <w:rPr>
          <w:rFonts w:cstheme="minorHAnsi"/>
          <w:sz w:val="22"/>
          <w:szCs w:val="22"/>
        </w:rPr>
        <w:t xml:space="preserve"> also discusses the land conflicts that broke out after independence that proclaimed the end of the collective ownership of land by indigenous people and effectively led to the expansion of estates. This expansion, along with the efforts of the state to raise taxation and set up schemes of forced labour for public infrastructure, led to social conflict. Such issues emphasised and deepened inter-group disparities between Indians and Whites </w:t>
      </w:r>
      <w:r w:rsidR="00BD2031" w:rsidRPr="004E053C">
        <w:rPr>
          <w:rFonts w:cstheme="minorHAnsi"/>
          <w:sz w:val="22"/>
          <w:szCs w:val="22"/>
        </w:rPr>
        <w:fldChar w:fldCharType="begin" w:fldLock="1"/>
      </w:r>
      <w:r w:rsidR="00134FB0"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2012)","manualFormatting":"(Ibid.)","plainTextFormattedCitation":"(Orihuela, 2012)","previouslyFormattedCitation":"(Orihuela, 2012)"},"properties":{"noteIndex":0},"schema":"https://github.com/citation-style-language/schema/raw/master/csl-citation.json"}</w:instrText>
      </w:r>
      <w:r w:rsidR="00BD2031" w:rsidRPr="004E053C">
        <w:rPr>
          <w:rFonts w:cstheme="minorHAnsi"/>
          <w:sz w:val="22"/>
          <w:szCs w:val="22"/>
        </w:rPr>
        <w:fldChar w:fldCharType="separate"/>
      </w:r>
      <w:r w:rsidR="00134FB0" w:rsidRPr="004E053C">
        <w:rPr>
          <w:rFonts w:cstheme="minorHAnsi"/>
          <w:noProof/>
          <w:sz w:val="22"/>
          <w:szCs w:val="22"/>
        </w:rPr>
        <w:t>(Ibid.</w:t>
      </w:r>
      <w:r w:rsidR="00BD2031" w:rsidRPr="004E053C">
        <w:rPr>
          <w:rFonts w:cstheme="minorHAnsi"/>
          <w:noProof/>
          <w:sz w:val="22"/>
          <w:szCs w:val="22"/>
        </w:rPr>
        <w:t>)</w:t>
      </w:r>
      <w:r w:rsidR="00BD2031" w:rsidRPr="004E053C">
        <w:rPr>
          <w:rFonts w:cstheme="minorHAnsi"/>
          <w:sz w:val="22"/>
          <w:szCs w:val="22"/>
        </w:rPr>
        <w:fldChar w:fldCharType="end"/>
      </w:r>
      <w:r w:rsidRPr="004E053C">
        <w:rPr>
          <w:rFonts w:cstheme="minorHAnsi"/>
          <w:sz w:val="22"/>
          <w:szCs w:val="22"/>
        </w:rPr>
        <w:t xml:space="preserve">. </w:t>
      </w:r>
    </w:p>
    <w:p w14:paraId="2280BFBA" w14:textId="77777777" w:rsidR="00375961" w:rsidRPr="004E053C" w:rsidRDefault="00375961" w:rsidP="004E053C">
      <w:pPr>
        <w:spacing w:line="360" w:lineRule="auto"/>
        <w:jc w:val="both"/>
        <w:rPr>
          <w:rFonts w:cstheme="minorHAnsi"/>
          <w:b/>
        </w:rPr>
      </w:pPr>
    </w:p>
    <w:p w14:paraId="40480D46" w14:textId="7009A7A3" w:rsidR="00375961" w:rsidRPr="004E053C" w:rsidRDefault="00375961" w:rsidP="004E053C">
      <w:pPr>
        <w:spacing w:line="360" w:lineRule="auto"/>
        <w:jc w:val="both"/>
        <w:rPr>
          <w:rFonts w:cstheme="minorHAnsi"/>
          <w:sz w:val="22"/>
          <w:szCs w:val="22"/>
        </w:rPr>
      </w:pPr>
      <w:r w:rsidRPr="004E053C">
        <w:rPr>
          <w:rFonts w:cstheme="minorHAnsi"/>
          <w:sz w:val="22"/>
          <w:szCs w:val="22"/>
        </w:rPr>
        <w:t xml:space="preserve">As will be discussed in the following section, numerous immigrants travelled from the Andes to the coast in search of new opportunities. Those </w:t>
      </w:r>
      <w:r w:rsidR="000C1151" w:rsidRPr="004E053C">
        <w:rPr>
          <w:rFonts w:cstheme="minorHAnsi"/>
          <w:sz w:val="22"/>
          <w:szCs w:val="22"/>
        </w:rPr>
        <w:t xml:space="preserve">Andean people </w:t>
      </w:r>
      <w:r w:rsidRPr="004E053C">
        <w:rPr>
          <w:rFonts w:cstheme="minorHAnsi"/>
          <w:sz w:val="22"/>
          <w:szCs w:val="22"/>
        </w:rPr>
        <w:t xml:space="preserve">who migrated to the coast became known as </w:t>
      </w:r>
      <w:r w:rsidR="000C1151" w:rsidRPr="004E053C">
        <w:rPr>
          <w:rFonts w:cstheme="minorHAnsi"/>
          <w:i/>
          <w:sz w:val="22"/>
          <w:szCs w:val="22"/>
        </w:rPr>
        <w:t>C</w:t>
      </w:r>
      <w:r w:rsidRPr="004E053C">
        <w:rPr>
          <w:rFonts w:cstheme="minorHAnsi"/>
          <w:i/>
          <w:sz w:val="22"/>
          <w:szCs w:val="22"/>
        </w:rPr>
        <w:t>holos,</w:t>
      </w:r>
      <w:r w:rsidRPr="004E053C">
        <w:rPr>
          <w:rFonts w:cstheme="minorHAnsi"/>
          <w:sz w:val="22"/>
          <w:szCs w:val="22"/>
        </w:rPr>
        <w:t xml:space="preserve"> a term for anybody who had a perceived indigenous heritage, and the term </w:t>
      </w:r>
      <w:r w:rsidR="000C1151" w:rsidRPr="004E053C">
        <w:rPr>
          <w:rFonts w:cstheme="minorHAnsi"/>
          <w:i/>
          <w:sz w:val="22"/>
          <w:szCs w:val="22"/>
        </w:rPr>
        <w:t>I</w:t>
      </w:r>
      <w:r w:rsidRPr="004E053C">
        <w:rPr>
          <w:rFonts w:cstheme="minorHAnsi"/>
          <w:i/>
          <w:sz w:val="22"/>
          <w:szCs w:val="22"/>
        </w:rPr>
        <w:t xml:space="preserve">ndio </w:t>
      </w:r>
      <w:r w:rsidRPr="004E053C">
        <w:rPr>
          <w:rFonts w:cstheme="minorHAnsi"/>
          <w:sz w:val="22"/>
          <w:szCs w:val="22"/>
        </w:rPr>
        <w:t xml:space="preserve">became reserved for ‘backward’ communities who remained in the Andes and Amazon and had not benefited from education or economic development </w:t>
      </w:r>
      <w:r w:rsidR="00BD2031" w:rsidRPr="004E053C">
        <w:rPr>
          <w:rFonts w:cstheme="minorHAnsi"/>
          <w:sz w:val="22"/>
          <w:szCs w:val="22"/>
        </w:rPr>
        <w:fldChar w:fldCharType="begin" w:fldLock="1"/>
      </w:r>
      <w:r w:rsidR="00134FB0"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BD2031" w:rsidRPr="004E053C">
        <w:rPr>
          <w:rFonts w:cstheme="minorHAnsi"/>
          <w:sz w:val="22"/>
          <w:szCs w:val="22"/>
        </w:rPr>
        <w:fldChar w:fldCharType="separate"/>
      </w:r>
      <w:r w:rsidR="00BD2031" w:rsidRPr="004E053C">
        <w:rPr>
          <w:rFonts w:cstheme="minorHAnsi"/>
          <w:noProof/>
          <w:sz w:val="22"/>
          <w:szCs w:val="22"/>
        </w:rPr>
        <w:t>(Orihuela, 2012)</w:t>
      </w:r>
      <w:r w:rsidR="00BD2031" w:rsidRPr="004E053C">
        <w:rPr>
          <w:rFonts w:cstheme="minorHAnsi"/>
          <w:sz w:val="22"/>
          <w:szCs w:val="22"/>
        </w:rPr>
        <w:fldChar w:fldCharType="end"/>
      </w:r>
      <w:r w:rsidR="00BD2031" w:rsidRPr="004E053C">
        <w:rPr>
          <w:rFonts w:cstheme="minorHAnsi"/>
          <w:sz w:val="22"/>
          <w:szCs w:val="22"/>
        </w:rPr>
        <w:t xml:space="preserve">. </w:t>
      </w:r>
      <w:r w:rsidRPr="004E053C">
        <w:rPr>
          <w:rFonts w:cstheme="minorHAnsi"/>
          <w:sz w:val="22"/>
          <w:szCs w:val="22"/>
        </w:rPr>
        <w:t xml:space="preserve">This terminology became intertwined with a pervasive notion that Andean culture is an obstacle to economic development and national integration, and this is often used to justify discrimination of Andean people and to excuse socially inequality </w:t>
      </w:r>
      <w:r w:rsidR="00BD2031" w:rsidRPr="004E053C">
        <w:rPr>
          <w:rFonts w:cstheme="minorHAnsi"/>
          <w:sz w:val="22"/>
          <w:szCs w:val="22"/>
        </w:rPr>
        <w:fldChar w:fldCharType="begin" w:fldLock="1"/>
      </w:r>
      <w:r w:rsidR="00BD2031" w:rsidRPr="004E053C">
        <w:rPr>
          <w:rFonts w:cstheme="minorHAnsi"/>
          <w:sz w:val="22"/>
          <w:szCs w:val="22"/>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1997)","plainTextFormattedCitation":"(Paerregaard, 1997)","previouslyFormattedCitation":"(Paerregaard, 1997)"},"properties":{"noteIndex":0},"schema":"https://github.com/citation-style-language/schema/raw/master/csl-citation.json"}</w:instrText>
      </w:r>
      <w:r w:rsidR="00BD2031" w:rsidRPr="004E053C">
        <w:rPr>
          <w:rFonts w:cstheme="minorHAnsi"/>
          <w:sz w:val="22"/>
          <w:szCs w:val="22"/>
        </w:rPr>
        <w:fldChar w:fldCharType="separate"/>
      </w:r>
      <w:r w:rsidR="00BD2031" w:rsidRPr="004E053C">
        <w:rPr>
          <w:rFonts w:cstheme="minorHAnsi"/>
          <w:noProof/>
          <w:sz w:val="22"/>
          <w:szCs w:val="22"/>
        </w:rPr>
        <w:t>(Paerregaard, 1997)</w:t>
      </w:r>
      <w:r w:rsidR="00BD2031" w:rsidRPr="004E053C">
        <w:rPr>
          <w:rFonts w:cstheme="minorHAnsi"/>
          <w:sz w:val="22"/>
          <w:szCs w:val="22"/>
        </w:rPr>
        <w:fldChar w:fldCharType="end"/>
      </w:r>
      <w:r w:rsidR="00BD2031" w:rsidRPr="004E053C">
        <w:rPr>
          <w:rFonts w:cstheme="minorHAnsi"/>
          <w:sz w:val="22"/>
          <w:szCs w:val="22"/>
        </w:rPr>
        <w:t xml:space="preserve">. </w:t>
      </w:r>
      <w:r w:rsidR="00A254B8">
        <w:rPr>
          <w:rFonts w:cstheme="minorHAnsi"/>
          <w:sz w:val="22"/>
          <w:szCs w:val="22"/>
        </w:rPr>
        <w:t xml:space="preserve">This has made the issue of linguistic background particularly salient, as </w:t>
      </w:r>
      <w:r w:rsidR="00435F73">
        <w:rPr>
          <w:rFonts w:cstheme="minorHAnsi"/>
          <w:sz w:val="22"/>
          <w:szCs w:val="22"/>
        </w:rPr>
        <w:t xml:space="preserve">the Spanish language is so closely associated with ‘civilised’ Peru and a higher social status (Rousseau and Dargent, 2019). Thus </w:t>
      </w:r>
      <w:r w:rsidR="00435F73" w:rsidRPr="00435F73">
        <w:rPr>
          <w:rFonts w:cstheme="minorHAnsi"/>
          <w:i/>
          <w:sz w:val="22"/>
          <w:szCs w:val="22"/>
        </w:rPr>
        <w:t xml:space="preserve">Cholo </w:t>
      </w:r>
      <w:r w:rsidR="00435F73">
        <w:rPr>
          <w:rFonts w:cstheme="minorHAnsi"/>
          <w:sz w:val="22"/>
          <w:szCs w:val="22"/>
        </w:rPr>
        <w:t xml:space="preserve">also become a slur for those </w:t>
      </w:r>
      <w:r w:rsidR="00A254B8" w:rsidRPr="00435F73">
        <w:rPr>
          <w:rFonts w:cstheme="minorHAnsi"/>
          <w:sz w:val="22"/>
          <w:szCs w:val="22"/>
        </w:rPr>
        <w:t>Quechua</w:t>
      </w:r>
      <w:r w:rsidR="00435F73">
        <w:rPr>
          <w:rFonts w:cstheme="minorHAnsi"/>
          <w:sz w:val="22"/>
          <w:szCs w:val="22"/>
        </w:rPr>
        <w:t>-speakers who have access to Spanish only as a second language, even when they become more or less fluent (Huayhua, 2019). As a result</w:t>
      </w:r>
      <w:r w:rsidRPr="004E053C">
        <w:rPr>
          <w:rFonts w:cstheme="minorHAnsi"/>
          <w:sz w:val="22"/>
          <w:szCs w:val="22"/>
        </w:rPr>
        <w:t>, the Andean world remains social and cultural distinct and disasso</w:t>
      </w:r>
      <w:r w:rsidR="000C1151" w:rsidRPr="004E053C">
        <w:rPr>
          <w:rFonts w:cstheme="minorHAnsi"/>
          <w:sz w:val="22"/>
          <w:szCs w:val="22"/>
        </w:rPr>
        <w:t xml:space="preserve">ciated from that of the </w:t>
      </w:r>
      <w:r w:rsidRPr="004E053C">
        <w:rPr>
          <w:rFonts w:cstheme="minorHAnsi"/>
          <w:sz w:val="22"/>
          <w:szCs w:val="22"/>
        </w:rPr>
        <w:t xml:space="preserve">coast, which is clearly reflected in political discourses </w:t>
      </w:r>
      <w:r w:rsidR="00BD2031" w:rsidRPr="004E053C">
        <w:rPr>
          <w:rFonts w:cstheme="minorHAnsi"/>
          <w:sz w:val="22"/>
          <w:szCs w:val="22"/>
        </w:rPr>
        <w:fldChar w:fldCharType="begin" w:fldLock="1"/>
      </w:r>
      <w:r w:rsidR="00134FB0" w:rsidRPr="004E053C">
        <w:rPr>
          <w:rFonts w:cstheme="minorHAnsi"/>
          <w:sz w:val="22"/>
          <w:szCs w:val="22"/>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1997)","manualFormatting":"(Ibid.)","plainTextFormattedCitation":"(Paerregaard, 1997)","previouslyFormattedCitation":"(Paerregaard, 1997)"},"properties":{"noteIndex":0},"schema":"https://github.com/citation-style-language/schema/raw/master/csl-citation.json"}</w:instrText>
      </w:r>
      <w:r w:rsidR="00BD2031" w:rsidRPr="004E053C">
        <w:rPr>
          <w:rFonts w:cstheme="minorHAnsi"/>
          <w:sz w:val="22"/>
          <w:szCs w:val="22"/>
        </w:rPr>
        <w:fldChar w:fldCharType="separate"/>
      </w:r>
      <w:r w:rsidR="00435F73">
        <w:rPr>
          <w:rFonts w:cstheme="minorHAnsi"/>
          <w:noProof/>
          <w:sz w:val="22"/>
          <w:szCs w:val="22"/>
        </w:rPr>
        <w:t>(Paerregaard, 1997</w:t>
      </w:r>
      <w:r w:rsidR="00BD2031" w:rsidRPr="004E053C">
        <w:rPr>
          <w:rFonts w:cstheme="minorHAnsi"/>
          <w:noProof/>
          <w:sz w:val="22"/>
          <w:szCs w:val="22"/>
        </w:rPr>
        <w:t>)</w:t>
      </w:r>
      <w:r w:rsidR="00BD2031" w:rsidRPr="004E053C">
        <w:rPr>
          <w:rFonts w:cstheme="minorHAnsi"/>
          <w:sz w:val="22"/>
          <w:szCs w:val="22"/>
        </w:rPr>
        <w:fldChar w:fldCharType="end"/>
      </w:r>
      <w:r w:rsidR="00BD2031" w:rsidRPr="004E053C">
        <w:rPr>
          <w:rFonts w:cstheme="minorHAnsi"/>
          <w:sz w:val="22"/>
          <w:szCs w:val="22"/>
        </w:rPr>
        <w:t xml:space="preserve">. </w:t>
      </w:r>
      <w:r w:rsidRPr="004E053C">
        <w:rPr>
          <w:rFonts w:cstheme="minorHAnsi"/>
          <w:sz w:val="22"/>
          <w:szCs w:val="22"/>
        </w:rPr>
        <w:t xml:space="preserve">However, while the </w:t>
      </w:r>
      <w:r w:rsidR="000C1151" w:rsidRPr="004E053C">
        <w:rPr>
          <w:rFonts w:cstheme="minorHAnsi"/>
          <w:i/>
          <w:sz w:val="22"/>
          <w:szCs w:val="22"/>
        </w:rPr>
        <w:t>C</w:t>
      </w:r>
      <w:r w:rsidRPr="004E053C">
        <w:rPr>
          <w:rFonts w:cstheme="minorHAnsi"/>
          <w:i/>
          <w:sz w:val="22"/>
          <w:szCs w:val="22"/>
        </w:rPr>
        <w:t>holos</w:t>
      </w:r>
      <w:r w:rsidRPr="004E053C">
        <w:rPr>
          <w:rFonts w:cstheme="minorHAnsi"/>
          <w:sz w:val="22"/>
          <w:szCs w:val="22"/>
        </w:rPr>
        <w:t xml:space="preserve"> may have attempted to integrate into life in the coastal area, they continue to be subjected to everyday forms of exclusion, particularly in the labour market </w:t>
      </w:r>
      <w:r w:rsidR="00134FB0" w:rsidRPr="004E053C">
        <w:rPr>
          <w:rFonts w:cstheme="minorHAnsi"/>
          <w:sz w:val="22"/>
          <w:szCs w:val="22"/>
        </w:rPr>
        <w:fldChar w:fldCharType="begin" w:fldLock="1"/>
      </w:r>
      <w:r w:rsidR="00134FB0" w:rsidRPr="004E053C">
        <w:rPr>
          <w:rFonts w:cstheme="minorHAnsi"/>
          <w:sz w:val="22"/>
          <w:szCs w:val="22"/>
        </w:rPr>
        <w:instrText>ADDIN CSL_CITATION {"citationItems":[{"id":"ITEM-1","itemData":{"author":[{"dropping-particle":"","family":"Figueroa","given":"A","non-dropping-particle":"","parse-names":false,"suffix":""}],"id":"ITEM-1","issued":{"date-parts":[["2008"]]},"title":"Education, Labour Markets and Inequality in Peru","type":"report"},"uris":["http://www.mendeley.com/documents/?uuid=9f4f67a7-74f3-459a-ab52-c12c6464be2c"]},{"id":"ITEM-2","itemData":{"author":[{"dropping-particle":"","family":"Galarza","given":"F","non-dropping-particle":"","parse-names":false,"suffix":""},{"dropping-particle":"","family":"Kogan","given":"L","non-dropping-particle":"","parse-names":false,"suffix":""},{"dropping-particle":"","family":"Tamada","given":"G","non-dropping-particle":"","parse-names":false,"suffix":""}],"id":"ITEM-2","issued":{"date-parts":[["2011"]]},"title":"¿Existe discriminacion en el mercado laboral de Lima Metropolitana? Un analisis experimental","type":"report"},"uris":["http://www.mendeley.com/documents/?uuid=c30b3e90-eecb-422e-aa34-bbdfd05ec150"]},{"id":"ITEM-3","itemData":{"author":[{"dropping-particle":"","family":"Kogan","given":"L.","non-dropping-particle":"","parse-names":false,"suffix":""},{"dropping-particle":"","family":"Fuchs","given":"R.M.","non-dropping-particle":"","parse-names":false,"suffix":""},{"dropping-particle":"","family":"Lay","given":"P.","non-dropping-particle":"","parse-names":false,"suffix":""}],"id":"ITEM-3","issued":{"date-parts":[["2011"]]},"title":"Sistemas abiertos y/o encubiertos de discriminacion en el entorno laboral de pequenas, grandes y medianas empresas en Lima Metropolitana","type":"report"},"uris":["http://www.mendeley.com/documents/?uuid=4feb41a5-9be3-4e44-97c5-884f150c3592"]}],"mendeley":{"formattedCitation":"(Figueroa, 2008; F. Galarza, Kogan, &amp; Tamada, 2011; Kogan, Fuchs, &amp; Lay, 2011)","manualFormatting":"(Figueroa, 2008; Galarza, Kogan, &amp; Tamada, 2011; Kogan, Fuchs, &amp; Lay, 2011)","plainTextFormattedCitation":"(Figueroa, 2008; F. Galarza, Kogan, &amp; Tamada, 2011; Kogan, Fuchs, &amp; Lay, 2011)","previouslyFormattedCitation":"(Figueroa, 2008; F. Galarza, Kogan, &amp; Tamada, 2011; Kogan, Fuchs, &amp; Lay, 2011)"},"properties":{"noteIndex":0},"schema":"https://github.com/citation-style-language/schema/raw/master/csl-citation.json"}</w:instrText>
      </w:r>
      <w:r w:rsidR="00134FB0" w:rsidRPr="004E053C">
        <w:rPr>
          <w:rFonts w:cstheme="minorHAnsi"/>
          <w:sz w:val="22"/>
          <w:szCs w:val="22"/>
        </w:rPr>
        <w:fldChar w:fldCharType="separate"/>
      </w:r>
      <w:r w:rsidR="00134FB0" w:rsidRPr="004E053C">
        <w:rPr>
          <w:rFonts w:cstheme="minorHAnsi"/>
          <w:noProof/>
          <w:sz w:val="22"/>
          <w:szCs w:val="22"/>
        </w:rPr>
        <w:t>(Figueroa, 2008; Galarza, Kogan, &amp; Tamada, 2011; Kogan, Fuchs, &amp; Lay, 2011)</w:t>
      </w:r>
      <w:r w:rsidR="00134FB0" w:rsidRPr="004E053C">
        <w:rPr>
          <w:rFonts w:cstheme="minorHAnsi"/>
          <w:sz w:val="22"/>
          <w:szCs w:val="22"/>
        </w:rPr>
        <w:fldChar w:fldCharType="end"/>
      </w:r>
      <w:r w:rsidR="00134FB0" w:rsidRPr="004E053C">
        <w:rPr>
          <w:rFonts w:cstheme="minorHAnsi"/>
          <w:sz w:val="22"/>
          <w:szCs w:val="22"/>
        </w:rPr>
        <w:t>.</w:t>
      </w:r>
      <w:r w:rsidRPr="004E053C">
        <w:rPr>
          <w:rFonts w:cstheme="minorHAnsi"/>
          <w:sz w:val="22"/>
          <w:szCs w:val="22"/>
        </w:rPr>
        <w:t xml:space="preserve"> Furthermore, the entrepreneurial class was predominantly made up of Creole and European immigrant families based on the Coast and not in</w:t>
      </w:r>
      <w:r w:rsidR="00973554" w:rsidRPr="004E053C">
        <w:rPr>
          <w:rFonts w:cstheme="minorHAnsi"/>
          <w:sz w:val="22"/>
          <w:szCs w:val="22"/>
        </w:rPr>
        <w:t xml:space="preserve">digenous people </w:t>
      </w:r>
      <w:r w:rsidR="00973554" w:rsidRPr="004E053C">
        <w:rPr>
          <w:rFonts w:cstheme="minorHAnsi"/>
          <w:sz w:val="22"/>
          <w:szCs w:val="22"/>
        </w:rPr>
        <w:fldChar w:fldCharType="begin" w:fldLock="1"/>
      </w:r>
      <w:r w:rsidR="00C45572"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973554" w:rsidRPr="004E053C">
        <w:rPr>
          <w:rFonts w:cstheme="minorHAnsi"/>
          <w:sz w:val="22"/>
          <w:szCs w:val="22"/>
        </w:rPr>
        <w:fldChar w:fldCharType="separate"/>
      </w:r>
      <w:r w:rsidR="00973554" w:rsidRPr="004E053C">
        <w:rPr>
          <w:rFonts w:cstheme="minorHAnsi"/>
          <w:noProof/>
          <w:sz w:val="22"/>
          <w:szCs w:val="22"/>
        </w:rPr>
        <w:t>(Orihuela, 2012)</w:t>
      </w:r>
      <w:r w:rsidR="00973554" w:rsidRPr="004E053C">
        <w:rPr>
          <w:rFonts w:cstheme="minorHAnsi"/>
          <w:sz w:val="22"/>
          <w:szCs w:val="22"/>
        </w:rPr>
        <w:fldChar w:fldCharType="end"/>
      </w:r>
      <w:r w:rsidRPr="004E053C">
        <w:rPr>
          <w:rFonts w:cstheme="minorHAnsi"/>
          <w:sz w:val="22"/>
          <w:szCs w:val="22"/>
        </w:rPr>
        <w:t xml:space="preserve">. However, </w:t>
      </w:r>
      <w:r w:rsidRPr="004E053C">
        <w:rPr>
          <w:rFonts w:eastAsia="Times New Roman" w:cstheme="minorHAnsi"/>
          <w:sz w:val="22"/>
          <w:szCs w:val="22"/>
        </w:rPr>
        <w:t xml:space="preserve">some descendants of earlier Andean arrivals have risen to membership in the nation’s political and economic elite </w:t>
      </w:r>
      <w:r w:rsidR="00134FB0" w:rsidRPr="004E053C">
        <w:rPr>
          <w:rFonts w:eastAsia="Times New Roman" w:cstheme="minorHAnsi"/>
          <w:sz w:val="22"/>
          <w:szCs w:val="22"/>
        </w:rPr>
        <w:fldChar w:fldCharType="begin" w:fldLock="1"/>
      </w:r>
      <w:r w:rsidR="007A757C" w:rsidRPr="004E053C">
        <w:rPr>
          <w:rFonts w:eastAsia="Times New Roman" w:cstheme="minorHAnsi"/>
          <w:sz w:val="22"/>
          <w:szCs w:val="22"/>
        </w:rPr>
        <w:instrText>ADDIN CSL_CITATION {"citationItems":[{"id":"ITEM-1","itemData":{"author":[{"dropping-particle":"","family":"Becker","given":"David G.","non-dropping-particle":"","parse-names":false,"suffix":""}],"id":"ITEM-1","issued":{"date-parts":[["1983"]]},"number-of-pages":"419","publisher":"Princeton University Press","publisher-place":"Princeton, NJ","title":"The New Bourgeoisie and the Limits of Dependency: Mining, Class and Power in 'Revolutionary' Peru","type":"book"},"uris":["http://www.mendeley.com/documents/?uuid=13c0adb1-662f-4977-bb07-3645e008f35c"]}],"mendeley":{"formattedCitation":"(D. G. Becker, 1983)","manualFormatting":"(Becker, 1983)","plainTextFormattedCitation":"(D. G. Becker, 1983)","previouslyFormattedCitation":"(D. G. Becker, 1983)"},"properties":{"noteIndex":0},"schema":"https://github.com/citation-style-language/schema/raw/master/csl-citation.json"}</w:instrText>
      </w:r>
      <w:r w:rsidR="00134FB0" w:rsidRPr="004E053C">
        <w:rPr>
          <w:rFonts w:eastAsia="Times New Roman" w:cstheme="minorHAnsi"/>
          <w:sz w:val="22"/>
          <w:szCs w:val="22"/>
        </w:rPr>
        <w:fldChar w:fldCharType="separate"/>
      </w:r>
      <w:r w:rsidR="00134FB0" w:rsidRPr="004E053C">
        <w:rPr>
          <w:rFonts w:eastAsia="Times New Roman" w:cstheme="minorHAnsi"/>
          <w:noProof/>
          <w:sz w:val="22"/>
          <w:szCs w:val="22"/>
        </w:rPr>
        <w:t>(Becker, 1983)</w:t>
      </w:r>
      <w:r w:rsidR="00134FB0" w:rsidRPr="004E053C">
        <w:rPr>
          <w:rFonts w:eastAsia="Times New Roman" w:cstheme="minorHAnsi"/>
          <w:sz w:val="22"/>
          <w:szCs w:val="22"/>
        </w:rPr>
        <w:fldChar w:fldCharType="end"/>
      </w:r>
      <w:r w:rsidRPr="004E053C">
        <w:rPr>
          <w:rFonts w:eastAsia="Times New Roman" w:cstheme="minorHAnsi"/>
          <w:sz w:val="22"/>
          <w:szCs w:val="22"/>
        </w:rPr>
        <w:t xml:space="preserve">. </w:t>
      </w:r>
    </w:p>
    <w:p w14:paraId="273213F1" w14:textId="77777777" w:rsidR="00375961" w:rsidRPr="004E053C" w:rsidRDefault="00375961" w:rsidP="004E053C">
      <w:pPr>
        <w:spacing w:line="360" w:lineRule="auto"/>
        <w:jc w:val="both"/>
        <w:rPr>
          <w:rFonts w:cstheme="minorHAnsi"/>
          <w:u w:val="single"/>
        </w:rPr>
      </w:pPr>
    </w:p>
    <w:p w14:paraId="4733D267" w14:textId="3F4045A9" w:rsidR="00375961" w:rsidRPr="004E053C" w:rsidRDefault="00502226" w:rsidP="004E053C">
      <w:pPr>
        <w:pStyle w:val="Heading3"/>
        <w:rPr>
          <w:rFonts w:asciiTheme="minorHAnsi" w:hAnsiTheme="minorHAnsi"/>
        </w:rPr>
      </w:pPr>
      <w:r w:rsidRPr="004E053C">
        <w:rPr>
          <w:rFonts w:asciiTheme="minorHAnsi" w:hAnsiTheme="minorHAnsi"/>
        </w:rPr>
        <w:t>3.</w:t>
      </w:r>
      <w:r w:rsidR="00375961" w:rsidRPr="004E053C">
        <w:rPr>
          <w:rFonts w:asciiTheme="minorHAnsi" w:hAnsiTheme="minorHAnsi"/>
        </w:rPr>
        <w:t xml:space="preserve">3.3. Labour migrations </w:t>
      </w:r>
    </w:p>
    <w:p w14:paraId="2A1B88B2" w14:textId="77777777" w:rsidR="00375961" w:rsidRPr="004E053C" w:rsidRDefault="00375961" w:rsidP="004E053C">
      <w:pPr>
        <w:spacing w:line="360" w:lineRule="auto"/>
        <w:jc w:val="both"/>
        <w:rPr>
          <w:rFonts w:cstheme="minorHAnsi"/>
          <w:b/>
          <w:sz w:val="22"/>
          <w:szCs w:val="22"/>
        </w:rPr>
      </w:pPr>
    </w:p>
    <w:p w14:paraId="7D57CEE1" w14:textId="543ACBC3" w:rsidR="00375961" w:rsidRPr="004E053C" w:rsidRDefault="000C1151" w:rsidP="004E053C">
      <w:pPr>
        <w:spacing w:line="360" w:lineRule="auto"/>
        <w:jc w:val="both"/>
        <w:rPr>
          <w:rFonts w:cstheme="minorHAnsi"/>
          <w:sz w:val="22"/>
          <w:szCs w:val="22"/>
        </w:rPr>
      </w:pPr>
      <w:r w:rsidRPr="004E053C">
        <w:rPr>
          <w:rFonts w:cstheme="minorHAnsi"/>
          <w:sz w:val="22"/>
          <w:szCs w:val="22"/>
        </w:rPr>
        <w:t xml:space="preserve">Migration in Peru can </w:t>
      </w:r>
      <w:r w:rsidR="00375961" w:rsidRPr="004E053C">
        <w:rPr>
          <w:rFonts w:cstheme="minorHAnsi"/>
          <w:sz w:val="22"/>
          <w:szCs w:val="22"/>
        </w:rPr>
        <w:t>be seen as ‘institutionalised’ and has created new community dynamics through the movement of people to new areas</w:t>
      </w:r>
      <w:r w:rsidR="00A6715C" w:rsidRPr="004E053C">
        <w:rPr>
          <w:rFonts w:cstheme="minorHAnsi"/>
          <w:sz w:val="22"/>
          <w:szCs w:val="22"/>
        </w:rPr>
        <w:t xml:space="preserve"> </w:t>
      </w:r>
      <w:r w:rsidR="00375961" w:rsidRPr="004E053C">
        <w:rPr>
          <w:rFonts w:cstheme="minorHAnsi"/>
          <w:sz w:val="22"/>
          <w:szCs w:val="22"/>
        </w:rPr>
        <w:fldChar w:fldCharType="begin" w:fldLock="1"/>
      </w:r>
      <w:r w:rsidR="00A6715C" w:rsidRPr="004E053C">
        <w:rPr>
          <w:rFonts w:cstheme="minorHAnsi"/>
          <w:sz w:val="22"/>
          <w:szCs w:val="22"/>
        </w:rPr>
        <w:instrText>ADDIN CSL_CITATION {"citationItems":[{"id":"ITEM-1","itemData":{"author":[{"dropping-particle":"","family":"Smith","given":"Gavin","non-dropping-particle":"","parse-names":false,"suffix":""}],"id":"ITEM-1","issued":{"date-parts":[["1989"]]},"number-of-pages":"279","publisher":"University of California Press","publisher-place":"Oxford","title":"Livelihood and Resistance: Peasants and the Politics of Land in Peru","type":"book"},"uris":["http://www.mendeley.com/documents/?uuid=182fe83b-45d3-3a46-80df-4e21dbaf597c"]}],"mendeley":{"formattedCitation":"(G. Smith, 1989)","manualFormatting":"(Smith, 1989)","plainTextFormattedCitation":"(G. Smith, 1989)","previouslyFormattedCitation":"(G. Smith, 1989)"},"properties":{"noteIndex":0},"schema":"https://github.com/citation-style-language/schema/raw/master/csl-citation.json"}</w:instrText>
      </w:r>
      <w:r w:rsidR="00375961" w:rsidRPr="004E053C">
        <w:rPr>
          <w:rFonts w:cstheme="minorHAnsi"/>
          <w:sz w:val="22"/>
          <w:szCs w:val="22"/>
        </w:rPr>
        <w:fldChar w:fldCharType="separate"/>
      </w:r>
      <w:r w:rsidR="00A6715C" w:rsidRPr="004E053C">
        <w:rPr>
          <w:rFonts w:cstheme="minorHAnsi"/>
          <w:noProof/>
          <w:sz w:val="22"/>
          <w:szCs w:val="22"/>
        </w:rPr>
        <w:t>(S</w:t>
      </w:r>
      <w:r w:rsidR="00134FB0" w:rsidRPr="004E053C">
        <w:rPr>
          <w:rFonts w:cstheme="minorHAnsi"/>
          <w:noProof/>
          <w:sz w:val="22"/>
          <w:szCs w:val="22"/>
        </w:rPr>
        <w:t>mith, 1989)</w:t>
      </w:r>
      <w:r w:rsidR="00375961" w:rsidRPr="004E053C">
        <w:rPr>
          <w:rFonts w:cstheme="minorHAnsi"/>
          <w:sz w:val="22"/>
          <w:szCs w:val="22"/>
        </w:rPr>
        <w:fldChar w:fldCharType="end"/>
      </w:r>
      <w:r w:rsidR="00375961" w:rsidRPr="004E053C">
        <w:rPr>
          <w:rFonts w:cstheme="minorHAnsi"/>
          <w:sz w:val="22"/>
          <w:szCs w:val="22"/>
        </w:rPr>
        <w:t xml:space="preserve">. Livelihood diversification and seasonal migration has historically been crucial for Andean households </w:t>
      </w:r>
      <w:r w:rsidR="00134FB0" w:rsidRPr="004E053C">
        <w:rPr>
          <w:rFonts w:cstheme="minorHAnsi"/>
          <w:sz w:val="22"/>
          <w:szCs w:val="22"/>
        </w:rPr>
        <w:fldChar w:fldCharType="begin" w:fldLock="1"/>
      </w:r>
      <w:r w:rsidR="00134FB0" w:rsidRPr="004E053C">
        <w:rPr>
          <w:rFonts w:cstheme="minorHAnsi"/>
          <w:sz w:val="22"/>
          <w:szCs w:val="22"/>
        </w:rPr>
        <w:instrText>ADDIN CSL_CITATION {"citationItems":[{"id":"ITEM-1","itemData":{"author":[{"dropping-particle":"","family":"Smith","given":"Gavin","non-dropping-particle":"","parse-names":false,"suffix":""}],"id":"ITEM-1","issued":{"date-parts":[["1989"]]},"number-of-pages":"279","publisher":"University of California Press","publisher-place":"Oxford","title":"Livelihood and Resistance: Peasants and the Politics of Land in Peru","type":"book"},"uris":["http://www.mendeley.com/documents/?uuid=182fe83b-45d3-3a46-80df-4e21dbaf597c"]},{"id":"ITEM-2","itemData":{"author":[{"dropping-particle":"","family":"Sørensen","given":"N","non-dropping-particle":"","parse-names":false,"suffix":""}],"container-title":"Work and Migration: Life and Livelihoods in a Globalizing World","editor":[{"dropping-particle":"","family":"Olwig","given":"K.F","non-dropping-particle":"","parse-names":false,"suffix":""},{"dropping-particle":"","family":"Sorensen","given":"N.N","non-dropping-particle":"","parse-names":false,"suffix":""}],"id":"ITEM-2","issued":{"date-parts":[["2002"]]},"page":"23-44","publisher":"Routledge","publisher-place":"London, UK","title":"Representing the local: mobile livelihood practices in the Peruvian Central Sierra","type":"chapter"},"uris":["http://www.mendeley.com/documents/?uuid=da5c8a60-7323-4b01-846e-4af88ae79834"]}],"mendeley":{"formattedCitation":"(G. Smith, 1989; Sørensen, 2002)","manualFormatting":"(Smith, 1989; Sørensen, 2002)","plainTextFormattedCitation":"(G. Smith, 1989; Sørensen, 2002)","previouslyFormattedCitation":"(G. Smith, 1989; Sørensen, 2002)"},"properties":{"noteIndex":0},"schema":"https://github.com/citation-style-language/schema/raw/master/csl-citation.json"}</w:instrText>
      </w:r>
      <w:r w:rsidR="00134FB0" w:rsidRPr="004E053C">
        <w:rPr>
          <w:rFonts w:cstheme="minorHAnsi"/>
          <w:sz w:val="22"/>
          <w:szCs w:val="22"/>
        </w:rPr>
        <w:fldChar w:fldCharType="separate"/>
      </w:r>
      <w:r w:rsidR="00134FB0" w:rsidRPr="004E053C">
        <w:rPr>
          <w:rFonts w:cstheme="minorHAnsi"/>
          <w:noProof/>
          <w:sz w:val="22"/>
          <w:szCs w:val="22"/>
        </w:rPr>
        <w:t>(Smith, 1989; Sørensen, 2002)</w:t>
      </w:r>
      <w:r w:rsidR="00134FB0" w:rsidRPr="004E053C">
        <w:rPr>
          <w:rFonts w:cstheme="minorHAnsi"/>
          <w:sz w:val="22"/>
          <w:szCs w:val="22"/>
        </w:rPr>
        <w:fldChar w:fldCharType="end"/>
      </w:r>
      <w:r w:rsidR="00375961" w:rsidRPr="004E053C">
        <w:rPr>
          <w:rFonts w:cstheme="minorHAnsi"/>
          <w:sz w:val="22"/>
          <w:szCs w:val="22"/>
        </w:rPr>
        <w:t>, and became particularly attractive options after the SAPs and decades of neoliberal policy further undermined rural livelihoods</w:t>
      </w:r>
      <w:r w:rsidR="00A6715C" w:rsidRPr="004E053C">
        <w:rPr>
          <w:rFonts w:cstheme="minorHAnsi"/>
          <w:sz w:val="22"/>
          <w:szCs w:val="22"/>
        </w:rPr>
        <w:t xml:space="preserve"> </w:t>
      </w:r>
      <w:r w:rsidR="00375961" w:rsidRPr="004E053C">
        <w:rPr>
          <w:rFonts w:cstheme="minorHAnsi"/>
          <w:sz w:val="22"/>
          <w:szCs w:val="22"/>
        </w:rPr>
        <w:fldChar w:fldCharType="begin" w:fldLock="1"/>
      </w:r>
      <w:r w:rsidR="00680892" w:rsidRPr="004E053C">
        <w:rPr>
          <w:rFonts w:cstheme="minorHAnsi"/>
          <w:sz w:val="22"/>
          <w:szCs w:val="22"/>
        </w:rPr>
        <w:instrText>ADDIN CSL_CITATION {"citationItems":[{"id":"ITEM-1","itemData":{"abstract":"The inequality and structures of domination in Peru influences people from different class, regional, and ethnic backgrounds to migrate both internally and internationally that has significant adverse impact on their relations. Peruvians migrate to a wider range of countries and regions due to several factors such as the economic crisis, political instability, and structural adjustments. The racial and cultural mixture created due to the immigration to Peru produced the diversity of emigrant population. Peruvian emigrants come from both rural and urban areas and Peruvian migrants from rural backgrounds tend to migrate first to urban areas in Peru and then to other countries. Peru has one of the highest rates of out-migration in Latin America and in response to this the Peruvian state has taken steps to include Peruvians abroad in a new imagined Peruvian nation spanning geographical borders.","author":[{"dropping-particle":"","family":"Takenaka","given":"Ayumi","non-dropping-particle":"","parse-names":false,"suffix":""},{"dropping-particle":"","family":"Paerregaard","given":"Karsten","non-dropping-particle":"","parse-names":false,"suffix":""},{"dropping-particle":"","family":"Berg","given":"Ulla","non-dropping-particle":"","parse-names":false,"suffix":""}],"container-title":"Latin American Perspectives","id":"ITEM-1","issue":"5","issued":{"date-parts":[["2010"]]},"page":"3-11","title":"Peruvian migration in a global context","type":"article-journal","volume":"37"},"uris":["http://www.mendeley.com/documents/?uuid=27b837c4-cda6-407f-b5fe-6cea4473aa5e"]},{"id":"ITEM-2","itemData":{"author":[{"dropping-particle":"","family":"Takenaka","given":"Ayumi","non-dropping-particle":"","parse-names":false,"suffix":""},{"dropping-particle":"","family":"Pren","given":"Karen A","non-dropping-particle":"","parse-names":false,"suffix":""}],"container-title":"Latin American Perspectives","id":"ITEM-2","issue":"5","issued":{"date-parts":[["2010"]]},"page":"29-49","title":"Leaving to get ahead: assessing the relationship between mobility and inequality in Peru","type":"article-journal","volume":"37"},"uris":["http://www.mendeley.com/documents/?uuid=507192d7-72a9-4ed4-840b-0bfe0aab6da0","http://www.mendeley.com/documents/?uuid=9bb469cc-f113-40c0-ac35-d283e57088af"]}],"mendeley":{"formattedCitation":"(Takenaka et al., 2010; Takenaka &amp; Pren, 2010)","plainTextFormattedCitation":"(Takenaka et al., 2010; Takenaka &amp; Pren, 2010)","previouslyFormattedCitation":"(Takenaka et al., 2010; Takenaka &amp; Pren, 2010)"},"properties":{"noteIndex":0},"schema":"https://github.com/citation-style-language/schema/raw/master/csl-citation.json"}</w:instrText>
      </w:r>
      <w:r w:rsidR="00375961" w:rsidRPr="004E053C">
        <w:rPr>
          <w:rFonts w:cstheme="minorHAnsi"/>
          <w:sz w:val="22"/>
          <w:szCs w:val="22"/>
        </w:rPr>
        <w:fldChar w:fldCharType="separate"/>
      </w:r>
      <w:r w:rsidR="00375961" w:rsidRPr="004E053C">
        <w:rPr>
          <w:rFonts w:cstheme="minorHAnsi"/>
          <w:noProof/>
          <w:sz w:val="22"/>
          <w:szCs w:val="22"/>
        </w:rPr>
        <w:t>(Takenaka et al., 2010; Takenaka &amp; Pren, 2010)</w:t>
      </w:r>
      <w:r w:rsidR="00375961" w:rsidRPr="004E053C">
        <w:rPr>
          <w:rFonts w:cstheme="minorHAnsi"/>
          <w:sz w:val="22"/>
          <w:szCs w:val="22"/>
        </w:rPr>
        <w:fldChar w:fldCharType="end"/>
      </w:r>
      <w:r w:rsidR="00375961" w:rsidRPr="004E053C">
        <w:rPr>
          <w:rFonts w:cstheme="minorHAnsi"/>
          <w:sz w:val="22"/>
          <w:szCs w:val="22"/>
        </w:rPr>
        <w:t xml:space="preserve">. The history of migration in Peru has been well documented by writer such as Smith </w:t>
      </w:r>
      <w:r w:rsidR="00A6715C" w:rsidRPr="004E053C">
        <w:rPr>
          <w:rFonts w:cstheme="minorHAnsi"/>
          <w:sz w:val="22"/>
          <w:szCs w:val="22"/>
        </w:rPr>
        <w:fldChar w:fldCharType="begin" w:fldLock="1"/>
      </w:r>
      <w:r w:rsidR="00A6715C" w:rsidRPr="004E053C">
        <w:rPr>
          <w:rFonts w:cstheme="minorHAnsi"/>
          <w:sz w:val="22"/>
          <w:szCs w:val="22"/>
        </w:rPr>
        <w:instrText>ADDIN CSL_CITATION {"citationItems":[{"id":"ITEM-1","itemData":{"author":[{"dropping-particle":"","family":"Smith","given":"Gavin","non-dropping-particle":"","parse-names":false,"suffix":""}],"id":"ITEM-1","issued":{"date-parts":[["1989"]]},"number-of-pages":"279","publisher":"University of California Press","publisher-place":"Oxford","title":"Livelihood and Resistance: Peasants and the Politics of Land in Peru","type":"book"},"uris":["http://www.mendeley.com/documents/?uuid=182fe83b-45d3-3a46-80df-4e21dbaf597c"]}],"mendeley":{"formattedCitation":"(G. Smith, 1989)","manualFormatting":"(1989)","plainTextFormattedCitation":"(G. Smith, 1989)","previouslyFormattedCitation":"(G. Smith, 1989)"},"properties":{"noteIndex":0},"schema":"https://github.com/citation-style-language/schema/raw/master/csl-citation.json"}</w:instrText>
      </w:r>
      <w:r w:rsidR="00A6715C" w:rsidRPr="004E053C">
        <w:rPr>
          <w:rFonts w:cstheme="minorHAnsi"/>
          <w:sz w:val="22"/>
          <w:szCs w:val="22"/>
        </w:rPr>
        <w:fldChar w:fldCharType="separate"/>
      </w:r>
      <w:r w:rsidR="00A6715C" w:rsidRPr="004E053C">
        <w:rPr>
          <w:rFonts w:cstheme="minorHAnsi"/>
          <w:noProof/>
          <w:sz w:val="22"/>
          <w:szCs w:val="22"/>
        </w:rPr>
        <w:t>(1989)</w:t>
      </w:r>
      <w:r w:rsidR="00A6715C" w:rsidRPr="004E053C">
        <w:rPr>
          <w:rFonts w:cstheme="minorHAnsi"/>
          <w:sz w:val="22"/>
          <w:szCs w:val="22"/>
        </w:rPr>
        <w:fldChar w:fldCharType="end"/>
      </w:r>
      <w:r w:rsidR="00A6715C" w:rsidRPr="004E053C">
        <w:rPr>
          <w:rFonts w:cstheme="minorHAnsi"/>
          <w:sz w:val="22"/>
          <w:szCs w:val="22"/>
        </w:rPr>
        <w:t xml:space="preserve"> and Long and Roberts </w:t>
      </w:r>
      <w:r w:rsidR="00A6715C" w:rsidRPr="004E053C">
        <w:rPr>
          <w:rFonts w:cstheme="minorHAnsi"/>
          <w:sz w:val="22"/>
          <w:szCs w:val="22"/>
        </w:rPr>
        <w:fldChar w:fldCharType="begin" w:fldLock="1"/>
      </w:r>
      <w:r w:rsidR="00A6715C" w:rsidRPr="004E053C">
        <w:rPr>
          <w:rFonts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1984)","manualFormatting":"(1984)","plainTextFormattedCitation":"(Norman Long &amp; Roberts, 1984)","previouslyFormattedCitation":"(Norman Long &amp; Roberts, 1984)"},"properties":{"noteIndex":0},"schema":"https://github.com/citation-style-language/schema/raw/master/csl-citation.json"}</w:instrText>
      </w:r>
      <w:r w:rsidR="00A6715C" w:rsidRPr="004E053C">
        <w:rPr>
          <w:rFonts w:cstheme="minorHAnsi"/>
          <w:sz w:val="22"/>
          <w:szCs w:val="22"/>
        </w:rPr>
        <w:fldChar w:fldCharType="separate"/>
      </w:r>
      <w:r w:rsidR="00A6715C" w:rsidRPr="004E053C">
        <w:rPr>
          <w:rFonts w:cstheme="minorHAnsi"/>
          <w:noProof/>
          <w:sz w:val="22"/>
          <w:szCs w:val="22"/>
        </w:rPr>
        <w:t>(1984)</w:t>
      </w:r>
      <w:r w:rsidR="00A6715C" w:rsidRPr="004E053C">
        <w:rPr>
          <w:rFonts w:cstheme="minorHAnsi"/>
          <w:sz w:val="22"/>
          <w:szCs w:val="22"/>
        </w:rPr>
        <w:fldChar w:fldCharType="end"/>
      </w:r>
      <w:r w:rsidR="00375961" w:rsidRPr="004E053C">
        <w:rPr>
          <w:rFonts w:cstheme="minorHAnsi"/>
          <w:sz w:val="22"/>
          <w:szCs w:val="22"/>
        </w:rPr>
        <w:t xml:space="preserve">. Smith’s </w:t>
      </w:r>
      <w:r w:rsidR="00A6715C" w:rsidRPr="004E053C">
        <w:rPr>
          <w:rFonts w:cstheme="minorHAnsi"/>
          <w:sz w:val="22"/>
          <w:szCs w:val="22"/>
        </w:rPr>
        <w:fldChar w:fldCharType="begin" w:fldLock="1"/>
      </w:r>
      <w:r w:rsidR="00A6715C" w:rsidRPr="004E053C">
        <w:rPr>
          <w:rFonts w:cstheme="minorHAnsi"/>
          <w:sz w:val="22"/>
          <w:szCs w:val="22"/>
        </w:rPr>
        <w:instrText>ADDIN CSL_CITATION {"citationItems":[{"id":"ITEM-1","itemData":{"author":[{"dropping-particle":"","family":"Smith","given":"Gavin","non-dropping-particle":"","parse-names":false,"suffix":""}],"id":"ITEM-1","issued":{"date-parts":[["1989"]]},"number-of-pages":"279","publisher":"University of California Press","publisher-place":"Oxford","title":"Livelihood and Resistance: Peasants and the Politics of Land in Peru","type":"book"},"uris":["http://www.mendeley.com/documents/?uuid=182fe83b-45d3-3a46-80df-4e21dbaf597c"]}],"mendeley":{"formattedCitation":"(G. Smith, 1989)","manualFormatting":"(1989)","plainTextFormattedCitation":"(G. Smith, 1989)","previouslyFormattedCitation":"(G. Smith, 1989)"},"properties":{"noteIndex":0},"schema":"https://github.com/citation-style-language/schema/raw/master/csl-citation.json"}</w:instrText>
      </w:r>
      <w:r w:rsidR="00A6715C" w:rsidRPr="004E053C">
        <w:rPr>
          <w:rFonts w:cstheme="minorHAnsi"/>
          <w:sz w:val="22"/>
          <w:szCs w:val="22"/>
        </w:rPr>
        <w:fldChar w:fldCharType="separate"/>
      </w:r>
      <w:r w:rsidR="00A6715C" w:rsidRPr="004E053C">
        <w:rPr>
          <w:rFonts w:cstheme="minorHAnsi"/>
          <w:noProof/>
          <w:sz w:val="22"/>
          <w:szCs w:val="22"/>
        </w:rPr>
        <w:t>(1989)</w:t>
      </w:r>
      <w:r w:rsidR="00A6715C" w:rsidRPr="004E053C">
        <w:rPr>
          <w:rFonts w:cstheme="minorHAnsi"/>
          <w:sz w:val="22"/>
          <w:szCs w:val="22"/>
        </w:rPr>
        <w:fldChar w:fldCharType="end"/>
      </w:r>
      <w:r w:rsidR="00A6715C" w:rsidRPr="004E053C">
        <w:rPr>
          <w:rFonts w:cstheme="minorHAnsi"/>
          <w:sz w:val="22"/>
          <w:szCs w:val="22"/>
        </w:rPr>
        <w:t xml:space="preserve"> </w:t>
      </w:r>
      <w:r w:rsidR="00375961" w:rsidRPr="004E053C">
        <w:rPr>
          <w:rFonts w:cstheme="minorHAnsi"/>
          <w:sz w:val="22"/>
          <w:szCs w:val="22"/>
        </w:rPr>
        <w:t xml:space="preserve">description of Andean migrants making a living for themselves in the slums and shantytowns of Lima by selling fruit on a permanent basis highlights the poverty-driven nature of such endeavours. Whereas the Andean migrants who went to Lima in the first half of the twentieth century were often well educated </w:t>
      </w:r>
      <w:r w:rsidR="00A6715C" w:rsidRPr="004E053C">
        <w:rPr>
          <w:rFonts w:cstheme="minorHAnsi"/>
          <w:sz w:val="22"/>
          <w:szCs w:val="22"/>
        </w:rPr>
        <w:fldChar w:fldCharType="begin" w:fldLock="1"/>
      </w:r>
      <w:r w:rsidR="00A6715C" w:rsidRPr="004E053C">
        <w:rPr>
          <w:rFonts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1984)","manualFormatting":"(Long &amp; Roberts, 1984)","plainTextFormattedCitation":"(Norman Long &amp; Roberts, 1984)","previouslyFormattedCitation":"(Norman Long &amp; Roberts, 1984)"},"properties":{"noteIndex":0},"schema":"https://github.com/citation-style-language/schema/raw/master/csl-citation.json"}</w:instrText>
      </w:r>
      <w:r w:rsidR="00A6715C" w:rsidRPr="004E053C">
        <w:rPr>
          <w:rFonts w:cstheme="minorHAnsi"/>
          <w:sz w:val="22"/>
          <w:szCs w:val="22"/>
        </w:rPr>
        <w:fldChar w:fldCharType="separate"/>
      </w:r>
      <w:r w:rsidR="00A6715C" w:rsidRPr="004E053C">
        <w:rPr>
          <w:rFonts w:cstheme="minorHAnsi"/>
          <w:noProof/>
          <w:sz w:val="22"/>
          <w:szCs w:val="22"/>
        </w:rPr>
        <w:t>(Long &amp; Roberts, 1984)</w:t>
      </w:r>
      <w:r w:rsidR="00A6715C" w:rsidRPr="004E053C">
        <w:rPr>
          <w:rFonts w:cstheme="minorHAnsi"/>
          <w:sz w:val="22"/>
          <w:szCs w:val="22"/>
        </w:rPr>
        <w:fldChar w:fldCharType="end"/>
      </w:r>
      <w:r w:rsidR="00375961" w:rsidRPr="004E053C">
        <w:rPr>
          <w:rFonts w:cstheme="minorHAnsi"/>
          <w:sz w:val="22"/>
          <w:szCs w:val="22"/>
        </w:rPr>
        <w:t xml:space="preserve">, a second wave of migrants in </w:t>
      </w:r>
      <w:r w:rsidR="00375961" w:rsidRPr="004E053C">
        <w:rPr>
          <w:rFonts w:cstheme="minorHAnsi"/>
          <w:sz w:val="22"/>
          <w:szCs w:val="22"/>
        </w:rPr>
        <w:lastRenderedPageBreak/>
        <w:t xml:space="preserve">the 1980s were more likely to be low-educated, Quechua-speakers who often struggled to find work once they had arrived </w:t>
      </w:r>
      <w:r w:rsidR="00A6715C" w:rsidRPr="004E053C">
        <w:rPr>
          <w:rFonts w:cstheme="minorHAnsi"/>
          <w:sz w:val="22"/>
          <w:szCs w:val="22"/>
        </w:rPr>
        <w:fldChar w:fldCharType="begin" w:fldLock="1"/>
      </w:r>
      <w:r w:rsidR="002F0CEA">
        <w:rPr>
          <w:rFonts w:cstheme="minorHAnsi"/>
          <w:sz w:val="22"/>
          <w:szCs w:val="22"/>
        </w:rPr>
        <w:instrText>ADDIN CSL_CITATION {"citationItems":[{"id":"ITEM-1","itemData":{"abstract":"Since the early 1980s, development in Latin America has been defined by neo-liberal restructuring in response to the region's precarious debt. This paper examines the distinctly gendered impact of structural adjustment by analysing, first, the changing status of women's lives under neo-liberal reform and, second, their efforts to mitigate the deteriorating status of their households. The formation of community kitchens and village banks by women in shanty towns surrounding Lima offer examples of grassroots organisation to ensure collective survival and development. Such efforts constitute acts of resistance to neo-liberal restructuring and, hence, are part of a broader movement of resistance to neo-liberalism as a prescription for economic recovery and development.","author":[{"dropping-particle":"","family":"Hays-Mitchell","given":"Maureen","non-dropping-particle":"","parse-names":false,"suffix":""}],"container-title":"Gender and Development","id":"ITEM-1","issue":"3","issued":{"date-parts":[["2002"]]},"page":"71-81","title":"Resisting austerity: A gendered perspective on neo-liberal restructing in Peru","type":"article-journal","volume":"10"},"uris":["http://www.mendeley.com/documents/?uuid=081b2a14-ca98-4996-8f02-7e5d7da733ab"]}],"mendeley":{"formattedCitation":"(Hays-Mitchell, 2002)","plainTextFormattedCitation":"(Hays-Mitchell, 2002)","previouslyFormattedCitation":"(Hays-Mitchell, 2002)"},"properties":{"noteIndex":0},"schema":"https://github.com/citation-style-language/schema/raw/master/csl-citation.json"}</w:instrText>
      </w:r>
      <w:r w:rsidR="00A6715C" w:rsidRPr="004E053C">
        <w:rPr>
          <w:rFonts w:cstheme="minorHAnsi"/>
          <w:sz w:val="22"/>
          <w:szCs w:val="22"/>
        </w:rPr>
        <w:fldChar w:fldCharType="separate"/>
      </w:r>
      <w:r w:rsidR="00A6715C" w:rsidRPr="004E053C">
        <w:rPr>
          <w:rFonts w:cstheme="minorHAnsi"/>
          <w:noProof/>
          <w:sz w:val="22"/>
          <w:szCs w:val="22"/>
        </w:rPr>
        <w:t>(Hays-Mitchell, 2002)</w:t>
      </w:r>
      <w:r w:rsidR="00A6715C" w:rsidRPr="004E053C">
        <w:rPr>
          <w:rFonts w:cstheme="minorHAnsi"/>
          <w:sz w:val="22"/>
          <w:szCs w:val="22"/>
        </w:rPr>
        <w:fldChar w:fldCharType="end"/>
      </w:r>
      <w:r w:rsidR="00375961" w:rsidRPr="004E053C">
        <w:rPr>
          <w:rFonts w:cstheme="minorHAnsi"/>
          <w:sz w:val="22"/>
          <w:szCs w:val="22"/>
        </w:rPr>
        <w:t xml:space="preserve">. </w:t>
      </w:r>
    </w:p>
    <w:p w14:paraId="2CA8931D" w14:textId="77777777" w:rsidR="00375961" w:rsidRPr="004E053C" w:rsidRDefault="00375961" w:rsidP="004E053C">
      <w:pPr>
        <w:spacing w:line="360" w:lineRule="auto"/>
        <w:jc w:val="both"/>
        <w:rPr>
          <w:rFonts w:cstheme="minorHAnsi"/>
        </w:rPr>
      </w:pPr>
    </w:p>
    <w:p w14:paraId="5A207F4C" w14:textId="6BBA646C" w:rsidR="00375961" w:rsidRPr="004E053C" w:rsidRDefault="00375961" w:rsidP="004E053C">
      <w:pPr>
        <w:spacing w:line="360" w:lineRule="auto"/>
        <w:jc w:val="both"/>
        <w:rPr>
          <w:rFonts w:cstheme="minorHAnsi"/>
          <w:sz w:val="22"/>
          <w:szCs w:val="22"/>
        </w:rPr>
      </w:pPr>
      <w:r w:rsidRPr="004E053C">
        <w:rPr>
          <w:rFonts w:cstheme="minorHAnsi"/>
          <w:sz w:val="22"/>
          <w:szCs w:val="22"/>
        </w:rPr>
        <w:t xml:space="preserve">While the Incas had strict controls on mobility, under Spanish-rule subjects were free to move to new locations and would often not return to their community of origin </w:t>
      </w:r>
      <w:r w:rsidR="00A6715C" w:rsidRPr="004E053C">
        <w:rPr>
          <w:rFonts w:cstheme="minorHAnsi"/>
          <w:sz w:val="22"/>
          <w:szCs w:val="22"/>
        </w:rPr>
        <w:fldChar w:fldCharType="begin" w:fldLock="1"/>
      </w:r>
      <w:r w:rsidR="00407110" w:rsidRPr="004E053C">
        <w:rPr>
          <w:rFonts w:cstheme="minorHAnsi"/>
          <w:sz w:val="22"/>
          <w:szCs w:val="22"/>
        </w:rPr>
        <w:instrText>ADDIN CSL_CITATION {"citationItems":[{"id":"ITEM-1","itemData":{"abstract":"Résumé : La construction communautaire est à la fois tournée en ridicule comme le produit de la régionalisation néolibérale, et portée aux nues en tant que son antidote. La communauté péruvienne d'Allpachico démontre que ces deux facettes sont liées. Je montre comment les formes d'association se sont adaptées à l'évolution des structures économiques au cours des 100 dernières années. Ainsi, la comunidad campesina, établie pour soutenir l'agriculture d'échelle locale, offre maintenant du travail paysan non rémunéré à des projets étatiques qui à la fois soutiennent une échelle de bas salaires et produisent des infrastructures très profitables pour les migrants. Néanmoins, ces projets assurent aussi la viabilité continue de la communauté, qui repose sur des relations complexes entre les paysans, les bénéficiaires de pensions et les travailleurs migrants. Here I use this framework, with its three dimensions in historical and place-based context, to analyse the structural politics and local struggles around different iterations of community in the small Peruvian highland peasant community I call Allpachico.2 Allpachico is a legally recognized comunidad campesina. I begin with the broad political and economic context by outlining the history of state constitution of the local community in Peru leading up to the current political restructuring program. This program reorders policy and legislation respecting municipalities and peasant communities in a way intended to encourage local creative engagement with the capitalist economy. I then turn to the people, in [Narotzky]'s and [Gavin Smith]'s second dimension, to describe four historical periods that follow the development of the different class-like groups in Allpachico, intersecting this with concurrent transformations in comunidad/community formation. This presentation shows that labour has been the major export of the community in a region with unevenly distributed production possibilities of interest to large-scale capitalism. Hence, the factions that have developed derive from how households relate to wage earning, whether they include a wage earner, receive a pension, or are in a reciprocal alliance with one of these. In consequence, although it is a very small community, Allpachico's economy is diverse, including subsistence agriculture, wage income, informal sector work, pensions and remittances from both temporary and permanent migrants. While there are struggles among these groups over who has what k…","author":[{"dropping-particle":"","family":"Vincent","given":"Susan","non-dropping-particle":"","parse-names":false,"suffix":""}],"container-title":"Anthropologica","id":"ITEM-1","issued":{"date-parts":[["2012"]]},"title":"Community, comunidad, collectives and neoliberal political decentralization in Peru","type":"article-journal"},"uris":["http://www.mendeley.com/documents/?uuid=3b6da62c-514b-35a1-8d05-be6ada47d319"]}],"mendeley":{"formattedCitation":"(Vincent, 2012a)","plainTextFormattedCitation":"(Vincent, 2012a)","previouslyFormattedCitation":"(Vincent, 2012a)"},"properties":{"noteIndex":0},"schema":"https://github.com/citation-style-language/schema/raw/master/csl-citation.json"}</w:instrText>
      </w:r>
      <w:r w:rsidR="00A6715C" w:rsidRPr="004E053C">
        <w:rPr>
          <w:rFonts w:cstheme="minorHAnsi"/>
          <w:sz w:val="22"/>
          <w:szCs w:val="22"/>
        </w:rPr>
        <w:fldChar w:fldCharType="separate"/>
      </w:r>
      <w:r w:rsidR="00407110" w:rsidRPr="004E053C">
        <w:rPr>
          <w:rFonts w:cstheme="minorHAnsi"/>
          <w:noProof/>
          <w:sz w:val="22"/>
          <w:szCs w:val="22"/>
        </w:rPr>
        <w:t>(Vincent, 2012a)</w:t>
      </w:r>
      <w:r w:rsidR="00A6715C" w:rsidRPr="004E053C">
        <w:rPr>
          <w:rFonts w:cstheme="minorHAnsi"/>
          <w:sz w:val="22"/>
          <w:szCs w:val="22"/>
        </w:rPr>
        <w:fldChar w:fldCharType="end"/>
      </w:r>
      <w:r w:rsidRPr="004E053C">
        <w:rPr>
          <w:rFonts w:cstheme="minorHAnsi"/>
          <w:sz w:val="22"/>
          <w:szCs w:val="22"/>
        </w:rPr>
        <w:t xml:space="preserve">. However, patterns of migration in Peru are far more complex than a simple, permanent movement from A to B. Smith </w:t>
      </w:r>
      <w:r w:rsidR="00A6715C" w:rsidRPr="004E053C">
        <w:rPr>
          <w:rFonts w:cstheme="minorHAnsi"/>
          <w:sz w:val="22"/>
          <w:szCs w:val="22"/>
        </w:rPr>
        <w:fldChar w:fldCharType="begin" w:fldLock="1"/>
      </w:r>
      <w:r w:rsidR="00A6715C" w:rsidRPr="004E053C">
        <w:rPr>
          <w:rFonts w:cstheme="minorHAnsi"/>
          <w:sz w:val="22"/>
          <w:szCs w:val="22"/>
        </w:rPr>
        <w:instrText>ADDIN CSL_CITATION {"citationItems":[{"id":"ITEM-1","itemData":{"author":[{"dropping-particle":"","family":"Smith","given":"Gavin","non-dropping-particle":"","parse-names":false,"suffix":""}],"id":"ITEM-1","issued":{"date-parts":[["1989"]]},"number-of-pages":"279","publisher":"University of California Press","publisher-place":"Oxford","title":"Livelihood and Resistance: Peasants and the Politics of Land in Peru","type":"book"},"uris":["http://www.mendeley.com/documents/?uuid=182fe83b-45d3-3a46-80df-4e21dbaf597c"]}],"mendeley":{"formattedCitation":"(G. Smith, 1989)","manualFormatting":"(1989)","plainTextFormattedCitation":"(G. Smith, 1989)","previouslyFormattedCitation":"(G. Smith, 1989)"},"properties":{"noteIndex":0},"schema":"https://github.com/citation-style-language/schema/raw/master/csl-citation.json"}</w:instrText>
      </w:r>
      <w:r w:rsidR="00A6715C" w:rsidRPr="004E053C">
        <w:rPr>
          <w:rFonts w:cstheme="minorHAnsi"/>
          <w:sz w:val="22"/>
          <w:szCs w:val="22"/>
        </w:rPr>
        <w:fldChar w:fldCharType="separate"/>
      </w:r>
      <w:r w:rsidR="00A6715C" w:rsidRPr="004E053C">
        <w:rPr>
          <w:rFonts w:cstheme="minorHAnsi"/>
          <w:noProof/>
          <w:sz w:val="22"/>
          <w:szCs w:val="22"/>
        </w:rPr>
        <w:t>(1989)</w:t>
      </w:r>
      <w:r w:rsidR="00A6715C" w:rsidRPr="004E053C">
        <w:rPr>
          <w:rFonts w:cstheme="minorHAnsi"/>
          <w:sz w:val="22"/>
          <w:szCs w:val="22"/>
        </w:rPr>
        <w:fldChar w:fldCharType="end"/>
      </w:r>
      <w:r w:rsidRPr="004E053C">
        <w:rPr>
          <w:rFonts w:cstheme="minorHAnsi"/>
          <w:sz w:val="22"/>
          <w:szCs w:val="22"/>
        </w:rPr>
        <w:t xml:space="preserve"> for example discussed the fact that many rural people travel to Lima and other cities only in the agricultural low-season, creating cyclical patterns of migration. In Vincent’s </w:t>
      </w:r>
      <w:r w:rsidR="00A6715C" w:rsidRPr="004E053C">
        <w:rPr>
          <w:rFonts w:cstheme="minorHAnsi"/>
          <w:sz w:val="22"/>
          <w:szCs w:val="22"/>
        </w:rPr>
        <w:fldChar w:fldCharType="begin" w:fldLock="1"/>
      </w:r>
      <w:r w:rsidR="0078143E" w:rsidRPr="004E053C">
        <w:rPr>
          <w:rFonts w:cstheme="minorHAnsi"/>
          <w:sz w:val="22"/>
          <w:szCs w:val="22"/>
        </w:rPr>
        <w:instrText>ADDIN CSL_CITATION {"citationItems":[{"id":"ITEM-1","itemData":{"abstract":"Résumé : La construction communautaire est à la fois tournée en ridicule comme le produit de la régionalisation néolibérale, et portée aux nues en tant que son antidote. La communauté péruvienne d'Allpachico démontre que ces deux facettes sont liées. Je montre comment les formes d'association se sont adaptées à l'évolution des structures économiques au cours des 100 dernières années. Ainsi, la comunidad campesina, établie pour soutenir l'agriculture d'échelle locale, offre maintenant du travail paysan non rémunéré à des projets étatiques qui à la fois soutiennent une échelle de bas salaires et produisent des infrastructures très profitables pour les migrants. Néanmoins, ces projets assurent aussi la viabilité continue de la communauté, qui repose sur des relations complexes entre les paysans, les bénéficiaires de pensions et les travailleurs migrants. Here I use this framework, with its three dimensions in historical and place-based context, to analyse the structural politics and local struggles around different iterations of community in the small Peruvian highland peasant community I call Allpachico.2 Allpachico is a legally recognized comunidad campesina. I begin with the broad political and economic context by outlining the history of state constitution of the local community in Peru leading up to the current political restructuring program. This program reorders policy and legislation respecting municipalities and peasant communities in a way intended to encourage local creative engagement with the capitalist economy. I then turn to the people, in [Narotzky]'s and [Gavin Smith]'s second dimension, to describe four historical periods that follow the development of the different class-like groups in Allpachico, intersecting this with concurrent transformations in comunidad/community formation. This presentation shows that labour has been the major export of the community in a region with unevenly distributed production possibilities of interest to large-scale capitalism. Hence, the factions that have developed derive from how households relate to wage earning, whether they include a wage earner, receive a pension, or are in a reciprocal alliance with one of these. In consequence, although it is a very small community, Allpachico's economy is diverse, including subsistence agriculture, wage income, informal sector work, pensions and remittances from both temporary and permanent migrants. While there are struggles among these groups over who has what k…","author":[{"dropping-particle":"","family":"Vincent","given":"Susan","non-dropping-particle":"","parse-names":false,"suffix":""}],"container-title":"Anthropologica","id":"ITEM-1","issued":{"date-parts":[["2012"]]},"title":"Community, comunidad, collectives and neoliberal political decentralization in Peru","type":"article-journal"},"uris":["http://www.mendeley.com/documents/?uuid=3b6da62c-514b-35a1-8d05-be6ada47d319"]}],"mendeley":{"formattedCitation":"(Vincent, 2012a)","manualFormatting":"(2012a)","plainTextFormattedCitation":"(Vincent, 2012a)","previouslyFormattedCitation":"(Vincent, 2012a)"},"properties":{"noteIndex":0},"schema":"https://github.com/citation-style-language/schema/raw/master/csl-citation.json"}</w:instrText>
      </w:r>
      <w:r w:rsidR="00A6715C" w:rsidRPr="004E053C">
        <w:rPr>
          <w:rFonts w:cstheme="minorHAnsi"/>
          <w:sz w:val="22"/>
          <w:szCs w:val="22"/>
        </w:rPr>
        <w:fldChar w:fldCharType="separate"/>
      </w:r>
      <w:r w:rsidR="0078143E" w:rsidRPr="004E053C">
        <w:rPr>
          <w:rFonts w:cstheme="minorHAnsi"/>
          <w:noProof/>
          <w:sz w:val="22"/>
          <w:szCs w:val="22"/>
        </w:rPr>
        <w:t>(</w:t>
      </w:r>
      <w:r w:rsidR="00407110" w:rsidRPr="004E053C">
        <w:rPr>
          <w:rFonts w:cstheme="minorHAnsi"/>
          <w:noProof/>
          <w:sz w:val="22"/>
          <w:szCs w:val="22"/>
        </w:rPr>
        <w:t>2012a)</w:t>
      </w:r>
      <w:r w:rsidR="00A6715C" w:rsidRPr="004E053C">
        <w:rPr>
          <w:rFonts w:cstheme="minorHAnsi"/>
          <w:sz w:val="22"/>
          <w:szCs w:val="22"/>
        </w:rPr>
        <w:fldChar w:fldCharType="end"/>
      </w:r>
      <w:r w:rsidRPr="004E053C">
        <w:rPr>
          <w:rFonts w:cstheme="minorHAnsi"/>
          <w:sz w:val="22"/>
          <w:szCs w:val="22"/>
        </w:rPr>
        <w:t xml:space="preserve"> work on a community in Allpachicho, she discusses the lives of several households who operate translocally, although does not use this term to describe them. She argues that as migrants maintain their status in the villages and frequently return home, it would be impossible to understand life for the people in those communities if research was limited to the village alone </w:t>
      </w:r>
      <w:r w:rsidR="00A6715C" w:rsidRPr="004E053C">
        <w:rPr>
          <w:rFonts w:cstheme="minorHAnsi"/>
          <w:sz w:val="22"/>
          <w:szCs w:val="22"/>
        </w:rPr>
        <w:fldChar w:fldCharType="begin" w:fldLock="1"/>
      </w:r>
      <w:r w:rsidR="00407110" w:rsidRPr="004E053C">
        <w:rPr>
          <w:rFonts w:cstheme="minorHAnsi"/>
          <w:sz w:val="22"/>
          <w:szCs w:val="22"/>
        </w:rPr>
        <w:instrText>ADDIN CSL_CITATION {"citationItems":[{"id":"ITEM-1","itemData":{"abstract":"Résumé : La construction communautaire est à la fois tournée en ridicule comme le produit de la régionalisation néolibérale, et portée aux nues en tant que son antidote. La communauté péruvienne d'Allpachico démontre que ces deux facettes sont liées. Je montre comment les formes d'association se sont adaptées à l'évolution des structures économiques au cours des 100 dernières années. Ainsi, la comunidad campesina, établie pour soutenir l'agriculture d'échelle locale, offre maintenant du travail paysan non rémunéré à des projets étatiques qui à la fois soutiennent une échelle de bas salaires et produisent des infrastructures très profitables pour les migrants. Néanmoins, ces projets assurent aussi la viabilité continue de la communauté, qui repose sur des relations complexes entre les paysans, les bénéficiaires de pensions et les travailleurs migrants. Here I use this framework, with its three dimensions in historical and place-based context, to analyse the structural politics and local struggles around different iterations of community in the small Peruvian highland peasant community I call Allpachico.2 Allpachico is a legally recognized comunidad campesina. I begin with the broad political and economic context by outlining the history of state constitution of the local community in Peru leading up to the current political restructuring program. This program reorders policy and legislation respecting municipalities and peasant communities in a way intended to encourage local creative engagement with the capitalist economy. I then turn to the people, in [Narotzky]'s and [Gavin Smith]'s second dimension, to describe four historical periods that follow the development of the different class-like groups in Allpachico, intersecting this with concurrent transformations in comunidad/community formation. This presentation shows that labour has been the major export of the community in a region with unevenly distributed production possibilities of interest to large-scale capitalism. Hence, the factions that have developed derive from how households relate to wage earning, whether they include a wage earner, receive a pension, or are in a reciprocal alliance with one of these. In consequence, although it is a very small community, Allpachico's economy is diverse, including subsistence agriculture, wage income, informal sector work, pensions and remittances from both temporary and permanent migrants. While there are struggles among these groups over who has what k…","author":[{"dropping-particle":"","family":"Vincent","given":"Susan","non-dropping-particle":"","parse-names":false,"suffix":""}],"container-title":"Anthropologica","id":"ITEM-1","issued":{"date-parts":[["2012"]]},"title":"Community, comunidad, collectives and neoliberal political decentralization in Peru","type":"article-journal"},"uris":["http://www.mendeley.com/documents/?uuid=3b6da62c-514b-35a1-8d05-be6ada47d319"]}],"mendeley":{"formattedCitation":"(Vincent, 2012a)","plainTextFormattedCitation":"(Vincent, 2012a)","previouslyFormattedCitation":"(Vincent, 2012a)"},"properties":{"noteIndex":0},"schema":"https://github.com/citation-style-language/schema/raw/master/csl-citation.json"}</w:instrText>
      </w:r>
      <w:r w:rsidR="00A6715C" w:rsidRPr="004E053C">
        <w:rPr>
          <w:rFonts w:cstheme="minorHAnsi"/>
          <w:sz w:val="22"/>
          <w:szCs w:val="22"/>
        </w:rPr>
        <w:fldChar w:fldCharType="separate"/>
      </w:r>
      <w:r w:rsidR="00407110" w:rsidRPr="004E053C">
        <w:rPr>
          <w:rFonts w:cstheme="minorHAnsi"/>
          <w:noProof/>
          <w:sz w:val="22"/>
          <w:szCs w:val="22"/>
        </w:rPr>
        <w:t>(Vincent, 2012a)</w:t>
      </w:r>
      <w:r w:rsidR="00A6715C" w:rsidRPr="004E053C">
        <w:rPr>
          <w:rFonts w:cstheme="minorHAnsi"/>
          <w:sz w:val="22"/>
          <w:szCs w:val="22"/>
        </w:rPr>
        <w:fldChar w:fldCharType="end"/>
      </w:r>
      <w:r w:rsidR="00A6715C" w:rsidRPr="004E053C">
        <w:rPr>
          <w:rFonts w:cstheme="minorHAnsi"/>
          <w:sz w:val="22"/>
          <w:szCs w:val="22"/>
        </w:rPr>
        <w:t xml:space="preserve">. </w:t>
      </w:r>
      <w:r w:rsidRPr="004E053C">
        <w:rPr>
          <w:rFonts w:cstheme="minorHAnsi"/>
          <w:sz w:val="22"/>
          <w:szCs w:val="22"/>
        </w:rPr>
        <w:t xml:space="preserve">Paerregaard </w:t>
      </w:r>
      <w:r w:rsidR="00824C84" w:rsidRPr="004E053C">
        <w:rPr>
          <w:rFonts w:cstheme="minorHAnsi"/>
          <w:sz w:val="22"/>
          <w:szCs w:val="22"/>
        </w:rPr>
        <w:fldChar w:fldCharType="begin" w:fldLock="1"/>
      </w:r>
      <w:r w:rsidR="00824C84" w:rsidRPr="004E053C">
        <w:rPr>
          <w:rFonts w:cstheme="minorHAnsi"/>
          <w:sz w:val="22"/>
          <w:szCs w:val="22"/>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1997)","manualFormatting":"(1997)","plainTextFormattedCitation":"(Paerregaard, 1997)","previouslyFormattedCitation":"(Paerregaard, 1997)"},"properties":{"noteIndex":0},"schema":"https://github.com/citation-style-language/schema/raw/master/csl-citation.json"}</w:instrText>
      </w:r>
      <w:r w:rsidR="00824C84" w:rsidRPr="004E053C">
        <w:rPr>
          <w:rFonts w:cstheme="minorHAnsi"/>
          <w:sz w:val="22"/>
          <w:szCs w:val="22"/>
        </w:rPr>
        <w:fldChar w:fldCharType="separate"/>
      </w:r>
      <w:r w:rsidR="00824C84" w:rsidRPr="004E053C">
        <w:rPr>
          <w:rFonts w:cstheme="minorHAnsi"/>
          <w:noProof/>
          <w:sz w:val="22"/>
          <w:szCs w:val="22"/>
        </w:rPr>
        <w:t>(1997)</w:t>
      </w:r>
      <w:r w:rsidR="00824C84" w:rsidRPr="004E053C">
        <w:rPr>
          <w:rFonts w:cstheme="minorHAnsi"/>
          <w:sz w:val="22"/>
          <w:szCs w:val="22"/>
        </w:rPr>
        <w:fldChar w:fldCharType="end"/>
      </w:r>
      <w:r w:rsidR="00973554" w:rsidRPr="004E053C">
        <w:rPr>
          <w:rFonts w:cstheme="minorHAnsi"/>
          <w:sz w:val="22"/>
          <w:szCs w:val="22"/>
        </w:rPr>
        <w:t xml:space="preserve"> </w:t>
      </w:r>
      <w:r w:rsidRPr="004E053C">
        <w:rPr>
          <w:rFonts w:cstheme="minorHAnsi"/>
          <w:sz w:val="22"/>
          <w:szCs w:val="22"/>
        </w:rPr>
        <w:t xml:space="preserve">has also noted the tendency for scholars to focus on discrete rural communities in their research, and in doing so, ignoring the links with the wider national framework of society. </w:t>
      </w:r>
    </w:p>
    <w:p w14:paraId="2BC0768E" w14:textId="77777777" w:rsidR="00375961" w:rsidRPr="004E053C" w:rsidRDefault="00375961" w:rsidP="004E053C">
      <w:pPr>
        <w:spacing w:line="360" w:lineRule="auto"/>
        <w:jc w:val="both"/>
        <w:rPr>
          <w:rFonts w:eastAsia="Times New Roman" w:cstheme="minorHAnsi"/>
          <w:sz w:val="22"/>
          <w:szCs w:val="22"/>
        </w:rPr>
      </w:pPr>
    </w:p>
    <w:p w14:paraId="1190E74D" w14:textId="4D9ADAF2" w:rsidR="00375961" w:rsidRPr="004E053C" w:rsidRDefault="00375961" w:rsidP="004E053C">
      <w:pPr>
        <w:spacing w:line="360" w:lineRule="auto"/>
        <w:jc w:val="both"/>
        <w:rPr>
          <w:rFonts w:cstheme="minorHAnsi"/>
          <w:sz w:val="22"/>
          <w:szCs w:val="22"/>
        </w:rPr>
      </w:pPr>
      <w:r w:rsidRPr="004E053C">
        <w:rPr>
          <w:rFonts w:cstheme="minorHAnsi"/>
          <w:sz w:val="22"/>
          <w:szCs w:val="22"/>
        </w:rPr>
        <w:t xml:space="preserve">Migration from the Andes in particular is extremely high. Until the 1940s, approximately 65% of the population lived in the mostly rural Andes, </w:t>
      </w:r>
      <w:r w:rsidR="00C45572" w:rsidRPr="004E053C">
        <w:rPr>
          <w:rFonts w:cstheme="minorHAnsi"/>
          <w:sz w:val="22"/>
          <w:szCs w:val="22"/>
        </w:rPr>
        <w:t>but by the turn of the century</w:t>
      </w:r>
      <w:r w:rsidRPr="004E053C">
        <w:rPr>
          <w:rFonts w:cstheme="minorHAnsi"/>
          <w:sz w:val="22"/>
          <w:szCs w:val="22"/>
        </w:rPr>
        <w:t xml:space="preserve"> only 30% of the popu</w:t>
      </w:r>
      <w:r w:rsidR="00C45572" w:rsidRPr="004E053C">
        <w:rPr>
          <w:rFonts w:cstheme="minorHAnsi"/>
          <w:sz w:val="22"/>
          <w:szCs w:val="22"/>
        </w:rPr>
        <w:t xml:space="preserve">lation in the entire country was </w:t>
      </w:r>
      <w:r w:rsidRPr="004E053C">
        <w:rPr>
          <w:rFonts w:cstheme="minorHAnsi"/>
          <w:sz w:val="22"/>
          <w:szCs w:val="22"/>
        </w:rPr>
        <w:t xml:space="preserve">rural </w:t>
      </w:r>
      <w:r w:rsidR="00C45572" w:rsidRPr="004E053C">
        <w:rPr>
          <w:rFonts w:cstheme="minorHAnsi"/>
          <w:sz w:val="22"/>
          <w:szCs w:val="22"/>
        </w:rPr>
        <w:fldChar w:fldCharType="begin" w:fldLock="1"/>
      </w:r>
      <w:r w:rsidR="007D3B19" w:rsidRPr="004E053C">
        <w:rPr>
          <w:rFonts w:cstheme="minorHAnsi"/>
          <w:sz w:val="22"/>
          <w:szCs w:val="22"/>
        </w:rPr>
        <w:instrText>ADDIN CSL_CITATION {"citationItems":[{"id":"ITEM-1","itemData":{"author":[{"dropping-particle":"","family":"Sørensen","given":"N","non-dropping-particle":"","parse-names":false,"suffix":""}],"container-title":"Work and Migration: Life and Livelihoods in a Globalizing World","editor":[{"dropping-particle":"","family":"Olwig","given":"K.F","non-dropping-particle":"","parse-names":false,"suffix":""},{"dropping-particle":"","family":"Sorensen","given":"N.N","non-dropping-particle":"","parse-names":false,"suffix":""}],"id":"ITEM-1","issued":{"date-parts":[["2002"]]},"page":"23-44","publisher":"Routledge","publisher-place":"London, UK","title":"Representing the local: mobile livelihood practices in the Peruvian Central Sierra","type":"chapter"},"uris":["http://www.mendeley.com/documents/?uuid=da5c8a60-7323-4b01-846e-4af88ae79834"]}],"mendeley":{"formattedCitation":"(Sørensen, 2002)","plainTextFormattedCitation":"(Sørensen, 2002)","previouslyFormattedCitation":"(Sørensen, 2002)"},"properties":{"noteIndex":0},"schema":"https://github.com/citation-style-language/schema/raw/master/csl-citation.json"}</w:instrText>
      </w:r>
      <w:r w:rsidR="00C45572" w:rsidRPr="004E053C">
        <w:rPr>
          <w:rFonts w:cstheme="minorHAnsi"/>
          <w:sz w:val="22"/>
          <w:szCs w:val="22"/>
        </w:rPr>
        <w:fldChar w:fldCharType="separate"/>
      </w:r>
      <w:r w:rsidR="00C45572" w:rsidRPr="004E053C">
        <w:rPr>
          <w:rFonts w:cstheme="minorHAnsi"/>
          <w:noProof/>
          <w:sz w:val="22"/>
          <w:szCs w:val="22"/>
        </w:rPr>
        <w:t>(Sørensen, 2002)</w:t>
      </w:r>
      <w:r w:rsidR="00C45572" w:rsidRPr="004E053C">
        <w:rPr>
          <w:rFonts w:cstheme="minorHAnsi"/>
          <w:sz w:val="22"/>
          <w:szCs w:val="22"/>
        </w:rPr>
        <w:fldChar w:fldCharType="end"/>
      </w:r>
      <w:r w:rsidRPr="004E053C">
        <w:rPr>
          <w:rFonts w:cstheme="minorHAnsi"/>
          <w:sz w:val="22"/>
          <w:szCs w:val="22"/>
        </w:rPr>
        <w:t xml:space="preserve">. This is partly due to the structural inequalities that exist in Peru that both discriminate against indigenous peoples and have kept the Andean region poor, meaning that the people that live there lack viable alternatives </w:t>
      </w:r>
      <w:r w:rsidR="00A6715C"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Amazon","type":"article-journal","volume":"48"},"uris":["http://www.mendeley.com/documents/?uuid=fc7d8531-86b5-35b7-a817-8d0034336ad3"]},{"id":"ITEM-2","itemData":{"author":[{"dropping-particle":"","family":"Kuramoto","given":"Juana. R.","non-dropping-particle":"","parse-names":false,"suffix":""}],"id":"ITEM-2","issued":{"date-parts":[["2001"]]},"number-of-pages":"53","publisher-place":"Lima","title":"Artisanal and Informal Mining in Peru","type":"report"},"uris":["http://www.mendeley.com/documents/?uuid=489402d4-ec6a-45a8-a0bc-b72da8278da6"]},{"id":"ITEM-3","itemData":{"abstract":"The recent unopposed proliferation of artisanal gold mining (AGM) in towns that previously rejected large-scale mining (LSM) in Andean countries poses a thorny question: Why do locals respond differently to mining activities at different scales? To explain the basis for opposition or tolerance to mining activities, the paper develops a comparative study of local communities’ perceptions of LSM and AGM. Through extensive fieldwork in the area and collection of qualitative evidence from surveys, interviews, and ethnographies, the paper revisits the case of Tambogrande (Peru) 15 years after the resistance against LSM operations in the light of the recent proliferation of AGM in the same area. The paper finds that AGM faces less resistance because it is considered more compatible with the existing social order, which hinges on personal ties and strong relationships of trust. By contrast, LSM is far removed from local dynamics and it is perceived as an imposition that would divide and displace the community. Although economic and environmental factors are in fact a cause for concern for local communities, social considerations usually take priority.","author":[{"dropping-particle":"","family":"Toledo Orozco","given":"Zaraí","non-dropping-particle":"","parse-names":false,"suffix":""},{"dropping-particle":"","family":"Veiga","given":"Marcello","non-dropping-particle":"","parse-names":false,"suffix":""}],"container-title":"Extractive Industries and Society","id":"ITEM-3","issue":"2","issued":{"date-parts":[["2018"]]},"page":"327-334","publisher":"Elsevier","title":"Locals’ attitudes toward artisanal and large-scale mining: a case study of Tambogrande, Peru","type":"article-journal","volume":"5"},"uris":["http://www.mendeley.com/documents/?uuid=9a26e764-a9c9-46d5-acbc-84ef6783a7a5"]}],"mendeley":{"formattedCitation":"(Damonte, 2016; Kuramoto, 2001; Toledo Orozco &amp; Veiga, 2018)","manualFormatting":"(Damonte, 2016; Kuramoto, 2001; Toledo Orozco &amp; Veiga, 2018)","plainTextFormattedCitation":"(Damonte, 2016; Kuramoto, 2001; Toledo Orozco &amp; Veiga, 2018)","previouslyFormattedCitation":"(Damonte, 2016; Kuramoto, 2001; Toledo Orozco &amp; Veiga, 2018)"},"properties":{"noteIndex":0},"schema":"https://github.com/citation-style-language/schema/raw/master/csl-citation.json"}</w:instrText>
      </w:r>
      <w:r w:rsidR="00A6715C" w:rsidRPr="004E053C">
        <w:rPr>
          <w:rFonts w:cstheme="minorHAnsi"/>
          <w:sz w:val="22"/>
          <w:szCs w:val="22"/>
        </w:rPr>
        <w:fldChar w:fldCharType="separate"/>
      </w:r>
      <w:r w:rsidR="00A6715C" w:rsidRPr="004E053C">
        <w:rPr>
          <w:rFonts w:cstheme="minorHAnsi"/>
          <w:noProof/>
          <w:sz w:val="22"/>
          <w:szCs w:val="22"/>
        </w:rPr>
        <w:t>(Damonte, 2016; Kuramoto, 2001; Toledo Orozco &amp; Veiga, 2018)</w:t>
      </w:r>
      <w:r w:rsidR="00A6715C" w:rsidRPr="004E053C">
        <w:rPr>
          <w:rFonts w:cstheme="minorHAnsi"/>
          <w:sz w:val="22"/>
          <w:szCs w:val="22"/>
        </w:rPr>
        <w:fldChar w:fldCharType="end"/>
      </w:r>
      <w:r w:rsidRPr="004E053C">
        <w:rPr>
          <w:rFonts w:cstheme="minorHAnsi"/>
          <w:sz w:val="22"/>
          <w:szCs w:val="22"/>
        </w:rPr>
        <w:t xml:space="preserve">. </w:t>
      </w:r>
      <w:r w:rsidRPr="004E053C">
        <w:rPr>
          <w:rFonts w:eastAsia="Times New Roman" w:cstheme="minorHAnsi"/>
          <w:sz w:val="22"/>
          <w:szCs w:val="22"/>
        </w:rPr>
        <w:t xml:space="preserve">They therefore migrate to coastal cities and the mining centres in other parts of the Andes in search of jobs and opportunities </w:t>
      </w:r>
      <w:r w:rsidR="00A6715C" w:rsidRPr="004E053C">
        <w:rPr>
          <w:rFonts w:eastAsia="Times New Roman" w:cstheme="minorHAnsi"/>
          <w:sz w:val="22"/>
          <w:szCs w:val="22"/>
        </w:rPr>
        <w:fldChar w:fldCharType="begin" w:fldLock="1"/>
      </w:r>
      <w:r w:rsidR="007A757C" w:rsidRPr="004E053C">
        <w:rPr>
          <w:rFonts w:eastAsia="Times New Roman" w:cstheme="minorHAnsi"/>
          <w:sz w:val="22"/>
          <w:szCs w:val="22"/>
        </w:rPr>
        <w:instrText>ADDIN CSL_CITATION {"citationItems":[{"id":"ITEM-1","itemData":{"author":[{"dropping-particle":"","family":"Becker","given":"David G.","non-dropping-particle":"","parse-names":false,"suffix":""}],"id":"ITEM-1","issued":{"date-parts":[["1983"]]},"number-of-pages":"419","publisher":"Princeton University Press","publisher-place":"Princeton, NJ","title":"The New Bourgeoisie and the Limits of Dependency: Mining, Class and Power in 'Revolutionary' Peru","type":"book"},"uris":["http://www.mendeley.com/documents/?uuid=13c0adb1-662f-4977-bb07-3645e008f35c"]}],"mendeley":{"formattedCitation":"(D. G. Becker, 1983)","manualFormatting":"(Becker, 1983)","plainTextFormattedCitation":"(D. G. Becker, 1983)","previouslyFormattedCitation":"(D. G. Becker, 1983)"},"properties":{"noteIndex":0},"schema":"https://github.com/citation-style-language/schema/raw/master/csl-citation.json"}</w:instrText>
      </w:r>
      <w:r w:rsidR="00A6715C" w:rsidRPr="004E053C">
        <w:rPr>
          <w:rFonts w:eastAsia="Times New Roman" w:cstheme="minorHAnsi"/>
          <w:sz w:val="22"/>
          <w:szCs w:val="22"/>
        </w:rPr>
        <w:fldChar w:fldCharType="separate"/>
      </w:r>
      <w:r w:rsidR="00A6715C" w:rsidRPr="004E053C">
        <w:rPr>
          <w:rFonts w:eastAsia="Times New Roman" w:cstheme="minorHAnsi"/>
          <w:noProof/>
          <w:sz w:val="22"/>
          <w:szCs w:val="22"/>
        </w:rPr>
        <w:t>(Becker, 1983)</w:t>
      </w:r>
      <w:r w:rsidR="00A6715C" w:rsidRPr="004E053C">
        <w:rPr>
          <w:rFonts w:eastAsia="Times New Roman" w:cstheme="minorHAnsi"/>
          <w:sz w:val="22"/>
          <w:szCs w:val="22"/>
        </w:rPr>
        <w:fldChar w:fldCharType="end"/>
      </w:r>
      <w:r w:rsidRPr="004E053C">
        <w:rPr>
          <w:rFonts w:eastAsia="Times New Roman" w:cstheme="minorHAnsi"/>
          <w:sz w:val="22"/>
          <w:szCs w:val="22"/>
        </w:rPr>
        <w:t xml:space="preserve">. </w:t>
      </w:r>
      <w:r w:rsidRPr="004E053C">
        <w:rPr>
          <w:rFonts w:cstheme="minorHAnsi"/>
          <w:sz w:val="22"/>
          <w:szCs w:val="22"/>
        </w:rPr>
        <w:t xml:space="preserve">Unfortunately, systematic racial discrimination in Peru means that for Andean people, rural-urban migration can often result in urban poverty </w:t>
      </w:r>
      <w:r w:rsidR="00A6715C" w:rsidRPr="004E053C">
        <w:rPr>
          <w:rFonts w:cstheme="minorHAnsi"/>
          <w:sz w:val="22"/>
          <w:szCs w:val="22"/>
        </w:rPr>
        <w:fldChar w:fldCharType="begin" w:fldLock="1"/>
      </w:r>
      <w:r w:rsidR="002F0CEA">
        <w:rPr>
          <w:rFonts w:cstheme="minorHAnsi"/>
          <w:sz w:val="22"/>
          <w:szCs w:val="22"/>
        </w:rPr>
        <w:instrText>ADDIN CSL_CITATION {"citationItems":[{"id":"ITEM-1","itemData":{"abstract":"Since the early 1980s, development in Latin America has been defined by neo-liberal restructuring in response to the region's precarious debt. This paper examines the distinctly gendered impact of structural adjustment by analysing, first, the changing status of women's lives under neo-liberal reform and, second, their efforts to mitigate the deteriorating status of their households. The formation of community kitchens and village banks by women in shanty towns surrounding Lima offer examples of grassroots organisation to ensure collective survival and development. Such efforts constitute acts of resistance to neo-liberal restructuring and, hence, are part of a broader movement of resistance to neo-liberalism as a prescription for economic recovery and development.","author":[{"dropping-particle":"","family":"Hays-Mitchell","given":"Maureen","non-dropping-particle":"","parse-names":false,"suffix":""}],"container-title":"Gender and Development","id":"ITEM-1","issue":"3","issued":{"date-parts":[["2002"]]},"page":"71-81","title":"Resisting austerity: A gendered perspective on neo-liberal restructing in Peru","type":"article-journal","volume":"10"},"uris":["http://www.mendeley.com/documents/?uuid=081b2a14-ca98-4996-8f02-7e5d7da733ab"]},{"id":"ITEM-2","itemData":{"author":[{"dropping-particle":"","family":"Steel","given":"G","non-dropping-particle":"","parse-names":false,"suffix":""},{"dropping-particle":"","family":"Zoomers","given":"A","non-dropping-particle":"","parse-names":false,"suffix":""}],"container-title":"International Development Planning Review","id":"ITEM-2","issue":"4","issued":{"date-parts":[["2009"]]},"page":"377-396","title":"Social mobility in the Central Andes of Peru and Bolivia","type":"article-journal","volume":"31"},"uris":["http://www.mendeley.com/documents/?uuid=8ab52e95-acb4-48ab-9e59-08b5898591f0"]},{"id":"ITEM-3","itemData":{"abstract":"The inequality and structures of domination in Peru influences people from different class, regional, and ethnic backgrounds to migrate both internally and internationally that has significant adverse impact on their relations. Peruvians migrate to a wider range of countries and regions due to several factors such as the economic crisis, political instability, and structural adjustments. The racial and cultural mixture created due to the immigration to Peru produced the diversity of emigrant population. Peruvian emigrants come from both rural and urban areas and Peruvian migrants from rural backgrounds tend to migrate first to urban areas in Peru and then to other countries. Peru has one of the highest rates of out-migration in Latin America and in response to this the Peruvian state has taken steps to include Peruvians abroad in a new imagined Peruvian nation spanning geographical borders.","author":[{"dropping-particle":"","family":"Takenaka","given":"Ayumi","non-dropping-particle":"","parse-names":false,"suffix":""},{"dropping-particle":"","family":"Paerregaard","given":"Karsten","non-dropping-particle":"","parse-names":false,"suffix":""},{"dropping-particle":"","family":"Berg","given":"Ulla","non-dropping-particle":"","parse-names":false,"suffix":""}],"container-title":"Latin American Perspectives","id":"ITEM-3","issue":"5","issued":{"date-parts":[["2010"]]},"page":"3-11","title":"Peruvian migration in a global context","type":"article-journal","volume":"37"},"uris":["http://www.mendeley.com/documents/?uuid=27b837c4-cda6-407f-b5fe-6cea4473aa5e"]}],"mendeley":{"formattedCitation":"(Hays-Mitchell, 2002; Steel &amp; Zoomers, 2009; Takenaka et al., 2010)","plainTextFormattedCitation":"(Hays-Mitchell, 2002; Steel &amp; Zoomers, 2009; Takenaka et al., 2010)","previouslyFormattedCitation":"(Hays-Mitchell, 2002; Steel &amp; Zoomers, 2009; Takenaka et al., 2010)"},"properties":{"noteIndex":0},"schema":"https://github.com/citation-style-language/schema/raw/master/csl-citation.json"}</w:instrText>
      </w:r>
      <w:r w:rsidR="00A6715C" w:rsidRPr="004E053C">
        <w:rPr>
          <w:rFonts w:cstheme="minorHAnsi"/>
          <w:sz w:val="22"/>
          <w:szCs w:val="22"/>
        </w:rPr>
        <w:fldChar w:fldCharType="separate"/>
      </w:r>
      <w:r w:rsidR="00A6715C" w:rsidRPr="004E053C">
        <w:rPr>
          <w:rFonts w:cstheme="minorHAnsi"/>
          <w:noProof/>
          <w:sz w:val="22"/>
          <w:szCs w:val="22"/>
        </w:rPr>
        <w:t>(Hays-Mitchell, 2002; Steel &amp; Zoomers, 2009; Takenaka et al., 2010)</w:t>
      </w:r>
      <w:r w:rsidR="00A6715C" w:rsidRPr="004E053C">
        <w:rPr>
          <w:rFonts w:cstheme="minorHAnsi"/>
          <w:sz w:val="22"/>
          <w:szCs w:val="22"/>
        </w:rPr>
        <w:fldChar w:fldCharType="end"/>
      </w:r>
      <w:r w:rsidRPr="004E053C">
        <w:rPr>
          <w:rFonts w:cstheme="minorHAnsi"/>
          <w:sz w:val="22"/>
          <w:szCs w:val="22"/>
        </w:rPr>
        <w:t xml:space="preserve">. </w:t>
      </w:r>
    </w:p>
    <w:p w14:paraId="7F0633E9" w14:textId="77777777" w:rsidR="00375961" w:rsidRPr="004E053C" w:rsidRDefault="00375961" w:rsidP="004E053C">
      <w:pPr>
        <w:spacing w:line="360" w:lineRule="auto"/>
        <w:jc w:val="both"/>
        <w:rPr>
          <w:rFonts w:cstheme="minorHAnsi"/>
          <w:sz w:val="22"/>
          <w:szCs w:val="22"/>
        </w:rPr>
      </w:pPr>
    </w:p>
    <w:p w14:paraId="72697F83" w14:textId="329D97C8" w:rsidR="00375961" w:rsidRPr="004E053C" w:rsidRDefault="00375961" w:rsidP="004E053C">
      <w:pPr>
        <w:pStyle w:val="NormalWeb"/>
        <w:spacing w:before="0" w:beforeAutospacing="0" w:after="0" w:afterAutospacing="0" w:line="360" w:lineRule="auto"/>
        <w:jc w:val="both"/>
        <w:rPr>
          <w:rFonts w:asciiTheme="minorHAnsi" w:hAnsiTheme="minorHAnsi" w:cstheme="minorHAnsi"/>
          <w:sz w:val="22"/>
          <w:szCs w:val="22"/>
        </w:rPr>
      </w:pPr>
      <w:r w:rsidRPr="004E053C">
        <w:rPr>
          <w:rFonts w:asciiTheme="minorHAnsi" w:hAnsiTheme="minorHAnsi" w:cstheme="minorHAnsi"/>
          <w:sz w:val="22"/>
          <w:szCs w:val="22"/>
        </w:rPr>
        <w:t xml:space="preserve">There is also significant migration from the Andes to the Amazon, with many people maintaining cyclical patterns of migration between the two areas </w:t>
      </w:r>
      <w:r w:rsidR="00824C84" w:rsidRPr="004E053C">
        <w:rPr>
          <w:rFonts w:asciiTheme="minorHAnsi" w:hAnsiTheme="minorHAnsi" w:cstheme="minorHAnsi"/>
          <w:sz w:val="22"/>
          <w:szCs w:val="22"/>
        </w:rPr>
        <w:fldChar w:fldCharType="begin" w:fldLock="1"/>
      </w:r>
      <w:r w:rsidR="002F0CEA">
        <w:rPr>
          <w:rFonts w:asciiTheme="minorHAnsi" w:hAnsiTheme="minorHAnsi" w:cstheme="minorHAnsi"/>
          <w:sz w:val="22"/>
          <w:szCs w:val="22"/>
        </w:rPr>
        <w:instrText>ADDIN CSL_CITATION {"citationItems":[{"id":"ITEM-1","itemData":{"author":[{"dropping-particle":"","family":"Menton","given":"M","non-dropping-particle":"","parse-names":false,"suffix":""},{"dropping-particle":"","family":"Cronkleton","given":"P","non-dropping-particle":"","parse-names":false,"suffix":""}],"container-title":"Migration and forests in the Peruvian Amazon: A review","id":"ITEM-1","issued":{"date-parts":[["2019"]]},"title":"Migration and forests in the Peruvian Amazon: A review","type":"article-journal"},"uris":["http://www.mendeley.com/documents/?uuid=a0ff1887-0449-48bb-9567-d943de189874"]}],"mendeley":{"formattedCitation":"(Menton &amp; Cronkleton, 2019)","plainTextFormattedCitation":"(Menton &amp; Cronkleton, 2019)","previouslyFormattedCitation":"(Menton &amp; Cronkleton, 2019)"},"properties":{"noteIndex":0},"schema":"https://github.com/citation-style-language/schema/raw/master/csl-citation.json"}</w:instrText>
      </w:r>
      <w:r w:rsidR="00824C84" w:rsidRPr="004E053C">
        <w:rPr>
          <w:rFonts w:asciiTheme="minorHAnsi" w:hAnsiTheme="minorHAnsi" w:cstheme="minorHAnsi"/>
          <w:sz w:val="22"/>
          <w:szCs w:val="22"/>
        </w:rPr>
        <w:fldChar w:fldCharType="separate"/>
      </w:r>
      <w:r w:rsidR="00824C84" w:rsidRPr="004E053C">
        <w:rPr>
          <w:rFonts w:asciiTheme="minorHAnsi" w:hAnsiTheme="minorHAnsi" w:cstheme="minorHAnsi"/>
          <w:noProof/>
          <w:sz w:val="22"/>
          <w:szCs w:val="22"/>
        </w:rPr>
        <w:t>(Menton &amp; Cronkleton, 2019)</w:t>
      </w:r>
      <w:r w:rsidR="00824C84" w:rsidRPr="004E053C">
        <w:rPr>
          <w:rFonts w:asciiTheme="minorHAnsi" w:hAnsiTheme="minorHAnsi" w:cstheme="minorHAnsi"/>
          <w:sz w:val="22"/>
          <w:szCs w:val="22"/>
        </w:rPr>
        <w:fldChar w:fldCharType="end"/>
      </w:r>
      <w:r w:rsidRPr="004E053C">
        <w:rPr>
          <w:rFonts w:asciiTheme="minorHAnsi" w:hAnsiTheme="minorHAnsi" w:cstheme="minorHAnsi"/>
          <w:sz w:val="22"/>
          <w:szCs w:val="22"/>
        </w:rPr>
        <w:t xml:space="preserve">. In the 1970s and 1980s, the Government actively encouraged migration to Madre de Dios due to a desire to increase the population of Amazon and control the frontier. Although there was an indigenous and non-native population in the region before that, the numbers were relatively small, totalling around 14,890 in 1961 </w:t>
      </w:r>
      <w:r w:rsidRPr="004E053C">
        <w:rPr>
          <w:rFonts w:asciiTheme="minorHAnsi" w:hAnsiTheme="minorHAnsi" w:cstheme="minorHAnsi"/>
          <w:sz w:val="22"/>
          <w:szCs w:val="22"/>
        </w:rPr>
        <w:fldChar w:fldCharType="begin" w:fldLock="1"/>
      </w:r>
      <w:r w:rsidRPr="004E053C">
        <w:rPr>
          <w:rFonts w:asciiTheme="minorHAnsi" w:hAnsiTheme="minorHAnsi" w:cstheme="minorHAnsi"/>
          <w:sz w:val="22"/>
          <w:szCs w:val="22"/>
        </w:rPr>
        <w:instrText>ADDIN CSL_CITATION {"citationItems":[{"id":"ITEM-1","itemData":{"author":[{"dropping-particle":"","family":"Instituto Nacional de Estadistica e Informatica","given":"","non-dropping-particle":"","parse-names":false,"suffix":""}],"id":"ITEM-1","issued":{"date-parts":[["2018"]]},"publisher-place":"Lima, Peru","title":"Peru: Perfil Sociodemográfico - Informe Nacional","type":"report"},"uris":["http://www.mendeley.com/documents/?uuid=a08c0b51-f33f-4966-8c96-8f99b0a87050","http://www.mendeley.com/documents/?uuid=c522dfc5-ac9b-443f-9241-de26416d362d"]}],"mendeley":{"formattedCitation":"(Instituto Nacional de Estadistica e Informatica, 2018)","manualFormatting":"(INEI, 2018)","plainTextFormattedCitation":"(Instituto Nacional de Estadistica e Informatica, 2018)","previouslyFormattedCitation":"(Instituto Nacional de Estadistica e Informatica, 2018)"},"properties":{"noteIndex":0},"schema":"https://github.com/citation-style-language/schema/raw/master/csl-citation.json"}</w:instrText>
      </w:r>
      <w:r w:rsidRPr="004E053C">
        <w:rPr>
          <w:rFonts w:asciiTheme="minorHAnsi" w:hAnsiTheme="minorHAnsi" w:cstheme="minorHAnsi"/>
          <w:sz w:val="22"/>
          <w:szCs w:val="22"/>
        </w:rPr>
        <w:fldChar w:fldCharType="separate"/>
      </w:r>
      <w:r w:rsidRPr="004E053C">
        <w:rPr>
          <w:rFonts w:asciiTheme="minorHAnsi" w:hAnsiTheme="minorHAnsi" w:cstheme="minorHAnsi"/>
          <w:noProof/>
          <w:sz w:val="22"/>
          <w:szCs w:val="22"/>
        </w:rPr>
        <w:t>(INEI, 2018)</w:t>
      </w:r>
      <w:r w:rsidRPr="004E053C">
        <w:rPr>
          <w:rFonts w:asciiTheme="minorHAnsi" w:hAnsiTheme="minorHAnsi" w:cstheme="minorHAnsi"/>
          <w:sz w:val="22"/>
          <w:szCs w:val="22"/>
        </w:rPr>
        <w:fldChar w:fldCharType="end"/>
      </w:r>
      <w:r w:rsidR="00C45572" w:rsidRPr="004E053C">
        <w:rPr>
          <w:rFonts w:asciiTheme="minorHAnsi" w:hAnsiTheme="minorHAnsi" w:cstheme="minorHAnsi"/>
          <w:sz w:val="22"/>
          <w:szCs w:val="22"/>
        </w:rPr>
        <w:t>.</w:t>
      </w:r>
      <w:r w:rsidRPr="004E053C">
        <w:rPr>
          <w:rFonts w:asciiTheme="minorHAnsi" w:hAnsiTheme="minorHAnsi" w:cstheme="minorHAnsi"/>
          <w:sz w:val="22"/>
          <w:szCs w:val="22"/>
        </w:rPr>
        <w:t xml:space="preserve"> With no presence in the jungle, the Peruvian government had no way to benefit from the Amazon’s natural resources and needed to protect the borderlands from Brazil and Bolivia. As Damonte </w:t>
      </w:r>
      <w:r w:rsidRPr="004E053C">
        <w:rPr>
          <w:rFonts w:asciiTheme="minorHAnsi" w:hAnsiTheme="minorHAnsi" w:cstheme="minorHAnsi"/>
          <w:sz w:val="22"/>
          <w:szCs w:val="22"/>
        </w:rPr>
        <w:fldChar w:fldCharType="begin" w:fldLock="1"/>
      </w:r>
      <w:r w:rsidR="007A757C" w:rsidRPr="004E053C">
        <w:rPr>
          <w:rFonts w:asciiTheme="minorHAnsi" w:hAnsiTheme="minorHAnsi"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2016)","manualFormatting":"(2016)","plainTextFormattedCitation":"(Damonte, 2016)","previouslyFormattedCitation":"(Damonte, 2016)"},"properties":{"noteIndex":0},"schema":"https://github.com/citation-style-language/schema/raw/master/csl-citation.json"}</w:instrText>
      </w:r>
      <w:r w:rsidRPr="004E053C">
        <w:rPr>
          <w:rFonts w:asciiTheme="minorHAnsi" w:hAnsiTheme="minorHAnsi" w:cstheme="minorHAnsi"/>
          <w:sz w:val="22"/>
          <w:szCs w:val="22"/>
        </w:rPr>
        <w:fldChar w:fldCharType="separate"/>
      </w:r>
      <w:r w:rsidRPr="004E053C">
        <w:rPr>
          <w:rFonts w:asciiTheme="minorHAnsi" w:hAnsiTheme="minorHAnsi" w:cstheme="minorHAnsi"/>
          <w:noProof/>
          <w:sz w:val="22"/>
          <w:szCs w:val="22"/>
        </w:rPr>
        <w:t>(2016)</w:t>
      </w:r>
      <w:r w:rsidRPr="004E053C">
        <w:rPr>
          <w:rFonts w:asciiTheme="minorHAnsi" w:hAnsiTheme="minorHAnsi" w:cstheme="minorHAnsi"/>
          <w:sz w:val="22"/>
          <w:szCs w:val="22"/>
        </w:rPr>
        <w:fldChar w:fldCharType="end"/>
      </w:r>
      <w:r w:rsidRPr="004E053C">
        <w:rPr>
          <w:rFonts w:asciiTheme="minorHAnsi" w:hAnsiTheme="minorHAnsi" w:cstheme="minorHAnsi"/>
          <w:sz w:val="22"/>
          <w:szCs w:val="22"/>
        </w:rPr>
        <w:t xml:space="preserve"> asserts, the Government viewed the Amazon as a frontier to be </w:t>
      </w:r>
      <w:r w:rsidRPr="004E053C">
        <w:rPr>
          <w:rFonts w:asciiTheme="minorHAnsi" w:hAnsiTheme="minorHAnsi" w:cstheme="minorHAnsi"/>
          <w:sz w:val="22"/>
          <w:szCs w:val="22"/>
        </w:rPr>
        <w:lastRenderedPageBreak/>
        <w:t xml:space="preserve">exploited, and encouraged its’ occupation for this reason rather than as a means of ensuring socio-economic development. </w:t>
      </w:r>
    </w:p>
    <w:p w14:paraId="544DACBD" w14:textId="77777777" w:rsidR="00375961" w:rsidRPr="004E053C" w:rsidRDefault="00375961" w:rsidP="004E053C">
      <w:pPr>
        <w:widowControl w:val="0"/>
        <w:autoSpaceDE w:val="0"/>
        <w:autoSpaceDN w:val="0"/>
        <w:adjustRightInd w:val="0"/>
        <w:spacing w:line="360" w:lineRule="auto"/>
        <w:jc w:val="both"/>
        <w:rPr>
          <w:rFonts w:cstheme="minorHAnsi"/>
          <w:color w:val="FF0000"/>
        </w:rPr>
      </w:pPr>
    </w:p>
    <w:p w14:paraId="42E8BB15" w14:textId="727190C4" w:rsidR="00375961" w:rsidRPr="004E053C" w:rsidRDefault="00502226" w:rsidP="004E053C">
      <w:pPr>
        <w:pStyle w:val="Heading2"/>
        <w:jc w:val="both"/>
      </w:pPr>
      <w:bookmarkStart w:id="38" w:name="_Toc33293086"/>
      <w:r w:rsidRPr="004E053C">
        <w:t>3.</w:t>
      </w:r>
      <w:r w:rsidR="00375961" w:rsidRPr="004E053C">
        <w:t xml:space="preserve">4. </w:t>
      </w:r>
      <w:bookmarkEnd w:id="38"/>
      <w:r w:rsidR="004E5F90" w:rsidRPr="004E053C">
        <w:t>Sendero Luminoso</w:t>
      </w:r>
    </w:p>
    <w:p w14:paraId="5EDBF117" w14:textId="77777777" w:rsidR="0010441C" w:rsidRPr="004E053C" w:rsidRDefault="0010441C" w:rsidP="004E053C">
      <w:pPr>
        <w:spacing w:line="360" w:lineRule="auto"/>
        <w:jc w:val="both"/>
        <w:rPr>
          <w:rFonts w:cstheme="minorHAnsi"/>
        </w:rPr>
      </w:pPr>
    </w:p>
    <w:p w14:paraId="385F7644" w14:textId="5FCAC1F7" w:rsidR="00C45572" w:rsidRPr="004E053C" w:rsidRDefault="00C45572" w:rsidP="004E053C">
      <w:pPr>
        <w:spacing w:line="360" w:lineRule="auto"/>
        <w:jc w:val="both"/>
        <w:rPr>
          <w:rFonts w:cstheme="minorHAnsi"/>
          <w:sz w:val="22"/>
          <w:szCs w:val="22"/>
        </w:rPr>
      </w:pPr>
      <w:r w:rsidRPr="004E053C">
        <w:rPr>
          <w:rFonts w:cstheme="minorHAnsi"/>
          <w:sz w:val="22"/>
          <w:szCs w:val="22"/>
        </w:rPr>
        <w:t>One of the most important and devastating events in Peru’s hist</w:t>
      </w:r>
      <w:r w:rsidR="007D3B19" w:rsidRPr="004E053C">
        <w:rPr>
          <w:rFonts w:cstheme="minorHAnsi"/>
          <w:sz w:val="22"/>
          <w:szCs w:val="22"/>
        </w:rPr>
        <w:t xml:space="preserve">ory was the civil war that dominated life in the 1980s and early 1990s. This was launched by </w:t>
      </w:r>
      <w:r w:rsidR="007D3B19" w:rsidRPr="004E053C">
        <w:rPr>
          <w:rFonts w:cstheme="minorHAnsi"/>
          <w:i/>
          <w:sz w:val="22"/>
          <w:szCs w:val="22"/>
        </w:rPr>
        <w:t>Sendero Luminoso</w:t>
      </w:r>
      <w:r w:rsidR="007D3B19" w:rsidRPr="004E053C">
        <w:rPr>
          <w:rFonts w:cstheme="minorHAnsi"/>
          <w:sz w:val="22"/>
          <w:szCs w:val="22"/>
        </w:rPr>
        <w:t xml:space="preserve">, </w:t>
      </w:r>
      <w:r w:rsidR="0033698F">
        <w:rPr>
          <w:rFonts w:cstheme="minorHAnsi"/>
          <w:sz w:val="22"/>
          <w:szCs w:val="22"/>
        </w:rPr>
        <w:t>a communist insurgency movement</w:t>
      </w:r>
      <w:r w:rsidR="00F8200F">
        <w:rPr>
          <w:rFonts w:cstheme="minorHAnsi"/>
          <w:sz w:val="22"/>
          <w:szCs w:val="22"/>
        </w:rPr>
        <w:t xml:space="preserve">, </w:t>
      </w:r>
      <w:r w:rsidR="007D3B19" w:rsidRPr="004E053C">
        <w:rPr>
          <w:rFonts w:cstheme="minorHAnsi"/>
          <w:sz w:val="22"/>
          <w:szCs w:val="22"/>
        </w:rPr>
        <w:t>and took the form of brutal violence through guerilla warfare. The conflict is important background for any research on Peru, but is particularly important to a study on migration as the violence in rural areas led to widespread migration away from the most affected areas. This section will provide a brief background on the conflict, documenting the historical and political roots of the movement, as well as the trajectory the conflict took before the capture of the group’s leaders. I will then focus more in depth on the impact the conflict had on every day life and how it led to mass migration away from rural areas.</w:t>
      </w:r>
    </w:p>
    <w:p w14:paraId="245EAB3C" w14:textId="77777777" w:rsidR="0010441C" w:rsidRPr="004E053C" w:rsidRDefault="0010441C" w:rsidP="004E053C">
      <w:pPr>
        <w:spacing w:line="360" w:lineRule="auto"/>
        <w:jc w:val="both"/>
        <w:rPr>
          <w:rFonts w:cstheme="minorHAnsi"/>
          <w:b/>
        </w:rPr>
      </w:pPr>
    </w:p>
    <w:p w14:paraId="0759F342" w14:textId="017235C8" w:rsidR="00375961" w:rsidRPr="004E053C" w:rsidRDefault="00502226" w:rsidP="004E053C">
      <w:pPr>
        <w:pStyle w:val="Heading3"/>
        <w:rPr>
          <w:rFonts w:asciiTheme="minorHAnsi" w:hAnsiTheme="minorHAnsi"/>
        </w:rPr>
      </w:pPr>
      <w:r w:rsidRPr="004E053C">
        <w:rPr>
          <w:rFonts w:asciiTheme="minorHAnsi" w:hAnsiTheme="minorHAnsi"/>
        </w:rPr>
        <w:t>3.</w:t>
      </w:r>
      <w:r w:rsidR="00375961" w:rsidRPr="004E053C">
        <w:rPr>
          <w:rFonts w:asciiTheme="minorHAnsi" w:hAnsiTheme="minorHAnsi"/>
        </w:rPr>
        <w:t>4.1. Background to the conflict</w:t>
      </w:r>
    </w:p>
    <w:p w14:paraId="24928756" w14:textId="77777777" w:rsidR="0010441C" w:rsidRPr="004E053C" w:rsidRDefault="0010441C" w:rsidP="004E053C">
      <w:pPr>
        <w:spacing w:line="360" w:lineRule="auto"/>
        <w:jc w:val="both"/>
        <w:rPr>
          <w:rFonts w:cstheme="minorHAnsi"/>
          <w:sz w:val="22"/>
          <w:szCs w:val="22"/>
        </w:rPr>
      </w:pPr>
    </w:p>
    <w:p w14:paraId="20D5DC35" w14:textId="3CD91D9E" w:rsidR="00375961" w:rsidRPr="004E053C" w:rsidRDefault="00375961" w:rsidP="004E053C">
      <w:pPr>
        <w:spacing w:line="360" w:lineRule="auto"/>
        <w:jc w:val="both"/>
        <w:rPr>
          <w:rFonts w:eastAsia="Times New Roman" w:cs="Times New Roman"/>
          <w:sz w:val="20"/>
          <w:szCs w:val="20"/>
          <w:lang w:val="en-GB"/>
        </w:rPr>
      </w:pPr>
      <w:r w:rsidRPr="004E053C">
        <w:rPr>
          <w:rFonts w:cstheme="minorHAnsi"/>
          <w:sz w:val="22"/>
          <w:szCs w:val="22"/>
        </w:rPr>
        <w:t xml:space="preserve">Along with economic crisis, Peruvians have had to cope with a civil was that started in 1984 and turned excessively violent into the 1990s. This was initiated by </w:t>
      </w:r>
      <w:r w:rsidR="007D3B19" w:rsidRPr="004E053C">
        <w:rPr>
          <w:rFonts w:eastAsia="Times New Roman" w:cstheme="minorHAnsi"/>
          <w:sz w:val="22"/>
          <w:szCs w:val="22"/>
        </w:rPr>
        <w:t>radical Maoist ideology that</w:t>
      </w:r>
      <w:r w:rsidRPr="004E053C">
        <w:rPr>
          <w:rFonts w:eastAsia="Times New Roman" w:cstheme="minorHAnsi"/>
          <w:sz w:val="22"/>
          <w:szCs w:val="22"/>
        </w:rPr>
        <w:t xml:space="preserve"> eventually encompassed a significant proportion of the countryside as well as encroaching into urban areas and, eventually, Lima itself.</w:t>
      </w:r>
      <w:r w:rsidRPr="004E053C">
        <w:rPr>
          <w:rFonts w:cstheme="minorHAnsi"/>
          <w:sz w:val="22"/>
          <w:szCs w:val="22"/>
        </w:rPr>
        <w:t xml:space="preserve"> The ideology-driven conflict can be directly traced back to an impoverished town in the south-central highlands, which then spread across the majority of the country. </w:t>
      </w:r>
      <w:r w:rsidRPr="004E053C">
        <w:rPr>
          <w:rFonts w:eastAsia="Times New Roman" w:cstheme="minorHAnsi"/>
          <w:sz w:val="22"/>
          <w:szCs w:val="22"/>
        </w:rPr>
        <w:t>At the time, the majority of the population in the Southern highlands were illiterate and living standards were significantly lower than on the coast or in the northern or cent</w:t>
      </w:r>
      <w:r w:rsidR="00824C84" w:rsidRPr="004E053C">
        <w:rPr>
          <w:rFonts w:eastAsia="Times New Roman" w:cstheme="minorHAnsi"/>
          <w:sz w:val="22"/>
          <w:szCs w:val="22"/>
        </w:rPr>
        <w:t xml:space="preserve">ral highlands </w:t>
      </w:r>
      <w:r w:rsidR="00824C84" w:rsidRPr="004E053C">
        <w:rPr>
          <w:rFonts w:eastAsia="Times New Roman" w:cstheme="minorHAnsi"/>
          <w:sz w:val="22"/>
          <w:szCs w:val="22"/>
        </w:rPr>
        <w:fldChar w:fldCharType="begin" w:fldLock="1"/>
      </w:r>
      <w:r w:rsidR="00824C84" w:rsidRPr="004E053C">
        <w:rPr>
          <w:rFonts w:eastAsia="Times New Roman" w:cstheme="minorHAnsi"/>
          <w:sz w:val="22"/>
          <w:szCs w:val="22"/>
        </w:rPr>
        <w:instrText>ADDIN CSL_CITATION {"citationItems":[{"id":"ITEM-1","itemData":{"author":[{"dropping-particle":"","family":"McClintock","given":"Cynthia","non-dropping-particle":"","parse-names":false,"suffix":""}],"container-title":"World Politics","id":"ITEM-1","issue":"1","issued":{"date-parts":[["1984"]]},"page":"48-84","title":"Why peasants rebel: the case of Peru's Sendero Luminoso","type":"article-journal","volume":"37"},"uris":["http://www.mendeley.com/documents/?uuid=aae18678-56a0-4342-829c-31f1d83ba5ed"]}],"mendeley":{"formattedCitation":"(McClintock, 1984)","plainTextFormattedCitation":"(McClintock, 1984)","previouslyFormattedCitation":"(McClintock, 1984)"},"properties":{"noteIndex":0},"schema":"https://github.com/citation-style-language/schema/raw/master/csl-citation.json"}</w:instrText>
      </w:r>
      <w:r w:rsidR="00824C84" w:rsidRPr="004E053C">
        <w:rPr>
          <w:rFonts w:eastAsia="Times New Roman" w:cstheme="minorHAnsi"/>
          <w:sz w:val="22"/>
          <w:szCs w:val="22"/>
        </w:rPr>
        <w:fldChar w:fldCharType="separate"/>
      </w:r>
      <w:r w:rsidR="00824C84" w:rsidRPr="004E053C">
        <w:rPr>
          <w:rFonts w:eastAsia="Times New Roman" w:cstheme="minorHAnsi"/>
          <w:noProof/>
          <w:sz w:val="22"/>
          <w:szCs w:val="22"/>
        </w:rPr>
        <w:t>(McClintock, 1984)</w:t>
      </w:r>
      <w:r w:rsidR="00824C84" w:rsidRPr="004E053C">
        <w:rPr>
          <w:rFonts w:eastAsia="Times New Roman" w:cstheme="minorHAnsi"/>
          <w:sz w:val="22"/>
          <w:szCs w:val="22"/>
        </w:rPr>
        <w:fldChar w:fldCharType="end"/>
      </w:r>
      <w:r w:rsidRPr="004E053C">
        <w:rPr>
          <w:rFonts w:eastAsia="Times New Roman" w:cstheme="minorHAnsi"/>
          <w:sz w:val="22"/>
          <w:szCs w:val="22"/>
        </w:rPr>
        <w:t>. Although conditions there have always made agricultural livelihoods difficult, they had become poorer through the 1970s and in 1983 were further devastated by drought caused b</w:t>
      </w:r>
      <w:r w:rsidR="00824C84" w:rsidRPr="004E053C">
        <w:rPr>
          <w:rFonts w:eastAsia="Times New Roman" w:cstheme="minorHAnsi"/>
          <w:sz w:val="22"/>
          <w:szCs w:val="22"/>
        </w:rPr>
        <w:t xml:space="preserve">y the El </w:t>
      </w:r>
      <w:r w:rsidR="000C1151" w:rsidRPr="004E053C">
        <w:rPr>
          <w:rFonts w:eastAsia="Times New Roman" w:cs="Arial"/>
          <w:bCs/>
          <w:color w:val="222222"/>
          <w:sz w:val="22"/>
          <w:szCs w:val="22"/>
          <w:shd w:val="clear" w:color="auto" w:fill="FFFFFF"/>
          <w:lang w:val="en-GB"/>
        </w:rPr>
        <w:t>Niño</w:t>
      </w:r>
      <w:r w:rsidR="00824C84" w:rsidRPr="004E053C">
        <w:rPr>
          <w:rFonts w:eastAsia="Times New Roman" w:cstheme="minorHAnsi"/>
          <w:sz w:val="22"/>
          <w:szCs w:val="22"/>
        </w:rPr>
        <w:t xml:space="preserve"> </w:t>
      </w:r>
      <w:r w:rsidR="00824C84" w:rsidRPr="004E053C">
        <w:rPr>
          <w:rFonts w:eastAsia="Times New Roman" w:cstheme="minorHAnsi"/>
          <w:sz w:val="22"/>
          <w:szCs w:val="22"/>
        </w:rPr>
        <w:fldChar w:fldCharType="begin" w:fldLock="1"/>
      </w:r>
      <w:r w:rsidR="00824C84" w:rsidRPr="004E053C">
        <w:rPr>
          <w:rFonts w:eastAsia="Times New Roman" w:cstheme="minorHAnsi"/>
          <w:sz w:val="22"/>
          <w:szCs w:val="22"/>
        </w:rPr>
        <w:instrText>ADDIN CSL_CITATION {"citationItems":[{"id":"ITEM-1","itemData":{"author":[{"dropping-particle":"","family":"McClintock","given":"Cynthia","non-dropping-particle":"","parse-names":false,"suffix":""}],"container-title":"World Politics","id":"ITEM-1","issue":"1","issued":{"date-parts":[["1984"]]},"page":"48-84","title":"Why peasants rebel: the case of Peru's Sendero Luminoso","type":"article-journal","volume":"37"},"uris":["http://www.mendeley.com/documents/?uuid=aae18678-56a0-4342-829c-31f1d83ba5ed"]}],"mendeley":{"formattedCitation":"(McClintock, 1984)","manualFormatting":"(Ibid.)","plainTextFormattedCitation":"(McClintock, 1984)","previouslyFormattedCitation":"(McClintock, 1984)"},"properties":{"noteIndex":0},"schema":"https://github.com/citation-style-language/schema/raw/master/csl-citation.json"}</w:instrText>
      </w:r>
      <w:r w:rsidR="00824C84" w:rsidRPr="004E053C">
        <w:rPr>
          <w:rFonts w:eastAsia="Times New Roman" w:cstheme="minorHAnsi"/>
          <w:sz w:val="22"/>
          <w:szCs w:val="22"/>
        </w:rPr>
        <w:fldChar w:fldCharType="separate"/>
      </w:r>
      <w:r w:rsidR="00824C84" w:rsidRPr="004E053C">
        <w:rPr>
          <w:rFonts w:eastAsia="Times New Roman" w:cstheme="minorHAnsi"/>
          <w:noProof/>
          <w:sz w:val="22"/>
          <w:szCs w:val="22"/>
        </w:rPr>
        <w:t>(Ibid.)</w:t>
      </w:r>
      <w:r w:rsidR="00824C84" w:rsidRPr="004E053C">
        <w:rPr>
          <w:rFonts w:eastAsia="Times New Roman" w:cstheme="minorHAnsi"/>
          <w:sz w:val="22"/>
          <w:szCs w:val="22"/>
        </w:rPr>
        <w:fldChar w:fldCharType="end"/>
      </w:r>
      <w:r w:rsidR="00824C84" w:rsidRPr="004E053C">
        <w:rPr>
          <w:rFonts w:eastAsia="Times New Roman" w:cstheme="minorHAnsi"/>
          <w:sz w:val="22"/>
          <w:szCs w:val="22"/>
        </w:rPr>
        <w:t>.</w:t>
      </w:r>
      <w:r w:rsidRPr="004E053C">
        <w:rPr>
          <w:rFonts w:eastAsia="Times New Roman" w:cstheme="minorHAnsi"/>
          <w:sz w:val="22"/>
          <w:szCs w:val="22"/>
        </w:rPr>
        <w:t xml:space="preserve"> The radical land reform introduced by the Velasco government that had brought about the end of the haciendas had also failed to benefit farming families as much as had been anticipated </w:t>
      </w:r>
      <w:r w:rsidR="00824C84"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{"citationItems":[{"id":"ITEM-1","itemData":{"author":[{"dropping-particle":"","family":"McClintock","given":"Cynthia","non-dropping-particle":"","parse-names":false,"suffix":""}],"container-title":"World Politics","id":"ITEM-1","issue":"1","issued":{"date-parts":[["1984"]]},"page":"48-84","title":"Why peasants rebel: the case of Peru's Sendero Luminoso","type":"article-journal","volume":"37"},"uris":["http://www.mendeley.com/documents/?uuid=aae18678-56a0-4342-829c-31f1d83ba5ed"]},{"id":"ITEM-2","itemData":{"abstract":"War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Theology","id":"ITEM-2","issue":"3","issued":{"date-parts":[["2013"]]},"page":"284-303","title":"Theology and the origins of conflict: The shining path insurgency in Peru, 1980-2000","type":"article-journal","volume":"14"},"uris":["http://www.mendeley.com/documents/?uuid=f52b248a-4bcf-442a-9241-61cd319c6c35"]}],"mendeley":{"formattedCitation":"(McClintock, 1984; Shadle, 2013)","plainTextFormattedCitation":"(McClintock, 1984; Shadle, 2013)","previouslyFormattedCitation":"(McClintock, 1984; Shadle, 2013)"},"properties":{"noteIndex":0},"schema":"https://github.com/citation-style-language/schema/raw/master/csl-citation.json"}</w:instrText>
      </w:r>
      <w:r w:rsidR="00824C84" w:rsidRPr="004E053C">
        <w:rPr>
          <w:rFonts w:eastAsia="Times New Roman" w:cstheme="minorHAnsi"/>
          <w:sz w:val="22"/>
          <w:szCs w:val="22"/>
        </w:rPr>
        <w:fldChar w:fldCharType="separate"/>
      </w:r>
      <w:r w:rsidR="00824C84" w:rsidRPr="004E053C">
        <w:rPr>
          <w:rFonts w:eastAsia="Times New Roman" w:cstheme="minorHAnsi"/>
          <w:noProof/>
          <w:sz w:val="22"/>
          <w:szCs w:val="22"/>
        </w:rPr>
        <w:t>(McClintock, 1984; Shadle, 2013)</w:t>
      </w:r>
      <w:r w:rsidR="00824C84" w:rsidRPr="004E053C">
        <w:rPr>
          <w:rFonts w:eastAsia="Times New Roman" w:cstheme="minorHAnsi"/>
          <w:sz w:val="22"/>
          <w:szCs w:val="22"/>
        </w:rPr>
        <w:fldChar w:fldCharType="end"/>
      </w:r>
      <w:r w:rsidRPr="004E053C">
        <w:rPr>
          <w:rFonts w:eastAsia="Times New Roman" w:cstheme="minorHAnsi"/>
          <w:sz w:val="22"/>
          <w:szCs w:val="22"/>
        </w:rPr>
        <w:t xml:space="preserve">. It is these conditions that are widely thought to have enabled </w:t>
      </w:r>
      <w:r w:rsidRPr="004E053C">
        <w:rPr>
          <w:rFonts w:eastAsia="Times New Roman" w:cstheme="minorHAnsi"/>
          <w:i/>
          <w:sz w:val="22"/>
          <w:szCs w:val="22"/>
        </w:rPr>
        <w:t>Sendero</w:t>
      </w:r>
      <w:r w:rsidRPr="004E053C">
        <w:rPr>
          <w:rFonts w:eastAsia="Times New Roman" w:cstheme="minorHAnsi"/>
          <w:sz w:val="22"/>
          <w:szCs w:val="22"/>
        </w:rPr>
        <w:t xml:space="preserve"> </w:t>
      </w:r>
      <w:r w:rsidRPr="004E053C">
        <w:rPr>
          <w:rFonts w:eastAsia="Times New Roman" w:cstheme="minorHAnsi"/>
          <w:i/>
          <w:sz w:val="22"/>
          <w:szCs w:val="22"/>
        </w:rPr>
        <w:t>Luminoso</w:t>
      </w:r>
      <w:r w:rsidRPr="004E053C">
        <w:rPr>
          <w:rFonts w:eastAsia="Times New Roman" w:cstheme="minorHAnsi"/>
          <w:sz w:val="22"/>
          <w:szCs w:val="22"/>
        </w:rPr>
        <w:t xml:space="preserve"> to attract strong support in rural areas </w:t>
      </w:r>
      <w:r w:rsidR="00824C84"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{"citationItems":[{"id":"ITEM-1","itemData":{"author":[{"dropping-particle":"","family":"McClintock","given":"Cynthia","non-dropping-particle":"","parse-names":false,"suffix":""}],"container-title":"World Politics","id":"ITEM-1","issue":"1","issued":{"date-parts":[["1984"]]},"page":"48-84","title":"Why peasants rebel: the case of Peru's Sendero Luminoso","type":"article-journal","volume":"37"},"uris":["http://www.mendeley.com/documents/?uuid=aae18678-56a0-4342-829c-31f1d83ba5ed"]},{"id":"ITEM-2","itemData":{"abstract":"War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Theology","id":"ITEM-2","issue":"3","issued":{"date-parts":[["2013"]]},"page":"284-303","title":"Theology and the origins of conflict: The shining path insurgency in Peru, 1980-2000","type":"article-journal","volume":"14"},"uris":["http://www.mendeley.com/documents/?uuid=f52b248a-4bcf-442a-9241-61cd319c6c35"]}],"mendeley":{"formattedCitation":"(McClintock, 1984; Shadle, 2013)","plainTextFormattedCitation":"(McClintock, 1984; Shadle, 2013)","previouslyFormattedCitation":"(McClintock, 1984; Shadle, 2013)"},"properties":{"noteIndex":0},"schema":"https://github.com/citation-style-language/schema/raw/master/csl-citation.json"}</w:instrText>
      </w:r>
      <w:r w:rsidR="00824C84" w:rsidRPr="004E053C">
        <w:rPr>
          <w:rFonts w:eastAsia="Times New Roman" w:cstheme="minorHAnsi"/>
          <w:sz w:val="22"/>
          <w:szCs w:val="22"/>
        </w:rPr>
        <w:fldChar w:fldCharType="separate"/>
      </w:r>
      <w:r w:rsidR="00824C84" w:rsidRPr="004E053C">
        <w:rPr>
          <w:rFonts w:eastAsia="Times New Roman" w:cstheme="minorHAnsi"/>
          <w:noProof/>
          <w:sz w:val="22"/>
          <w:szCs w:val="22"/>
        </w:rPr>
        <w:t>(McClintock, 1984; Shadle, 2013)</w:t>
      </w:r>
      <w:r w:rsidR="00824C84" w:rsidRPr="004E053C">
        <w:rPr>
          <w:rFonts w:eastAsia="Times New Roman" w:cstheme="minorHAnsi"/>
          <w:sz w:val="22"/>
          <w:szCs w:val="22"/>
        </w:rPr>
        <w:fldChar w:fldCharType="end"/>
      </w:r>
      <w:r w:rsidR="00824C84" w:rsidRPr="004E053C">
        <w:rPr>
          <w:rFonts w:eastAsia="Times New Roman" w:cstheme="minorHAnsi"/>
          <w:sz w:val="22"/>
          <w:szCs w:val="22"/>
        </w:rPr>
        <w:t>.</w:t>
      </w:r>
    </w:p>
    <w:p w14:paraId="476D9DB1" w14:textId="77777777" w:rsidR="00375961" w:rsidRPr="004E053C" w:rsidRDefault="00375961" w:rsidP="004E053C">
      <w:pPr>
        <w:spacing w:line="360" w:lineRule="auto"/>
        <w:jc w:val="both"/>
        <w:rPr>
          <w:rFonts w:eastAsia="Times New Roman" w:cstheme="minorHAnsi"/>
          <w:sz w:val="20"/>
          <w:szCs w:val="20"/>
          <w:highlight w:val="yellow"/>
        </w:rPr>
      </w:pPr>
    </w:p>
    <w:p w14:paraId="5347713B" w14:textId="3ABA6D43" w:rsidR="00375961" w:rsidRPr="004E053C" w:rsidRDefault="00375961" w:rsidP="004E053C">
      <w:pPr>
        <w:spacing w:line="360" w:lineRule="auto"/>
        <w:jc w:val="both"/>
        <w:rPr>
          <w:rFonts w:eastAsia="Times New Roman" w:cstheme="minorHAnsi"/>
          <w:sz w:val="22"/>
          <w:szCs w:val="22"/>
        </w:rPr>
      </w:pPr>
      <w:r w:rsidRPr="004E053C">
        <w:rPr>
          <w:rFonts w:cstheme="minorHAnsi"/>
          <w:sz w:val="22"/>
          <w:szCs w:val="22"/>
        </w:rPr>
        <w:t xml:space="preserve">Palmer </w:t>
      </w:r>
      <w:r w:rsidR="00824C84" w:rsidRPr="004E053C">
        <w:rPr>
          <w:rFonts w:cstheme="minorHAnsi"/>
          <w:sz w:val="22"/>
          <w:szCs w:val="22"/>
        </w:rPr>
        <w:fldChar w:fldCharType="begin" w:fldLock="1"/>
      </w:r>
      <w:r w:rsidR="002F0CEA">
        <w:rPr>
          <w:rFonts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2017)","manualFormatting":"(2017)","plainTextFormattedCitation":"(Palmer, 2017)","previouslyFormattedCitation":"(Palmer, 2017)"},"properties":{"noteIndex":0},"schema":"https://github.com/citation-style-language/schema/raw/master/csl-citation.json"}</w:instrText>
      </w:r>
      <w:r w:rsidR="00824C84" w:rsidRPr="004E053C">
        <w:rPr>
          <w:rFonts w:cstheme="minorHAnsi"/>
          <w:sz w:val="22"/>
          <w:szCs w:val="22"/>
        </w:rPr>
        <w:fldChar w:fldCharType="separate"/>
      </w:r>
      <w:r w:rsidR="00824C84" w:rsidRPr="004E053C">
        <w:rPr>
          <w:rFonts w:cstheme="minorHAnsi"/>
          <w:noProof/>
          <w:sz w:val="22"/>
          <w:szCs w:val="22"/>
        </w:rPr>
        <w:t>(2017)</w:t>
      </w:r>
      <w:r w:rsidR="00824C84" w:rsidRPr="004E053C">
        <w:rPr>
          <w:rFonts w:cstheme="minorHAnsi"/>
          <w:sz w:val="22"/>
          <w:szCs w:val="22"/>
        </w:rPr>
        <w:fldChar w:fldCharType="end"/>
      </w:r>
      <w:r w:rsidRPr="004E053C">
        <w:rPr>
          <w:rFonts w:cstheme="minorHAnsi"/>
          <w:sz w:val="22"/>
          <w:szCs w:val="22"/>
        </w:rPr>
        <w:t xml:space="preserve"> argues that despite the economic crisis, Peru in the 1980s did not bear the hallmarks of a country under threat of insurgency. This is because it had a functioning democracy and could </w:t>
      </w:r>
      <w:r w:rsidRPr="004E053C">
        <w:rPr>
          <w:rFonts w:cstheme="minorHAnsi"/>
          <w:sz w:val="22"/>
          <w:szCs w:val="22"/>
        </w:rPr>
        <w:lastRenderedPageBreak/>
        <w:t xml:space="preserve">not be classified as authoritarian or repressive. Furthermore, </w:t>
      </w:r>
      <w:r w:rsidRPr="004E053C">
        <w:rPr>
          <w:rFonts w:eastAsia="Times New Roman" w:cstheme="minorHAnsi"/>
          <w:sz w:val="22"/>
          <w:szCs w:val="22"/>
        </w:rPr>
        <w:t xml:space="preserve">poor and illiterate people were able to vote and there seemed to be sufficient political space within the system for the resolution of grievances, however profound </w:t>
      </w:r>
      <w:r w:rsidR="00824C84"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2017)","manualFormatting":"(Ibid.)","plainTextFormattedCitation":"(Palmer, 2017)","previouslyFormattedCitation":"(Palmer, 2017)"},"properties":{"noteIndex":0},"schema":"https://github.com/citation-style-language/schema/raw/master/csl-citation.json"}</w:instrText>
      </w:r>
      <w:r w:rsidR="00824C84" w:rsidRPr="004E053C">
        <w:rPr>
          <w:rFonts w:eastAsia="Times New Roman" w:cstheme="minorHAnsi"/>
          <w:sz w:val="22"/>
          <w:szCs w:val="22"/>
        </w:rPr>
        <w:fldChar w:fldCharType="separate"/>
      </w:r>
      <w:r w:rsidR="00F65333" w:rsidRPr="004E053C">
        <w:rPr>
          <w:rFonts w:eastAsia="Times New Roman" w:cstheme="minorHAnsi"/>
          <w:noProof/>
          <w:sz w:val="22"/>
          <w:szCs w:val="22"/>
        </w:rPr>
        <w:t>(Ibid.</w:t>
      </w:r>
      <w:r w:rsidR="00824C84" w:rsidRPr="004E053C">
        <w:rPr>
          <w:rFonts w:eastAsia="Times New Roman" w:cstheme="minorHAnsi"/>
          <w:noProof/>
          <w:sz w:val="22"/>
          <w:szCs w:val="22"/>
        </w:rPr>
        <w:t>)</w:t>
      </w:r>
      <w:r w:rsidR="00824C84" w:rsidRPr="004E053C">
        <w:rPr>
          <w:rFonts w:eastAsia="Times New Roman" w:cstheme="minorHAnsi"/>
          <w:sz w:val="22"/>
          <w:szCs w:val="22"/>
        </w:rPr>
        <w:fldChar w:fldCharType="end"/>
      </w:r>
      <w:r w:rsidRPr="004E053C">
        <w:rPr>
          <w:rFonts w:eastAsia="Times New Roman" w:cstheme="minorHAnsi"/>
          <w:sz w:val="22"/>
          <w:szCs w:val="22"/>
        </w:rPr>
        <w:t xml:space="preserve">. The recent election of a more reformist administration had in fact generated a more open political climate and an expansion in party activity, especially on the left. This was buoyed by international politics at the time, most notably the Cold War. While the Soviet Union made important contributions to the Communist Party, the US policy toward Latin America was dominated by national security issues and growing hostility. The Cuban Revolution also inspired sympathy throughout Latin America with many buying into the anti-American and anti-capitalist message, furthering the ambitions of the left, particularly within universities </w:t>
      </w:r>
      <w:r w:rsidR="00F65333"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2017)","manualFormatting":"(Ibid.)","plainTextFormattedCitation":"(Palmer, 2017)","previouslyFormattedCitation":"(Palmer, 2017)"},"properties":{"noteIndex":0},"schema":"https://github.com/citation-style-language/schema/raw/master/csl-citation.json"}</w:instrText>
      </w:r>
      <w:r w:rsidR="00F65333" w:rsidRPr="004E053C">
        <w:rPr>
          <w:rFonts w:eastAsia="Times New Roman" w:cstheme="minorHAnsi"/>
          <w:sz w:val="22"/>
          <w:szCs w:val="22"/>
        </w:rPr>
        <w:fldChar w:fldCharType="separate"/>
      </w:r>
      <w:r w:rsidR="00F65333" w:rsidRPr="004E053C">
        <w:rPr>
          <w:rFonts w:eastAsia="Times New Roman" w:cstheme="minorHAnsi"/>
          <w:noProof/>
          <w:sz w:val="22"/>
          <w:szCs w:val="22"/>
        </w:rPr>
        <w:t>(</w:t>
      </w:r>
      <w:r w:rsidR="007D3B19" w:rsidRPr="004E053C">
        <w:rPr>
          <w:rFonts w:eastAsia="Times New Roman" w:cstheme="minorHAnsi"/>
          <w:noProof/>
          <w:sz w:val="22"/>
          <w:szCs w:val="22"/>
        </w:rPr>
        <w:t>I</w:t>
      </w:r>
      <w:r w:rsidR="00F65333" w:rsidRPr="004E053C">
        <w:rPr>
          <w:rFonts w:eastAsia="Times New Roman" w:cstheme="minorHAnsi"/>
          <w:noProof/>
          <w:sz w:val="22"/>
          <w:szCs w:val="22"/>
        </w:rPr>
        <w:t>bid.)</w:t>
      </w:r>
      <w:r w:rsidR="00F65333" w:rsidRPr="004E053C">
        <w:rPr>
          <w:rFonts w:eastAsia="Times New Roman" w:cstheme="minorHAnsi"/>
          <w:sz w:val="22"/>
          <w:szCs w:val="22"/>
        </w:rPr>
        <w:fldChar w:fldCharType="end"/>
      </w:r>
      <w:r w:rsidR="00F65333" w:rsidRPr="004E053C">
        <w:rPr>
          <w:rFonts w:eastAsia="Times New Roman" w:cstheme="minorHAnsi"/>
          <w:sz w:val="22"/>
          <w:szCs w:val="22"/>
        </w:rPr>
        <w:t>.</w:t>
      </w:r>
    </w:p>
    <w:p w14:paraId="76CFCDC8" w14:textId="77777777" w:rsidR="00375961" w:rsidRPr="004E053C" w:rsidRDefault="00375961" w:rsidP="004E053C">
      <w:pPr>
        <w:spacing w:line="360" w:lineRule="auto"/>
        <w:jc w:val="both"/>
        <w:rPr>
          <w:rFonts w:cstheme="minorHAnsi"/>
          <w:sz w:val="22"/>
          <w:szCs w:val="22"/>
        </w:rPr>
      </w:pPr>
    </w:p>
    <w:p w14:paraId="1D165A55" w14:textId="44ABB24A" w:rsidR="00375961" w:rsidRPr="004E053C" w:rsidRDefault="00375961" w:rsidP="004E053C">
      <w:pPr>
        <w:spacing w:line="360" w:lineRule="auto"/>
        <w:jc w:val="both"/>
        <w:rPr>
          <w:rFonts w:eastAsia="Times New Roman" w:cstheme="minorHAnsi"/>
          <w:sz w:val="22"/>
          <w:szCs w:val="22"/>
        </w:rPr>
      </w:pPr>
      <w:r w:rsidRPr="004E053C">
        <w:rPr>
          <w:rFonts w:cstheme="minorHAnsi"/>
          <w:sz w:val="22"/>
          <w:szCs w:val="22"/>
        </w:rPr>
        <w:t xml:space="preserve">Despite the high levels of extreme poverty at the time in rural areas, it was not the impoverished populations that initiated the insurgency </w:t>
      </w:r>
      <w:r w:rsidR="00F65333" w:rsidRPr="004E053C">
        <w:rPr>
          <w:rFonts w:cstheme="minorHAnsi"/>
          <w:sz w:val="22"/>
          <w:szCs w:val="22"/>
        </w:rPr>
        <w:fldChar w:fldCharType="begin" w:fldLock="1"/>
      </w:r>
      <w:r w:rsidR="002F0CEA">
        <w:rPr>
          <w:rFonts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F65333" w:rsidRPr="004E053C">
        <w:rPr>
          <w:rFonts w:cstheme="minorHAnsi"/>
          <w:sz w:val="22"/>
          <w:szCs w:val="22"/>
        </w:rPr>
        <w:fldChar w:fldCharType="separate"/>
      </w:r>
      <w:r w:rsidR="00F65333" w:rsidRPr="004E053C">
        <w:rPr>
          <w:rFonts w:cstheme="minorHAnsi"/>
          <w:noProof/>
          <w:sz w:val="22"/>
          <w:szCs w:val="22"/>
        </w:rPr>
        <w:t>(Palmer, 2017)</w:t>
      </w:r>
      <w:r w:rsidR="00F65333" w:rsidRPr="004E053C">
        <w:rPr>
          <w:rFonts w:cstheme="minorHAnsi"/>
          <w:sz w:val="22"/>
          <w:szCs w:val="22"/>
        </w:rPr>
        <w:fldChar w:fldCharType="end"/>
      </w:r>
      <w:r w:rsidRPr="004E053C">
        <w:rPr>
          <w:rFonts w:cstheme="minorHAnsi"/>
          <w:sz w:val="22"/>
          <w:szCs w:val="22"/>
        </w:rPr>
        <w:t xml:space="preserve">. Instead </w:t>
      </w:r>
      <w:r w:rsidRPr="004E053C">
        <w:rPr>
          <w:rFonts w:cstheme="minorHAnsi"/>
          <w:i/>
          <w:sz w:val="22"/>
          <w:szCs w:val="22"/>
        </w:rPr>
        <w:t>Sendero Luminoso</w:t>
      </w:r>
      <w:r w:rsidRPr="004E053C">
        <w:rPr>
          <w:rFonts w:cstheme="minorHAnsi"/>
          <w:sz w:val="22"/>
          <w:szCs w:val="22"/>
        </w:rPr>
        <w:t xml:space="preserve"> had its beginning in the Education Faculty at the </w:t>
      </w:r>
      <w:r w:rsidRPr="004E053C">
        <w:rPr>
          <w:rFonts w:eastAsia="Times New Roman" w:cstheme="minorHAnsi"/>
          <w:sz w:val="22"/>
          <w:szCs w:val="22"/>
        </w:rPr>
        <w:t xml:space="preserve">Universidad Nacional San Cristobal de Huamanga in Ayacucho </w:t>
      </w:r>
      <w:r w:rsidR="00F65333" w:rsidRPr="004E053C">
        <w:rPr>
          <w:rFonts w:eastAsia="Times New Roman" w:cstheme="minorHAnsi"/>
          <w:sz w:val="22"/>
          <w:szCs w:val="22"/>
        </w:rPr>
        <w:fldChar w:fldCharType="begin" w:fldLock="1"/>
      </w:r>
      <w:r w:rsidR="00F65333" w:rsidRPr="004E053C">
        <w:rPr>
          <w:rFonts w:eastAsia="Times New Roman" w:cstheme="minorHAnsi"/>
          <w:sz w:val="22"/>
          <w:szCs w:val="22"/>
        </w:rPr>
        <w:instrText>ADDIN CSL_CITATION {"citationItems":[{"id":"ITEM-1","itemData":{"author":[{"dropping-particle":"","family":"Kent","given":"Robert B","non-dropping-particle":"","parse-names":false,"suffix":""}],"container-title":"The Geographical Review","id":"ITEM-1","issue":"4","issued":{"date-parts":[["1993"]]},"page":"441-454","title":"Geographical Dimensions of the Shining Path Insurgency in Peru","type":"article-journal","volume":"83"},"uris":["http://www.mendeley.com/documents/?uuid=523f4957-07a8-4fde-80bf-0a403ef58800"]}],"mendeley":{"formattedCitation":"(Kent, 1993)","plainTextFormattedCitation":"(Kent, 1993)","previouslyFormattedCitation":"(Kent, 1993)"},"properties":{"noteIndex":0},"schema":"https://github.com/citation-style-language/schema/raw/master/csl-citation.json"}</w:instrText>
      </w:r>
      <w:r w:rsidR="00F65333" w:rsidRPr="004E053C">
        <w:rPr>
          <w:rFonts w:eastAsia="Times New Roman" w:cstheme="minorHAnsi"/>
          <w:sz w:val="22"/>
          <w:szCs w:val="22"/>
        </w:rPr>
        <w:fldChar w:fldCharType="separate"/>
      </w:r>
      <w:r w:rsidR="00F65333" w:rsidRPr="004E053C">
        <w:rPr>
          <w:rFonts w:eastAsia="Times New Roman" w:cstheme="minorHAnsi"/>
          <w:noProof/>
          <w:sz w:val="22"/>
          <w:szCs w:val="22"/>
        </w:rPr>
        <w:t>(Kent, 1993)</w:t>
      </w:r>
      <w:r w:rsidR="00F65333" w:rsidRPr="004E053C">
        <w:rPr>
          <w:rFonts w:eastAsia="Times New Roman" w:cstheme="minorHAnsi"/>
          <w:sz w:val="22"/>
          <w:szCs w:val="22"/>
        </w:rPr>
        <w:fldChar w:fldCharType="end"/>
      </w:r>
      <w:r w:rsidRPr="004E053C">
        <w:rPr>
          <w:rFonts w:eastAsia="Times New Roman" w:cstheme="minorHAnsi"/>
          <w:sz w:val="22"/>
          <w:szCs w:val="22"/>
        </w:rPr>
        <w:t xml:space="preserve">. Abimael Guzmán Reynoso was a lecturer here in the mid-1960s, and already an active member of the breakaway Maoist party, Red Flag </w:t>
      </w:r>
      <w:r w:rsidR="00F65333" w:rsidRPr="004E053C">
        <w:rPr>
          <w:rFonts w:cstheme="minorHAnsi"/>
          <w:sz w:val="22"/>
          <w:szCs w:val="22"/>
        </w:rPr>
        <w:fldChar w:fldCharType="begin" w:fldLock="1"/>
      </w:r>
      <w:r w:rsidR="002F0CEA">
        <w:rPr>
          <w:rFonts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F65333" w:rsidRPr="004E053C">
        <w:rPr>
          <w:rFonts w:cstheme="minorHAnsi"/>
          <w:sz w:val="22"/>
          <w:szCs w:val="22"/>
        </w:rPr>
        <w:fldChar w:fldCharType="separate"/>
      </w:r>
      <w:r w:rsidR="00F65333" w:rsidRPr="004E053C">
        <w:rPr>
          <w:rFonts w:cstheme="minorHAnsi"/>
          <w:noProof/>
          <w:sz w:val="22"/>
          <w:szCs w:val="22"/>
        </w:rPr>
        <w:t>(Palmer, 2017)</w:t>
      </w:r>
      <w:r w:rsidR="00F65333" w:rsidRPr="004E053C">
        <w:rPr>
          <w:rFonts w:cstheme="minorHAnsi"/>
          <w:sz w:val="22"/>
          <w:szCs w:val="22"/>
        </w:rPr>
        <w:fldChar w:fldCharType="end"/>
      </w:r>
      <w:r w:rsidR="00F65333" w:rsidRPr="004E053C">
        <w:rPr>
          <w:rFonts w:cstheme="minorHAnsi"/>
          <w:sz w:val="22"/>
          <w:szCs w:val="22"/>
        </w:rPr>
        <w:t xml:space="preserve">. </w:t>
      </w:r>
      <w:r w:rsidRPr="004E053C">
        <w:rPr>
          <w:rFonts w:eastAsia="Times New Roman" w:cstheme="minorHAnsi"/>
          <w:sz w:val="22"/>
          <w:szCs w:val="22"/>
        </w:rPr>
        <w:t xml:space="preserve">Energised into action by the poverty and suffering he saw in the local area, Guzman borrowed from Maoist teaching to form </w:t>
      </w:r>
      <w:r w:rsidRPr="004E053C">
        <w:rPr>
          <w:rFonts w:eastAsia="Times New Roman" w:cstheme="minorHAnsi"/>
          <w:i/>
          <w:sz w:val="22"/>
          <w:szCs w:val="22"/>
        </w:rPr>
        <w:t>Sendero Luminoso</w:t>
      </w:r>
      <w:r w:rsidRPr="004E053C">
        <w:rPr>
          <w:rFonts w:eastAsia="Times New Roman" w:cstheme="minorHAnsi"/>
          <w:sz w:val="22"/>
          <w:szCs w:val="22"/>
        </w:rPr>
        <w:t>. He spent 15-20 years recruiting a dedicated cadre and forming a revolutionary party and a guerrilla army, laying the foundations for the subsequent long</w:t>
      </w:r>
      <w:r w:rsidR="00F65333" w:rsidRPr="004E053C">
        <w:rPr>
          <w:rFonts w:eastAsia="Times New Roman" w:cstheme="minorHAnsi"/>
          <w:sz w:val="22"/>
          <w:szCs w:val="22"/>
        </w:rPr>
        <w:t xml:space="preserve">-term struggle </w:t>
      </w:r>
      <w:r w:rsidR="00F65333" w:rsidRPr="004E053C">
        <w:rPr>
          <w:rFonts w:eastAsia="Times New Roman" w:cstheme="minorHAnsi"/>
          <w:sz w:val="22"/>
          <w:szCs w:val="22"/>
        </w:rPr>
        <w:fldChar w:fldCharType="begin" w:fldLock="1"/>
      </w:r>
      <w:r w:rsidR="00F65333" w:rsidRPr="004E053C">
        <w:rPr>
          <w:rFonts w:eastAsia="Times New Roman" w:cstheme="minorHAnsi"/>
          <w:sz w:val="22"/>
          <w:szCs w:val="22"/>
        </w:rPr>
        <w:instrText>ADDIN CSL_CITATION {"citationItems":[{"id":"ITEM-1","itemData":{"ISSN":"00027162","abstract":"[A security threat confronts the West from the world's gray areas-regions where control is shifting to half-political, half-criminal transnational powers, such as Peru's Sendero Luminoso (Shining Path). Sendero Luminoso's vision, organization, and action program provide a new Marxist-Leninist-Maoist model for reforming political actors operating in other gray areas. Until the Sendero Luminoso insurgency is seriously addressed at the strategic level, the causes and consequences of such insurgency will continue to threaten Peru and perhaps other parts of the hemisphere and the world.]","author":[{"dropping-particle":"","family":"Manwaring","given":"Max G","non-dropping-particle":"","parse-names":false,"suffix":""}],"container-title":"The Annals of the American Academy of Political and Social Science","id":"ITEM-1","issued":{"date-parts":[["1995","1","25"]]},"page":"157-166","publisher":"[Sage Publications, Inc., American Academy of Political and Social Science]","title":"Peru's Sendero Luminoso: The Shining Path beckons","type":"article-journal","volume":"541"},"uris":["http://www.mendeley.com/documents/?uuid=ec8c57ef-b480-4df3-bbcc-02454c1646a7"]}],"mendeley":{"formattedCitation":"(Manwaring, 1995)","plainTextFormattedCitation":"(Manwaring, 1995)","previouslyFormattedCitation":"(Manwaring, 1995)"},"properties":{"noteIndex":0},"schema":"https://github.com/citation-style-language/schema/raw/master/csl-citation.json"}</w:instrText>
      </w:r>
      <w:r w:rsidR="00F65333" w:rsidRPr="004E053C">
        <w:rPr>
          <w:rFonts w:eastAsia="Times New Roman" w:cstheme="minorHAnsi"/>
          <w:sz w:val="22"/>
          <w:szCs w:val="22"/>
        </w:rPr>
        <w:fldChar w:fldCharType="separate"/>
      </w:r>
      <w:r w:rsidR="00F65333" w:rsidRPr="004E053C">
        <w:rPr>
          <w:rFonts w:eastAsia="Times New Roman" w:cstheme="minorHAnsi"/>
          <w:noProof/>
          <w:sz w:val="22"/>
          <w:szCs w:val="22"/>
        </w:rPr>
        <w:t>(Manwaring, 1995)</w:t>
      </w:r>
      <w:r w:rsidR="00F65333" w:rsidRPr="004E053C">
        <w:rPr>
          <w:rFonts w:eastAsia="Times New Roman" w:cstheme="minorHAnsi"/>
          <w:sz w:val="22"/>
          <w:szCs w:val="22"/>
        </w:rPr>
        <w:fldChar w:fldCharType="end"/>
      </w:r>
      <w:r w:rsidRPr="004E053C">
        <w:rPr>
          <w:rFonts w:eastAsia="Times New Roman" w:cstheme="minorHAnsi"/>
          <w:sz w:val="22"/>
          <w:szCs w:val="22"/>
        </w:rPr>
        <w:t xml:space="preserve">. His position in the University provided an avenue through which to indoctrinate and recruit members of the student body, many of whom were Quechua-speaking natives from the region. Once they had finished their studies, the students mostly returned home to work in their local communities, where many of them became teachers, enabling </w:t>
      </w:r>
      <w:r w:rsidRPr="004E053C">
        <w:rPr>
          <w:rFonts w:eastAsia="Times New Roman" w:cstheme="minorHAnsi"/>
          <w:i/>
          <w:sz w:val="22"/>
          <w:szCs w:val="22"/>
        </w:rPr>
        <w:t>Sendero</w:t>
      </w:r>
      <w:r w:rsidRPr="004E053C">
        <w:rPr>
          <w:rFonts w:eastAsia="Times New Roman" w:cstheme="minorHAnsi"/>
          <w:sz w:val="22"/>
          <w:szCs w:val="22"/>
        </w:rPr>
        <w:t>’s vision and message to be passed through rural areas and build a network of supporters and sympathi</w:t>
      </w:r>
      <w:r w:rsidR="00277027">
        <w:rPr>
          <w:rFonts w:eastAsia="Times New Roman" w:cstheme="minorHAnsi"/>
          <w:sz w:val="22"/>
          <w:szCs w:val="22"/>
        </w:rPr>
        <w:t>s</w:t>
      </w:r>
      <w:r w:rsidRPr="004E053C">
        <w:rPr>
          <w:rFonts w:eastAsia="Times New Roman" w:cstheme="minorHAnsi"/>
          <w:sz w:val="22"/>
          <w:szCs w:val="22"/>
        </w:rPr>
        <w:t xml:space="preserve">ers </w:t>
      </w:r>
      <w:r w:rsidR="00F65333"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{"citationItems":[{"id":"ITEM-1","itemData":{"author":[{"dropping-particle":"","family":"Kent","given":"Robert B","non-dropping-particle":"","parse-names":false,"suffix":""}],"container-title":"The Geographical Review","id":"ITEM-1","issue":"4","issued":{"date-parts":[["1993"]]},"page":"441-454","title":"Geographical Dimensions of the Shining Path Insurgency in Peru","type":"article-journal","volume":"83"},"uris":["http://www.mendeley.com/documents/?uuid=523f4957-07a8-4fde-80bf-0a403ef58800"]},{"id":"ITEM-2","itemData":{"abstract":"Though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Insurgencies","id":"ITEM-2","issue":"3","issued":{"date-parts":[["2017"]]},"page":"426-450","publisher":"Routledge","title":"Revolutionary leadership as necessary element in people’s war: Shining Path of Peru","type":"article-journal","volume":"28"},"uris":["http://www.mendeley.com/documents/?uuid=90a2be22-5c7d-4582-9e25-5171dfcfe75d"]}],"mendeley":{"formattedCitation":"(Kent, 1993; Palmer, 2017)","plainTextFormattedCitation":"(Kent, 1993; Palmer, 2017)","previouslyFormattedCitation":"(Kent, 1993; Palmer, 2017)"},"properties":{"noteIndex":0},"schema":"https://github.com/citation-style-language/schema/raw/master/csl-citation.json"}</w:instrText>
      </w:r>
      <w:r w:rsidR="00F65333" w:rsidRPr="004E053C">
        <w:rPr>
          <w:rFonts w:eastAsia="Times New Roman" w:cstheme="minorHAnsi"/>
          <w:sz w:val="22"/>
          <w:szCs w:val="22"/>
        </w:rPr>
        <w:fldChar w:fldCharType="separate"/>
      </w:r>
      <w:r w:rsidR="00F65333" w:rsidRPr="004E053C">
        <w:rPr>
          <w:rFonts w:eastAsia="Times New Roman" w:cstheme="minorHAnsi"/>
          <w:noProof/>
          <w:sz w:val="22"/>
          <w:szCs w:val="22"/>
        </w:rPr>
        <w:t>(Kent, 1993; Palmer, 2017)</w:t>
      </w:r>
      <w:r w:rsidR="00F65333" w:rsidRPr="004E053C">
        <w:rPr>
          <w:rFonts w:eastAsia="Times New Roman" w:cstheme="minorHAnsi"/>
          <w:sz w:val="22"/>
          <w:szCs w:val="22"/>
        </w:rPr>
        <w:fldChar w:fldCharType="end"/>
      </w:r>
      <w:r w:rsidR="00F65333" w:rsidRPr="004E053C">
        <w:rPr>
          <w:rFonts w:eastAsia="Times New Roman" w:cstheme="minorHAnsi"/>
          <w:sz w:val="22"/>
          <w:szCs w:val="22"/>
        </w:rPr>
        <w:t>.</w:t>
      </w:r>
      <w:r w:rsidRPr="004E053C">
        <w:rPr>
          <w:rFonts w:eastAsia="Times New Roman" w:cstheme="minorHAnsi"/>
          <w:sz w:val="22"/>
          <w:szCs w:val="22"/>
        </w:rPr>
        <w:t xml:space="preserve"> </w:t>
      </w:r>
    </w:p>
    <w:p w14:paraId="7D943F46" w14:textId="77777777" w:rsidR="00375961" w:rsidRPr="004E053C" w:rsidRDefault="00375961" w:rsidP="004E053C">
      <w:pPr>
        <w:spacing w:line="360" w:lineRule="auto"/>
        <w:jc w:val="both"/>
        <w:rPr>
          <w:rFonts w:eastAsia="Times New Roman" w:cstheme="minorHAnsi"/>
          <w:sz w:val="22"/>
          <w:szCs w:val="22"/>
          <w:highlight w:val="yellow"/>
        </w:rPr>
      </w:pPr>
    </w:p>
    <w:p w14:paraId="3B4C5CD0" w14:textId="7FDDF6A8"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 xml:space="preserve">After years of preparation, </w:t>
      </w:r>
      <w:r w:rsidRPr="004E053C">
        <w:rPr>
          <w:rFonts w:eastAsia="Times New Roman" w:cstheme="minorHAnsi"/>
          <w:i/>
          <w:sz w:val="22"/>
          <w:szCs w:val="22"/>
        </w:rPr>
        <w:t>Sendero Luminoso</w:t>
      </w:r>
      <w:r w:rsidRPr="004E053C">
        <w:rPr>
          <w:rFonts w:eastAsia="Times New Roman" w:cstheme="minorHAnsi"/>
          <w:sz w:val="22"/>
          <w:szCs w:val="22"/>
        </w:rPr>
        <w:t xml:space="preserve"> initiated war in mid-1980, with the burning of a ballot box in Ayacucho the night before a national election </w:t>
      </w:r>
      <w:r w:rsidR="00F65333"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Peru","type":"article-journal","volume":"28"},"uris":["http://www.mendeley.com/documents/?uuid=90a2be22-5c7d-4582-9e25-5171dfcfe75d"]},{"id":"ITEM-2","itemData":{"abstract":"War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Theology","id":"ITEM-2","issue":"3","issued":{"date-parts":[["2013"]]},"page":"284-303","title":"Theology and the origins of conflict: The shining path insurgency in Peru, 1980-2000","type":"article-journal","volume":"14"},"uris":["http://www.mendeley.com/documents/?uuid=f52b248a-4bcf-442a-9241-61cd319c6c35"]},{"id":"ITEM-3","itemData":{"author":[{"dropping-particle":"","family":"Galdo","given":"Jose","non-dropping-particle":"","parse-names":false,"suffix":""}],"container-title":"Economic Development and Cultural Change","id":"ITEM-3","issue":"4","issued":{"date-parts":[["2013"]]},"page":"789-823","title":"The long-run labor-market consequences of civil war: evidence from the shining path in peru","type":"article-journal","volume":"61"},"uris":["http://www.mendeley.com/documents/?uuid=aa8b5f71-cb49-4edc-b6f8-08130f5fac3e"]}],"mendeley":{"formattedCitation":"(Galdo, 2013; Palmer, 2017; Shadle, 2013)","plainTextFormattedCitation":"(Galdo, 2013; Palmer, 2017; Shadle, 2013)","previouslyFormattedCitation":"(Galdo, 2013; Palmer, 2017; Shadle, 2013)"},"properties":{"noteIndex":0},"schema":"https://github.com/citation-style-language/schema/raw/master/csl-citation.json"}</w:instrText>
      </w:r>
      <w:r w:rsidR="00F65333" w:rsidRPr="004E053C">
        <w:rPr>
          <w:rFonts w:eastAsia="Times New Roman" w:cstheme="minorHAnsi"/>
          <w:sz w:val="22"/>
          <w:szCs w:val="22"/>
        </w:rPr>
        <w:fldChar w:fldCharType="separate"/>
      </w:r>
      <w:r w:rsidR="00F65333" w:rsidRPr="004E053C">
        <w:rPr>
          <w:rFonts w:eastAsia="Times New Roman" w:cstheme="minorHAnsi"/>
          <w:noProof/>
          <w:sz w:val="22"/>
          <w:szCs w:val="22"/>
        </w:rPr>
        <w:t>(Galdo, 2013; Palmer, 2017; Shadle, 2013)</w:t>
      </w:r>
      <w:r w:rsidR="00F65333" w:rsidRPr="004E053C">
        <w:rPr>
          <w:rFonts w:eastAsia="Times New Roman" w:cstheme="minorHAnsi"/>
          <w:sz w:val="22"/>
          <w:szCs w:val="22"/>
        </w:rPr>
        <w:fldChar w:fldCharType="end"/>
      </w:r>
      <w:r w:rsidR="00BE76D7" w:rsidRPr="004E053C">
        <w:rPr>
          <w:rFonts w:eastAsia="Times New Roman" w:cstheme="minorHAnsi"/>
          <w:sz w:val="22"/>
          <w:szCs w:val="22"/>
        </w:rPr>
        <w:t xml:space="preserve">. </w:t>
      </w:r>
      <w:r w:rsidRPr="004E053C">
        <w:rPr>
          <w:rFonts w:eastAsia="Times New Roman" w:cstheme="minorHAnsi"/>
          <w:sz w:val="22"/>
          <w:szCs w:val="22"/>
        </w:rPr>
        <w:t xml:space="preserve">Their main aim was to bring about the generalization of political violence and the gradual encirclement of the cities, leading to the eventual collapse of the government and the establishment of a ‘New Democracy’ </w:t>
      </w:r>
      <w:r w:rsidR="00BE76D7"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(Palmer, 2017)</w:t>
      </w:r>
      <w:r w:rsidR="00BE76D7" w:rsidRPr="004E053C">
        <w:rPr>
          <w:rFonts w:eastAsia="Times New Roman" w:cstheme="minorHAnsi"/>
          <w:sz w:val="22"/>
          <w:szCs w:val="22"/>
        </w:rPr>
        <w:fldChar w:fldCharType="end"/>
      </w:r>
      <w:r w:rsidRPr="004E053C">
        <w:rPr>
          <w:rFonts w:eastAsia="Times New Roman" w:cstheme="minorHAnsi"/>
          <w:sz w:val="22"/>
          <w:szCs w:val="22"/>
        </w:rPr>
        <w:t xml:space="preserve">. They aimed to liberate the countryside through revolution, end market-orientated agricultural production and displace the capitalist marketing system </w:t>
      </w:r>
      <w:r w:rsidR="00BE76D7" w:rsidRPr="004E053C">
        <w:rPr>
          <w:rFonts w:eastAsia="Times New Roman" w:cstheme="minorHAnsi"/>
          <w:sz w:val="22"/>
          <w:szCs w:val="22"/>
        </w:rPr>
        <w:fldChar w:fldCharType="begin" w:fldLock="1"/>
      </w:r>
      <w:r w:rsidR="00BE76D7" w:rsidRPr="004E053C">
        <w:rPr>
          <w:rFonts w:eastAsia="Times New Roman" w:cstheme="minorHAnsi"/>
          <w:sz w:val="22"/>
          <w:szCs w:val="22"/>
        </w:rPr>
        <w:instrText>ADDIN CSL_CITATION {"citationItems":[{"id":"ITEM-1","itemData":{"author":[{"dropping-particle":"","family":"Kent","given":"Robert B","non-dropping-particle":"","parse-names":false,"suffix":""}],"container-title":"The Geographical Review","id":"ITEM-1","issue":"4","issued":{"date-parts":[["1993"]]},"page":"441-454","title":"Geographical Dimensions of the Shining Path Insurgency in Peru","type":"article-journal","volume":"83"},"uris":["http://www.mendeley.com/documents/?uuid=523f4957-07a8-4fde-80bf-0a403ef58800"]}],"mendeley":{"formattedCitation":"(Kent, 1993)","plainTextFormattedCitation":"(Kent, 1993)","previouslyFormattedCitation":"(Kent, 1993)"},"properties":{"noteIndex":0},"schema":"https://github.com/citation-style-language/schema/raw/master/csl-citation.json"}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(Kent, 1993)</w:t>
      </w:r>
      <w:r w:rsidR="00BE76D7" w:rsidRPr="004E053C">
        <w:rPr>
          <w:rFonts w:eastAsia="Times New Roman" w:cstheme="minorHAnsi"/>
          <w:sz w:val="22"/>
          <w:szCs w:val="22"/>
        </w:rPr>
        <w:fldChar w:fldCharType="end"/>
      </w:r>
      <w:r w:rsidRPr="004E053C">
        <w:rPr>
          <w:rFonts w:eastAsia="Times New Roman" w:cstheme="minorHAnsi"/>
          <w:sz w:val="22"/>
          <w:szCs w:val="22"/>
        </w:rPr>
        <w:t xml:space="preserve">. While they initially hoped to win support in rural areas, they eventually intended to bring down the Peruvian government through creating chaos in urban centres </w:t>
      </w:r>
      <w:r w:rsidR="00BE76D7" w:rsidRPr="004E053C">
        <w:rPr>
          <w:rFonts w:eastAsia="Times New Roman" w:cstheme="minorHAnsi"/>
          <w:sz w:val="22"/>
          <w:szCs w:val="22"/>
        </w:rPr>
        <w:fldChar w:fldCharType="begin" w:fldLock="1"/>
      </w:r>
      <w:r w:rsidR="00BE76D7" w:rsidRPr="004E053C">
        <w:rPr>
          <w:rFonts w:eastAsia="Times New Roman" w:cstheme="minorHAnsi"/>
          <w:sz w:val="22"/>
          <w:szCs w:val="22"/>
        </w:rPr>
        <w:instrText>ADDIN CSL_CITATION {"citationItems":[{"id":"ITEM-1","itemData":{"author":[{"dropping-particle":"","family":"Kent","given":"Robert B","non-dropping-particle":"","parse-names":false,"suffix":""}],"container-title":"The Geographical Review","id":"ITEM-1","issue":"4","issued":{"date-parts":[["1993"]]},"page":"441-454","title":"Geographical Dimensions of the Shining Path Insurgency in Peru","type":"article-journal","volume":"83"},"uris":["http://www.mendeley.com/documents/?uuid=523f4957-07a8-4fde-80bf-0a403ef58800"]},{"id":"ITEM-2","itemData":{"author":[{"dropping-particle":"","family":"McClintock","given":"Cynthia","non-dropping-particle":"","parse-names":false,"suffix":""}],"container-title":"World Politics","id":"ITEM-2","issue":"1","issued":{"date-parts":[["1984"]]},"page":"48-84","title":"Why peasants rebel: the case of Peru's Sendero Luminoso","type":"article-journal","volume":"37"},"uris":["http://www.mendeley.com/documents/?uuid=aae18678-56a0-4342-829c-31f1d83ba5ed"]}],"mendeley":{"formattedCitation":"(Kent, 1993; McClintock, 1984)","plainTextFormattedCitation":"(Kent, 1993; McClintock, 1984)","previouslyFormattedCitation":"(Kent, 1993; McClintock, 1984)"},"properties":{"noteIndex":0},"schema":"https://github.com/citation-style-language/schema/raw/master/csl-citation.json"}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(Kent, 1993; McClintock, 1984)</w:t>
      </w:r>
      <w:r w:rsidR="00BE76D7" w:rsidRPr="004E053C">
        <w:rPr>
          <w:rFonts w:eastAsia="Times New Roman" w:cstheme="minorHAnsi"/>
          <w:sz w:val="22"/>
          <w:szCs w:val="22"/>
        </w:rPr>
        <w:fldChar w:fldCharType="end"/>
      </w:r>
      <w:r w:rsidRPr="004E053C">
        <w:rPr>
          <w:rFonts w:eastAsia="Times New Roman" w:cstheme="minorHAnsi"/>
          <w:sz w:val="22"/>
          <w:szCs w:val="22"/>
        </w:rPr>
        <w:t xml:space="preserve">. </w:t>
      </w:r>
      <w:r w:rsidRPr="004E053C">
        <w:rPr>
          <w:rFonts w:eastAsia="Times New Roman" w:cstheme="minorHAnsi"/>
          <w:i/>
          <w:sz w:val="22"/>
          <w:szCs w:val="22"/>
        </w:rPr>
        <w:t>Sendero Luminoso</w:t>
      </w:r>
      <w:r w:rsidRPr="004E053C">
        <w:rPr>
          <w:rFonts w:eastAsia="Times New Roman" w:cstheme="minorHAnsi"/>
          <w:sz w:val="22"/>
          <w:szCs w:val="22"/>
        </w:rPr>
        <w:t xml:space="preserve"> never had large numbers in their ranks, and when civil war was declared it </w:t>
      </w:r>
      <w:r w:rsidRPr="004E053C">
        <w:rPr>
          <w:rFonts w:eastAsia="Times New Roman" w:cstheme="minorHAnsi"/>
          <w:sz w:val="22"/>
          <w:szCs w:val="22"/>
        </w:rPr>
        <w:lastRenderedPageBreak/>
        <w:t xml:space="preserve">is estimated that they only had about 150-200 militants, but their support base was much wider </w:t>
      </w:r>
      <w:r w:rsidR="00BE76D7"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(Palmer, 2017)</w:t>
      </w:r>
      <w:r w:rsidR="00BE76D7" w:rsidRPr="004E053C">
        <w:rPr>
          <w:rFonts w:eastAsia="Times New Roman" w:cstheme="minorHAnsi"/>
          <w:sz w:val="22"/>
          <w:szCs w:val="22"/>
        </w:rPr>
        <w:fldChar w:fldCharType="end"/>
      </w:r>
      <w:r w:rsidR="00BE76D7" w:rsidRPr="004E053C">
        <w:rPr>
          <w:rFonts w:eastAsia="Times New Roman" w:cstheme="minorHAnsi"/>
          <w:sz w:val="22"/>
          <w:szCs w:val="22"/>
        </w:rPr>
        <w:t>.</w:t>
      </w:r>
    </w:p>
    <w:p w14:paraId="7B915F1E" w14:textId="77777777" w:rsidR="00375961" w:rsidRPr="004E053C" w:rsidRDefault="00375961" w:rsidP="004E053C">
      <w:pPr>
        <w:spacing w:line="360" w:lineRule="auto"/>
        <w:jc w:val="both"/>
        <w:rPr>
          <w:rFonts w:eastAsia="Times New Roman" w:cstheme="minorHAnsi"/>
          <w:sz w:val="22"/>
          <w:szCs w:val="22"/>
        </w:rPr>
      </w:pPr>
    </w:p>
    <w:p w14:paraId="12FAEDA6" w14:textId="766CCB5A"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 xml:space="preserve">Given its small number of militants, </w:t>
      </w:r>
      <w:r w:rsidRPr="004E053C">
        <w:rPr>
          <w:rFonts w:eastAsia="Times New Roman" w:cstheme="minorHAnsi"/>
          <w:i/>
          <w:sz w:val="22"/>
          <w:szCs w:val="22"/>
        </w:rPr>
        <w:t>Sendero Luminoso</w:t>
      </w:r>
      <w:r w:rsidRPr="004E053C">
        <w:rPr>
          <w:rFonts w:eastAsia="Times New Roman" w:cstheme="minorHAnsi"/>
          <w:sz w:val="22"/>
          <w:szCs w:val="22"/>
        </w:rPr>
        <w:t xml:space="preserve"> relied on strategic finesse and recruitment of new militants and supporters, whilst taking advantage of the government’s inability to respond appropriately and effectively. Evidence from the late 1980s suggests that at that time, there was strong support for </w:t>
      </w:r>
      <w:r w:rsidRPr="004E053C">
        <w:rPr>
          <w:rFonts w:eastAsia="Times New Roman" w:cstheme="minorHAnsi"/>
          <w:i/>
          <w:sz w:val="22"/>
          <w:szCs w:val="22"/>
        </w:rPr>
        <w:t>Sendero</w:t>
      </w:r>
      <w:r w:rsidRPr="004E053C">
        <w:rPr>
          <w:rFonts w:eastAsia="Times New Roman" w:cstheme="minorHAnsi"/>
          <w:sz w:val="22"/>
          <w:szCs w:val="22"/>
        </w:rPr>
        <w:t xml:space="preserve"> among large majorities of Ayacucho citizens </w:t>
      </w:r>
      <w:r w:rsidR="00BE76D7" w:rsidRPr="004E053C">
        <w:rPr>
          <w:rFonts w:eastAsia="Times New Roman" w:cstheme="minorHAnsi"/>
          <w:sz w:val="22"/>
          <w:szCs w:val="22"/>
        </w:rPr>
        <w:fldChar w:fldCharType="begin" w:fldLock="1"/>
      </w:r>
      <w:r w:rsidR="00BE76D7" w:rsidRPr="004E053C">
        <w:rPr>
          <w:rFonts w:eastAsia="Times New Roman" w:cstheme="minorHAnsi"/>
          <w:sz w:val="22"/>
          <w:szCs w:val="22"/>
        </w:rPr>
        <w:instrText>ADDIN CSL_CITATION {"citationItems":[{"id":"ITEM-1","itemData":{"author":[{"dropping-particle":"","family":"McClintock","given":"Cynthia","non-dropping-particle":"","parse-names":false,"suffix":""}],"container-title":"Current History","id":"ITEM-1","issue":"572","issued":{"date-parts":[["1993"]]},"page":"112-118","title":"Peru's Fujimore: A Caudillo derails democracy","type":"article-journal","volume":"92"},"uris":["http://www.mendeley.com/documents/?uuid=562c0b91-4b61-47f2-81e8-e8bd86501394"]}],"mendeley":{"formattedCitation":"(McClintock, 1993)","plainTextFormattedCitation":"(McClintock, 1993)","previouslyFormattedCitation":"(McClintock, 1993)"},"properties":{"noteIndex":0},"schema":"https://github.com/citation-style-language/schema/raw/master/csl-citation.json"}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(McClintock, 1993)</w:t>
      </w:r>
      <w:r w:rsidR="00BE76D7" w:rsidRPr="004E053C">
        <w:rPr>
          <w:rFonts w:eastAsia="Times New Roman" w:cstheme="minorHAnsi"/>
          <w:sz w:val="22"/>
          <w:szCs w:val="22"/>
        </w:rPr>
        <w:fldChar w:fldCharType="end"/>
      </w:r>
      <w:r w:rsidRPr="004E053C">
        <w:rPr>
          <w:rFonts w:eastAsia="Times New Roman" w:cstheme="minorHAnsi"/>
          <w:sz w:val="22"/>
          <w:szCs w:val="22"/>
        </w:rPr>
        <w:t xml:space="preserve">. This helped </w:t>
      </w:r>
      <w:r w:rsidRPr="004E053C">
        <w:rPr>
          <w:rFonts w:eastAsia="Times New Roman" w:cstheme="minorHAnsi"/>
          <w:i/>
          <w:sz w:val="22"/>
          <w:szCs w:val="22"/>
        </w:rPr>
        <w:t>Sendero</w:t>
      </w:r>
      <w:r w:rsidRPr="004E053C">
        <w:rPr>
          <w:rFonts w:eastAsia="Times New Roman" w:cstheme="minorHAnsi"/>
          <w:sz w:val="22"/>
          <w:szCs w:val="22"/>
        </w:rPr>
        <w:t xml:space="preserve">’s success as it carried out armed attacks on police stations as well as threats and assassinations of government representatives </w:t>
      </w:r>
      <w:r w:rsidR="00BE76D7" w:rsidRPr="004E053C">
        <w:rPr>
          <w:rFonts w:eastAsia="Times New Roman" w:cstheme="minorHAnsi"/>
          <w:sz w:val="22"/>
          <w:szCs w:val="22"/>
        </w:rPr>
        <w:fldChar w:fldCharType="begin" w:fldLock="1"/>
      </w:r>
      <w:r w:rsidR="00BE76D7" w:rsidRPr="004E053C">
        <w:rPr>
          <w:rFonts w:eastAsia="Times New Roman" w:cstheme="minorHAnsi"/>
          <w:sz w:val="22"/>
          <w:szCs w:val="22"/>
        </w:rPr>
        <w:instrText>ADDIN CSL_CITATION {"citationItems":[{"id":"ITEM-1","itemData":{"author":[{"dropping-particle":"","family":"Kent","given":"Robert B","non-dropping-particle":"","parse-names":false,"suffix":""}],"container-title":"The Geographical Review","id":"ITEM-1","issue":"4","issued":{"date-parts":[["1993"]]},"page":"441-454","title":"Geographical Dimensions of the Shining Path Insurgency in Peru","type":"article-journal","volume":"83"},"uris":["http://www.mendeley.com/documents/?uuid=523f4957-07a8-4fde-80bf-0a403ef58800"]}],"mendeley":{"formattedCitation":"(Kent, 1993)","plainTextFormattedCitation":"(Kent, 1993)","previouslyFormattedCitation":"(Kent, 1993)"},"properties":{"noteIndex":0},"schema":"https://github.com/citation-style-language/schema/raw/master/csl-citation.json"}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(Kent, 1993)</w:t>
      </w:r>
      <w:r w:rsidR="00BE76D7" w:rsidRPr="004E053C">
        <w:rPr>
          <w:rFonts w:eastAsia="Times New Roman" w:cstheme="minorHAnsi"/>
          <w:sz w:val="22"/>
          <w:szCs w:val="22"/>
        </w:rPr>
        <w:fldChar w:fldCharType="end"/>
      </w:r>
      <w:r w:rsidRPr="004E053C">
        <w:rPr>
          <w:rFonts w:eastAsia="Times New Roman" w:cstheme="minorHAnsi"/>
          <w:sz w:val="22"/>
          <w:szCs w:val="22"/>
        </w:rPr>
        <w:t xml:space="preserve">. Eventually this led many officials to retreat from the countryside and </w:t>
      </w:r>
      <w:r w:rsidRPr="004E053C">
        <w:rPr>
          <w:rFonts w:eastAsia="Times New Roman" w:cstheme="minorHAnsi"/>
          <w:i/>
          <w:sz w:val="22"/>
          <w:szCs w:val="22"/>
        </w:rPr>
        <w:t>Sendero Luminoso</w:t>
      </w:r>
      <w:r w:rsidRPr="004E053C">
        <w:rPr>
          <w:rFonts w:eastAsia="Times New Roman" w:cstheme="minorHAnsi"/>
          <w:sz w:val="22"/>
          <w:szCs w:val="22"/>
        </w:rPr>
        <w:t xml:space="preserve"> set up its own governance structures in their place. It would however be misleading to suggest that </w:t>
      </w:r>
      <w:r w:rsidRPr="004E053C">
        <w:rPr>
          <w:rFonts w:eastAsia="Times New Roman" w:cstheme="minorHAnsi"/>
          <w:i/>
          <w:sz w:val="22"/>
          <w:szCs w:val="22"/>
        </w:rPr>
        <w:t>Sendero</w:t>
      </w:r>
      <w:r w:rsidRPr="004E053C">
        <w:rPr>
          <w:rFonts w:eastAsia="Times New Roman" w:cstheme="minorHAnsi"/>
          <w:sz w:val="22"/>
          <w:szCs w:val="22"/>
        </w:rPr>
        <w:t>’s actions were universally supported in these rural areas. Some small communities came under complete territorial domination, with locals finding themselves banned from travelling in and out or from holding community meetings. In these areas, farmers were often told to reduce their agricultural output, meaning that food became scarce. Such actions began to alienate local communities and many counter-rebellions formed, although in many cases these en</w:t>
      </w:r>
      <w:r w:rsidR="00BE76D7" w:rsidRPr="004E053C">
        <w:rPr>
          <w:rFonts w:eastAsia="Times New Roman" w:cstheme="minorHAnsi"/>
          <w:sz w:val="22"/>
          <w:szCs w:val="22"/>
        </w:rPr>
        <w:t xml:space="preserve">ded with executions </w:t>
      </w:r>
      <w:r w:rsidR="00BE76D7" w:rsidRPr="004E053C">
        <w:rPr>
          <w:rFonts w:eastAsia="Times New Roman" w:cstheme="minorHAnsi"/>
          <w:sz w:val="22"/>
          <w:szCs w:val="22"/>
        </w:rPr>
        <w:fldChar w:fldCharType="begin" w:fldLock="1"/>
      </w:r>
      <w:r w:rsidR="00BE76D7" w:rsidRPr="004E053C">
        <w:rPr>
          <w:rFonts w:eastAsia="Times New Roman" w:cstheme="minorHAnsi"/>
          <w:sz w:val="22"/>
          <w:szCs w:val="22"/>
        </w:rPr>
        <w:instrText>ADDIN CSL_CITATION {"citationItems":[{"id":"ITEM-1","itemData":{"author":[{"dropping-particle":"","family":"Kent","given":"Robert B","non-dropping-particle":"","parse-names":false,"suffix":""}],"container-title":"The Geographical Review","id":"ITEM-1","issue":"4","issued":{"date-parts":[["1993"]]},"page":"441-454","title":"Geographical Dimensions of the Shining Path Insurgency in Peru","type":"article-journal","volume":"83"},"uris":["http://www.mendeley.com/documents/?uuid=523f4957-07a8-4fde-80bf-0a403ef58800"]}],"mendeley":{"formattedCitation":"(Kent, 1993)","plainTextFormattedCitation":"(Kent, 1993)","previouslyFormattedCitation":"(Kent, 1993)"},"properties":{"noteIndex":0},"schema":"https://github.com/citation-style-language/schema/raw/master/csl-citation.json"}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(Kent, 1993)</w:t>
      </w:r>
      <w:r w:rsidR="00BE76D7" w:rsidRPr="004E053C">
        <w:rPr>
          <w:rFonts w:eastAsia="Times New Roman" w:cstheme="minorHAnsi"/>
          <w:sz w:val="22"/>
          <w:szCs w:val="22"/>
        </w:rPr>
        <w:fldChar w:fldCharType="end"/>
      </w:r>
      <w:r w:rsidRPr="004E053C">
        <w:rPr>
          <w:rFonts w:eastAsia="Times New Roman" w:cstheme="minorHAnsi"/>
          <w:sz w:val="22"/>
          <w:szCs w:val="22"/>
        </w:rPr>
        <w:t xml:space="preserve">. </w:t>
      </w:r>
    </w:p>
    <w:p w14:paraId="3F7BB493" w14:textId="77777777" w:rsidR="00375961" w:rsidRPr="004E053C" w:rsidRDefault="00375961" w:rsidP="004E053C">
      <w:pPr>
        <w:spacing w:line="360" w:lineRule="auto"/>
        <w:jc w:val="both"/>
        <w:rPr>
          <w:rFonts w:eastAsia="Times New Roman" w:cstheme="minorHAnsi"/>
          <w:sz w:val="22"/>
          <w:szCs w:val="22"/>
        </w:rPr>
      </w:pPr>
    </w:p>
    <w:p w14:paraId="07CB38E2" w14:textId="3FF98525"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 xml:space="preserve">Fortunately for </w:t>
      </w:r>
      <w:r w:rsidRPr="004E053C">
        <w:rPr>
          <w:rFonts w:eastAsia="Times New Roman" w:cstheme="minorHAnsi"/>
          <w:i/>
          <w:sz w:val="22"/>
          <w:szCs w:val="22"/>
        </w:rPr>
        <w:t>Sendero Luminoso</w:t>
      </w:r>
      <w:r w:rsidRPr="004E053C">
        <w:rPr>
          <w:rFonts w:eastAsia="Times New Roman" w:cstheme="minorHAnsi"/>
          <w:sz w:val="22"/>
          <w:szCs w:val="22"/>
        </w:rPr>
        <w:t xml:space="preserve">, the Government proved completely incapable of dealing with the insurgency. In 1982, President Fernando Belaúnde declared a state of emergency and effectively handed power to the military in order for them to fight the insurgency. Instead of using strategic force, they were accused of targeting both civilians and insurgents indiscriminately </w:t>
      </w:r>
      <w:r w:rsidR="00BE76D7"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{"citationItems":[{"id":"ITEM-1","itemData":{"author":[{"dropping-particle":"","family":"Galdo","given":"Jose","non-dropping-particle":"","parse-names":false,"suffix":""}],"container-title":"Economic Development and Cultural Change","id":"ITEM-1","issue":"4","issued":{"date-parts":[["2013"]]},"page":"789-823","title":"The long-run labor-market consequences of civil war: evidence from the shining path in peru","type":"article-journal","volume":"61"},"uris":["http://www.mendeley.com/documents/?uuid=aa8b5f71-cb49-4edc-b6f8-08130f5fac3e"]},{"id":"ITEM-2","itemData":{"abstract":"Though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Insurgencies","id":"ITEM-2","issue":"3","issued":{"date-parts":[["2017"]]},"page":"426-450","publisher":"Routledge","title":"Revolutionary leadership as necessary element in people’s war: Shining Path of Peru","type":"article-journal","volume":"28"},"uris":["http://www.mendeley.com/documents/?uuid=90a2be22-5c7d-4582-9e25-5171dfcfe75d"]}],"mendeley":{"formattedCitation":"(Galdo, 2013; Palmer, 2017)","plainTextFormattedCitation":"(Galdo, 2013; Palmer, 2017)","previouslyFormattedCitation":"(Galdo, 2013; Palmer, 2017)"},"properties":{"noteIndex":0},"schema":"https://github.com/citation-style-language/schema/raw/master/csl-citation.json"}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(Galdo, 2013; Palmer, 2017)</w:t>
      </w:r>
      <w:r w:rsidR="00BE76D7" w:rsidRPr="004E053C">
        <w:rPr>
          <w:rFonts w:eastAsia="Times New Roman" w:cstheme="minorHAnsi"/>
          <w:sz w:val="22"/>
          <w:szCs w:val="22"/>
        </w:rPr>
        <w:fldChar w:fldCharType="end"/>
      </w:r>
      <w:r w:rsidRPr="004E053C">
        <w:rPr>
          <w:rFonts w:eastAsia="Times New Roman" w:cstheme="minorHAnsi"/>
          <w:sz w:val="22"/>
          <w:szCs w:val="22"/>
        </w:rPr>
        <w:t xml:space="preserve">. The brutal force used against rural indigenous communities only served to reinforce deep racial divides, as whites and mestizos in Lima and other urban centres turned a blind eye towards their plight </w:t>
      </w:r>
      <w:r w:rsidR="00BE76D7"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(Palmer, 2017)</w:t>
      </w:r>
      <w:r w:rsidR="00BE76D7" w:rsidRPr="004E053C">
        <w:rPr>
          <w:rFonts w:eastAsia="Times New Roman" w:cstheme="minorHAnsi"/>
          <w:sz w:val="22"/>
          <w:szCs w:val="22"/>
        </w:rPr>
        <w:fldChar w:fldCharType="end"/>
      </w:r>
      <w:r w:rsidRPr="004E053C">
        <w:rPr>
          <w:rFonts w:eastAsia="Times New Roman" w:cstheme="minorHAnsi"/>
          <w:sz w:val="22"/>
          <w:szCs w:val="22"/>
        </w:rPr>
        <w:t xml:space="preserve">. At the same time, economic crisis had wiped out the fiscal capacity of the government, rendering them almost incapable of taking more appropriate action </w:t>
      </w:r>
      <w:r w:rsidR="00BE76D7"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{"citationItems":[{"id":"ITEM-1","itemData":{"author":[{"dropping-particle":"","family":"McClintock","given":"Cynthia","non-dropping-particle":"","parse-names":false,"suffix":""}],"container-title":"World Politics","id":"ITEM-1","issue":"1","issued":{"date-parts":[["1984"]]},"page":"48-84","title":"Why peasants rebel: the case of Peru's Sendero Luminoso","type":"article-journal","volume":"37"},"uris":["http://www.mendeley.com/documents/?uuid=aae18678-56a0-4342-829c-31f1d83ba5ed"]},{"id":"ITEM-2","itemData":{"abstract":"Though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Insurgencies","id":"ITEM-2","issue":"3","issued":{"date-parts":[["2017"]]},"page":"426-450","publisher":"Routledge","title":"Revolutionary leadership as necessary element in people’s war: Shining Path of Peru","type":"article-journal","volume":"28"},"uris":["http://www.mendeley.com/documents/?uuid=90a2be22-5c7d-4582-9e25-5171dfcfe75d"]}],"mendeley":{"formattedCitation":"(McClintock, 1984; Palmer, 2017)","plainTextFormattedCitation":"(McClintock, 1984; Palmer, 2017)","previouslyFormattedCitation":"(McClintock, 1984; Palmer, 2017)"},"properties":{"noteIndex":0},"schema":"https://github.com/citation-style-language/schema/raw/master/csl-citation.json"}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(McClintock, 1984; Palmer, 2017)</w:t>
      </w:r>
      <w:r w:rsidR="00BE76D7" w:rsidRPr="004E053C">
        <w:rPr>
          <w:rFonts w:eastAsia="Times New Roman" w:cstheme="minorHAnsi"/>
          <w:sz w:val="22"/>
          <w:szCs w:val="22"/>
        </w:rPr>
        <w:fldChar w:fldCharType="end"/>
      </w:r>
      <w:r w:rsidRPr="004E053C">
        <w:rPr>
          <w:rFonts w:eastAsia="Times New Roman" w:cstheme="minorHAnsi"/>
          <w:sz w:val="22"/>
          <w:szCs w:val="22"/>
        </w:rPr>
        <w:t xml:space="preserve">. Thus, while local people had strong reason to turn against the insurgency, the </w:t>
      </w:r>
      <w:r w:rsidR="0010441C" w:rsidRPr="004E053C">
        <w:rPr>
          <w:rFonts w:eastAsia="Times New Roman" w:cstheme="minorHAnsi"/>
          <w:sz w:val="22"/>
          <w:szCs w:val="22"/>
        </w:rPr>
        <w:t xml:space="preserve">national </w:t>
      </w:r>
      <w:r w:rsidRPr="004E053C">
        <w:rPr>
          <w:rFonts w:eastAsia="Times New Roman" w:cstheme="minorHAnsi"/>
          <w:sz w:val="22"/>
          <w:szCs w:val="22"/>
        </w:rPr>
        <w:t xml:space="preserve">security forces did little to </w:t>
      </w:r>
      <w:r w:rsidR="00BE76D7" w:rsidRPr="004E053C">
        <w:rPr>
          <w:rFonts w:eastAsia="Times New Roman" w:cstheme="minorHAnsi"/>
          <w:sz w:val="22"/>
          <w:szCs w:val="22"/>
        </w:rPr>
        <w:t xml:space="preserve">win them over </w:t>
      </w:r>
      <w:r w:rsidR="00BE76D7" w:rsidRPr="004E053C">
        <w:rPr>
          <w:rFonts w:eastAsia="Times New Roman" w:cstheme="minorHAnsi"/>
          <w:sz w:val="22"/>
          <w:szCs w:val="22"/>
        </w:rPr>
        <w:fldChar w:fldCharType="begin" w:fldLock="1"/>
      </w:r>
      <w:r w:rsidR="00A77A71" w:rsidRPr="004E053C">
        <w:rPr>
          <w:rFonts w:eastAsia="Times New Roman" w:cstheme="minorHAnsi"/>
          <w:sz w:val="22"/>
          <w:szCs w:val="22"/>
        </w:rPr>
        <w:instrText>ADDIN CSL_CITATION {"citationItems":[{"id":"ITEM-1","itemData":{"author":[{"dropping-particle":"","family":"McClintock","given":"Cynthia","non-dropping-particle":"","parse-names":false,"suffix":""}],"container-title":"World Politics","id":"ITEM-1","issue":"1","issued":{"date-parts":[["1984"]]},"page":"48-84","title":"Why peasants rebel: the case of Peru's Sendero Luminoso","type":"article-journal","volume":"37"},"uris":["http://www.mendeley.com/documents/?uuid=aae18678-56a0-4342-829c-31f1d83ba5ed"]}],"mendeley":{"formattedCitation":"(McClintock, 1984)","plainTextFormattedCitation":"(McClintock, 1984)","previouslyFormattedCitation":"(McClintock, 1984)"},"properties":{"noteIndex":0},"schema":"https://github.com/citation-style-language/schema/raw/master/csl-citation.json"}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(McClintock, 1984)</w:t>
      </w:r>
      <w:r w:rsidR="00BE76D7" w:rsidRPr="004E053C">
        <w:rPr>
          <w:rFonts w:eastAsia="Times New Roman" w:cstheme="minorHAnsi"/>
          <w:sz w:val="22"/>
          <w:szCs w:val="22"/>
        </w:rPr>
        <w:fldChar w:fldCharType="end"/>
      </w:r>
      <w:r w:rsidR="00BE76D7" w:rsidRPr="004E053C">
        <w:rPr>
          <w:rFonts w:eastAsia="Times New Roman" w:cstheme="minorHAnsi"/>
          <w:sz w:val="22"/>
          <w:szCs w:val="22"/>
        </w:rPr>
        <w:t>.</w:t>
      </w:r>
    </w:p>
    <w:p w14:paraId="1A51E289" w14:textId="77777777" w:rsidR="00375961" w:rsidRPr="00636641" w:rsidRDefault="00375961" w:rsidP="004E053C">
      <w:pPr>
        <w:pStyle w:val="ListParagraph"/>
        <w:spacing w:after="0" w:line="360" w:lineRule="auto"/>
        <w:jc w:val="both"/>
        <w:rPr>
          <w:rFonts w:eastAsia="Times New Roman" w:cstheme="minorHAnsi"/>
          <w:sz w:val="20"/>
          <w:szCs w:val="20"/>
          <w:highlight w:val="yellow"/>
          <w:lang w:val="en-GB"/>
        </w:rPr>
      </w:pPr>
    </w:p>
    <w:p w14:paraId="526C7098" w14:textId="01B4CD94"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 xml:space="preserve">When Fujimori won the 1990 election, it was widely seen as an act of popular desperation </w:t>
      </w:r>
      <w:r w:rsidR="00BE76D7"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BE76D7" w:rsidRPr="004E053C">
        <w:rPr>
          <w:rFonts w:eastAsia="Times New Roman" w:cstheme="minorHAnsi"/>
          <w:sz w:val="22"/>
          <w:szCs w:val="22"/>
        </w:rPr>
        <w:fldChar w:fldCharType="separate"/>
      </w:r>
      <w:r w:rsidR="00BE76D7" w:rsidRPr="004E053C">
        <w:rPr>
          <w:rFonts w:eastAsia="Times New Roman" w:cstheme="minorHAnsi"/>
          <w:noProof/>
          <w:sz w:val="22"/>
          <w:szCs w:val="22"/>
        </w:rPr>
        <w:t>(Palmer, 2017)</w:t>
      </w:r>
      <w:r w:rsidR="00BE76D7" w:rsidRPr="004E053C">
        <w:rPr>
          <w:rFonts w:eastAsia="Times New Roman" w:cstheme="minorHAnsi"/>
          <w:sz w:val="22"/>
          <w:szCs w:val="22"/>
        </w:rPr>
        <w:fldChar w:fldCharType="end"/>
      </w:r>
      <w:r w:rsidR="00BE76D7" w:rsidRPr="004E053C">
        <w:rPr>
          <w:rFonts w:eastAsia="Times New Roman" w:cstheme="minorHAnsi"/>
          <w:sz w:val="22"/>
          <w:szCs w:val="22"/>
        </w:rPr>
        <w:t xml:space="preserve">. </w:t>
      </w:r>
      <w:r w:rsidRPr="004E053C">
        <w:rPr>
          <w:rFonts w:eastAsia="Times New Roman" w:cstheme="minorHAnsi"/>
          <w:sz w:val="22"/>
          <w:szCs w:val="22"/>
        </w:rPr>
        <w:t xml:space="preserve">However, shortly after he took the power the military began to engage in civic action, including lending support to local groups that had formed in opposition to </w:t>
      </w:r>
      <w:r w:rsidRPr="004E053C">
        <w:rPr>
          <w:rFonts w:eastAsia="Times New Roman" w:cstheme="minorHAnsi"/>
          <w:i/>
          <w:sz w:val="22"/>
          <w:szCs w:val="22"/>
        </w:rPr>
        <w:t>Sendero</w:t>
      </w:r>
      <w:r w:rsidRPr="004E053C">
        <w:rPr>
          <w:rFonts w:eastAsia="Times New Roman" w:cstheme="minorHAnsi"/>
          <w:sz w:val="22"/>
          <w:szCs w:val="22"/>
        </w:rPr>
        <w:t xml:space="preserve">. Such groups had been provoked by an increasing number of violent terror attacks, which required them to form groups of local defence. The Government’s anti-poverty programs had also won the support of previously marginalised communities and encouraged them to participate in resistance against </w:t>
      </w:r>
      <w:r w:rsidRPr="004E053C">
        <w:rPr>
          <w:rFonts w:eastAsia="Times New Roman" w:cstheme="minorHAnsi"/>
          <w:i/>
          <w:sz w:val="22"/>
          <w:szCs w:val="22"/>
        </w:rPr>
        <w:t>Sendero</w:t>
      </w:r>
      <w:r w:rsidR="00A77A71" w:rsidRPr="004E053C">
        <w:rPr>
          <w:rFonts w:eastAsia="Times New Roman" w:cstheme="minorHAnsi"/>
          <w:sz w:val="22"/>
          <w:szCs w:val="22"/>
        </w:rPr>
        <w:t xml:space="preserve"> </w:t>
      </w:r>
      <w:r w:rsidR="00BE76D7"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BE76D7" w:rsidRPr="004E053C">
        <w:rPr>
          <w:rFonts w:eastAsia="Times New Roman" w:cstheme="minorHAnsi"/>
          <w:sz w:val="22"/>
          <w:szCs w:val="22"/>
        </w:rPr>
        <w:fldChar w:fldCharType="separate"/>
      </w:r>
      <w:r w:rsidR="00A77A71" w:rsidRPr="004E053C">
        <w:rPr>
          <w:rFonts w:eastAsia="Times New Roman" w:cstheme="minorHAnsi"/>
          <w:noProof/>
          <w:sz w:val="22"/>
          <w:szCs w:val="22"/>
        </w:rPr>
        <w:t>(Palmer, 2017</w:t>
      </w:r>
      <w:r w:rsidR="00BE76D7" w:rsidRPr="004E053C">
        <w:rPr>
          <w:rFonts w:eastAsia="Times New Roman" w:cstheme="minorHAnsi"/>
          <w:noProof/>
          <w:sz w:val="22"/>
          <w:szCs w:val="22"/>
        </w:rPr>
        <w:t>)</w:t>
      </w:r>
      <w:r w:rsidR="00BE76D7" w:rsidRPr="004E053C">
        <w:rPr>
          <w:rFonts w:eastAsia="Times New Roman" w:cstheme="minorHAnsi"/>
          <w:sz w:val="22"/>
          <w:szCs w:val="22"/>
        </w:rPr>
        <w:fldChar w:fldCharType="end"/>
      </w:r>
      <w:r w:rsidR="00BE76D7" w:rsidRPr="004E053C">
        <w:rPr>
          <w:rFonts w:eastAsia="Times New Roman" w:cstheme="minorHAnsi"/>
          <w:sz w:val="22"/>
          <w:szCs w:val="22"/>
        </w:rPr>
        <w:t xml:space="preserve">. </w:t>
      </w:r>
      <w:r w:rsidRPr="004E053C">
        <w:rPr>
          <w:rFonts w:eastAsia="Times New Roman" w:cstheme="minorHAnsi"/>
          <w:sz w:val="22"/>
          <w:szCs w:val="22"/>
        </w:rPr>
        <w:t xml:space="preserve">However, to achieve this turn-around, Fujimori had instigated a self-coup </w:t>
      </w:r>
      <w:r w:rsidRPr="004E053C">
        <w:rPr>
          <w:rFonts w:eastAsia="Times New Roman" w:cstheme="minorHAnsi"/>
          <w:sz w:val="22"/>
          <w:szCs w:val="22"/>
        </w:rPr>
        <w:lastRenderedPageBreak/>
        <w:t xml:space="preserve">and assumed authoritarian powers with the justification of fighting the insurgency </w:t>
      </w:r>
      <w:r w:rsidR="00A77A71"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Theology","id":"ITEM-1","issue":"3","issued":{"date-parts":[["2013"]]},"page":"284-303","title":"Theology and the origins of conflict: The shining path insurgency in Peru, 1980-2000","type":"article-journal","volume":"14"},"uris":["http://www.mendeley.com/documents/?uuid=f52b248a-4bcf-442a-9241-61cd319c6c35"]}],"mendeley":{"formattedCitation":"(Shadle, 2013)","plainTextFormattedCitation":"(Shadle, 2013)","previouslyFormattedCitation":"(Shadle, 2013)"},"properties":{"noteIndex":0},"schema":"https://github.com/citation-style-language/schema/raw/master/csl-citation.json"}</w:instrText>
      </w:r>
      <w:r w:rsidR="00A77A71" w:rsidRPr="004E053C">
        <w:rPr>
          <w:rFonts w:eastAsia="Times New Roman" w:cstheme="minorHAnsi"/>
          <w:sz w:val="22"/>
          <w:szCs w:val="22"/>
        </w:rPr>
        <w:fldChar w:fldCharType="separate"/>
      </w:r>
      <w:r w:rsidR="00A77A71" w:rsidRPr="004E053C">
        <w:rPr>
          <w:rFonts w:eastAsia="Times New Roman" w:cstheme="minorHAnsi"/>
          <w:noProof/>
          <w:sz w:val="22"/>
          <w:szCs w:val="22"/>
        </w:rPr>
        <w:t>(Shadle, 2013)</w:t>
      </w:r>
      <w:r w:rsidR="00A77A71" w:rsidRPr="004E053C">
        <w:rPr>
          <w:rFonts w:eastAsia="Times New Roman" w:cstheme="minorHAnsi"/>
          <w:sz w:val="22"/>
          <w:szCs w:val="22"/>
        </w:rPr>
        <w:fldChar w:fldCharType="end"/>
      </w:r>
      <w:r w:rsidRPr="004E053C">
        <w:rPr>
          <w:rFonts w:eastAsia="Times New Roman" w:cstheme="minorHAnsi"/>
          <w:sz w:val="22"/>
          <w:szCs w:val="22"/>
        </w:rPr>
        <w:t xml:space="preserve">. This allowed him to commit human rights abuses without the risk of being held accountable for his actions. Eventually, the war was won in 1995, when Guzman was captured by police </w:t>
      </w:r>
      <w:r w:rsidR="00A77A71"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{"citationItems":[{"id":"ITEM-1","itemData":{"author":[{"dropping-particle":"","family":"Galdo","given":"Jose","non-dropping-particle":"","parse-names":false,"suffix":""}],"container-title":"Economic Development and Cultural Change","id":"ITEM-1","issue":"4","issued":{"date-parts":[["2013"]]},"page":"789-823","title":"The long-run labor-market consequences of civil war: evidence from the shining path in peru","type":"article-journal","volume":"61"},"uris":["http://www.mendeley.com/documents/?uuid=aa8b5f71-cb49-4edc-b6f8-08130f5fac3e"]}],"mendeley":{"formattedCitation":"(Galdo, 2013)","plainTextFormattedCitation":"(Galdo, 2013)","previouslyFormattedCitation":"(Galdo, 2013)"},"properties":{"noteIndex":0},"schema":"https://github.com/citation-style-language/schema/raw/master/csl-citation.json"}</w:instrText>
      </w:r>
      <w:r w:rsidR="00A77A71" w:rsidRPr="004E053C">
        <w:rPr>
          <w:rFonts w:eastAsia="Times New Roman" w:cstheme="minorHAnsi"/>
          <w:sz w:val="22"/>
          <w:szCs w:val="22"/>
        </w:rPr>
        <w:fldChar w:fldCharType="separate"/>
      </w:r>
      <w:r w:rsidR="00A77A71" w:rsidRPr="004E053C">
        <w:rPr>
          <w:rFonts w:eastAsia="Times New Roman" w:cstheme="minorHAnsi"/>
          <w:noProof/>
          <w:sz w:val="22"/>
          <w:szCs w:val="22"/>
        </w:rPr>
        <w:t>(Galdo, 2013)</w:t>
      </w:r>
      <w:r w:rsidR="00A77A71" w:rsidRPr="004E053C">
        <w:rPr>
          <w:rFonts w:eastAsia="Times New Roman" w:cstheme="minorHAnsi"/>
          <w:sz w:val="22"/>
          <w:szCs w:val="22"/>
        </w:rPr>
        <w:fldChar w:fldCharType="end"/>
      </w:r>
      <w:r w:rsidRPr="004E053C">
        <w:rPr>
          <w:rFonts w:eastAsia="Times New Roman" w:cstheme="minorHAnsi"/>
          <w:sz w:val="22"/>
          <w:szCs w:val="22"/>
        </w:rPr>
        <w:t xml:space="preserve">. </w:t>
      </w:r>
      <w:r w:rsidRPr="004E053C">
        <w:rPr>
          <w:rFonts w:eastAsia="Times New Roman" w:cstheme="minorHAnsi"/>
          <w:i/>
          <w:sz w:val="22"/>
          <w:szCs w:val="22"/>
        </w:rPr>
        <w:t>Sendero’s</w:t>
      </w:r>
      <w:r w:rsidRPr="004E053C">
        <w:rPr>
          <w:rFonts w:eastAsia="Times New Roman" w:cstheme="minorHAnsi"/>
          <w:sz w:val="22"/>
          <w:szCs w:val="22"/>
        </w:rPr>
        <w:t xml:space="preserve"> political and</w:t>
      </w:r>
      <w:r w:rsidR="00A77A71" w:rsidRPr="004E053C">
        <w:rPr>
          <w:rFonts w:eastAsia="Times New Roman" w:cstheme="minorHAnsi"/>
          <w:sz w:val="22"/>
          <w:szCs w:val="22"/>
        </w:rPr>
        <w:t xml:space="preserve"> war machine collapsed abruptly, </w:t>
      </w:r>
      <w:r w:rsidRPr="004E053C">
        <w:rPr>
          <w:rFonts w:eastAsia="Times New Roman" w:cstheme="minorHAnsi"/>
          <w:sz w:val="22"/>
          <w:szCs w:val="22"/>
        </w:rPr>
        <w:t xml:space="preserve">although intermittent violence did continue for some years </w:t>
      </w:r>
      <w:r w:rsidR="00A77A71"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{"citationItems":[{"id":"ITEM-1","itemData":{"author":[{"dropping-particle":"","family":"Galdo","given":"Jose","non-dropping-particle":"","parse-names":false,"suffix":""}],"container-title":"Economic Development and Cultural Change","id":"ITEM-1","issue":"4","issued":{"date-parts":[["2013"]]},"page":"789-823","title":"The long-run labor-market consequences of civil war: evidence from the shining path in peru","type":"article-journal","volume":"61"},"uris":["http://www.mendeley.com/documents/?uuid=aa8b5f71-cb49-4edc-b6f8-08130f5fac3e"]}],"mendeley":{"formattedCitation":"(Galdo, 2013)","manualFormatting":"(Ibid.)","plainTextFormattedCitation":"(Galdo, 2013)","previouslyFormattedCitation":"(Galdo, 2013)"},"properties":{"noteIndex":0},"schema":"https://github.com/citation-style-language/schema/raw/master/csl-citation.json"}</w:instrText>
      </w:r>
      <w:r w:rsidR="00A77A71" w:rsidRPr="004E053C">
        <w:rPr>
          <w:rFonts w:eastAsia="Times New Roman" w:cstheme="minorHAnsi"/>
          <w:sz w:val="22"/>
          <w:szCs w:val="22"/>
        </w:rPr>
        <w:fldChar w:fldCharType="separate"/>
      </w:r>
      <w:r w:rsidR="00A77A71" w:rsidRPr="004E053C">
        <w:rPr>
          <w:rFonts w:eastAsia="Times New Roman" w:cstheme="minorHAnsi"/>
          <w:noProof/>
          <w:sz w:val="22"/>
          <w:szCs w:val="22"/>
        </w:rPr>
        <w:t>(Ibid.)</w:t>
      </w:r>
      <w:r w:rsidR="00A77A71" w:rsidRPr="004E053C">
        <w:rPr>
          <w:rFonts w:eastAsia="Times New Roman" w:cstheme="minorHAnsi"/>
          <w:sz w:val="22"/>
          <w:szCs w:val="22"/>
        </w:rPr>
        <w:fldChar w:fldCharType="end"/>
      </w:r>
      <w:r w:rsidR="00A77A71" w:rsidRPr="004E053C">
        <w:rPr>
          <w:rFonts w:eastAsia="Times New Roman" w:cstheme="minorHAnsi"/>
          <w:sz w:val="22"/>
          <w:szCs w:val="22"/>
        </w:rPr>
        <w:t xml:space="preserve">. </w:t>
      </w:r>
    </w:p>
    <w:p w14:paraId="2528545B" w14:textId="77777777" w:rsidR="00375961" w:rsidRPr="004E053C" w:rsidRDefault="00375961" w:rsidP="004E053C">
      <w:pPr>
        <w:spacing w:line="360" w:lineRule="auto"/>
        <w:jc w:val="both"/>
        <w:rPr>
          <w:rFonts w:eastAsia="Times New Roman" w:cstheme="minorHAnsi"/>
          <w:sz w:val="20"/>
          <w:szCs w:val="20"/>
        </w:rPr>
      </w:pPr>
    </w:p>
    <w:p w14:paraId="1738F86F" w14:textId="1149343A" w:rsidR="00375961" w:rsidRPr="004E053C" w:rsidRDefault="00502226" w:rsidP="004E053C">
      <w:pPr>
        <w:pStyle w:val="Heading3"/>
        <w:rPr>
          <w:rFonts w:asciiTheme="minorHAnsi" w:hAnsiTheme="minorHAnsi"/>
        </w:rPr>
      </w:pPr>
      <w:r w:rsidRPr="004E053C">
        <w:rPr>
          <w:rFonts w:asciiTheme="minorHAnsi" w:hAnsiTheme="minorHAnsi"/>
        </w:rPr>
        <w:t>3.</w:t>
      </w:r>
      <w:r w:rsidR="00375961" w:rsidRPr="004E053C">
        <w:rPr>
          <w:rFonts w:asciiTheme="minorHAnsi" w:hAnsiTheme="minorHAnsi"/>
        </w:rPr>
        <w:t>4.2. Communities and migration during the civil war</w:t>
      </w:r>
    </w:p>
    <w:p w14:paraId="23C551D1" w14:textId="77777777" w:rsidR="00375961" w:rsidRPr="004E053C" w:rsidRDefault="00375961" w:rsidP="004E053C">
      <w:pPr>
        <w:spacing w:line="360" w:lineRule="auto"/>
        <w:jc w:val="both"/>
        <w:rPr>
          <w:rFonts w:cstheme="minorHAnsi"/>
        </w:rPr>
      </w:pPr>
    </w:p>
    <w:p w14:paraId="63E0892E" w14:textId="7E126235" w:rsidR="00375961" w:rsidRPr="004E053C" w:rsidRDefault="00375961" w:rsidP="004E053C">
      <w:pPr>
        <w:spacing w:line="360" w:lineRule="auto"/>
        <w:jc w:val="both"/>
        <w:rPr>
          <w:rFonts w:cstheme="minorHAnsi"/>
          <w:sz w:val="22"/>
          <w:szCs w:val="22"/>
        </w:rPr>
      </w:pPr>
      <w:r w:rsidRPr="004E053C">
        <w:rPr>
          <w:rFonts w:cstheme="minorHAnsi"/>
          <w:sz w:val="22"/>
          <w:szCs w:val="22"/>
        </w:rPr>
        <w:t xml:space="preserve">The conflict had a devastating impact on the everyday life of Peruvians across the country. At the end of the 1980s, </w:t>
      </w:r>
      <w:r w:rsidRPr="004E053C">
        <w:rPr>
          <w:rFonts w:eastAsia="Times New Roman" w:cstheme="minorHAnsi"/>
          <w:sz w:val="22"/>
          <w:szCs w:val="22"/>
        </w:rPr>
        <w:t xml:space="preserve">half the population lived under a state of emergency </w:t>
      </w:r>
      <w:r w:rsidR="005768CD"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Theology","id":"ITEM-1","issue":"3","issued":{"date-parts":[["2013"]]},"page":"284-303","title":"Theology and the origins of conflict: The shining path insurgency in Peru, 1980-2000","type":"article-journal","volume":"14"},"uris":["http://www.mendeley.com/documents/?uuid=f52b248a-4bcf-442a-9241-61cd319c6c35"]}],"mendeley":{"formattedCitation":"(Shadle, 2013)","plainTextFormattedCitation":"(Shadle, 2013)","previouslyFormattedCitation":"(Shadle, 2013)"},"properties":{"noteIndex":0},"schema":"https://github.com/citation-style-language/schema/raw/master/csl-citation.json"}</w:instrText>
      </w:r>
      <w:r w:rsidR="005768CD" w:rsidRPr="004E053C">
        <w:rPr>
          <w:rFonts w:eastAsia="Times New Roman" w:cstheme="minorHAnsi"/>
          <w:sz w:val="22"/>
          <w:szCs w:val="22"/>
        </w:rPr>
        <w:fldChar w:fldCharType="separate"/>
      </w:r>
      <w:r w:rsidR="005768CD" w:rsidRPr="004E053C">
        <w:rPr>
          <w:rFonts w:eastAsia="Times New Roman" w:cstheme="minorHAnsi"/>
          <w:noProof/>
          <w:sz w:val="22"/>
          <w:szCs w:val="22"/>
        </w:rPr>
        <w:t>(Shadle, 2013)</w:t>
      </w:r>
      <w:r w:rsidR="005768CD" w:rsidRPr="004E053C">
        <w:rPr>
          <w:rFonts w:eastAsia="Times New Roman" w:cstheme="minorHAnsi"/>
          <w:sz w:val="22"/>
          <w:szCs w:val="22"/>
        </w:rPr>
        <w:fldChar w:fldCharType="end"/>
      </w:r>
      <w:r w:rsidRPr="004E053C">
        <w:rPr>
          <w:rFonts w:eastAsia="Times New Roman" w:cstheme="minorHAnsi"/>
          <w:sz w:val="22"/>
          <w:szCs w:val="22"/>
        </w:rPr>
        <w:t xml:space="preserve"> and by 1995 almost 75% of Peruvian provinces had experienced war violence </w:t>
      </w:r>
      <w:r w:rsidR="005768CD"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{"citationItems":[{"id":"ITEM-1","itemData":{"author":[{"dropping-particle":"","family":"Galdo","given":"Jose","non-dropping-particle":"","parse-names":false,"suffix":""}],"container-title":"Economic Development and Cultural Change","id":"ITEM-1","issue":"4","issued":{"date-parts":[["2013"]]},"page":"789-823","title":"The long-run labor-market consequences of civil war: evidence from the shining path in peru","type":"article-journal","volume":"61"},"uris":["http://www.mendeley.com/documents/?uuid=aa8b5f71-cb49-4edc-b6f8-08130f5fac3e"]}],"mendeley":{"formattedCitation":"(Galdo, 2013)","plainTextFormattedCitation":"(Galdo, 2013)","previouslyFormattedCitation":"(Galdo, 2013)"},"properties":{"noteIndex":0},"schema":"https://github.com/citation-style-language/schema/raw/master/csl-citation.json"}</w:instrText>
      </w:r>
      <w:r w:rsidR="005768CD" w:rsidRPr="004E053C">
        <w:rPr>
          <w:rFonts w:eastAsia="Times New Roman" w:cstheme="minorHAnsi"/>
          <w:sz w:val="22"/>
          <w:szCs w:val="22"/>
        </w:rPr>
        <w:fldChar w:fldCharType="separate"/>
      </w:r>
      <w:r w:rsidR="005768CD" w:rsidRPr="004E053C">
        <w:rPr>
          <w:rFonts w:eastAsia="Times New Roman" w:cstheme="minorHAnsi"/>
          <w:noProof/>
          <w:sz w:val="22"/>
          <w:szCs w:val="22"/>
        </w:rPr>
        <w:t>(Galdo, 2013)</w:t>
      </w:r>
      <w:r w:rsidR="005768CD" w:rsidRPr="004E053C">
        <w:rPr>
          <w:rFonts w:eastAsia="Times New Roman" w:cstheme="minorHAnsi"/>
          <w:sz w:val="22"/>
          <w:szCs w:val="22"/>
        </w:rPr>
        <w:fldChar w:fldCharType="end"/>
      </w:r>
      <w:r w:rsidRPr="004E053C">
        <w:rPr>
          <w:rFonts w:eastAsia="Times New Roman" w:cstheme="minorHAnsi"/>
          <w:sz w:val="22"/>
          <w:szCs w:val="22"/>
        </w:rPr>
        <w:t xml:space="preserve">. </w:t>
      </w:r>
      <w:r w:rsidRPr="004E053C">
        <w:rPr>
          <w:rFonts w:cstheme="minorHAnsi"/>
          <w:sz w:val="22"/>
          <w:szCs w:val="22"/>
        </w:rPr>
        <w:t xml:space="preserve">Upper estimates suggest that 69,000 Peruvians lost their lives, the majority being poor civilians rather than combatants </w:t>
      </w:r>
      <w:r w:rsidR="005768CD" w:rsidRPr="004E053C">
        <w:rPr>
          <w:rFonts w:cstheme="minorHAnsi"/>
          <w:sz w:val="22"/>
          <w:szCs w:val="22"/>
        </w:rPr>
        <w:fldChar w:fldCharType="begin" w:fldLock="1"/>
      </w:r>
      <w:r w:rsidR="002F0CEA">
        <w:rPr>
          <w:rFonts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Peru","type":"article-journal","volume":"28"},"uris":["http://www.mendeley.com/documents/?uuid=90a2be22-5c7d-4582-9e25-5171dfcfe75d"]},{"id":"ITEM-2","itemData":{"abstract":"War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Theology","id":"ITEM-2","issue":"3","issued":{"date-parts":[["2013"]]},"page":"284-303","title":"Theology and the origins of conflict: The shining path insurgency in Peru, 1980-2000","type":"article-journal","volume":"14"},"uris":["http://www.mendeley.com/documents/?uuid=f52b248a-4bcf-442a-9241-61cd319c6c35"]}],"mendeley":{"formattedCitation":"(Palmer, 2017; Shadle, 2013)","plainTextFormattedCitation":"(Palmer, 2017; Shadle, 2013)","previouslyFormattedCitation":"(Palmer, 2017; Shadle, 2013)"},"properties":{"noteIndex":0},"schema":"https://github.com/citation-style-language/schema/raw/master/csl-citation.json"}</w:instrText>
      </w:r>
      <w:r w:rsidR="005768CD" w:rsidRPr="004E053C">
        <w:rPr>
          <w:rFonts w:cstheme="minorHAnsi"/>
          <w:sz w:val="22"/>
          <w:szCs w:val="22"/>
        </w:rPr>
        <w:fldChar w:fldCharType="separate"/>
      </w:r>
      <w:r w:rsidR="005768CD" w:rsidRPr="004E053C">
        <w:rPr>
          <w:rFonts w:cstheme="minorHAnsi"/>
          <w:noProof/>
          <w:sz w:val="22"/>
          <w:szCs w:val="22"/>
        </w:rPr>
        <w:t>(Palmer, 2017; Shadle, 2013)</w:t>
      </w:r>
      <w:r w:rsidR="005768CD" w:rsidRPr="004E053C">
        <w:rPr>
          <w:rFonts w:cstheme="minorHAnsi"/>
          <w:sz w:val="22"/>
          <w:szCs w:val="22"/>
        </w:rPr>
        <w:fldChar w:fldCharType="end"/>
      </w:r>
      <w:r w:rsidR="005768CD" w:rsidRPr="004E053C">
        <w:rPr>
          <w:rFonts w:cstheme="minorHAnsi"/>
          <w:sz w:val="22"/>
          <w:szCs w:val="22"/>
        </w:rPr>
        <w:t>.</w:t>
      </w:r>
      <w:r w:rsidRPr="004E053C">
        <w:rPr>
          <w:rFonts w:cstheme="minorHAnsi"/>
          <w:sz w:val="22"/>
          <w:szCs w:val="22"/>
        </w:rPr>
        <w:t xml:space="preserve"> The militants were responsible for much of this violence. By the early 1990s, they had become more ruthless and started targeting peasants in order to reduce agricultural production </w:t>
      </w:r>
      <w:r w:rsidR="005768CD" w:rsidRPr="004E053C">
        <w:rPr>
          <w:rFonts w:cstheme="minorHAnsi"/>
          <w:sz w:val="22"/>
          <w:szCs w:val="22"/>
        </w:rPr>
        <w:fldChar w:fldCharType="begin" w:fldLock="1"/>
      </w:r>
      <w:r w:rsidR="005768CD" w:rsidRPr="004E053C">
        <w:rPr>
          <w:rFonts w:cstheme="minorHAnsi"/>
          <w:sz w:val="22"/>
          <w:szCs w:val="22"/>
        </w:rPr>
        <w:instrText>ADDIN CSL_CITATION {"citationItems":[{"id":"ITEM-1","itemData":{"author":[{"dropping-particle":"","family":"McClintock","given":"Cynthia","non-dropping-particle":"","parse-names":false,"suffix":""}],"container-title":"Current History","id":"ITEM-1","issue":"572","issued":{"date-parts":[["1993"]]},"page":"112-118","title":"Peru's Fujimore: A Caudillo derails democracy","type":"article-journal","volume":"92"},"uris":["http://www.mendeley.com/documents/?uuid=562c0b91-4b61-47f2-81e8-e8bd86501394"]}],"mendeley":{"formattedCitation":"(McClintock, 1993)","plainTextFormattedCitation":"(McClintock, 1993)","previouslyFormattedCitation":"(McClintock, 1993)"},"properties":{"noteIndex":0},"schema":"https://github.com/citation-style-language/schema/raw/master/csl-citation.json"}</w:instrText>
      </w:r>
      <w:r w:rsidR="005768CD" w:rsidRPr="004E053C">
        <w:rPr>
          <w:rFonts w:cstheme="minorHAnsi"/>
          <w:sz w:val="22"/>
          <w:szCs w:val="22"/>
        </w:rPr>
        <w:fldChar w:fldCharType="separate"/>
      </w:r>
      <w:r w:rsidR="005768CD" w:rsidRPr="004E053C">
        <w:rPr>
          <w:rFonts w:cstheme="minorHAnsi"/>
          <w:noProof/>
          <w:sz w:val="22"/>
          <w:szCs w:val="22"/>
        </w:rPr>
        <w:t>(McClintock, 1993)</w:t>
      </w:r>
      <w:r w:rsidR="005768CD" w:rsidRPr="004E053C">
        <w:rPr>
          <w:rFonts w:cstheme="minorHAnsi"/>
          <w:sz w:val="22"/>
          <w:szCs w:val="22"/>
        </w:rPr>
        <w:fldChar w:fldCharType="end"/>
      </w:r>
      <w:r w:rsidR="0010441C" w:rsidRPr="004E053C">
        <w:rPr>
          <w:rFonts w:cstheme="minorHAnsi"/>
          <w:sz w:val="22"/>
          <w:szCs w:val="22"/>
        </w:rPr>
        <w:t>, making day-to-day life</w:t>
      </w:r>
      <w:r w:rsidRPr="004E053C">
        <w:rPr>
          <w:rFonts w:cstheme="minorHAnsi"/>
          <w:sz w:val="22"/>
          <w:szCs w:val="22"/>
        </w:rPr>
        <w:t xml:space="preserve"> in rural areas extremely challenging. However, there were also brutal and often indiscriminate attacks by the Peruvian military and police </w:t>
      </w:r>
      <w:r w:rsidR="005768CD" w:rsidRPr="004E053C">
        <w:rPr>
          <w:rFonts w:cstheme="minorHAnsi"/>
          <w:sz w:val="22"/>
          <w:szCs w:val="22"/>
        </w:rPr>
        <w:fldChar w:fldCharType="begin" w:fldLock="1"/>
      </w:r>
      <w:r w:rsidR="002F0CEA">
        <w:rPr>
          <w:rFonts w:cstheme="minorHAnsi"/>
          <w:sz w:val="22"/>
          <w:szCs w:val="22"/>
        </w:rPr>
        <w:instrText>ADDIN CSL_CITATION {"citationItems":[{"id":"ITEM-1","itemData":{"abstract":"War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Theology","id":"ITEM-1","issue":"3","issued":{"date-parts":[["2013"]]},"page":"284-303","title":"Theology and the origins of conflict: The shining path insurgency in Peru, 1980-2000","type":"article-journal","volume":"14"},"uris":["http://www.mendeley.com/documents/?uuid=f52b248a-4bcf-442a-9241-61cd319c6c35"]}],"mendeley":{"formattedCitation":"(Shadle, 2013)","plainTextFormattedCitation":"(Shadle, 2013)","previouslyFormattedCitation":"(Shadle, 2013)"},"properties":{"noteIndex":0},"schema":"https://github.com/citation-style-language/schema/raw/master/csl-citation.json"}</w:instrText>
      </w:r>
      <w:r w:rsidR="005768CD" w:rsidRPr="004E053C">
        <w:rPr>
          <w:rFonts w:cstheme="minorHAnsi"/>
          <w:sz w:val="22"/>
          <w:szCs w:val="22"/>
        </w:rPr>
        <w:fldChar w:fldCharType="separate"/>
      </w:r>
      <w:r w:rsidR="005768CD" w:rsidRPr="004E053C">
        <w:rPr>
          <w:rFonts w:cstheme="minorHAnsi"/>
          <w:noProof/>
          <w:sz w:val="22"/>
          <w:szCs w:val="22"/>
        </w:rPr>
        <w:t>(Shadle, 2013)</w:t>
      </w:r>
      <w:r w:rsidR="005768CD" w:rsidRPr="004E053C">
        <w:rPr>
          <w:rFonts w:cstheme="minorHAnsi"/>
          <w:sz w:val="22"/>
          <w:szCs w:val="22"/>
        </w:rPr>
        <w:fldChar w:fldCharType="end"/>
      </w:r>
      <w:r w:rsidRPr="004E053C">
        <w:rPr>
          <w:rFonts w:cstheme="minorHAnsi"/>
          <w:sz w:val="22"/>
          <w:szCs w:val="22"/>
        </w:rPr>
        <w:t xml:space="preserve">. Support for </w:t>
      </w:r>
      <w:r w:rsidRPr="004E053C">
        <w:rPr>
          <w:rFonts w:cstheme="minorHAnsi"/>
          <w:i/>
          <w:sz w:val="22"/>
          <w:szCs w:val="22"/>
        </w:rPr>
        <w:t>Sendero Luminoso</w:t>
      </w:r>
      <w:r w:rsidRPr="004E053C">
        <w:rPr>
          <w:rFonts w:cstheme="minorHAnsi"/>
          <w:sz w:val="22"/>
          <w:szCs w:val="22"/>
        </w:rPr>
        <w:t xml:space="preserve"> became far more dangerous once the counterinsurgency was in full force, and </w:t>
      </w:r>
      <w:r w:rsidRPr="004E053C">
        <w:rPr>
          <w:rFonts w:eastAsia="Times New Roman" w:cstheme="minorHAnsi"/>
          <w:sz w:val="22"/>
          <w:szCs w:val="22"/>
        </w:rPr>
        <w:t>villages that were considered sympathetic to their cause were raided an</w:t>
      </w:r>
      <w:r w:rsidR="007D3B19" w:rsidRPr="004E053C">
        <w:rPr>
          <w:rFonts w:eastAsia="Times New Roman" w:cstheme="minorHAnsi"/>
          <w:sz w:val="22"/>
          <w:szCs w:val="22"/>
        </w:rPr>
        <w:t xml:space="preserve">d even bombed </w:t>
      </w:r>
      <w:r w:rsidR="007D3B19" w:rsidRPr="004E053C">
        <w:rPr>
          <w:rFonts w:eastAsia="Times New Roman" w:cstheme="minorHAnsi"/>
          <w:sz w:val="22"/>
          <w:szCs w:val="22"/>
        </w:rPr>
        <w:fldChar w:fldCharType="begin" w:fldLock="1"/>
      </w:r>
      <w:r w:rsidR="00697A46" w:rsidRPr="004E053C">
        <w:rPr>
          <w:rFonts w:eastAsia="Times New Roman" w:cstheme="minorHAnsi"/>
          <w:sz w:val="22"/>
          <w:szCs w:val="22"/>
        </w:rPr>
        <w:instrText>ADDIN CSL_CITATION {"citationItems":[{"id":"ITEM-1","itemData":{"author":[{"dropping-particle":"","family":"McClintock","given":"Cynthia","non-dropping-particle":"","parse-names":false,"suffix":""}],"container-title":"World Politics","id":"ITEM-1","issue":"1","issued":{"date-parts":[["1984"]]},"page":"48-84","title":"Why peasants rebel: the case of Peru's Sendero Luminoso","type":"article-journal","volume":"37"},"uris":["http://www.mendeley.com/documents/?uuid=aae18678-56a0-4342-829c-31f1d83ba5ed"]}],"mendeley":{"formattedCitation":"(McClintock, 1984)","plainTextFormattedCitation":"(McClintock, 1984)","previouslyFormattedCitation":"(McClintock, 1984)"},"properties":{"noteIndex":0},"schema":"https://github.com/citation-style-language/schema/raw/master/csl-citation.json"}</w:instrText>
      </w:r>
      <w:r w:rsidR="007D3B19" w:rsidRPr="004E053C">
        <w:rPr>
          <w:rFonts w:eastAsia="Times New Roman" w:cstheme="minorHAnsi"/>
          <w:sz w:val="22"/>
          <w:szCs w:val="22"/>
        </w:rPr>
        <w:fldChar w:fldCharType="separate"/>
      </w:r>
      <w:r w:rsidR="007D3B19" w:rsidRPr="004E053C">
        <w:rPr>
          <w:rFonts w:eastAsia="Times New Roman" w:cstheme="minorHAnsi"/>
          <w:noProof/>
          <w:sz w:val="22"/>
          <w:szCs w:val="22"/>
        </w:rPr>
        <w:t>(McClintock, 1984)</w:t>
      </w:r>
      <w:r w:rsidR="007D3B19" w:rsidRPr="004E053C">
        <w:rPr>
          <w:rFonts w:eastAsia="Times New Roman" w:cstheme="minorHAnsi"/>
          <w:sz w:val="22"/>
          <w:szCs w:val="22"/>
        </w:rPr>
        <w:fldChar w:fldCharType="end"/>
      </w:r>
      <w:r w:rsidRPr="004E053C">
        <w:rPr>
          <w:rFonts w:eastAsia="Times New Roman" w:cstheme="minorHAnsi"/>
          <w:sz w:val="22"/>
          <w:szCs w:val="22"/>
        </w:rPr>
        <w:t xml:space="preserve">. The </w:t>
      </w:r>
      <w:r w:rsidRPr="004E053C">
        <w:rPr>
          <w:rFonts w:eastAsia="Times New Roman" w:cstheme="minorHAnsi"/>
          <w:i/>
          <w:sz w:val="22"/>
          <w:szCs w:val="22"/>
        </w:rPr>
        <w:t>Sendero</w:t>
      </w:r>
      <w:r w:rsidRPr="004E053C">
        <w:rPr>
          <w:rFonts w:eastAsia="Times New Roman" w:cstheme="minorHAnsi"/>
          <w:sz w:val="22"/>
          <w:szCs w:val="22"/>
        </w:rPr>
        <w:t xml:space="preserve"> militants proved incapable of protecting their allies from the violent counterinsurgency, and in some cases left the inhabitants to fend for themselves </w:t>
      </w:r>
      <w:r w:rsidR="005768CD" w:rsidRPr="004E053C">
        <w:rPr>
          <w:rFonts w:eastAsia="Times New Roman" w:cstheme="minorHAnsi"/>
          <w:sz w:val="22"/>
          <w:szCs w:val="22"/>
        </w:rPr>
        <w:fldChar w:fldCharType="begin" w:fldLock="1"/>
      </w:r>
      <w:r w:rsidR="005768CD" w:rsidRPr="004E053C">
        <w:rPr>
          <w:rFonts w:eastAsia="Times New Roman" w:cstheme="minorHAnsi"/>
          <w:sz w:val="22"/>
          <w:szCs w:val="22"/>
        </w:rPr>
        <w:instrText>ADDIN CSL_CITATION {"citationItems":[{"id":"ITEM-1","itemData":{"author":[{"dropping-particle":"","family":"McClintock","given":"Cynthia","non-dropping-particle":"","parse-names":false,"suffix":""}],"container-title":"Current History","id":"ITEM-1","issue":"572","issued":{"date-parts":[["1993"]]},"page":"112-118","title":"Peru's Fujimore: A Caudillo derails democracy","type":"article-journal","volume":"92"},"uris":["http://www.mendeley.com/documents/?uuid=562c0b91-4b61-47f2-81e8-e8bd86501394"]}],"mendeley":{"formattedCitation":"(McClintock, 1993)","plainTextFormattedCitation":"(McClintock, 1993)","previouslyFormattedCitation":"(McClintock, 1993)"},"properties":{"noteIndex":0},"schema":"https://github.com/citation-style-language/schema/raw/master/csl-citation.json"}</w:instrText>
      </w:r>
      <w:r w:rsidR="005768CD" w:rsidRPr="004E053C">
        <w:rPr>
          <w:rFonts w:eastAsia="Times New Roman" w:cstheme="minorHAnsi"/>
          <w:sz w:val="22"/>
          <w:szCs w:val="22"/>
        </w:rPr>
        <w:fldChar w:fldCharType="separate"/>
      </w:r>
      <w:r w:rsidR="005768CD" w:rsidRPr="004E053C">
        <w:rPr>
          <w:rFonts w:eastAsia="Times New Roman" w:cstheme="minorHAnsi"/>
          <w:noProof/>
          <w:sz w:val="22"/>
          <w:szCs w:val="22"/>
        </w:rPr>
        <w:t>(McClintock, 1993)</w:t>
      </w:r>
      <w:r w:rsidR="005768CD" w:rsidRPr="004E053C">
        <w:rPr>
          <w:rFonts w:eastAsia="Times New Roman" w:cstheme="minorHAnsi"/>
          <w:sz w:val="22"/>
          <w:szCs w:val="22"/>
        </w:rPr>
        <w:fldChar w:fldCharType="end"/>
      </w:r>
      <w:r w:rsidRPr="004E053C">
        <w:rPr>
          <w:rFonts w:eastAsia="Times New Roman" w:cstheme="minorHAnsi"/>
          <w:sz w:val="22"/>
          <w:szCs w:val="22"/>
        </w:rPr>
        <w:t xml:space="preserve">. The military did eventually move away from indiscriminate violence, but Fujimore later imposed draconian terrorism laws which further reduced the rights of anyone suspected of being a terrorist or a terrorist sympathiser </w:t>
      </w:r>
      <w:r w:rsidR="005768CD"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Theology","id":"ITEM-1","issue":"3","issued":{"date-parts":[["2013"]]},"page":"284-303","title":"Theology and the origins of conflict: The shining path insurgency in Peru, 1980-2000","type":"article-journal","volume":"14"},"uris":["http://www.mendeley.com/documents/?uuid=f52b248a-4bcf-442a-9241-61cd319c6c35"]}],"mendeley":{"formattedCitation":"(Shadle, 2013)","plainTextFormattedCitation":"(Shadle, 2013)","previouslyFormattedCitation":"(Shadle, 2013)"},"properties":{"noteIndex":0},"schema":"https://github.com/citation-style-language/schema/raw/master/csl-citation.json"}</w:instrText>
      </w:r>
      <w:r w:rsidR="005768CD" w:rsidRPr="004E053C">
        <w:rPr>
          <w:rFonts w:eastAsia="Times New Roman" w:cstheme="minorHAnsi"/>
          <w:sz w:val="22"/>
          <w:szCs w:val="22"/>
        </w:rPr>
        <w:fldChar w:fldCharType="separate"/>
      </w:r>
      <w:r w:rsidR="005768CD" w:rsidRPr="004E053C">
        <w:rPr>
          <w:rFonts w:eastAsia="Times New Roman" w:cstheme="minorHAnsi"/>
          <w:noProof/>
          <w:sz w:val="22"/>
          <w:szCs w:val="22"/>
        </w:rPr>
        <w:t>(Shadle, 2013)</w:t>
      </w:r>
      <w:r w:rsidR="005768CD" w:rsidRPr="004E053C">
        <w:rPr>
          <w:rFonts w:eastAsia="Times New Roman" w:cstheme="minorHAnsi"/>
          <w:sz w:val="22"/>
          <w:szCs w:val="22"/>
        </w:rPr>
        <w:fldChar w:fldCharType="end"/>
      </w:r>
      <w:r w:rsidRPr="004E053C">
        <w:rPr>
          <w:rFonts w:eastAsia="Times New Roman" w:cstheme="minorHAnsi"/>
          <w:sz w:val="22"/>
          <w:szCs w:val="22"/>
        </w:rPr>
        <w:t>.</w:t>
      </w:r>
    </w:p>
    <w:p w14:paraId="37FB83C7" w14:textId="77777777" w:rsidR="00375961" w:rsidRPr="004E053C" w:rsidRDefault="00375961" w:rsidP="004E053C">
      <w:pPr>
        <w:spacing w:line="360" w:lineRule="auto"/>
        <w:jc w:val="both"/>
        <w:rPr>
          <w:rFonts w:eastAsia="Times New Roman" w:cstheme="minorHAnsi"/>
          <w:sz w:val="20"/>
          <w:szCs w:val="20"/>
        </w:rPr>
      </w:pPr>
    </w:p>
    <w:p w14:paraId="46FB2982" w14:textId="57FAA0F0" w:rsidR="00375961" w:rsidRPr="004E053C" w:rsidRDefault="00375961" w:rsidP="004E053C">
      <w:pPr>
        <w:spacing w:line="360" w:lineRule="auto"/>
        <w:jc w:val="both"/>
        <w:rPr>
          <w:rFonts w:eastAsia="Times New Roman" w:cstheme="minorHAnsi"/>
          <w:sz w:val="22"/>
          <w:szCs w:val="22"/>
        </w:rPr>
      </w:pPr>
      <w:r w:rsidRPr="004E053C">
        <w:rPr>
          <w:rFonts w:cstheme="minorHAnsi"/>
          <w:sz w:val="22"/>
          <w:szCs w:val="22"/>
        </w:rPr>
        <w:t xml:space="preserve">For those living in the worst affected areas of the countryside, the obvious solution was to leave </w:t>
      </w:r>
      <w:r w:rsidR="004B3E3E" w:rsidRPr="004E053C">
        <w:rPr>
          <w:rFonts w:cstheme="minorHAnsi"/>
          <w:sz w:val="22"/>
          <w:szCs w:val="22"/>
        </w:rPr>
        <w:fldChar w:fldCharType="begin" w:fldLock="1"/>
      </w:r>
      <w:r w:rsidR="002F0CEA">
        <w:rPr>
          <w:rFonts w:cstheme="minorHAnsi"/>
          <w:sz w:val="22"/>
          <w:szCs w:val="22"/>
        </w:rPr>
        <w:instrText>ADDIN CSL_CITATION {"citationItems":[{"id":"ITEM-1","itemData":{"abstract":"Though it is well understood that all internal upheaval within a polity is a consequence of agency interacting with structure, the importance of the former has perhaps become too pushed to the rear. In reality, as demonstrated by the case of Sendero Luminoso (Shining Path) in Peru, even cases which seem most determined by structural factors, in practice remain problematic, absent necessary revolutionary leadership. This leadership in turn, can make mistakes just as it guides successes.","author":[{"dropping-particle":"","family":"Palmer","given":"David Scott","non-dropping-particle":"","parse-names":false,"suffix":""}],"container-title":"Small Wars and Insurgencies","id":"ITEM-1","issue":"3","issued":{"date-parts":[["2017"]]},"page":"426-450","publisher":"Routledge","title":"Revolutionary leadership as necessary element in people’s war: Shining Path of Peru","type":"article-journal","volume":"28"},"uris":["http://www.mendeley.com/documents/?uuid=90a2be22-5c7d-4582-9e25-5171dfcfe75d"]}],"mendeley":{"formattedCitation":"(Palmer, 2017)","plainTextFormattedCitation":"(Palmer, 2017)","previouslyFormattedCitation":"(Palmer, 2017)"},"properties":{"noteIndex":0},"schema":"https://github.com/citation-style-language/schema/raw/master/csl-citation.json"}</w:instrText>
      </w:r>
      <w:r w:rsidR="004B3E3E" w:rsidRPr="004E053C">
        <w:rPr>
          <w:rFonts w:cstheme="minorHAnsi"/>
          <w:sz w:val="22"/>
          <w:szCs w:val="22"/>
        </w:rPr>
        <w:fldChar w:fldCharType="separate"/>
      </w:r>
      <w:r w:rsidR="004B3E3E" w:rsidRPr="004E053C">
        <w:rPr>
          <w:rFonts w:cstheme="minorHAnsi"/>
          <w:noProof/>
          <w:sz w:val="22"/>
          <w:szCs w:val="22"/>
        </w:rPr>
        <w:t>(Palmer, 2017)</w:t>
      </w:r>
      <w:r w:rsidR="004B3E3E" w:rsidRPr="004E053C">
        <w:rPr>
          <w:rFonts w:cstheme="minorHAnsi"/>
          <w:sz w:val="22"/>
          <w:szCs w:val="22"/>
        </w:rPr>
        <w:fldChar w:fldCharType="end"/>
      </w:r>
      <w:r w:rsidR="004B3E3E" w:rsidRPr="004E053C">
        <w:rPr>
          <w:rFonts w:eastAsia="Times New Roman" w:cstheme="minorHAnsi"/>
          <w:sz w:val="22"/>
          <w:szCs w:val="22"/>
        </w:rPr>
        <w:t>.</w:t>
      </w:r>
      <w:r w:rsidRPr="004E053C">
        <w:rPr>
          <w:rFonts w:eastAsia="Times New Roman" w:cstheme="minorHAnsi"/>
          <w:sz w:val="22"/>
          <w:szCs w:val="22"/>
        </w:rPr>
        <w:t xml:space="preserve"> It is estimated that around six hundred thousand Peruvians fled their villages and moved to the relative safety of the shantytowns of Lima and other cities </w:t>
      </w:r>
      <w:r w:rsidR="004B3E3E" w:rsidRPr="004E053C">
        <w:rPr>
          <w:rFonts w:eastAsia="Times New Roman" w:cstheme="minorHAnsi"/>
          <w:sz w:val="22"/>
          <w:szCs w:val="22"/>
        </w:rPr>
        <w:fldChar w:fldCharType="begin" w:fldLock="1"/>
      </w:r>
      <w:r w:rsidR="004B3E3E" w:rsidRPr="004E053C">
        <w:rPr>
          <w:rFonts w:eastAsia="Times New Roman" w:cstheme="minorHAnsi"/>
          <w:sz w:val="22"/>
          <w:szCs w:val="22"/>
        </w:rPr>
        <w:instrText>ADDIN CSL_CITATION {"citationItems":[{"id":"ITEM-1","itemData":{"ISSN":"0022216X, 1469767X","abstract":"[This article examines the history and ideology of the Communist Party of Peru-Shining Path (Sendero Luminoso). The rebels claim to embody a distinctively Peruvian Marxism. However, a close examination of the party betrays a conspicuous indifference to Peruvian culture and traditions. The distinctiveness of this largest and most diverse of the Andean nations disappears in the orthodoxy of a universal Marxism, in this respect placing the Shining Path within the long legacy of the imperial inscription of Latin American history into the preconceived categories and linear narratives of Western philosophy and science.]","author":[{"dropping-particle":"","family":"Starn","given":"Orin","non-dropping-particle":"","parse-names":false,"suffix":""}],"container-title":"Journal of Latin American Studies","id":"ITEM-1","issue":"2","issued":{"date-parts":[["1995","1","25"]]},"page":"399-421","publisher":"Cambridge University Press","title":"Maoism in the Andes: The Communist Party of Peru-Shining Path and the refusal of history","type":"article-journal","volume":"27"},"uris":["http://www.mendeley.com/documents/?uuid=ff46d35f-4c46-4ce4-84d3-e2a831b2b4fd"]}],"mendeley":{"formattedCitation":"(Starn, 1995)","plainTextFormattedCitation":"(Starn, 1995)","previouslyFormattedCitation":"(Starn, 1995)"},"properties":{"noteIndex":0},"schema":"https://github.com/citation-style-language/schema/raw/master/csl-citation.json"}</w:instrText>
      </w:r>
      <w:r w:rsidR="004B3E3E" w:rsidRPr="004E053C">
        <w:rPr>
          <w:rFonts w:eastAsia="Times New Roman" w:cstheme="minorHAnsi"/>
          <w:sz w:val="22"/>
          <w:szCs w:val="22"/>
        </w:rPr>
        <w:fldChar w:fldCharType="separate"/>
      </w:r>
      <w:r w:rsidR="004B3E3E" w:rsidRPr="004E053C">
        <w:rPr>
          <w:rFonts w:eastAsia="Times New Roman" w:cstheme="minorHAnsi"/>
          <w:noProof/>
          <w:sz w:val="22"/>
          <w:szCs w:val="22"/>
        </w:rPr>
        <w:t>(Starn, 1995)</w:t>
      </w:r>
      <w:r w:rsidR="004B3E3E" w:rsidRPr="004E053C">
        <w:rPr>
          <w:rFonts w:eastAsia="Times New Roman" w:cstheme="minorHAnsi"/>
          <w:sz w:val="22"/>
          <w:szCs w:val="22"/>
        </w:rPr>
        <w:fldChar w:fldCharType="end"/>
      </w:r>
      <w:r w:rsidRPr="004E053C">
        <w:rPr>
          <w:rFonts w:eastAsia="Times New Roman" w:cstheme="minorHAnsi"/>
          <w:sz w:val="22"/>
          <w:szCs w:val="22"/>
        </w:rPr>
        <w:t xml:space="preserve">. Others moved to the growing cities in the Amazon, where the jungle town of Puerto Maldonado would have offered relative peace. By the early 1990s many of the migrants could safely return home, but others </w:t>
      </w:r>
      <w:r w:rsidR="0010441C" w:rsidRPr="004E053C">
        <w:rPr>
          <w:rFonts w:eastAsia="Times New Roman" w:cstheme="minorHAnsi"/>
          <w:sz w:val="22"/>
          <w:szCs w:val="22"/>
        </w:rPr>
        <w:t xml:space="preserve">either </w:t>
      </w:r>
      <w:r w:rsidRPr="004E053C">
        <w:rPr>
          <w:rFonts w:eastAsia="Times New Roman" w:cstheme="minorHAnsi"/>
          <w:sz w:val="22"/>
          <w:szCs w:val="22"/>
        </w:rPr>
        <w:t>found either their villages had been abandoned as burnt r</w:t>
      </w:r>
      <w:r w:rsidR="0010441C" w:rsidRPr="004E053C">
        <w:rPr>
          <w:rFonts w:eastAsia="Times New Roman" w:cstheme="minorHAnsi"/>
          <w:sz w:val="22"/>
          <w:szCs w:val="22"/>
        </w:rPr>
        <w:t>uins or were forced to</w:t>
      </w:r>
      <w:r w:rsidRPr="004E053C">
        <w:rPr>
          <w:rFonts w:eastAsia="Times New Roman" w:cstheme="minorHAnsi"/>
          <w:sz w:val="22"/>
          <w:szCs w:val="22"/>
        </w:rPr>
        <w:t xml:space="preserve"> live in fear that remaining </w:t>
      </w:r>
      <w:r w:rsidRPr="004E053C">
        <w:rPr>
          <w:rFonts w:eastAsia="Times New Roman" w:cstheme="minorHAnsi"/>
          <w:i/>
          <w:sz w:val="22"/>
          <w:szCs w:val="22"/>
        </w:rPr>
        <w:t>Sendero</w:t>
      </w:r>
      <w:r w:rsidRPr="004E053C">
        <w:rPr>
          <w:rFonts w:eastAsia="Times New Roman" w:cstheme="minorHAnsi"/>
          <w:sz w:val="22"/>
          <w:szCs w:val="22"/>
        </w:rPr>
        <w:t xml:space="preserve"> militants would descend at night to loot and kill </w:t>
      </w:r>
      <w:r w:rsidR="004B3E3E" w:rsidRPr="004E053C">
        <w:rPr>
          <w:rFonts w:eastAsia="Times New Roman" w:cstheme="minorHAnsi"/>
          <w:sz w:val="22"/>
          <w:szCs w:val="22"/>
        </w:rPr>
        <w:fldChar w:fldCharType="begin" w:fldLock="1"/>
      </w:r>
      <w:r w:rsidR="00697A46" w:rsidRPr="004E053C">
        <w:rPr>
          <w:rFonts w:eastAsia="Times New Roman" w:cstheme="minorHAnsi"/>
          <w:sz w:val="22"/>
          <w:szCs w:val="22"/>
        </w:rPr>
        <w:instrText>ADDIN CSL_CITATION {"citationItems":[{"id":"ITEM-1","itemData":{"ISSN":"0022216X, 1469767X","abstract":"[This article examines the history and ideology of the Communist Party of Peru-Shining Path (Sendero Luminoso). The rebels claim to embody a distinctively Peruvian Marxism. However, a close examination of the party betrays a conspicuous indifference to Peruvian culture and traditions. The distinctiveness of this largest and most diverse of the Andean nations disappears in the orthodoxy of a universal Marxism, in this respect placing the Shining Path within the long legacy of the imperial inscription of Latin American history into the preconceived categories and linear narratives of Western philosophy and science.]","author":[{"dropping-particle":"","family":"Starn","given":"Orin","non-dropping-particle":"","parse-names":false,"suffix":""}],"container-title":"Journal of Latin American Studies","id":"ITEM-1","issue":"2","issued":{"date-parts":[["1995","1","25"]]},"page":"399-421","publisher":"Cambridge University Press","title":"Maoism in the Andes: The Communist Party of Peru-Shining Path and the refusal of history","type":"article-journal","volume":"27"},"uris":["http://www.mendeley.com/documents/?uuid=ff46d35f-4c46-4ce4-84d3-e2a831b2b4fd"]}],"mendeley":{"formattedCitation":"(Starn, 1995)","manualFormatting":"(Ibid.)","plainTextFormattedCitation":"(Starn, 1995)","previouslyFormattedCitation":"(Starn, 1995)"},"properties":{"noteIndex":0},"schema":"https://github.com/citation-style-language/schema/raw/master/csl-citation.json"}</w:instrText>
      </w:r>
      <w:r w:rsidR="004B3E3E" w:rsidRPr="004E053C">
        <w:rPr>
          <w:rFonts w:eastAsia="Times New Roman" w:cstheme="minorHAnsi"/>
          <w:sz w:val="22"/>
          <w:szCs w:val="22"/>
        </w:rPr>
        <w:fldChar w:fldCharType="separate"/>
      </w:r>
      <w:r w:rsidR="007D3B19" w:rsidRPr="004E053C">
        <w:rPr>
          <w:rFonts w:eastAsia="Times New Roman" w:cstheme="minorHAnsi"/>
          <w:noProof/>
          <w:sz w:val="22"/>
          <w:szCs w:val="22"/>
        </w:rPr>
        <w:t>(Ibid.</w:t>
      </w:r>
      <w:r w:rsidR="004B3E3E" w:rsidRPr="004E053C">
        <w:rPr>
          <w:rFonts w:eastAsia="Times New Roman" w:cstheme="minorHAnsi"/>
          <w:noProof/>
          <w:sz w:val="22"/>
          <w:szCs w:val="22"/>
        </w:rPr>
        <w:t>)</w:t>
      </w:r>
      <w:r w:rsidR="004B3E3E" w:rsidRPr="004E053C">
        <w:rPr>
          <w:rFonts w:eastAsia="Times New Roman" w:cstheme="minorHAnsi"/>
          <w:sz w:val="22"/>
          <w:szCs w:val="22"/>
        </w:rPr>
        <w:fldChar w:fldCharType="end"/>
      </w:r>
      <w:r w:rsidR="004B3E3E" w:rsidRPr="004E053C">
        <w:rPr>
          <w:rFonts w:eastAsia="Times New Roman" w:cstheme="minorHAnsi"/>
          <w:sz w:val="22"/>
          <w:szCs w:val="22"/>
        </w:rPr>
        <w:t>.</w:t>
      </w:r>
    </w:p>
    <w:p w14:paraId="2C742D41" w14:textId="77777777" w:rsidR="00375961" w:rsidRPr="004E053C" w:rsidRDefault="00375961" w:rsidP="004E053C">
      <w:pPr>
        <w:spacing w:line="360" w:lineRule="auto"/>
        <w:jc w:val="both"/>
        <w:rPr>
          <w:rFonts w:cstheme="minorHAnsi"/>
        </w:rPr>
      </w:pPr>
    </w:p>
    <w:p w14:paraId="7FF8E5F5" w14:textId="7D406111"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 xml:space="preserve">An important aspect of the conflict was its racial undertone, which contributed to an already deeply divided Peruvian society. These divides undoubtedly contributed to conflict in the first place, as the </w:t>
      </w:r>
      <w:r w:rsidRPr="004E053C">
        <w:rPr>
          <w:rFonts w:eastAsia="Times New Roman" w:cstheme="minorHAnsi"/>
          <w:sz w:val="22"/>
          <w:szCs w:val="22"/>
        </w:rPr>
        <w:lastRenderedPageBreak/>
        <w:t xml:space="preserve">extreme poverty in the highlands and the clear biases in government policy that favoured coastal regions had motivated Guzman’s thinking </w:t>
      </w:r>
      <w:r w:rsidR="004B3E3E" w:rsidRPr="004E053C">
        <w:rPr>
          <w:rFonts w:eastAsia="Times New Roman" w:cstheme="minorHAnsi"/>
          <w:sz w:val="22"/>
          <w:szCs w:val="22"/>
        </w:rPr>
        <w:fldChar w:fldCharType="begin" w:fldLock="1"/>
      </w:r>
      <w:r w:rsidR="004B3E3E" w:rsidRPr="004E053C">
        <w:rPr>
          <w:rFonts w:eastAsia="Times New Roman" w:cstheme="minorHAnsi"/>
          <w:sz w:val="22"/>
          <w:szCs w:val="22"/>
        </w:rPr>
        <w:instrText>ADDIN CSL_CITATION {"citationItems":[{"id":"ITEM-1","itemData":{"author":[{"dropping-particle":"","family":"McClintock","given":"Cynthia","non-dropping-particle":"","parse-names":false,"suffix":""}],"container-title":"Current History","id":"ITEM-1","issue":"572","issued":{"date-parts":[["1993"]]},"page":"112-118","title":"Peru's Fujimore: A Caudillo derails democracy","type":"article-journal","volume":"92"},"uris":["http://www.mendeley.com/documents/?uuid=562c0b91-4b61-47f2-81e8-e8bd86501394"]}],"mendeley":{"formattedCitation":"(McClintock, 1993)","plainTextFormattedCitation":"(McClintock, 1993)","previouslyFormattedCitation":"(McClintock, 1993)"},"properties":{"noteIndex":0},"schema":"https://github.com/citation-style-language/schema/raw/master/csl-citation.json"}</w:instrText>
      </w:r>
      <w:r w:rsidR="004B3E3E" w:rsidRPr="004E053C">
        <w:rPr>
          <w:rFonts w:eastAsia="Times New Roman" w:cstheme="minorHAnsi"/>
          <w:sz w:val="22"/>
          <w:szCs w:val="22"/>
        </w:rPr>
        <w:fldChar w:fldCharType="separate"/>
      </w:r>
      <w:r w:rsidR="004B3E3E" w:rsidRPr="004E053C">
        <w:rPr>
          <w:rFonts w:eastAsia="Times New Roman" w:cstheme="minorHAnsi"/>
          <w:noProof/>
          <w:sz w:val="22"/>
          <w:szCs w:val="22"/>
        </w:rPr>
        <w:t>(McClintock, 1993)</w:t>
      </w:r>
      <w:r w:rsidR="004B3E3E" w:rsidRPr="004E053C">
        <w:rPr>
          <w:rFonts w:eastAsia="Times New Roman" w:cstheme="minorHAnsi"/>
          <w:sz w:val="22"/>
          <w:szCs w:val="22"/>
        </w:rPr>
        <w:fldChar w:fldCharType="end"/>
      </w:r>
      <w:r w:rsidRPr="004E053C">
        <w:rPr>
          <w:rFonts w:eastAsia="Times New Roman" w:cstheme="minorHAnsi"/>
          <w:sz w:val="22"/>
          <w:szCs w:val="22"/>
        </w:rPr>
        <w:t xml:space="preserve">. He </w:t>
      </w:r>
      <w:r w:rsidRPr="004E053C">
        <w:rPr>
          <w:rFonts w:cstheme="minorHAnsi"/>
          <w:sz w:val="22"/>
          <w:szCs w:val="22"/>
        </w:rPr>
        <w:t xml:space="preserve">wanted to replace the foreign-dominated system with a more indigenous and popular democracy </w:t>
      </w:r>
      <w:r w:rsidR="004B3E3E" w:rsidRPr="004E053C">
        <w:rPr>
          <w:rFonts w:cstheme="minorHAnsi"/>
          <w:sz w:val="22"/>
          <w:szCs w:val="22"/>
        </w:rPr>
        <w:fldChar w:fldCharType="begin" w:fldLock="1"/>
      </w:r>
      <w:r w:rsidR="004B3E3E" w:rsidRPr="004E053C">
        <w:rPr>
          <w:rFonts w:cstheme="minorHAnsi"/>
          <w:sz w:val="22"/>
          <w:szCs w:val="22"/>
        </w:rPr>
        <w:instrText>ADDIN CSL_CITATION {"citationItems":[{"id":"ITEM-1","itemData":{"ISSN":"00027162","abstract":"[A security threat confronts the West from the world's gray areas-regions where control is shifting to half-political, half-criminal transnational powers, such as Peru's Sendero Luminoso (Shining Path). Sendero Luminoso's vision, organization, and action program provide a new Marxist-Leninist-Maoist model for reforming political actors operating in other gray areas. Until the Sendero Luminoso insurgency is seriously addressed at the strategic level, the causes and consequences of such insurgency will continue to threaten Peru and perhaps other parts of the hemisphere and the world.]","author":[{"dropping-particle":"","family":"Manwaring","given":"Max G","non-dropping-particle":"","parse-names":false,"suffix":""}],"container-title":"The Annals of the American Academy of Political and Social Science","id":"ITEM-1","issued":{"date-parts":[["1995","1","25"]]},"page":"157-166","publisher":"[Sage Publications, Inc., American Academy of Political and Social Science]","title":"Peru's Sendero Luminoso: The Shining Path beckons","type":"article-journal","volume":"541"},"uris":["http://www.mendeley.com/documents/?uuid=ec8c57ef-b480-4df3-bbcc-02454c1646a7"]}],"mendeley":{"formattedCitation":"(Manwaring, 1995)","plainTextFormattedCitation":"(Manwaring, 1995)","previouslyFormattedCitation":"(Manwaring, 1995)"},"properties":{"noteIndex":0},"schema":"https://github.com/citation-style-language/schema/raw/master/csl-citation.json"}</w:instrText>
      </w:r>
      <w:r w:rsidR="004B3E3E" w:rsidRPr="004E053C">
        <w:rPr>
          <w:rFonts w:cstheme="minorHAnsi"/>
          <w:sz w:val="22"/>
          <w:szCs w:val="22"/>
        </w:rPr>
        <w:fldChar w:fldCharType="separate"/>
      </w:r>
      <w:r w:rsidR="004B3E3E" w:rsidRPr="004E053C">
        <w:rPr>
          <w:rFonts w:cstheme="minorHAnsi"/>
          <w:noProof/>
          <w:sz w:val="22"/>
          <w:szCs w:val="22"/>
        </w:rPr>
        <w:t>(Manwaring, 1995)</w:t>
      </w:r>
      <w:r w:rsidR="004B3E3E" w:rsidRPr="004E053C">
        <w:rPr>
          <w:rFonts w:cstheme="minorHAnsi"/>
          <w:sz w:val="22"/>
          <w:szCs w:val="22"/>
        </w:rPr>
        <w:fldChar w:fldCharType="end"/>
      </w:r>
      <w:r w:rsidRPr="004E053C">
        <w:rPr>
          <w:rFonts w:eastAsia="Times New Roman" w:cstheme="minorHAnsi"/>
          <w:sz w:val="22"/>
          <w:szCs w:val="22"/>
        </w:rPr>
        <w:t xml:space="preserve">. </w:t>
      </w:r>
      <w:r w:rsidR="0010441C" w:rsidRPr="004E053C">
        <w:rPr>
          <w:rFonts w:cstheme="minorHAnsi"/>
          <w:sz w:val="22"/>
          <w:szCs w:val="22"/>
        </w:rPr>
        <w:t>Shadl</w:t>
      </w:r>
      <w:r w:rsidRPr="004E053C">
        <w:rPr>
          <w:rFonts w:cstheme="minorHAnsi"/>
          <w:sz w:val="22"/>
          <w:szCs w:val="22"/>
        </w:rPr>
        <w:t xml:space="preserve">e </w:t>
      </w:r>
      <w:r w:rsidR="004B3E3E" w:rsidRPr="004E053C">
        <w:rPr>
          <w:rFonts w:cstheme="minorHAnsi"/>
          <w:sz w:val="22"/>
          <w:szCs w:val="22"/>
        </w:rPr>
        <w:fldChar w:fldCharType="begin" w:fldLock="1"/>
      </w:r>
      <w:r w:rsidR="002F0CEA">
        <w:rPr>
          <w:rFonts w:cstheme="minorHAnsi"/>
          <w:sz w:val="22"/>
          <w:szCs w:val="22"/>
        </w:rPr>
        <w:instrText>ADDIN CSL_CITATION {"citationItems":[{"id":"ITEM-1","itemData":{"abstract":"War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Theology","id":"ITEM-1","issue":"3","issued":{"date-parts":[["2013"]]},"page":"284-303","title":"Theology and the origins of conflict: The shining path insurgency in Peru, 1980-2000","type":"article-journal","volume":"14"},"uris":["http://www.mendeley.com/documents/?uuid=f52b248a-4bcf-442a-9241-61cd319c6c35"]}],"mendeley":{"formattedCitation":"(Shadle, 2013)","manualFormatting":"(2013)","plainTextFormattedCitation":"(Shadle, 2013)","previouslyFormattedCitation":"(Shadle, 2013)"},"properties":{"noteIndex":0},"schema":"https://github.com/citation-style-language/schema/raw/master/csl-citation.json"}</w:instrText>
      </w:r>
      <w:r w:rsidR="004B3E3E" w:rsidRPr="004E053C">
        <w:rPr>
          <w:rFonts w:cstheme="minorHAnsi"/>
          <w:sz w:val="22"/>
          <w:szCs w:val="22"/>
        </w:rPr>
        <w:fldChar w:fldCharType="separate"/>
      </w:r>
      <w:r w:rsidR="0010441C" w:rsidRPr="004E053C">
        <w:rPr>
          <w:rFonts w:cstheme="minorHAnsi"/>
          <w:noProof/>
          <w:sz w:val="22"/>
          <w:szCs w:val="22"/>
        </w:rPr>
        <w:t>(</w:t>
      </w:r>
      <w:r w:rsidR="004B3E3E" w:rsidRPr="004E053C">
        <w:rPr>
          <w:rFonts w:cstheme="minorHAnsi"/>
          <w:noProof/>
          <w:sz w:val="22"/>
          <w:szCs w:val="22"/>
        </w:rPr>
        <w:t>2013)</w:t>
      </w:r>
      <w:r w:rsidR="004B3E3E" w:rsidRPr="004E053C">
        <w:rPr>
          <w:rFonts w:cstheme="minorHAnsi"/>
          <w:sz w:val="22"/>
          <w:szCs w:val="22"/>
        </w:rPr>
        <w:fldChar w:fldCharType="end"/>
      </w:r>
      <w:r w:rsidRPr="004E053C">
        <w:rPr>
          <w:rFonts w:cstheme="minorHAnsi"/>
          <w:sz w:val="22"/>
          <w:szCs w:val="22"/>
        </w:rPr>
        <w:t xml:space="preserve"> argues that while Shining Path emphasised the links between Marxist doctrine and Andean cosmology, albeit in many cases distorting the latter in a way that fostered violence, the counterinsurgency was shaped by the pervasive racism of </w:t>
      </w:r>
      <w:r w:rsidR="004B3E3E" w:rsidRPr="004E053C">
        <w:rPr>
          <w:rFonts w:cstheme="minorHAnsi"/>
          <w:sz w:val="22"/>
          <w:szCs w:val="22"/>
        </w:rPr>
        <w:t xml:space="preserve">Peruvian society. He argues that the cosmopolitan elite interpreted terrorism as just one example of </w:t>
      </w:r>
      <w:r w:rsidRPr="004E053C">
        <w:rPr>
          <w:rFonts w:cstheme="minorHAnsi"/>
          <w:sz w:val="22"/>
          <w:szCs w:val="22"/>
        </w:rPr>
        <w:t>the backwar</w:t>
      </w:r>
      <w:r w:rsidR="004B3E3E" w:rsidRPr="004E053C">
        <w:rPr>
          <w:rFonts w:cstheme="minorHAnsi"/>
          <w:sz w:val="22"/>
          <w:szCs w:val="22"/>
        </w:rPr>
        <w:t xml:space="preserve">dness of the Andean people </w:t>
      </w:r>
      <w:r w:rsidR="00A12747" w:rsidRPr="004E053C">
        <w:rPr>
          <w:rFonts w:cstheme="minorHAnsi"/>
          <w:sz w:val="22"/>
          <w:szCs w:val="22"/>
        </w:rPr>
        <w:fldChar w:fldCharType="begin" w:fldLock="1"/>
      </w:r>
      <w:r w:rsidR="002F0CEA">
        <w:rPr>
          <w:rFonts w:cstheme="minorHAnsi"/>
          <w:sz w:val="22"/>
          <w:szCs w:val="22"/>
        </w:rPr>
        <w:instrText>ADDIN CSL_CITATION {"citationItems":[{"id":"ITEM-1","itemData":{"abstract":"War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Theology","id":"ITEM-1","issue":"3","issued":{"date-parts":[["2013"]]},"page":"284-303","title":"Theology and the origins of conflict: The shining path insurgency in Peru, 1980-2000","type":"article-journal","volume":"14"},"uris":["http://www.mendeley.com/documents/?uuid=f52b248a-4bcf-442a-9241-61cd319c6c35"]}],"mendeley":{"formattedCitation":"(Shadle, 2013)","manualFormatting":"(Ibid.)","plainTextFormattedCitation":"(Shadle, 2013)","previouslyFormattedCitation":"(Shadle, 2013)"},"properties":{"noteIndex":0},"schema":"https://github.com/citation-style-language/schema/raw/master/csl-citation.json"}</w:instrText>
      </w:r>
      <w:r w:rsidR="00A12747" w:rsidRPr="004E053C">
        <w:rPr>
          <w:rFonts w:cstheme="minorHAnsi"/>
          <w:sz w:val="22"/>
          <w:szCs w:val="22"/>
        </w:rPr>
        <w:fldChar w:fldCharType="separate"/>
      </w:r>
      <w:r w:rsidR="00A12747" w:rsidRPr="004E053C">
        <w:rPr>
          <w:rFonts w:cstheme="minorHAnsi"/>
          <w:noProof/>
          <w:sz w:val="22"/>
          <w:szCs w:val="22"/>
        </w:rPr>
        <w:t>(Ibid.)</w:t>
      </w:r>
      <w:r w:rsidR="00A12747" w:rsidRPr="004E053C">
        <w:rPr>
          <w:rFonts w:cstheme="minorHAnsi"/>
          <w:sz w:val="22"/>
          <w:szCs w:val="22"/>
        </w:rPr>
        <w:fldChar w:fldCharType="end"/>
      </w:r>
      <w:r w:rsidR="00A12747" w:rsidRPr="004E053C">
        <w:rPr>
          <w:rFonts w:cstheme="minorHAnsi"/>
          <w:sz w:val="22"/>
          <w:szCs w:val="22"/>
        </w:rPr>
        <w:t xml:space="preserve">. </w:t>
      </w:r>
      <w:r w:rsidRPr="004E053C">
        <w:rPr>
          <w:rFonts w:cstheme="minorHAnsi"/>
          <w:sz w:val="22"/>
          <w:szCs w:val="22"/>
        </w:rPr>
        <w:t xml:space="preserve">This was reflected in both the lack of sympathy from urban areas but also the brutal treatment of civilians by the counterinsurgency </w:t>
      </w:r>
      <w:r w:rsidR="00A12747" w:rsidRPr="004E053C">
        <w:rPr>
          <w:rFonts w:cstheme="minorHAnsi"/>
          <w:sz w:val="22"/>
          <w:szCs w:val="22"/>
        </w:rPr>
        <w:fldChar w:fldCharType="begin" w:fldLock="1"/>
      </w:r>
      <w:r w:rsidR="002F0CEA">
        <w:rPr>
          <w:rFonts w:cstheme="minorHAnsi"/>
          <w:sz w:val="22"/>
          <w:szCs w:val="22"/>
        </w:rPr>
        <w:instrText>ADDIN CSL_CITATION {"citationItems":[{"id":"ITEM-1","itemData":{"abstract":"War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Theology","id":"ITEM-1","issue":"3","issued":{"date-parts":[["2013"]]},"page":"284-303","title":"Theology and the origins of conflict: The shining path insurgency in Peru, 1980-2000","type":"article-journal","volume":"14"},"uris":["http://www.mendeley.com/documents/?uuid=f52b248a-4bcf-442a-9241-61cd319c6c35"]}],"mendeley":{"formattedCitation":"(Shadle, 2013)","manualFormatting":"(Ibid.)","plainTextFormattedCitation":"(Shadle, 2013)","previouslyFormattedCitation":"(Shadle, 2013)"},"properties":{"noteIndex":0},"schema":"https://github.com/citation-style-language/schema/raw/master/csl-citation.json"}</w:instrText>
      </w:r>
      <w:r w:rsidR="00A12747" w:rsidRPr="004E053C">
        <w:rPr>
          <w:rFonts w:cstheme="minorHAnsi"/>
          <w:sz w:val="22"/>
          <w:szCs w:val="22"/>
        </w:rPr>
        <w:fldChar w:fldCharType="separate"/>
      </w:r>
      <w:r w:rsidR="00A12747" w:rsidRPr="004E053C">
        <w:rPr>
          <w:rFonts w:cstheme="minorHAnsi"/>
          <w:noProof/>
          <w:sz w:val="22"/>
          <w:szCs w:val="22"/>
        </w:rPr>
        <w:t>(Ibid.)</w:t>
      </w:r>
      <w:r w:rsidR="00A12747" w:rsidRPr="004E053C">
        <w:rPr>
          <w:rFonts w:cstheme="minorHAnsi"/>
          <w:sz w:val="22"/>
          <w:szCs w:val="22"/>
        </w:rPr>
        <w:fldChar w:fldCharType="end"/>
      </w:r>
      <w:r w:rsidR="00A12747" w:rsidRPr="004E053C">
        <w:rPr>
          <w:rFonts w:cstheme="minorHAnsi"/>
          <w:sz w:val="22"/>
          <w:szCs w:val="22"/>
        </w:rPr>
        <w:t xml:space="preserve">. </w:t>
      </w:r>
      <w:r w:rsidRPr="004E053C">
        <w:rPr>
          <w:rFonts w:eastAsia="Times New Roman" w:cstheme="minorHAnsi"/>
          <w:sz w:val="22"/>
          <w:szCs w:val="22"/>
        </w:rPr>
        <w:t>For the indigenous communities, the fact that the counterinsurgency consisted almost entirely of whites and mestizos gave the impression of an occupying army, which inevitably failed to win widespread support</w:t>
      </w:r>
      <w:r w:rsidR="00A12747" w:rsidRPr="004E053C">
        <w:rPr>
          <w:rFonts w:eastAsia="Times New Roman" w:cstheme="minorHAnsi"/>
          <w:sz w:val="22"/>
          <w:szCs w:val="22"/>
        </w:rPr>
        <w:t xml:space="preserve">. </w:t>
      </w:r>
      <w:r w:rsidRPr="004E053C">
        <w:rPr>
          <w:rFonts w:eastAsia="Times New Roman" w:cstheme="minorHAnsi"/>
          <w:sz w:val="22"/>
          <w:szCs w:val="22"/>
        </w:rPr>
        <w:t>Even when</w:t>
      </w:r>
      <w:r w:rsidRPr="004E053C">
        <w:rPr>
          <w:rFonts w:eastAsia="Times New Roman" w:cstheme="minorHAnsi"/>
          <w:i/>
          <w:sz w:val="22"/>
          <w:szCs w:val="22"/>
        </w:rPr>
        <w:t xml:space="preserve"> Sendero </w:t>
      </w:r>
      <w:r w:rsidRPr="004E053C">
        <w:rPr>
          <w:rFonts w:eastAsia="Times New Roman" w:cstheme="minorHAnsi"/>
          <w:sz w:val="22"/>
          <w:szCs w:val="22"/>
        </w:rPr>
        <w:t>started to threaten Lima, this did not create a sense of solidarity with their counterparts in indigenous communities, and instead facilitated a greater tole</w:t>
      </w:r>
      <w:r w:rsidR="00A12747" w:rsidRPr="004E053C">
        <w:rPr>
          <w:rFonts w:eastAsia="Times New Roman" w:cstheme="minorHAnsi"/>
          <w:sz w:val="22"/>
          <w:szCs w:val="22"/>
        </w:rPr>
        <w:t xml:space="preserve">ration of human rights abuses </w:t>
      </w:r>
      <w:r w:rsidR="00A12747" w:rsidRPr="004E053C">
        <w:rPr>
          <w:rFonts w:cstheme="minorHAnsi"/>
          <w:sz w:val="22"/>
          <w:szCs w:val="22"/>
        </w:rPr>
        <w:fldChar w:fldCharType="begin" w:fldLock="1"/>
      </w:r>
      <w:r w:rsidR="002F0CEA">
        <w:rPr>
          <w:rFonts w:cstheme="minorHAnsi"/>
          <w:sz w:val="22"/>
          <w:szCs w:val="22"/>
        </w:rPr>
        <w:instrText>ADDIN CSL_CITATION {"citationItems":[{"id":"ITEM-1","itemData":{"abstract":"War has its origins in the clash of socially-constructed identities, interests, and norms of behavior of states and armed nonstate actors. This essay examines the economic, political, and cultural factors that contributed to the construction of such identities, interests, and norms during the Shining Path insurgency and the Peruvian government's response in the years from 1980 to 2000. Drawing on the three levels of liberation outlined by Peruvian theologian Gustavo Gutiérrez, the essay then describes how theology enriches without replacing socio-political and cultural explanations of the Peruvian conflict. The practices that formed both the Shining Path and the government's response to it can be described as social sin, whereas the Catholic Church in Peru's commitment to truth and the creation of community solidarity became practices that, by imitating the self-giving love of Christ, helped overcome violence and build peace. © W. S. Maney &amp; Son Ltd 2013.","author":[{"dropping-particle":"","family":"Shadle","given":"Matthew","non-dropping-particle":"","parse-names":false,"suffix":""}],"container-title":"Political Theology","id":"ITEM-1","issue":"3","issued":{"date-parts":[["2013"]]},"page":"284-303","title":"Theology and the origins of conflict: The shining path insurgency in Peru, 1980-2000","type":"article-journal","volume":"14"},"uris":["http://www.mendeley.com/documents/?uuid=f52b248a-4bcf-442a-9241-61cd319c6c35"]}],"mendeley":{"formattedCitation":"(Shadle, 2013)","manualFormatting":"(Ibid.)","plainTextFormattedCitation":"(Shadle, 2013)","previouslyFormattedCitation":"(Shadle, 2013)"},"properties":{"noteIndex":0},"schema":"https://github.com/citation-style-language/schema/raw/master/csl-citation.json"}</w:instrText>
      </w:r>
      <w:r w:rsidR="00A12747" w:rsidRPr="004E053C">
        <w:rPr>
          <w:rFonts w:cstheme="minorHAnsi"/>
          <w:sz w:val="22"/>
          <w:szCs w:val="22"/>
        </w:rPr>
        <w:fldChar w:fldCharType="separate"/>
      </w:r>
      <w:r w:rsidR="00A12747" w:rsidRPr="004E053C">
        <w:rPr>
          <w:rFonts w:cstheme="minorHAnsi"/>
          <w:noProof/>
          <w:sz w:val="22"/>
          <w:szCs w:val="22"/>
        </w:rPr>
        <w:t>(Ibid.)</w:t>
      </w:r>
      <w:r w:rsidR="00A12747" w:rsidRPr="004E053C">
        <w:rPr>
          <w:rFonts w:cstheme="minorHAnsi"/>
          <w:sz w:val="22"/>
          <w:szCs w:val="22"/>
        </w:rPr>
        <w:fldChar w:fldCharType="end"/>
      </w:r>
      <w:r w:rsidR="00A12747" w:rsidRPr="004E053C">
        <w:rPr>
          <w:rFonts w:cstheme="minorHAnsi"/>
          <w:sz w:val="22"/>
          <w:szCs w:val="22"/>
        </w:rPr>
        <w:t>.</w:t>
      </w:r>
    </w:p>
    <w:p w14:paraId="0A9AF5EC" w14:textId="77777777" w:rsidR="00375961" w:rsidRPr="004E053C" w:rsidRDefault="00375961" w:rsidP="004E053C">
      <w:pPr>
        <w:spacing w:line="360" w:lineRule="auto"/>
        <w:jc w:val="both"/>
        <w:rPr>
          <w:rFonts w:eastAsia="Times New Roman" w:cstheme="minorHAnsi"/>
          <w:color w:val="242424"/>
          <w:sz w:val="22"/>
          <w:szCs w:val="22"/>
          <w:highlight w:val="yellow"/>
          <w:shd w:val="clear" w:color="auto" w:fill="FFFFFF"/>
        </w:rPr>
      </w:pPr>
    </w:p>
    <w:p w14:paraId="75D91368" w14:textId="799C5832" w:rsidR="00375961" w:rsidRPr="004E053C" w:rsidRDefault="00502226" w:rsidP="004E053C">
      <w:pPr>
        <w:pStyle w:val="Heading2"/>
        <w:spacing w:before="0" w:line="360" w:lineRule="auto"/>
        <w:jc w:val="both"/>
      </w:pPr>
      <w:bookmarkStart w:id="39" w:name="_Toc33293087"/>
      <w:r w:rsidRPr="004E053C">
        <w:t>3.</w:t>
      </w:r>
      <w:r w:rsidR="004E5F90" w:rsidRPr="004E053C">
        <w:t>5. The political economy of Peru’s e</w:t>
      </w:r>
      <w:r w:rsidR="00375961" w:rsidRPr="004E053C">
        <w:t>xtractives</w:t>
      </w:r>
      <w:bookmarkEnd w:id="39"/>
      <w:r w:rsidR="00375961" w:rsidRPr="004E053C">
        <w:t xml:space="preserve"> </w:t>
      </w:r>
    </w:p>
    <w:p w14:paraId="23CA7139" w14:textId="77777777" w:rsidR="00375961" w:rsidRPr="004E053C" w:rsidRDefault="00375961" w:rsidP="004E053C">
      <w:pPr>
        <w:spacing w:line="360" w:lineRule="auto"/>
        <w:jc w:val="both"/>
        <w:rPr>
          <w:rFonts w:cstheme="minorHAnsi"/>
          <w:sz w:val="22"/>
          <w:szCs w:val="22"/>
        </w:rPr>
      </w:pPr>
    </w:p>
    <w:p w14:paraId="286655AD" w14:textId="4038EAA3" w:rsidR="00375961" w:rsidRPr="004E053C" w:rsidRDefault="00375961" w:rsidP="004E053C">
      <w:pPr>
        <w:spacing w:line="360" w:lineRule="auto"/>
        <w:jc w:val="both"/>
        <w:rPr>
          <w:rFonts w:cstheme="minorHAnsi"/>
          <w:sz w:val="22"/>
          <w:szCs w:val="22"/>
        </w:rPr>
      </w:pPr>
      <w:r w:rsidRPr="004E053C">
        <w:rPr>
          <w:rFonts w:cstheme="minorHAnsi"/>
          <w:sz w:val="22"/>
          <w:szCs w:val="22"/>
        </w:rPr>
        <w:t xml:space="preserve">The impact that Latin America’s natural resources have had on the continent’s history cannot be overestimated. The colonial influence profoundly influenced the evolution of global extractive industries </w:t>
      </w:r>
      <w:r w:rsidR="00530DE8" w:rsidRPr="004E053C">
        <w:rPr>
          <w:rFonts w:cstheme="minorHAnsi"/>
          <w:sz w:val="22"/>
          <w:szCs w:val="22"/>
        </w:rPr>
        <w:fldChar w:fldCharType="begin" w:fldLock="1"/>
      </w:r>
      <w:r w:rsidR="00755EB9" w:rsidRPr="004E053C">
        <w:rPr>
          <w:rFonts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2013)","plainTextFormattedCitation":"(Bebbington &amp; Bury, 2013)","previouslyFormattedCitation":"(Bebbington &amp; Bury, 2013)"},"properties":{"noteIndex":0},"schema":"https://github.com/citation-style-language/schema/raw/master/csl-citation.json"}</w:instrText>
      </w:r>
      <w:r w:rsidR="00530DE8" w:rsidRPr="004E053C">
        <w:rPr>
          <w:rFonts w:cstheme="minorHAnsi"/>
          <w:sz w:val="22"/>
          <w:szCs w:val="22"/>
        </w:rPr>
        <w:fldChar w:fldCharType="separate"/>
      </w:r>
      <w:r w:rsidR="00530DE8" w:rsidRPr="004E053C">
        <w:rPr>
          <w:rFonts w:cstheme="minorHAnsi"/>
          <w:noProof/>
          <w:sz w:val="22"/>
          <w:szCs w:val="22"/>
        </w:rPr>
        <w:t>(Bebbington &amp; Bury, 2013)</w:t>
      </w:r>
      <w:r w:rsidR="00530DE8" w:rsidRPr="004E053C">
        <w:rPr>
          <w:rFonts w:cstheme="minorHAnsi"/>
          <w:sz w:val="22"/>
          <w:szCs w:val="22"/>
        </w:rPr>
        <w:fldChar w:fldCharType="end"/>
      </w:r>
      <w:r w:rsidRPr="004E053C">
        <w:rPr>
          <w:rFonts w:cstheme="minorHAnsi"/>
          <w:sz w:val="22"/>
          <w:szCs w:val="22"/>
        </w:rPr>
        <w:t xml:space="preserve"> as well as contributing to the enduring inequality </w:t>
      </w:r>
      <w:r w:rsidR="00A12747" w:rsidRPr="004E053C">
        <w:rPr>
          <w:rFonts w:cstheme="minorHAnsi"/>
          <w:sz w:val="22"/>
          <w:szCs w:val="22"/>
        </w:rPr>
        <w:t>between the Global North and South</w:t>
      </w:r>
      <w:r w:rsidRPr="004E053C">
        <w:rPr>
          <w:rFonts w:cstheme="minorHAnsi"/>
          <w:sz w:val="22"/>
          <w:szCs w:val="22"/>
        </w:rPr>
        <w:t>. It has also led to current spatial configuration of most modern Latin America states and the locations of major cities</w:t>
      </w:r>
      <w:r w:rsidR="00530DE8" w:rsidRPr="004E053C">
        <w:rPr>
          <w:rFonts w:cstheme="minorHAnsi"/>
          <w:sz w:val="22"/>
          <w:szCs w:val="22"/>
        </w:rPr>
        <w:t xml:space="preserve"> </w:t>
      </w:r>
      <w:r w:rsidR="00530DE8" w:rsidRPr="004E053C">
        <w:rPr>
          <w:rFonts w:cstheme="minorHAnsi"/>
          <w:sz w:val="22"/>
          <w:szCs w:val="22"/>
        </w:rPr>
        <w:fldChar w:fldCharType="begin" w:fldLock="1"/>
      </w:r>
      <w:r w:rsidR="00755EB9" w:rsidRPr="004E053C">
        <w:rPr>
          <w:rFonts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2013)","manualFormatting":"(Ibid.)","plainTextFormattedCitation":"(Bebbington &amp; Bury, 2013)","previouslyFormattedCitation":"(Bebbington &amp; Bury, 2013)"},"properties":{"noteIndex":0},"schema":"https://github.com/citation-style-language/schema/raw/master/csl-citation.json"}</w:instrText>
      </w:r>
      <w:r w:rsidR="00530DE8" w:rsidRPr="004E053C">
        <w:rPr>
          <w:rFonts w:cstheme="minorHAnsi"/>
          <w:sz w:val="22"/>
          <w:szCs w:val="22"/>
        </w:rPr>
        <w:fldChar w:fldCharType="separate"/>
      </w:r>
      <w:r w:rsidR="00530DE8" w:rsidRPr="004E053C">
        <w:rPr>
          <w:rFonts w:cstheme="minorHAnsi"/>
          <w:noProof/>
          <w:sz w:val="22"/>
          <w:szCs w:val="22"/>
        </w:rPr>
        <w:t>(Ibid.)</w:t>
      </w:r>
      <w:r w:rsidR="00530DE8" w:rsidRPr="004E053C">
        <w:rPr>
          <w:rFonts w:cstheme="minorHAnsi"/>
          <w:sz w:val="22"/>
          <w:szCs w:val="22"/>
        </w:rPr>
        <w:fldChar w:fldCharType="end"/>
      </w:r>
      <w:r w:rsidRPr="004E053C">
        <w:rPr>
          <w:rFonts w:cstheme="minorHAnsi"/>
          <w:sz w:val="22"/>
          <w:szCs w:val="22"/>
        </w:rPr>
        <w:t xml:space="preserve">, and is reflected in the region’s many resource-dependent countries </w:t>
      </w:r>
      <w:r w:rsidR="00A12747" w:rsidRPr="004E053C">
        <w:rPr>
          <w:rFonts w:cstheme="minorHAnsi"/>
          <w:sz w:val="22"/>
          <w:szCs w:val="22"/>
        </w:rPr>
        <w:fldChar w:fldCharType="begin" w:fldLock="1"/>
      </w:r>
      <w:r w:rsidR="002F0CEA">
        <w:rPr>
          <w:rFonts w:cstheme="minorHAnsi"/>
          <w:sz w:val="22"/>
          <w:szCs w:val="22"/>
        </w:rPr>
        <w:instrText>ADDIN CSL_CITATION {"citationItems":[{"id":"ITEM-1","itemData":{"abstract":"This review article synthesizes research findings which demonstrate that mining in the Andes is transforming local livelihoods by changing water quality and quantity and land tenure practices upon which traditional livelihoods depend, as well as by generating new employment opportunities in mining communities. I argue that research on livelihood change in Andean mining communities would be enriched by 1) a deeper attendance to the gendered, raced, and classed nature of these changes and 2) the disaggregation of different mining management regimes (e.g. state-run, privately-run, cooperative-run) to allow for comparisons of the livelihood impacts between them.","author":[{"dropping-particle":"","family":"Brain","given":"Kelsey A.","non-dropping-particle":"","parse-names":false,"suffix":""}],"container-title":"Extractive Industries and Society","id":"ITEM-1","issue":"2","issued":{"date-parts":[["2017"]]},"page":"410-418","publisher":"Elsevier Ltd.","title":"The impacts of mining on livelihoods in the Andes: a critical overview","type":"article-journal","volume":"4"},"uris":["http://www.mendeley.com/documents/?uuid=ec00d2a6-d618-4c51-88cd-2ef762c1aea2"]}],"mendeley":{"formattedCitation":"(Brain, 2017)","plainTextFormattedCitation":"(Brain, 2017)","previouslyFormattedCitation":"(Brain, 2017)"},"properties":{"noteIndex":0},"schema":"https://github.com/citation-style-language/schema/raw/master/csl-citation.json"}</w:instrText>
      </w:r>
      <w:r w:rsidR="00A12747" w:rsidRPr="004E053C">
        <w:rPr>
          <w:rFonts w:cstheme="minorHAnsi"/>
          <w:sz w:val="22"/>
          <w:szCs w:val="22"/>
        </w:rPr>
        <w:fldChar w:fldCharType="separate"/>
      </w:r>
      <w:r w:rsidR="00A12747" w:rsidRPr="004E053C">
        <w:rPr>
          <w:rFonts w:cstheme="minorHAnsi"/>
          <w:noProof/>
          <w:sz w:val="22"/>
          <w:szCs w:val="22"/>
        </w:rPr>
        <w:t>(Brain, 2017)</w:t>
      </w:r>
      <w:r w:rsidR="00A12747" w:rsidRPr="004E053C">
        <w:rPr>
          <w:rFonts w:cstheme="minorHAnsi"/>
          <w:sz w:val="22"/>
          <w:szCs w:val="22"/>
        </w:rPr>
        <w:fldChar w:fldCharType="end"/>
      </w:r>
      <w:r w:rsidR="00A12747" w:rsidRPr="004E053C">
        <w:rPr>
          <w:rFonts w:cstheme="minorHAnsi"/>
          <w:sz w:val="22"/>
          <w:szCs w:val="22"/>
        </w:rPr>
        <w:t>.</w:t>
      </w:r>
      <w:r w:rsidRPr="004E053C">
        <w:rPr>
          <w:rFonts w:cstheme="minorHAnsi"/>
          <w:sz w:val="22"/>
          <w:szCs w:val="22"/>
        </w:rPr>
        <w:t xml:space="preserve"> Understanding the history of mineral extraction in Peru is therefore crucial for an understanding of contemporary artisanal and small-scale mining. This </w:t>
      </w:r>
      <w:r w:rsidR="00697A46" w:rsidRPr="004E053C">
        <w:rPr>
          <w:rFonts w:cstheme="minorHAnsi"/>
          <w:sz w:val="22"/>
          <w:szCs w:val="22"/>
        </w:rPr>
        <w:t xml:space="preserve">section will give a brief over view of the history of Peru’s extractive industry, stretching back to the colonial times, before exploring the more contemporary issues caused by neo-liberalism. I then go on to give more focused background on the ASM sector. </w:t>
      </w:r>
    </w:p>
    <w:p w14:paraId="78F189A3" w14:textId="77777777" w:rsidR="00375961" w:rsidRPr="004E053C" w:rsidRDefault="00375961" w:rsidP="004E053C">
      <w:pPr>
        <w:widowControl w:val="0"/>
        <w:autoSpaceDE w:val="0"/>
        <w:autoSpaceDN w:val="0"/>
        <w:adjustRightInd w:val="0"/>
        <w:spacing w:line="360" w:lineRule="auto"/>
        <w:jc w:val="both"/>
        <w:rPr>
          <w:rFonts w:cstheme="minorHAnsi"/>
          <w:b/>
        </w:rPr>
      </w:pPr>
    </w:p>
    <w:p w14:paraId="653A3078" w14:textId="1552BB69" w:rsidR="00375961" w:rsidRPr="004E053C" w:rsidRDefault="00502226" w:rsidP="004E053C">
      <w:pPr>
        <w:pStyle w:val="Heading3"/>
        <w:rPr>
          <w:rFonts w:asciiTheme="minorHAnsi" w:hAnsiTheme="minorHAnsi"/>
        </w:rPr>
      </w:pPr>
      <w:r w:rsidRPr="004E053C">
        <w:rPr>
          <w:rFonts w:asciiTheme="minorHAnsi" w:hAnsiTheme="minorHAnsi"/>
        </w:rPr>
        <w:t>3.</w:t>
      </w:r>
      <w:r w:rsidR="00EF0BCB" w:rsidRPr="004E053C">
        <w:rPr>
          <w:rFonts w:asciiTheme="minorHAnsi" w:hAnsiTheme="minorHAnsi"/>
        </w:rPr>
        <w:t>5.1. A history of extraction and e</w:t>
      </w:r>
      <w:r w:rsidR="00375961" w:rsidRPr="004E053C">
        <w:rPr>
          <w:rFonts w:asciiTheme="minorHAnsi" w:hAnsiTheme="minorHAnsi"/>
        </w:rPr>
        <w:t>xploitation</w:t>
      </w:r>
    </w:p>
    <w:p w14:paraId="046247FC" w14:textId="77777777" w:rsidR="00375961" w:rsidRPr="004E053C" w:rsidRDefault="00375961" w:rsidP="004E053C">
      <w:pPr>
        <w:widowControl w:val="0"/>
        <w:autoSpaceDE w:val="0"/>
        <w:autoSpaceDN w:val="0"/>
        <w:adjustRightInd w:val="0"/>
        <w:spacing w:line="360" w:lineRule="auto"/>
        <w:jc w:val="both"/>
        <w:rPr>
          <w:rFonts w:cstheme="minorHAnsi"/>
          <w:b/>
        </w:rPr>
      </w:pPr>
    </w:p>
    <w:p w14:paraId="49704099" w14:textId="5AD9AF5B" w:rsidR="00375961" w:rsidRPr="004E053C" w:rsidRDefault="00375961" w:rsidP="004E053C">
      <w:pPr>
        <w:spacing w:line="360" w:lineRule="auto"/>
        <w:jc w:val="both"/>
        <w:rPr>
          <w:rFonts w:cstheme="minorHAnsi"/>
          <w:sz w:val="22"/>
          <w:szCs w:val="22"/>
        </w:rPr>
      </w:pPr>
      <w:r w:rsidRPr="004E053C">
        <w:rPr>
          <w:rFonts w:cstheme="minorHAnsi"/>
          <w:sz w:val="22"/>
          <w:szCs w:val="22"/>
        </w:rPr>
        <w:t xml:space="preserve">Peru has some of the world’s richest deposits of minerals and hydrocarbons </w:t>
      </w:r>
      <w:r w:rsidRPr="004E053C">
        <w:rPr>
          <w:rFonts w:cstheme="minorHAnsi"/>
          <w:sz w:val="22"/>
          <w:szCs w:val="22"/>
        </w:rPr>
        <w:fldChar w:fldCharType="begin" w:fldLock="1"/>
      </w:r>
      <w:r w:rsidR="00680892" w:rsidRPr="004E053C">
        <w:rPr>
          <w:rFonts w:cstheme="minorHAnsi"/>
          <w:sz w:val="22"/>
          <w:szCs w:val="22"/>
        </w:rPr>
        <w:instrText>ADDIN CSL_CITATION {"citationItems":[{"id":"ITEM-1","itemData":{"abstract":"This paper examines how transnational gold mining operations are transforming rural household livelihoods in the Cajamarca region of Peru. In particular, this paper evaluates how Newmont Mining Corporation's Minera Yanacocha (MYSA) mining operations are altering access to the produced, human, natural and social capital resources that households utilize to produce their livelihoods. The paper argues that while access to produced and human capital resources has increased in the past decade, albeit unevenly, access to natural and social capital resources has declined. The paper begins with a discussion of new frameworks for evaluating local livelihood change and household access to resources. Subsequently, the paper describes Peru's new transnational mining sector, livelihoods and livelihood change in the Cajamarca region. The paper then presents the results of case study field research evaluating the impacts of MYSA on household access to resources in three communities. Finally, the paper concludes with a critical discussion of livelihoods frameworks and how they can contribute to geographic studies.","author":[{"dropping-particle":"","family":"Bury","given":"Jeffrey","non-dropping-particle":"","parse-names":false,"suffix":""}],"container-title":"The Geographical Journal","id":"ITEM-1","issue":"1","issued":{"date-parts":[["2004"]]},"page":"78-91","title":"Livelihoods in transition: transnational gold mining operations and local change in Cajamarca, Peru","type":"article-journal","volume":"170"},"uris":["http://www.mendeley.com/documents/?uuid=ee1d6065-fdc1-4b0a-bc38-f9c523eefc41"]}],"mendeley":{"formattedCitation":"(Bury, 2004)","plainTextFormattedCitation":"(Bury, 2004)","previouslyFormattedCitation":"(Bury, 2004)"},"properties":{"noteIndex":0},"schema":"https://github.com/citation-style-language/schema/raw/master/csl-citation.json"}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(Bury, 2004)</w:t>
      </w:r>
      <w:r w:rsidRPr="004E053C">
        <w:rPr>
          <w:rFonts w:cstheme="minorHAnsi"/>
          <w:sz w:val="22"/>
          <w:szCs w:val="22"/>
        </w:rPr>
        <w:fldChar w:fldCharType="end"/>
      </w:r>
      <w:r w:rsidRPr="004E053C">
        <w:rPr>
          <w:rFonts w:cstheme="minorHAnsi"/>
          <w:sz w:val="22"/>
          <w:szCs w:val="22"/>
        </w:rPr>
        <w:t xml:space="preserve">, which have been an engine of growth for the national economy. Currently, Peru is Latin America’s most important gold producer </w:t>
      </w:r>
      <w:r w:rsidR="00A12747" w:rsidRPr="004E053C">
        <w:rPr>
          <w:rFonts w:cstheme="minorHAnsi"/>
          <w:sz w:val="22"/>
          <w:szCs w:val="22"/>
        </w:rPr>
        <w:fldChar w:fldCharType="begin" w:fldLock="1"/>
      </w:r>
      <w:r w:rsidR="007A757C" w:rsidRPr="004E053C">
        <w:rPr>
          <w:rFonts w:cstheme="minorHAnsi"/>
          <w:sz w:val="22"/>
          <w:szCs w:val="22"/>
        </w:rPr>
        <w:instrText>ADDIN CSL_CITATION {"citationItems":[{"id":"ITEM-1","itemData":{"author":[{"dropping-particle":"","family":"Damonte","given":"Gerardo","non-dropping-particle":"","parse-names":false,"suffix":""},{"dropping-particle":"","family":"Bueno de Mesquita","given":"Mourik","non-dropping-particle":"","parse-names":false,"suffix":""},{"dropping-particle":"","family":"Pachas","given":"Víctor Hugo","non-dropping-particle":"","parse-names":false,"suffix":""},{"dropping-particle":"","family":"Chávez","given":"Mary","non-dropping-particle":"","parse-names":false,"suffix":""}],"chapter-number":"5","container-title":"Small-Scale Gold Mining in the Amazon: The cases of Bolivia, Brazil, Colombia, Peru and Suriname","editor":[{"dropping-particle":"","family":"Leontien","given":"Kolen","non-dropping-particle":"","parse-names":false,"suffix":""},{"dropping-particle":"","family":"Cremers","given":"Judith","non-dropping-particle":"","parse-names":false,"suffix":""},{"dropping-particle":"","family":"Marjo","given":"de Theije","non-dropping-particle":"","parse-names":false,"suffix":""}],"id":"ITEM-1","issued":{"date-parts":[["2013"]]},"page":"68-84","publisher":"Cuadernos del CEDLA no.26","publisher-place":"Amsterdam","title":"Small-scale gold mining and social and environmental conflict in the Peruvian Amazon","type":"chapter"},"uris":["http://www.mendeley.com/documents/?uuid=91b131b3-280a-4452-8625-e265d634cbf2"]}],"mendeley":{"formattedCitation":"(Damonte, Bueno de Mesquita, Pachas, &amp; Chávez, 2013)","manualFormatting":"(Damonte et al. 2013)","plainTextFormattedCitation":"(Damonte, Bueno de Mesquita, Pachas, &amp; Chávez, 2013)","previouslyFormattedCitation":"(Damonte, Bueno de Mesquita, Pachas, &amp; Chávez, 2013)"},"properties":{"noteIndex":0},"schema":"https://github.com/citation-style-language/schema/raw/master/csl-citation.json"}</w:instrText>
      </w:r>
      <w:r w:rsidR="00A12747" w:rsidRPr="004E053C">
        <w:rPr>
          <w:rFonts w:cstheme="minorHAnsi"/>
          <w:sz w:val="22"/>
          <w:szCs w:val="22"/>
        </w:rPr>
        <w:fldChar w:fldCharType="separate"/>
      </w:r>
      <w:r w:rsidR="00A12747" w:rsidRPr="004E053C">
        <w:rPr>
          <w:rFonts w:cstheme="minorHAnsi"/>
          <w:noProof/>
          <w:sz w:val="22"/>
          <w:szCs w:val="22"/>
        </w:rPr>
        <w:t>(Damonte et al. 2013)</w:t>
      </w:r>
      <w:r w:rsidR="00A12747" w:rsidRPr="004E053C">
        <w:rPr>
          <w:rFonts w:cstheme="minorHAnsi"/>
          <w:sz w:val="22"/>
          <w:szCs w:val="22"/>
        </w:rPr>
        <w:fldChar w:fldCharType="end"/>
      </w:r>
      <w:r w:rsidRPr="004E053C">
        <w:rPr>
          <w:rFonts w:cstheme="minorHAnsi"/>
          <w:sz w:val="22"/>
          <w:szCs w:val="22"/>
        </w:rPr>
        <w:t xml:space="preserve"> and has the largest supply of silver and second largest of co</w:t>
      </w:r>
      <w:r w:rsidR="00A12747" w:rsidRPr="004E053C">
        <w:rPr>
          <w:rFonts w:cstheme="minorHAnsi"/>
          <w:sz w:val="22"/>
          <w:szCs w:val="22"/>
        </w:rPr>
        <w:t xml:space="preserve">pper </w:t>
      </w:r>
      <w:r w:rsidR="00A12747" w:rsidRPr="004E053C">
        <w:rPr>
          <w:rFonts w:cstheme="minorHAnsi"/>
          <w:sz w:val="22"/>
          <w:szCs w:val="22"/>
        </w:rPr>
        <w:fldChar w:fldCharType="begin" w:fldLock="1"/>
      </w:r>
      <w:r w:rsidR="00640F25" w:rsidRPr="004E053C">
        <w:rPr>
          <w:rFonts w:cstheme="minorHAnsi"/>
          <w:sz w:val="22"/>
          <w:szCs w:val="22"/>
        </w:rPr>
        <w:instrText>ADDIN CSL_CITATION {"citationItems":[{"id":"ITEM-1","itemData":{"author":[{"dropping-particle":"","family":"Hoffman","given":"Max","non-dropping-particle":"","parse-names":false,"suffix":""},{"dropping-particle":"","family":"Grigera","given":"Ana I","non-dropping-particle":"","parse-names":false,"suffix":""}],"id":"ITEM-1","issued":{"date-parts":[["2013"]]},"number-of-pages":"110","publisher-place":"Washington D.C.","title":"Climate Change, Migration, and Conflict in the Amazon and the Andes Rising Tensions and Policy Options in South America","type":"report"},"uris":["http://www.mendeley.com/documents/?uuid=452d85a6-8009-3436-9de9-094826b567f3"]}],"mendeley":{"formattedCitation":"(Hoffman &amp; Grigera, 2013)","plainTextFormattedCitation":"(Hoffman &amp; Grigera, 2013)","previouslyFormattedCitation":"(Hoffman &amp; Grigera, 2013)"},"properties":{"noteIndex":0},"schema":"https://github.com/citation-style-language/schema/raw/master/csl-citation.json"}</w:instrText>
      </w:r>
      <w:r w:rsidR="00A12747" w:rsidRPr="004E053C">
        <w:rPr>
          <w:rFonts w:cstheme="minorHAnsi"/>
          <w:sz w:val="22"/>
          <w:szCs w:val="22"/>
        </w:rPr>
        <w:fldChar w:fldCharType="separate"/>
      </w:r>
      <w:r w:rsidR="00A12747" w:rsidRPr="004E053C">
        <w:rPr>
          <w:rFonts w:cstheme="minorHAnsi"/>
          <w:noProof/>
          <w:sz w:val="22"/>
          <w:szCs w:val="22"/>
        </w:rPr>
        <w:t>(Hoffman &amp; Grigera, 2013)</w:t>
      </w:r>
      <w:r w:rsidR="00A12747" w:rsidRPr="004E053C">
        <w:rPr>
          <w:rFonts w:cstheme="minorHAnsi"/>
          <w:sz w:val="22"/>
          <w:szCs w:val="22"/>
        </w:rPr>
        <w:fldChar w:fldCharType="end"/>
      </w:r>
      <w:r w:rsidR="00697A46" w:rsidRPr="004E053C">
        <w:rPr>
          <w:rFonts w:cstheme="minorHAnsi"/>
          <w:sz w:val="22"/>
          <w:szCs w:val="22"/>
        </w:rPr>
        <w:t>.</w:t>
      </w:r>
      <w:r w:rsidRPr="004E053C">
        <w:rPr>
          <w:rFonts w:cstheme="minorHAnsi"/>
          <w:sz w:val="22"/>
          <w:szCs w:val="22"/>
        </w:rPr>
        <w:t xml:space="preserve"> Trade in these minerals has fuelled growth, and in 2010 the mining sector accounted for 61% of total Peruvian exports</w:t>
      </w:r>
      <w:r w:rsidR="00A12747" w:rsidRPr="004E053C">
        <w:rPr>
          <w:rFonts w:cstheme="minorHAnsi"/>
          <w:sz w:val="22"/>
          <w:szCs w:val="22"/>
        </w:rPr>
        <w:t xml:space="preserve"> </w:t>
      </w:r>
      <w:r w:rsidR="00A12747" w:rsidRPr="004E053C">
        <w:rPr>
          <w:rFonts w:cstheme="minorHAnsi"/>
          <w:sz w:val="22"/>
          <w:szCs w:val="22"/>
        </w:rPr>
        <w:fldChar w:fldCharType="begin" w:fldLock="1"/>
      </w:r>
      <w:r w:rsidR="00530DE8" w:rsidRPr="004E053C">
        <w:rPr>
          <w:rFonts w:cstheme="minorHAnsi"/>
          <w:sz w:val="22"/>
          <w:szCs w:val="22"/>
        </w:rPr>
        <w:instrText>ADDIN CSL_CITATION {"citationItems":[{"id":"ITEM-1","itemData":{"author":[{"dropping-particle":"","family":"Hoffman","given":"Max","non-dropping-particle":"","parse-names":false,"suffix":""},{"dropping-particle":"","family":"Grigera","given":"Ana I","non-dropping-particle":"","parse-names":false,"suffix":""}],"id":"ITEM-1","issued":{"date-parts":[["2013"]]},"number-of-pages":"110","publisher-place":"Washington D.C.","title":"Climate Change, Migration, and Conflict in the Amazon and the Andes Rising Tensions and Policy Options in South America","type":"report"},"uris":["http://www.mendeley.com/documents/?uuid=452d85a6-8009-3436-9de9-094826b567f3"]}],"mendeley":{"formattedCitation":"(Hoffman &amp; Grigera, 2013)","manualFormatting":"(Ibid.)","plainTextFormattedCitation":"(Hoffman &amp; Grigera, 2013)","previouslyFormattedCitation":"(Hoffman &amp; Grigera, 2013)"},"properties":{"noteIndex":0},"schema":"https://github.com/citation-style-language/schema/raw/master/csl-citation.json"}</w:instrText>
      </w:r>
      <w:r w:rsidR="00A12747" w:rsidRPr="004E053C">
        <w:rPr>
          <w:rFonts w:cstheme="minorHAnsi"/>
          <w:sz w:val="22"/>
          <w:szCs w:val="22"/>
        </w:rPr>
        <w:fldChar w:fldCharType="separate"/>
      </w:r>
      <w:r w:rsidR="00640F25" w:rsidRPr="004E053C">
        <w:rPr>
          <w:rFonts w:cstheme="minorHAnsi"/>
          <w:noProof/>
          <w:sz w:val="22"/>
          <w:szCs w:val="22"/>
        </w:rPr>
        <w:t>(Ibid.</w:t>
      </w:r>
      <w:r w:rsidR="00A12747" w:rsidRPr="004E053C">
        <w:rPr>
          <w:rFonts w:cstheme="minorHAnsi"/>
          <w:noProof/>
          <w:sz w:val="22"/>
          <w:szCs w:val="22"/>
        </w:rPr>
        <w:t>)</w:t>
      </w:r>
      <w:r w:rsidR="00A12747" w:rsidRPr="004E053C">
        <w:rPr>
          <w:rFonts w:cstheme="minorHAnsi"/>
          <w:sz w:val="22"/>
          <w:szCs w:val="22"/>
        </w:rPr>
        <w:fldChar w:fldCharType="end"/>
      </w:r>
      <w:r w:rsidR="00A12747" w:rsidRPr="004E053C">
        <w:rPr>
          <w:rFonts w:cstheme="minorHAnsi"/>
          <w:sz w:val="22"/>
          <w:szCs w:val="22"/>
        </w:rPr>
        <w:t>.</w:t>
      </w:r>
      <w:r w:rsidRPr="004E053C">
        <w:rPr>
          <w:rFonts w:cstheme="minorHAnsi"/>
          <w:sz w:val="22"/>
          <w:szCs w:val="22"/>
        </w:rPr>
        <w:t xml:space="preserve"> From 1990 to 1997, </w:t>
      </w:r>
      <w:r w:rsidRPr="004E053C">
        <w:rPr>
          <w:rFonts w:cstheme="minorHAnsi"/>
          <w:sz w:val="22"/>
          <w:szCs w:val="22"/>
        </w:rPr>
        <w:lastRenderedPageBreak/>
        <w:t xml:space="preserve">investment in mining exploration in Peru increased by 2000 percent, reflecting the expansion of the sector during this period </w:t>
      </w:r>
      <w:r w:rsidR="00530DE8" w:rsidRPr="004E053C">
        <w:rPr>
          <w:rFonts w:cstheme="minorHAnsi"/>
          <w:sz w:val="22"/>
          <w:szCs w:val="22"/>
        </w:rPr>
        <w:fldChar w:fldCharType="begin" w:fldLock="1"/>
      </w:r>
      <w:r w:rsidR="00530DE8" w:rsidRPr="004E053C">
        <w:rPr>
          <w:rFonts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2013)","plainTextFormattedCitation":"(Bebbington &amp; Bury, 2013)","previouslyFormattedCitation":"(Bebbington &amp; Bury, 2013)"},"properties":{"noteIndex":0},"schema":"https://github.com/citation-style-language/schema/raw/master/csl-citation.json"}</w:instrText>
      </w:r>
      <w:r w:rsidR="00530DE8" w:rsidRPr="004E053C">
        <w:rPr>
          <w:rFonts w:cstheme="minorHAnsi"/>
          <w:sz w:val="22"/>
          <w:szCs w:val="22"/>
        </w:rPr>
        <w:fldChar w:fldCharType="separate"/>
      </w:r>
      <w:r w:rsidR="00530DE8" w:rsidRPr="004E053C">
        <w:rPr>
          <w:rFonts w:cstheme="minorHAnsi"/>
          <w:noProof/>
          <w:sz w:val="22"/>
          <w:szCs w:val="22"/>
        </w:rPr>
        <w:t>(Bebbington &amp; Bury, 2013)</w:t>
      </w:r>
      <w:r w:rsidR="00530DE8" w:rsidRPr="004E053C">
        <w:rPr>
          <w:rFonts w:cstheme="minorHAnsi"/>
          <w:sz w:val="22"/>
          <w:szCs w:val="22"/>
        </w:rPr>
        <w:fldChar w:fldCharType="end"/>
      </w:r>
      <w:r w:rsidR="00530DE8" w:rsidRPr="004E053C">
        <w:rPr>
          <w:rFonts w:cstheme="minorHAnsi"/>
          <w:sz w:val="22"/>
          <w:szCs w:val="22"/>
        </w:rPr>
        <w:t xml:space="preserve">. </w:t>
      </w:r>
      <w:r w:rsidRPr="004E053C">
        <w:rPr>
          <w:rFonts w:cstheme="minorHAnsi"/>
          <w:sz w:val="22"/>
          <w:szCs w:val="22"/>
        </w:rPr>
        <w:t>Between 1990 and 2000, this amounted to the sixth highest amount of investment in mining globally</w:t>
      </w:r>
      <w:r w:rsidR="00530DE8" w:rsidRPr="004E053C">
        <w:rPr>
          <w:rFonts w:cstheme="minorHAnsi"/>
          <w:sz w:val="22"/>
          <w:szCs w:val="22"/>
        </w:rPr>
        <w:t xml:space="preserve"> </w:t>
      </w:r>
      <w:r w:rsidR="00530DE8" w:rsidRPr="004E053C">
        <w:rPr>
          <w:rFonts w:cstheme="minorHAnsi"/>
          <w:sz w:val="22"/>
          <w:szCs w:val="22"/>
        </w:rPr>
        <w:fldChar w:fldCharType="begin" w:fldLock="1"/>
      </w:r>
      <w:r w:rsidR="00697A46" w:rsidRPr="004E053C">
        <w:rPr>
          <w:rFonts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2013)","manualFormatting":"(Ibid.)","plainTextFormattedCitation":"(Bebbington &amp; Bury, 2013)","previouslyFormattedCitation":"(Bebbington &amp; Bury, 2013)"},"properties":{"noteIndex":0},"schema":"https://github.com/citation-style-language/schema/raw/master/csl-citation.json"}</w:instrText>
      </w:r>
      <w:r w:rsidR="00530DE8" w:rsidRPr="004E053C">
        <w:rPr>
          <w:rFonts w:cstheme="minorHAnsi"/>
          <w:sz w:val="22"/>
          <w:szCs w:val="22"/>
        </w:rPr>
        <w:fldChar w:fldCharType="separate"/>
      </w:r>
      <w:r w:rsidR="00697A46" w:rsidRPr="004E053C">
        <w:rPr>
          <w:rFonts w:cstheme="minorHAnsi"/>
          <w:noProof/>
          <w:sz w:val="22"/>
          <w:szCs w:val="22"/>
        </w:rPr>
        <w:t>(Ibid.</w:t>
      </w:r>
      <w:r w:rsidR="00530DE8" w:rsidRPr="004E053C">
        <w:rPr>
          <w:rFonts w:cstheme="minorHAnsi"/>
          <w:noProof/>
          <w:sz w:val="22"/>
          <w:szCs w:val="22"/>
        </w:rPr>
        <w:t>)</w:t>
      </w:r>
      <w:r w:rsidR="00530DE8" w:rsidRPr="004E053C">
        <w:rPr>
          <w:rFonts w:cstheme="minorHAnsi"/>
          <w:sz w:val="22"/>
          <w:szCs w:val="22"/>
        </w:rPr>
        <w:fldChar w:fldCharType="end"/>
      </w:r>
      <w:r w:rsidR="00B367A8" w:rsidRPr="004E053C">
        <w:rPr>
          <w:rFonts w:cstheme="minorHAnsi"/>
          <w:sz w:val="22"/>
          <w:szCs w:val="22"/>
        </w:rPr>
        <w:t>.</w:t>
      </w:r>
      <w:r w:rsidR="00530DE8" w:rsidRPr="004E053C">
        <w:rPr>
          <w:rFonts w:cstheme="minorHAnsi"/>
          <w:sz w:val="22"/>
          <w:szCs w:val="22"/>
        </w:rPr>
        <w:t xml:space="preserve"> </w:t>
      </w:r>
      <w:r w:rsidRPr="004E053C">
        <w:rPr>
          <w:rFonts w:cstheme="minorHAnsi"/>
          <w:sz w:val="22"/>
          <w:szCs w:val="22"/>
        </w:rPr>
        <w:t xml:space="preserve">Hydrocarbons are equally extensive, particularly in the </w:t>
      </w:r>
      <w:r w:rsidR="00B367A8" w:rsidRPr="004E053C">
        <w:rPr>
          <w:rFonts w:cstheme="minorHAnsi"/>
          <w:sz w:val="22"/>
          <w:szCs w:val="22"/>
        </w:rPr>
        <w:t>country’s A</w:t>
      </w:r>
      <w:r w:rsidRPr="004E053C">
        <w:rPr>
          <w:rFonts w:cstheme="minorHAnsi"/>
          <w:sz w:val="22"/>
          <w:szCs w:val="22"/>
        </w:rPr>
        <w:t xml:space="preserve">mazon region, where 56.1 million hectares are reserved for oil and gas exploration. This is compared to just 15.5 million hectares of protected areas and </w:t>
      </w:r>
      <w:r w:rsidR="00277027">
        <w:rPr>
          <w:rFonts w:cstheme="minorHAnsi"/>
          <w:sz w:val="22"/>
          <w:szCs w:val="22"/>
        </w:rPr>
        <w:t>13.4 million hectares of legalis</w:t>
      </w:r>
      <w:r w:rsidRPr="004E053C">
        <w:rPr>
          <w:rFonts w:cstheme="minorHAnsi"/>
          <w:sz w:val="22"/>
          <w:szCs w:val="22"/>
        </w:rPr>
        <w:t xml:space="preserve">ed indigenous territory </w:t>
      </w:r>
      <w:r w:rsidR="00530DE8" w:rsidRPr="004E053C">
        <w:rPr>
          <w:rFonts w:cstheme="minorHAnsi"/>
          <w:sz w:val="22"/>
          <w:szCs w:val="22"/>
        </w:rPr>
        <w:fldChar w:fldCharType="begin" w:fldLock="1"/>
      </w:r>
      <w:r w:rsidR="00530DE8" w:rsidRPr="004E053C">
        <w:rPr>
          <w:rFonts w:cstheme="minorHAnsi"/>
          <w:sz w:val="22"/>
          <w:szCs w:val="22"/>
        </w:rPr>
        <w:instrText>ADDIN CSL_CITATION {"citationItems":[{"id":"ITEM-1","itemData":{"author":[{"dropping-particle":"","family":"Viale","given":"Claudia","non-dropping-particle":"","parse-names":false,"suffix":""},{"dropping-particle":"","family":"Monge","given":"Carlos","non-dropping-particle":"","parse-names":false,"suffix":""}],"container-title":"Quehacer","id":"ITEM-1","issued":{"date-parts":[["2012"]]},"page":"80-85","title":"La endermedad chola","type":"article-journal","volume":"185"},"uris":["http://www.mendeley.com/documents/?uuid=e6aba398-5bf5-42ce-81e8-a8626d052668"]}],"mendeley":{"formattedCitation":"(Viale &amp; Monge, 2012)","plainTextFormattedCitation":"(Viale &amp; Monge, 2012)","previouslyFormattedCitation":"(Viale &amp; Monge, 2012)"},"properties":{"noteIndex":0},"schema":"https://github.com/citation-style-language/schema/raw/master/csl-citation.json"}</w:instrText>
      </w:r>
      <w:r w:rsidR="00530DE8" w:rsidRPr="004E053C">
        <w:rPr>
          <w:rFonts w:cstheme="minorHAnsi"/>
          <w:sz w:val="22"/>
          <w:szCs w:val="22"/>
        </w:rPr>
        <w:fldChar w:fldCharType="separate"/>
      </w:r>
      <w:r w:rsidR="00530DE8" w:rsidRPr="004E053C">
        <w:rPr>
          <w:rFonts w:cstheme="minorHAnsi"/>
          <w:noProof/>
          <w:sz w:val="22"/>
          <w:szCs w:val="22"/>
        </w:rPr>
        <w:t>(Viale &amp; Monge, 2012)</w:t>
      </w:r>
      <w:r w:rsidR="00530DE8" w:rsidRPr="004E053C">
        <w:rPr>
          <w:rFonts w:cstheme="minorHAnsi"/>
          <w:sz w:val="22"/>
          <w:szCs w:val="22"/>
        </w:rPr>
        <w:fldChar w:fldCharType="end"/>
      </w:r>
      <w:r w:rsidR="00530DE8" w:rsidRPr="004E053C">
        <w:rPr>
          <w:rFonts w:cstheme="minorHAnsi"/>
          <w:sz w:val="22"/>
          <w:szCs w:val="22"/>
        </w:rPr>
        <w:t>.</w:t>
      </w:r>
      <w:r w:rsidRPr="004E053C">
        <w:rPr>
          <w:rFonts w:cstheme="minorHAnsi"/>
          <w:sz w:val="22"/>
          <w:szCs w:val="22"/>
        </w:rPr>
        <w:t xml:space="preserve"> </w:t>
      </w:r>
    </w:p>
    <w:p w14:paraId="726B144E" w14:textId="77777777" w:rsidR="00375961" w:rsidRPr="004E053C" w:rsidRDefault="00375961" w:rsidP="004E053C">
      <w:pPr>
        <w:spacing w:line="360" w:lineRule="auto"/>
        <w:jc w:val="both"/>
        <w:rPr>
          <w:rFonts w:cstheme="minorHAnsi"/>
          <w:sz w:val="22"/>
          <w:szCs w:val="22"/>
        </w:rPr>
      </w:pPr>
    </w:p>
    <w:p w14:paraId="10F6F5AA" w14:textId="56C2E322" w:rsidR="00375961" w:rsidRPr="004E053C" w:rsidRDefault="00375961" w:rsidP="004E053C">
      <w:pPr>
        <w:spacing w:line="360" w:lineRule="auto"/>
        <w:jc w:val="both"/>
        <w:rPr>
          <w:rFonts w:cstheme="minorHAnsi"/>
          <w:sz w:val="22"/>
          <w:szCs w:val="22"/>
        </w:rPr>
      </w:pPr>
      <w:r w:rsidRPr="004E053C">
        <w:rPr>
          <w:rFonts w:cstheme="minorHAnsi"/>
          <w:sz w:val="22"/>
          <w:szCs w:val="22"/>
        </w:rPr>
        <w:t xml:space="preserve">These trends suggest a recent increase in extractive activity in Peru, but the country’s vast minerals reserves have in fact fuelled centuries of industry and extraction, stretching back to colonial times </w:t>
      </w:r>
      <w:r w:rsidR="00755EB9" w:rsidRPr="004E053C">
        <w:rPr>
          <w:rFonts w:cstheme="minorHAnsi"/>
          <w:sz w:val="22"/>
          <w:szCs w:val="22"/>
        </w:rPr>
        <w:fldChar w:fldCharType="begin" w:fldLock="1"/>
      </w:r>
      <w:r w:rsidR="002F0CEA">
        <w:rPr>
          <w:rFonts w:cstheme="minorHAnsi"/>
          <w:sz w:val="22"/>
          <w:szCs w:val="22"/>
        </w:rPr>
        <w:instrText>ADDIN CSL_CITATION {"citationItems":[{"id":"ITEM-1","itemData":{"abstract":"This paper examines how transnational gold mining operations are transforming rural household livelihoods in the Cajamarca region of Peru. In particular, this paper evaluates how Newmont Mining Corporation's Minera Yanacocha (MYSA) mining operations are altering access to the produced, human, natural and social capital resources that households utilize to produce their livelihoods. The paper argues that while access to produced and human capital resources has increased in the past decade, albeit unevenly, access to natural and social capital resources has declined. The paper begins with a discussion of new frameworks for evaluating local livelihood change and household access to resources. Subsequently, the paper describes Peru's new transnational mining sector, livelihoods and livelihood change in the Cajamarca region. The paper then presents the results of case study field research evaluating the impacts of MYSA on household access to resources in three communities. Finally, the paper concludes with a critical discussion of livelihoods frameworks and how they can contribute to geographic studies.","author":[{"dropping-particle":"","family":"Bury","given":"Jeffrey","non-dropping-particle":"","parse-names":false,"suffix":""}],"container-title":"The Geographical Journal","id":"ITEM-1","issue":"1","issued":{"date-parts":[["2004"]]},"page":"78-91","title":"Livelihoods in transition: transnational gold mining operations and local change in Cajamarca, Peru","type":"article-journal","volume":"170"},"uris":["http://www.mendeley.com/documents/?uuid=ee1d6065-fdc1-4b0a-bc38-f9c523eefc41"]},{"id":"ITEM-2","itemData":{"abstract":"This review article synthesizes research findings which demonstrate that mining in the Andes is transforming local livelihoods by changing water quality and quantity and land tenure practices upon which traditional livelihoods depend, as well as by generating new employment opportunities in mining communities. I argue that research on livelihood change in Andean mining communities would be enriched by 1) a deeper attendance to the gendered, raced, and classed nature of these changes and 2) the disaggregation of different mining management regimes (e.g. state-run, privately-run, cooperative-run) to allow for comparisons of the livelihood impacts between them.","author":[{"dropping-particle":"","family":"Brain","given":"Kelsey A.","non-dropping-particle":"","parse-names":false,"suffix":""}],"container-title":"Extractive Industries and Society","id":"ITEM-2","issue":"2","issued":{"date-parts":[["2017"]]},"page":"410-418","publisher":"Elsevier Ltd.","title":"The impacts of mining on livelihoods in the Andes: a critical overview","type":"article-journal","volume":"4"},"uris":["http://www.mendeley.com/documents/?uuid=ec00d2a6-d618-4c51-88cd-2ef762c1aea2"]},{"id":"ITEM-3","itemData":{"author":[{"dropping-particle":"","family":"Orihuela","given":"Jose Carlos","non-dropping-particle":"","parse-names":false,"suffix":""}],"container-title":"European Journal of Development Research","id":"ITEM-3","issue":"5","issued":{"date-parts":[["2012"]]},"page":"688-705","title":"The Making of Conflict-Prone Development: Trade and Horizontal Inequalities in Peru","type":"article-journal","volume":"24"},"uris":["http://www.mendeley.com/documents/?uuid=b97d35fe-8345-4424-af45-28422a9651b0"]}],"mendeley":{"formattedCitation":"(Brain, 2017; Bury, 2004; Orihuela, 2012)","plainTextFormattedCitation":"(Brain, 2017; Bury, 2004; Orihuela, 2012)","previouslyFormattedCitation":"(Brain, 2017; Bury, 2004; Orihuela, 2012)"},"properties":{"noteIndex":0},"schema":"https://github.com/citation-style-language/schema/raw/master/csl-citation.json"}</w:instrText>
      </w:r>
      <w:r w:rsidR="00755EB9" w:rsidRPr="004E053C">
        <w:rPr>
          <w:rFonts w:cstheme="minorHAnsi"/>
          <w:sz w:val="22"/>
          <w:szCs w:val="22"/>
        </w:rPr>
        <w:fldChar w:fldCharType="separate"/>
      </w:r>
      <w:r w:rsidR="00755EB9" w:rsidRPr="004E053C">
        <w:rPr>
          <w:rFonts w:cstheme="minorHAnsi"/>
          <w:noProof/>
          <w:sz w:val="22"/>
          <w:szCs w:val="22"/>
        </w:rPr>
        <w:t>(Brain, 2017; Bury, 2004; Orihuela, 2012)</w:t>
      </w:r>
      <w:r w:rsidR="00755EB9" w:rsidRPr="004E053C">
        <w:rPr>
          <w:rFonts w:cstheme="minorHAnsi"/>
          <w:sz w:val="22"/>
          <w:szCs w:val="22"/>
        </w:rPr>
        <w:fldChar w:fldCharType="end"/>
      </w:r>
      <w:r w:rsidR="00697A46" w:rsidRPr="004E053C">
        <w:rPr>
          <w:rFonts w:cstheme="minorHAnsi"/>
          <w:sz w:val="22"/>
          <w:szCs w:val="22"/>
        </w:rPr>
        <w:t>.</w:t>
      </w:r>
      <w:r w:rsidRPr="004E053C">
        <w:rPr>
          <w:rFonts w:cstheme="minorHAnsi"/>
          <w:sz w:val="22"/>
          <w:szCs w:val="22"/>
        </w:rPr>
        <w:t xml:space="preserve"> Mining activity is known to have taken place during the time of the Incas, with the population predominantly mining copper for weapons and implements and gold and silver </w:t>
      </w:r>
      <w:r w:rsidR="00755EB9" w:rsidRPr="004E053C">
        <w:rPr>
          <w:rFonts w:cstheme="minorHAnsi"/>
          <w:sz w:val="22"/>
          <w:szCs w:val="22"/>
        </w:rPr>
        <w:t xml:space="preserve">for ornamentation </w:t>
      </w:r>
      <w:r w:rsidR="00755EB9" w:rsidRPr="004E053C">
        <w:rPr>
          <w:rFonts w:cstheme="minorHAnsi"/>
          <w:sz w:val="22"/>
          <w:szCs w:val="22"/>
        </w:rPr>
        <w:fldChar w:fldCharType="begin" w:fldLock="1"/>
      </w:r>
      <w:r w:rsidR="007A757C" w:rsidRPr="004E053C">
        <w:rPr>
          <w:rFonts w:cstheme="minorHAnsi"/>
          <w:sz w:val="22"/>
          <w:szCs w:val="22"/>
        </w:rPr>
        <w:instrText>ADDIN CSL_CITATION {"citationItems":[{"id":"ITEM-1","itemData":{"author":[{"dropping-particle":"","family":"Becker","given":"David G.","non-dropping-particle":"","parse-names":false,"suffix":""}],"id":"ITEM-1","issued":{"date-parts":[["1983"]]},"number-of-pages":"419","publisher":"Princeton University Press","publisher-place":"Princeton, NJ","title":"The New Bourgeoisie and the Limits of Dependency: Mining, Class and Power in 'Revolutionary' Peru","type":"book"},"uris":["http://www.mendeley.com/documents/?uuid=13c0adb1-662f-4977-bb07-3645e008f35c"]}],"mendeley":{"formattedCitation":"(D. G. Becker, 1983)","manualFormatting":"(Becker, 1983)","plainTextFormattedCitation":"(D. G. Becker, 1983)","previouslyFormattedCitation":"(D. G. Becker, 1983)"},"properties":{"noteIndex":0},"schema":"https://github.com/citation-style-language/schema/raw/master/csl-citation.json"}</w:instrText>
      </w:r>
      <w:r w:rsidR="00755EB9" w:rsidRPr="004E053C">
        <w:rPr>
          <w:rFonts w:cstheme="minorHAnsi"/>
          <w:sz w:val="22"/>
          <w:szCs w:val="22"/>
        </w:rPr>
        <w:fldChar w:fldCharType="separate"/>
      </w:r>
      <w:r w:rsidR="00755EB9" w:rsidRPr="004E053C">
        <w:rPr>
          <w:rFonts w:cstheme="minorHAnsi"/>
          <w:noProof/>
          <w:sz w:val="22"/>
          <w:szCs w:val="22"/>
        </w:rPr>
        <w:t>(Becker, 1983)</w:t>
      </w:r>
      <w:r w:rsidR="00755EB9" w:rsidRPr="004E053C">
        <w:rPr>
          <w:rFonts w:cstheme="minorHAnsi"/>
          <w:sz w:val="22"/>
          <w:szCs w:val="22"/>
        </w:rPr>
        <w:fldChar w:fldCharType="end"/>
      </w:r>
      <w:r w:rsidRPr="004E053C">
        <w:rPr>
          <w:rFonts w:cstheme="minorHAnsi"/>
          <w:sz w:val="22"/>
          <w:szCs w:val="22"/>
        </w:rPr>
        <w:t>. During the conquest and the fall of the Incas, many of the mines that had been established disappeared as the Spanish initially preferred to plunder existing Inca trea</w:t>
      </w:r>
      <w:r w:rsidR="00755EB9" w:rsidRPr="004E053C">
        <w:rPr>
          <w:rFonts w:cstheme="minorHAnsi"/>
          <w:sz w:val="22"/>
          <w:szCs w:val="22"/>
        </w:rPr>
        <w:t xml:space="preserve">sure </w:t>
      </w:r>
      <w:r w:rsidR="00755EB9" w:rsidRPr="004E053C">
        <w:rPr>
          <w:rFonts w:cstheme="minorHAnsi"/>
          <w:sz w:val="22"/>
          <w:szCs w:val="22"/>
        </w:rPr>
        <w:fldChar w:fldCharType="begin" w:fldLock="1"/>
      </w:r>
      <w:r w:rsidR="00755EB9" w:rsidRPr="004E053C">
        <w:rPr>
          <w:rFonts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2013)","plainTextFormattedCitation":"(Bebbington &amp; Bury, 2013)","previouslyFormattedCitation":"(Bebbington &amp; Bury, 2013)"},"properties":{"noteIndex":0},"schema":"https://github.com/citation-style-language/schema/raw/master/csl-citation.json"}</w:instrText>
      </w:r>
      <w:r w:rsidR="00755EB9" w:rsidRPr="004E053C">
        <w:rPr>
          <w:rFonts w:cstheme="minorHAnsi"/>
          <w:sz w:val="22"/>
          <w:szCs w:val="22"/>
        </w:rPr>
        <w:fldChar w:fldCharType="separate"/>
      </w:r>
      <w:r w:rsidR="00755EB9" w:rsidRPr="004E053C">
        <w:rPr>
          <w:rFonts w:cstheme="minorHAnsi"/>
          <w:noProof/>
          <w:sz w:val="22"/>
          <w:szCs w:val="22"/>
        </w:rPr>
        <w:t>(Bebbington &amp; Bury, 2013)</w:t>
      </w:r>
      <w:r w:rsidR="00755EB9" w:rsidRPr="004E053C">
        <w:rPr>
          <w:rFonts w:cstheme="minorHAnsi"/>
          <w:sz w:val="22"/>
          <w:szCs w:val="22"/>
        </w:rPr>
        <w:fldChar w:fldCharType="end"/>
      </w:r>
      <w:r w:rsidRPr="004E053C">
        <w:rPr>
          <w:rFonts w:cstheme="minorHAnsi"/>
          <w:sz w:val="22"/>
          <w:szCs w:val="22"/>
        </w:rPr>
        <w:t xml:space="preserve">. Vast amounts of minerals were transferred from Latin America to the rest of the world </w:t>
      </w:r>
      <w:r w:rsidR="00755EB9" w:rsidRPr="004E053C">
        <w:rPr>
          <w:rFonts w:cstheme="minorHAnsi"/>
          <w:sz w:val="22"/>
          <w:szCs w:val="22"/>
        </w:rPr>
        <w:fldChar w:fldCharType="begin" w:fldLock="1"/>
      </w:r>
      <w:r w:rsidR="00755EB9" w:rsidRPr="004E053C">
        <w:rPr>
          <w:rFonts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id":"ITEM-2","itemData":{"author":[{"dropping-particle":"","family":"Galeano","given":"Eduardo","non-dropping-particle":"","parse-names":false,"suffix":""}],"id":"ITEM-2","issued":{"date-parts":[["1971"]]},"publisher":"Monthly Review Press","publisher-place":"New York, NY","title":"Open Veins of Latin America: Five Centuries of the Pillage of a Continent","type":"book"},"uris":["http://www.mendeley.com/documents/?uuid=41746be1-4da2-4607-88d4-915b5d8aa604"]}],"mendeley":{"formattedCitation":"(Bebbington &amp; Bury, 2013; Galeano, 1971)","plainTextFormattedCitation":"(Bebbington &amp; Bury, 2013; Galeano, 1971)","previouslyFormattedCitation":"(Bebbington &amp; Bury, 2013; Galeano, 1971)"},"properties":{"noteIndex":0},"schema":"https://github.com/citation-style-language/schema/raw/master/csl-citation.json"}</w:instrText>
      </w:r>
      <w:r w:rsidR="00755EB9" w:rsidRPr="004E053C">
        <w:rPr>
          <w:rFonts w:cstheme="minorHAnsi"/>
          <w:sz w:val="22"/>
          <w:szCs w:val="22"/>
        </w:rPr>
        <w:fldChar w:fldCharType="separate"/>
      </w:r>
      <w:r w:rsidR="00755EB9" w:rsidRPr="004E053C">
        <w:rPr>
          <w:rFonts w:cstheme="minorHAnsi"/>
          <w:noProof/>
          <w:sz w:val="22"/>
          <w:szCs w:val="22"/>
        </w:rPr>
        <w:t>(Bebbington &amp; Bury, 2013; Galeano, 1971)</w:t>
      </w:r>
      <w:r w:rsidR="00755EB9" w:rsidRPr="004E053C">
        <w:rPr>
          <w:rFonts w:cstheme="minorHAnsi"/>
          <w:sz w:val="22"/>
          <w:szCs w:val="22"/>
        </w:rPr>
        <w:fldChar w:fldCharType="end"/>
      </w:r>
      <w:r w:rsidRPr="004E053C">
        <w:rPr>
          <w:rFonts w:cstheme="minorHAnsi"/>
          <w:sz w:val="22"/>
          <w:szCs w:val="22"/>
        </w:rPr>
        <w:t>, primarily to fund expansion, industriali</w:t>
      </w:r>
      <w:r w:rsidR="00277027">
        <w:rPr>
          <w:rFonts w:cstheme="minorHAnsi"/>
          <w:sz w:val="22"/>
          <w:szCs w:val="22"/>
        </w:rPr>
        <w:t>s</w:t>
      </w:r>
      <w:r w:rsidRPr="004E053C">
        <w:rPr>
          <w:rFonts w:cstheme="minorHAnsi"/>
          <w:sz w:val="22"/>
          <w:szCs w:val="22"/>
        </w:rPr>
        <w:t xml:space="preserve">ation, and urban development in Europe </w:t>
      </w:r>
      <w:r w:rsidR="00755EB9" w:rsidRPr="004E053C">
        <w:rPr>
          <w:rFonts w:cstheme="minorHAnsi"/>
          <w:sz w:val="22"/>
          <w:szCs w:val="22"/>
        </w:rPr>
        <w:fldChar w:fldCharType="begin" w:fldLock="1"/>
      </w:r>
      <w:r w:rsidR="002F0CEA">
        <w:rPr>
          <w:rFonts w:cstheme="minorHAnsi"/>
          <w:sz w:val="22"/>
          <w:szCs w:val="22"/>
        </w:rPr>
        <w:instrText>ADDIN CSL_CITATION {"citationItems":[{"id":"ITEM-1","itemData":{"abstract":"This review article synthesizes research findings which demonstrate that mining in the Andes is transforming local livelihoods by changing water quality and quantity and land tenure practices upon which traditional livelihoods depend, as well as by generating new employment opportunities in mining communities. I argue that research on livelihood change in Andean mining communities would be enriched by 1) a deeper attendance to the gendered, raced, and classed nature of these changes and 2) the disaggregation of different mining management regimes (e.g. state-run, privately-run, cooperative-run) to allow for comparisons of the livelihood impacts between them.","author":[{"dropping-particle":"","family":"Brain","given":"Kelsey A.","non-dropping-particle":"","parse-names":false,"suffix":""}],"container-title":"Extractive Industries and Society","id":"ITEM-1","issue":"2","issued":{"date-parts":[["2017"]]},"page":"410-418","publisher":"Elsevier Ltd.","title":"The impacts of mining on livelihoods in the Andes: a critical overview","type":"article-journal","volume":"4"},"uris":["http://www.mendeley.com/documents/?uuid=ec00d2a6-d618-4c51-88cd-2ef762c1aea2"]}],"mendeley":{"formattedCitation":"(Brain, 2017)","plainTextFormattedCitation":"(Brain, 2017)","previouslyFormattedCitation":"(Brain, 2017)"},"properties":{"noteIndex":0},"schema":"https://github.com/citation-style-language/schema/raw/master/csl-citation.json"}</w:instrText>
      </w:r>
      <w:r w:rsidR="00755EB9" w:rsidRPr="004E053C">
        <w:rPr>
          <w:rFonts w:cstheme="minorHAnsi"/>
          <w:sz w:val="22"/>
          <w:szCs w:val="22"/>
        </w:rPr>
        <w:fldChar w:fldCharType="separate"/>
      </w:r>
      <w:r w:rsidR="00755EB9" w:rsidRPr="004E053C">
        <w:rPr>
          <w:rFonts w:cstheme="minorHAnsi"/>
          <w:noProof/>
          <w:sz w:val="22"/>
          <w:szCs w:val="22"/>
        </w:rPr>
        <w:t>(Brain, 2017)</w:t>
      </w:r>
      <w:r w:rsidR="00755EB9" w:rsidRPr="004E053C">
        <w:rPr>
          <w:rFonts w:cstheme="minorHAnsi"/>
          <w:sz w:val="22"/>
          <w:szCs w:val="22"/>
        </w:rPr>
        <w:fldChar w:fldCharType="end"/>
      </w:r>
      <w:r w:rsidRPr="004E053C">
        <w:rPr>
          <w:rFonts w:cstheme="minorHAnsi"/>
          <w:sz w:val="22"/>
          <w:szCs w:val="22"/>
        </w:rPr>
        <w:t>. It is estimated that from the 16</w:t>
      </w:r>
      <w:r w:rsidRPr="004E053C">
        <w:rPr>
          <w:rFonts w:cstheme="minorHAnsi"/>
          <w:sz w:val="22"/>
          <w:szCs w:val="22"/>
          <w:vertAlign w:val="superscript"/>
        </w:rPr>
        <w:t>th</w:t>
      </w:r>
      <w:r w:rsidRPr="004E053C">
        <w:rPr>
          <w:rFonts w:cstheme="minorHAnsi"/>
          <w:sz w:val="22"/>
          <w:szCs w:val="22"/>
        </w:rPr>
        <w:t>-19</w:t>
      </w:r>
      <w:r w:rsidRPr="004E053C">
        <w:rPr>
          <w:rFonts w:cstheme="minorHAnsi"/>
          <w:sz w:val="22"/>
          <w:szCs w:val="22"/>
          <w:vertAlign w:val="superscript"/>
        </w:rPr>
        <w:t>th</w:t>
      </w:r>
      <w:r w:rsidRPr="004E053C">
        <w:rPr>
          <w:rFonts w:cstheme="minorHAnsi"/>
          <w:sz w:val="22"/>
          <w:szCs w:val="22"/>
        </w:rPr>
        <w:t xml:space="preserve"> century, European colonisers extracted and exported an estimated 1,685 tons of gold and 50,000 tons of mercury </w:t>
      </w:r>
      <w:r w:rsidR="00755EB9" w:rsidRPr="004E053C">
        <w:rPr>
          <w:rFonts w:cstheme="minorHAnsi"/>
          <w:sz w:val="22"/>
          <w:szCs w:val="22"/>
        </w:rPr>
        <w:fldChar w:fldCharType="begin" w:fldLock="1"/>
      </w:r>
      <w:r w:rsidR="002F0CEA">
        <w:rPr>
          <w:rFonts w:cstheme="minorHAnsi"/>
          <w:sz w:val="22"/>
          <w:szCs w:val="22"/>
        </w:rPr>
        <w:instrText>ADDIN CSL_CITATION {"citationItems":[{"id":"ITEM-1","itemData":{"abstract":"This review article synthesizes research findings which demonstrate that mining in the Andes is transforming local livelihoods by changing water quality and quantity and land tenure practices upon which traditional livelihoods depend, as well as by generating new employment opportunities in mining communities. I argue that research on livelihood change in Andean mining communities would be enriched by 1) a deeper attendance to the gendered, raced, and classed nature of these changes and 2) the disaggregation of different mining management regimes (e.g. state-run, privately-run, cooperative-run) to allow for comparisons of the livelihood impacts between them.","author":[{"dropping-particle":"","family":"Brain","given":"Kelsey A.","non-dropping-particle":"","parse-names":false,"suffix":""}],"container-title":"Extractive Industries and Society","id":"ITEM-1","issue":"2","issued":{"date-parts":[["2017"]]},"page":"410-418","publisher":"Elsevier Ltd.","title":"The impacts of mining on livelihoods in the Andes: a critical overview","type":"article-journal","volume":"4"},"uris":["http://www.mendeley.com/documents/?uuid=ec00d2a6-d618-4c51-88cd-2ef762c1aea2"]},{"id":"ITEM-2","itemData":{"abstract":"Since pre-industrial times, anthropogenic emissions of Hg have at least doubled global atmospheric Hg deposition rates. In order to minimize environmental and human health effects, efforts have been made to reduce Hg emissions from industries and power plants, while less attention has been paid to Hg mining. This paper is a compilation of available data on primary Hg production and associated emissions with regional and annual resolution since colonial times. Globally, approximately one million tons of metallic Hg has been extracted from cinnabar and other ores during the past five centuries, half already before 1925. Roughly half has been used for mining of gold and silver, but the annual Hg production peaked during a short period of recent industrial uses. Comparison with total historic Hg deposition from global anthropogenic emissions (0.1-0.2 Mtons) suggests that only a few percent of all mined Hg have escaped to the atmosphere thus far. While production of primary Hg has changed dramatically over time and among mines, the global production has always been dominant in the region of the mercuriferous belt between the western Mediterranean and central Asia, but appears to be shifting to the east. Roughly half of the registered Hg has been extracted in Europe, where Spanish mines alone have contributed one third of the world's mined Hg. Approximately one fourth has been mined in the Americas, and most of the remaining registered Hg in Asia. However, the Asian figures may be largely underestimated. Presently, the dominant Hg mines are in Almadén in Spain (236 t of Hg produced in 2000), Khaydarkan in Kyrgyzstan (550 t), Algeria (estimated 240 t) and China (ca. 200 t). Mercury by-production from mining of other metals (e.g. copper, zinc, gold, silver) in 2000 includes 48 t from Peru, 45 t from Finland and at least 15 t from the USA. Since 1970, the recorded production of primary Hg has been reduced by almost an order of magnitude to approximately 2000 t in the year 2000. Mining is thus still of similar magnitude as all current anthropogenic Hg emissions to the atmosphere, and mined Hg may account for more than one third of these emissions. Also before use, mercury is emitted from Hg mines locally during the mining and refining processes and from mining waste. Global direct emissions to the atmosphere amount to 10-30 t per year currently (up to 10 at Almadén alone), and probably exceed 10000 t historically. Termination of Hg mining will reduce associated l…","author":[{"dropping-particle":"","family":"Hylander","given":"Lars D.","non-dropping-particle":"","parse-names":false,"suffix":""},{"dropping-particle":"","family":"Meili","given":"Markus","non-dropping-particle":"","parse-names":false,"suffix":""}],"container-title":"Science of the Total Environment","id":"ITEM-2","issue":"1-3","issued":{"date-parts":[["2003"]]},"page":"13-27","title":"500 Years of mercury production: Global annual inventory by region until 2000 and associated emissions","type":"article-journal","volume":"304"},"uris":["http://www.mendeley.com/documents/?uuid=c357b940-4e35-4e02-951d-235cd9245416"]},{"id":"ITEM-3","itemData":{"author":[{"dropping-particle":"","family":"TePaske","given":"J.J.","non-dropping-particle":"","parse-names":false,"suffix":""},{"dropping-particle":"","family":"Klein","given":"H.S.","non-dropping-particle":"","parse-names":false,"suffix":""},{"dropping-particle":"","family":"Brown","given":"K.W.","non-dropping-particle":"","parse-names":false,"suffix":""}],"id":"ITEM-3","issued":{"date-parts":[["1982"]]},"publisher":"Duke University Press","publisher-place":"Durham, NC","title":"The Royal Treasuries of the Spanish Empire in America, vol. 1","type":"book"},"uris":["http://www.mendeley.com/documents/?uuid=2717c036-9f0e-4680-8773-cc3706e0d069"]}],"mendeley":{"formattedCitation":"(Brain, 2017; Hylander &amp; Meili, 2003; TePaske, Klein, &amp; Brown, 1982)","plainTextFormattedCitation":"(Brain, 2017; Hylander &amp; Meili, 2003; TePaske, Klein, &amp; Brown, 1982)","previouslyFormattedCitation":"(Brain, 2017; Hylander &amp; Meili, 2003; TePaske, Klein, &amp; Brown, 1982)"},"properties":{"noteIndex":0},"schema":"https://github.com/citation-style-language/schema/raw/master/csl-citation.json"}</w:instrText>
      </w:r>
      <w:r w:rsidR="00755EB9" w:rsidRPr="004E053C">
        <w:rPr>
          <w:rFonts w:cstheme="minorHAnsi"/>
          <w:sz w:val="22"/>
          <w:szCs w:val="22"/>
        </w:rPr>
        <w:fldChar w:fldCharType="separate"/>
      </w:r>
      <w:r w:rsidR="00755EB9" w:rsidRPr="004E053C">
        <w:rPr>
          <w:rFonts w:cstheme="minorHAnsi"/>
          <w:noProof/>
          <w:sz w:val="22"/>
          <w:szCs w:val="22"/>
        </w:rPr>
        <w:t>(Brain, 2017; Hylander &amp; Meili, 2003; TePaske, Klein, &amp; Brown, 1982)</w:t>
      </w:r>
      <w:r w:rsidR="00755EB9" w:rsidRPr="004E053C">
        <w:rPr>
          <w:rFonts w:cstheme="minorHAnsi"/>
          <w:sz w:val="22"/>
          <w:szCs w:val="22"/>
        </w:rPr>
        <w:fldChar w:fldCharType="end"/>
      </w:r>
      <w:r w:rsidR="00BB0F8C" w:rsidRPr="004E053C">
        <w:rPr>
          <w:rFonts w:cstheme="minorHAnsi"/>
          <w:sz w:val="22"/>
          <w:szCs w:val="22"/>
        </w:rPr>
        <w:t xml:space="preserve">. </w:t>
      </w:r>
      <w:r w:rsidRPr="004E053C">
        <w:rPr>
          <w:rFonts w:cstheme="minorHAnsi"/>
          <w:sz w:val="22"/>
          <w:szCs w:val="22"/>
        </w:rPr>
        <w:t>Thanks to the invention of mercury amalgamation technologies in 1554, the Europeans could increase the profits from mining, which ensured the expansion of the sector for several centuries</w:t>
      </w:r>
      <w:r w:rsidR="00CC0935" w:rsidRPr="004E053C">
        <w:rPr>
          <w:rFonts w:cstheme="minorHAnsi"/>
          <w:sz w:val="22"/>
          <w:szCs w:val="22"/>
        </w:rPr>
        <w:t xml:space="preserve"> </w:t>
      </w:r>
      <w:r w:rsidR="00CC0935" w:rsidRPr="004E053C">
        <w:rPr>
          <w:rFonts w:cstheme="minorHAnsi"/>
          <w:sz w:val="22"/>
          <w:szCs w:val="22"/>
        </w:rPr>
        <w:fldChar w:fldCharType="begin" w:fldLock="1"/>
      </w:r>
      <w:r w:rsidR="00D11C36" w:rsidRPr="004E053C">
        <w:rPr>
          <w:rFonts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2013)","plainTextFormattedCitation":"(Bebbington &amp; Bury, 2013)","previouslyFormattedCitation":"(Bebbington &amp; Bury, 2013)"},"properties":{"noteIndex":0},"schema":"https://github.com/citation-style-language/schema/raw/master/csl-citation.json"}</w:instrText>
      </w:r>
      <w:r w:rsidR="00CC0935" w:rsidRPr="004E053C">
        <w:rPr>
          <w:rFonts w:cstheme="minorHAnsi"/>
          <w:sz w:val="22"/>
          <w:szCs w:val="22"/>
        </w:rPr>
        <w:fldChar w:fldCharType="separate"/>
      </w:r>
      <w:r w:rsidR="00CC0935" w:rsidRPr="004E053C">
        <w:rPr>
          <w:rFonts w:cstheme="minorHAnsi"/>
          <w:noProof/>
          <w:sz w:val="22"/>
          <w:szCs w:val="22"/>
        </w:rPr>
        <w:t>(Bebbington &amp; Bury, 2013)</w:t>
      </w:r>
      <w:r w:rsidR="00CC0935" w:rsidRPr="004E053C">
        <w:rPr>
          <w:rFonts w:cstheme="minorHAnsi"/>
          <w:sz w:val="22"/>
          <w:szCs w:val="22"/>
        </w:rPr>
        <w:fldChar w:fldCharType="end"/>
      </w:r>
      <w:r w:rsidR="00BB0F8C" w:rsidRPr="004E053C">
        <w:rPr>
          <w:rFonts w:cstheme="minorHAnsi"/>
          <w:sz w:val="22"/>
          <w:szCs w:val="22"/>
        </w:rPr>
        <w:t xml:space="preserve">. </w:t>
      </w:r>
      <w:r w:rsidRPr="004E053C">
        <w:rPr>
          <w:rFonts w:cstheme="minorHAnsi"/>
          <w:sz w:val="22"/>
          <w:szCs w:val="22"/>
        </w:rPr>
        <w:t xml:space="preserve"> </w:t>
      </w:r>
    </w:p>
    <w:p w14:paraId="6D3B4203" w14:textId="77777777" w:rsidR="00375961" w:rsidRPr="004E053C" w:rsidRDefault="00375961" w:rsidP="004E053C">
      <w:pPr>
        <w:spacing w:line="360" w:lineRule="auto"/>
        <w:jc w:val="both"/>
        <w:rPr>
          <w:rFonts w:eastAsia="Times New Roman" w:cstheme="minorHAnsi"/>
          <w:sz w:val="20"/>
          <w:szCs w:val="20"/>
        </w:rPr>
      </w:pPr>
    </w:p>
    <w:p w14:paraId="15606354" w14:textId="3149AECB"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t xml:space="preserve">After independence in 1821, there was little capital investment available for large-scale mining operations and Peru lacked the infrastructure required for processing minerals </w:t>
      </w:r>
      <w:r w:rsidR="00CC0935" w:rsidRPr="004E053C">
        <w:rPr>
          <w:rFonts w:cstheme="minorHAnsi"/>
          <w:sz w:val="22"/>
          <w:szCs w:val="22"/>
        </w:rPr>
        <w:fldChar w:fldCharType="begin" w:fldLock="1"/>
      </w:r>
      <w:r w:rsidR="00697A46" w:rsidRPr="004E053C">
        <w:rPr>
          <w:rFonts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2013)","manualFormatting":"(Ibid.)","plainTextFormattedCitation":"(Bebbington &amp; Bury, 2013)","previouslyFormattedCitation":"(Bebbington &amp; Bury, 2013)"},"properties":{"noteIndex":0},"schema":"https://github.com/citation-style-language/schema/raw/master/csl-citation.json"}</w:instrText>
      </w:r>
      <w:r w:rsidR="00CC0935" w:rsidRPr="004E053C">
        <w:rPr>
          <w:rFonts w:cstheme="minorHAnsi"/>
          <w:sz w:val="22"/>
          <w:szCs w:val="22"/>
        </w:rPr>
        <w:fldChar w:fldCharType="separate"/>
      </w:r>
      <w:r w:rsidR="00697A46" w:rsidRPr="004E053C">
        <w:rPr>
          <w:rFonts w:cstheme="minorHAnsi"/>
          <w:noProof/>
          <w:sz w:val="22"/>
          <w:szCs w:val="22"/>
        </w:rPr>
        <w:t>(Ibid.</w:t>
      </w:r>
      <w:r w:rsidR="00CC0935" w:rsidRPr="004E053C">
        <w:rPr>
          <w:rFonts w:cstheme="minorHAnsi"/>
          <w:noProof/>
          <w:sz w:val="22"/>
          <w:szCs w:val="22"/>
        </w:rPr>
        <w:t>)</w:t>
      </w:r>
      <w:r w:rsidR="00CC0935" w:rsidRPr="004E053C">
        <w:rPr>
          <w:rFonts w:cstheme="minorHAnsi"/>
          <w:sz w:val="22"/>
          <w:szCs w:val="22"/>
        </w:rPr>
        <w:fldChar w:fldCharType="end"/>
      </w:r>
      <w:r w:rsidRPr="004E053C">
        <w:rPr>
          <w:rFonts w:eastAsia="Times New Roman" w:cstheme="minorHAnsi"/>
          <w:sz w:val="22"/>
          <w:szCs w:val="22"/>
        </w:rPr>
        <w:t xml:space="preserve">. </w:t>
      </w:r>
      <w:r w:rsidRPr="004E053C">
        <w:rPr>
          <w:rFonts w:cstheme="minorHAnsi"/>
          <w:sz w:val="22"/>
          <w:szCs w:val="22"/>
        </w:rPr>
        <w:t>Any developments of the mining economy were then halted somewhat by the War of the Pacific from 1879-1884, after which control over Peru’s minerals laid w</w:t>
      </w:r>
      <w:r w:rsidR="00B367A8" w:rsidRPr="004E053C">
        <w:rPr>
          <w:rFonts w:cstheme="minorHAnsi"/>
          <w:sz w:val="22"/>
          <w:szCs w:val="22"/>
        </w:rPr>
        <w:t>ith foreign capital and the Lima</w:t>
      </w:r>
      <w:r w:rsidRPr="004E053C">
        <w:rPr>
          <w:rFonts w:cstheme="minorHAnsi"/>
          <w:sz w:val="22"/>
          <w:szCs w:val="22"/>
        </w:rPr>
        <w:t xml:space="preserve">-based </w:t>
      </w:r>
      <w:r w:rsidR="00C66190" w:rsidRPr="004E053C">
        <w:rPr>
          <w:rFonts w:cstheme="minorHAnsi"/>
          <w:sz w:val="22"/>
          <w:szCs w:val="22"/>
        </w:rPr>
        <w:t>bourgeoisie</w:t>
      </w:r>
      <w:r w:rsidRPr="004E053C">
        <w:rPr>
          <w:rFonts w:cstheme="minorHAnsi"/>
          <w:sz w:val="22"/>
          <w:szCs w:val="22"/>
        </w:rPr>
        <w:t xml:space="preserve"> </w:t>
      </w:r>
      <w:r w:rsidR="00407110" w:rsidRPr="004E053C">
        <w:rPr>
          <w:rFonts w:cstheme="minorHAnsi"/>
          <w:sz w:val="22"/>
          <w:szCs w:val="22"/>
        </w:rPr>
        <w:fldChar w:fldCharType="begin" w:fldLock="1"/>
      </w:r>
      <w:r w:rsidR="00407110" w:rsidRPr="004E053C">
        <w:rPr>
          <w:rFonts w:cstheme="minorHAnsi"/>
          <w:sz w:val="22"/>
          <w:szCs w:val="22"/>
        </w:rPr>
        <w:instrText>ADDIN CSL_CITATION {"citationItems":[{"id":"ITEM-1","itemData":{"author":[{"dropping-particle":"","family":"Manrique","given":"Nelson","non-dropping-particle":"","parse-names":false,"suffix":""}],"id":"ITEM-1","issued":{"date-parts":[["1987"]]},"publisher":"DESCO","publisher-place":"Lima, Peru","title":"Mercardo Interno y Región: La Sierra Central 1820-1930","type":"book"},"uris":["http://www.mendeley.com/documents/?uuid=514e5bd4-d184-443a-8d98-1a4e1a3dfd0c"]},{"id":"ITEM-2","itemData":{"author":[{"dropping-particle":"","family":"Vincent","given":"Susan","non-dropping-particle":"","parse-names":false,"suffix":""}],"id":"ITEM-2","issued":{"date-parts":[["2012"]]},"publisher":"University of Toronto Press","publisher-place":"Toronto","title":"Dimensions of Development: History, Community and change in Allpachico, Peru","type":"book"},"uris":["http://www.mendeley.com/documents/?uuid=603c62e5-2f15-4da1-bb21-bffc1ac2f14e"]}],"mendeley":{"formattedCitation":"(Manrique, 1987; Vincent, 2012b)","plainTextFormattedCitation":"(Manrique, 1987; Vincent, 2012b)","previouslyFormattedCitation":"(Manrique, 1987; Vincent, 2012b)"},"properties":{"noteIndex":0},"schema":"https://github.com/citation-style-language/schema/raw/master/csl-citation.json"}</w:instrText>
      </w:r>
      <w:r w:rsidR="00407110" w:rsidRPr="004E053C">
        <w:rPr>
          <w:rFonts w:cstheme="minorHAnsi"/>
          <w:sz w:val="22"/>
          <w:szCs w:val="22"/>
        </w:rPr>
        <w:fldChar w:fldCharType="separate"/>
      </w:r>
      <w:r w:rsidR="00407110" w:rsidRPr="004E053C">
        <w:rPr>
          <w:rFonts w:cstheme="minorHAnsi"/>
          <w:noProof/>
          <w:sz w:val="22"/>
          <w:szCs w:val="22"/>
        </w:rPr>
        <w:t>(Manrique, 1987; Vincent, 2012b)</w:t>
      </w:r>
      <w:r w:rsidR="00407110" w:rsidRPr="004E053C">
        <w:rPr>
          <w:rFonts w:cstheme="minorHAnsi"/>
          <w:sz w:val="22"/>
          <w:szCs w:val="22"/>
        </w:rPr>
        <w:fldChar w:fldCharType="end"/>
      </w:r>
      <w:r w:rsidR="00407110" w:rsidRPr="004E053C">
        <w:rPr>
          <w:rFonts w:cstheme="minorHAnsi"/>
          <w:sz w:val="22"/>
          <w:szCs w:val="22"/>
        </w:rPr>
        <w:t>.</w:t>
      </w:r>
      <w:r w:rsidRPr="004E053C">
        <w:rPr>
          <w:rFonts w:eastAsia="Times New Roman" w:cstheme="minorHAnsi"/>
          <w:sz w:val="22"/>
          <w:szCs w:val="22"/>
        </w:rPr>
        <w:t xml:space="preserve"> The sector revived somewhat at the end of the nineteenth century, due to the world demand for </w:t>
      </w:r>
      <w:r w:rsidR="00407110" w:rsidRPr="004E053C">
        <w:rPr>
          <w:rFonts w:eastAsia="Times New Roman" w:cstheme="minorHAnsi"/>
          <w:sz w:val="22"/>
          <w:szCs w:val="22"/>
        </w:rPr>
        <w:t xml:space="preserve">industrial metals </w:t>
      </w:r>
      <w:r w:rsidR="00407110" w:rsidRPr="004E053C">
        <w:rPr>
          <w:rFonts w:eastAsia="Times New Roman" w:cstheme="minorHAnsi"/>
          <w:sz w:val="22"/>
          <w:szCs w:val="22"/>
        </w:rPr>
        <w:fldChar w:fldCharType="begin" w:fldLock="1"/>
      </w:r>
      <w:r w:rsidR="007A757C" w:rsidRPr="004E053C">
        <w:rPr>
          <w:rFonts w:eastAsia="Times New Roman" w:cstheme="minorHAnsi"/>
          <w:sz w:val="22"/>
          <w:szCs w:val="22"/>
        </w:rPr>
        <w:instrText>ADDIN CSL_CITATION {"citationItems":[{"id":"ITEM-1","itemData":{"author":[{"dropping-particle":"","family":"Becker","given":"David G.","non-dropping-particle":"","parse-names":false,"suffix":""}],"id":"ITEM-1","issued":{"date-parts":[["1983"]]},"number-of-pages":"419","publisher":"Princeton University Press","publisher-place":"Princeton, NJ","title":"The New Bourgeoisie and the Limits of Dependency: Mining, Class and Power in 'Revolutionary' Peru","type":"book"},"uris":["http://www.mendeley.com/documents/?uuid=13c0adb1-662f-4977-bb07-3645e008f35c"]}],"mendeley":{"formattedCitation":"(D. G. Becker, 1983)","manualFormatting":"(Becker, 1983)","plainTextFormattedCitation":"(D. G. Becker, 1983)","previouslyFormattedCitation":"(D. G. Becker, 1983)"},"properties":{"noteIndex":0},"schema":"https://github.com/citation-style-language/schema/raw/master/csl-citation.json"}</w:instrText>
      </w:r>
      <w:r w:rsidR="00407110" w:rsidRPr="004E053C">
        <w:rPr>
          <w:rFonts w:eastAsia="Times New Roman" w:cstheme="minorHAnsi"/>
          <w:sz w:val="22"/>
          <w:szCs w:val="22"/>
        </w:rPr>
        <w:fldChar w:fldCharType="separate"/>
      </w:r>
      <w:r w:rsidR="00407110" w:rsidRPr="004E053C">
        <w:rPr>
          <w:rFonts w:eastAsia="Times New Roman" w:cstheme="minorHAnsi"/>
          <w:noProof/>
          <w:sz w:val="22"/>
          <w:szCs w:val="22"/>
        </w:rPr>
        <w:t>(Becker, 1983)</w:t>
      </w:r>
      <w:r w:rsidR="00407110" w:rsidRPr="004E053C">
        <w:rPr>
          <w:rFonts w:eastAsia="Times New Roman" w:cstheme="minorHAnsi"/>
          <w:sz w:val="22"/>
          <w:szCs w:val="22"/>
        </w:rPr>
        <w:fldChar w:fldCharType="end"/>
      </w:r>
      <w:r w:rsidRPr="004E053C">
        <w:rPr>
          <w:rFonts w:eastAsia="Times New Roman" w:cstheme="minorHAnsi"/>
          <w:sz w:val="22"/>
          <w:szCs w:val="22"/>
        </w:rPr>
        <w:t xml:space="preserve">. However, the diversification of Peru’s exports at the time meant that extractives did not dominate the economy </w:t>
      </w:r>
      <w:r w:rsidR="00407110" w:rsidRPr="004E053C">
        <w:rPr>
          <w:rFonts w:eastAsia="Times New Roman" w:cstheme="minorHAnsi"/>
          <w:sz w:val="22"/>
          <w:szCs w:val="22"/>
        </w:rPr>
        <w:fldChar w:fldCharType="begin" w:fldLock="1"/>
      </w:r>
      <w:r w:rsidR="00407110" w:rsidRPr="004E053C">
        <w:rPr>
          <w:rFonts w:eastAsia="Times New Roman"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1984)","manualFormatting":"(Long &amp; Roberts, 1984)","plainTextFormattedCitation":"(Norman Long &amp; Roberts, 1984)","previouslyFormattedCitation":"(Norman Long &amp; Roberts, 1984)"},"properties":{"noteIndex":0},"schema":"https://github.com/citation-style-language/schema/raw/master/csl-citation.json"}</w:instrText>
      </w:r>
      <w:r w:rsidR="00407110" w:rsidRPr="004E053C">
        <w:rPr>
          <w:rFonts w:eastAsia="Times New Roman" w:cstheme="minorHAnsi"/>
          <w:sz w:val="22"/>
          <w:szCs w:val="22"/>
        </w:rPr>
        <w:fldChar w:fldCharType="separate"/>
      </w:r>
      <w:r w:rsidR="00407110" w:rsidRPr="004E053C">
        <w:rPr>
          <w:rFonts w:eastAsia="Times New Roman" w:cstheme="minorHAnsi"/>
          <w:noProof/>
          <w:sz w:val="22"/>
          <w:szCs w:val="22"/>
        </w:rPr>
        <w:t>(Long &amp; Roberts, 1984)</w:t>
      </w:r>
      <w:r w:rsidR="00407110" w:rsidRPr="004E053C">
        <w:rPr>
          <w:rFonts w:eastAsia="Times New Roman" w:cstheme="minorHAnsi"/>
          <w:sz w:val="22"/>
          <w:szCs w:val="22"/>
        </w:rPr>
        <w:fldChar w:fldCharType="end"/>
      </w:r>
      <w:r w:rsidRPr="004E053C">
        <w:rPr>
          <w:rFonts w:eastAsia="Times New Roman" w:cstheme="minorHAnsi"/>
          <w:sz w:val="22"/>
          <w:szCs w:val="22"/>
        </w:rPr>
        <w:t xml:space="preserve">. Like the national economy as a whole, mining was affected by the Great Depression and the two World Wars, suffering severe reductions in output and employment, as well as price freezes that reduced profitability </w:t>
      </w:r>
      <w:r w:rsidR="00407110" w:rsidRPr="004E053C">
        <w:rPr>
          <w:rFonts w:eastAsia="Times New Roman" w:cstheme="minorHAnsi"/>
          <w:sz w:val="22"/>
          <w:szCs w:val="22"/>
        </w:rPr>
        <w:fldChar w:fldCharType="begin" w:fldLock="1"/>
      </w:r>
      <w:r w:rsidR="00407110" w:rsidRPr="004E053C">
        <w:rPr>
          <w:rFonts w:eastAsia="Times New Roman"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1984)","manualFormatting":"(Long &amp; Roberts, 1984)","plainTextFormattedCitation":"(Norman Long &amp; Roberts, 1984)","previouslyFormattedCitation":"(Norman Long &amp; Roberts, 1984)"},"properties":{"noteIndex":0},"schema":"https://github.com/citation-style-language/schema/raw/master/csl-citation.json"}</w:instrText>
      </w:r>
      <w:r w:rsidR="00407110" w:rsidRPr="004E053C">
        <w:rPr>
          <w:rFonts w:eastAsia="Times New Roman" w:cstheme="minorHAnsi"/>
          <w:sz w:val="22"/>
          <w:szCs w:val="22"/>
        </w:rPr>
        <w:fldChar w:fldCharType="separate"/>
      </w:r>
      <w:r w:rsidR="00407110" w:rsidRPr="004E053C">
        <w:rPr>
          <w:rFonts w:eastAsia="Times New Roman" w:cstheme="minorHAnsi"/>
          <w:noProof/>
          <w:sz w:val="22"/>
          <w:szCs w:val="22"/>
        </w:rPr>
        <w:t>(Long &amp; Roberts, 1984)</w:t>
      </w:r>
      <w:r w:rsidR="00407110" w:rsidRPr="004E053C">
        <w:rPr>
          <w:rFonts w:eastAsia="Times New Roman" w:cstheme="minorHAnsi"/>
          <w:sz w:val="22"/>
          <w:szCs w:val="22"/>
        </w:rPr>
        <w:fldChar w:fldCharType="end"/>
      </w:r>
      <w:r w:rsidR="00407110" w:rsidRPr="004E053C">
        <w:rPr>
          <w:rFonts w:eastAsia="Times New Roman" w:cstheme="minorHAnsi"/>
          <w:sz w:val="22"/>
          <w:szCs w:val="22"/>
        </w:rPr>
        <w:t xml:space="preserve">. </w:t>
      </w:r>
      <w:r w:rsidRPr="004E053C">
        <w:rPr>
          <w:rFonts w:eastAsia="Times New Roman" w:cstheme="minorHAnsi"/>
          <w:sz w:val="22"/>
          <w:szCs w:val="22"/>
        </w:rPr>
        <w:t xml:space="preserve">Production thus closely followed the boom and bust cycles of the national economy. </w:t>
      </w:r>
    </w:p>
    <w:p w14:paraId="2DCF5945" w14:textId="77777777" w:rsidR="00375961" w:rsidRPr="004E053C" w:rsidRDefault="00375961" w:rsidP="004E053C">
      <w:pPr>
        <w:spacing w:line="360" w:lineRule="auto"/>
        <w:jc w:val="both"/>
        <w:rPr>
          <w:rFonts w:eastAsia="Times New Roman" w:cstheme="minorHAnsi"/>
          <w:sz w:val="22"/>
          <w:szCs w:val="22"/>
        </w:rPr>
      </w:pPr>
    </w:p>
    <w:p w14:paraId="552A1EE1" w14:textId="05013640" w:rsidR="00375961" w:rsidRPr="004E053C" w:rsidRDefault="00375961" w:rsidP="004E053C">
      <w:pPr>
        <w:spacing w:line="360" w:lineRule="auto"/>
        <w:jc w:val="both"/>
        <w:rPr>
          <w:rFonts w:eastAsia="Times New Roman" w:cstheme="minorHAnsi"/>
          <w:sz w:val="22"/>
          <w:szCs w:val="22"/>
        </w:rPr>
      </w:pPr>
      <w:r w:rsidRPr="004E053C">
        <w:rPr>
          <w:rFonts w:eastAsia="Times New Roman" w:cstheme="minorHAnsi"/>
          <w:sz w:val="22"/>
          <w:szCs w:val="22"/>
        </w:rPr>
        <w:lastRenderedPageBreak/>
        <w:t xml:space="preserve">The introduction of import substitution in 1969 gave the sector the necessary capital to increase its mining production. With new investment came new employment opportunities, giving rise to labour unions within the sector, which had a crucial role in the revolutionary </w:t>
      </w:r>
      <w:r w:rsidR="00407110" w:rsidRPr="004E053C">
        <w:rPr>
          <w:rFonts w:eastAsia="Times New Roman" w:cstheme="minorHAnsi"/>
          <w:sz w:val="22"/>
          <w:szCs w:val="22"/>
        </w:rPr>
        <w:t xml:space="preserve">politics of the 1960s and 1970s </w:t>
      </w:r>
      <w:r w:rsidR="00407110" w:rsidRPr="004E053C">
        <w:rPr>
          <w:rFonts w:eastAsia="Times New Roman" w:cstheme="minorHAnsi"/>
          <w:sz w:val="22"/>
          <w:szCs w:val="22"/>
        </w:rPr>
        <w:fldChar w:fldCharType="begin" w:fldLock="1"/>
      </w:r>
      <w:r w:rsidR="00407110" w:rsidRPr="004E053C">
        <w:rPr>
          <w:rFonts w:eastAsia="Times New Roman"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1984)","manualFormatting":"(Long &amp; Roberts, 1984)","plainTextFormattedCitation":"(Norman Long &amp; Roberts, 1984)","previouslyFormattedCitation":"(Norman Long &amp; Roberts, 1984)"},"properties":{"noteIndex":0},"schema":"https://github.com/citation-style-language/schema/raw/master/csl-citation.json"}</w:instrText>
      </w:r>
      <w:r w:rsidR="00407110" w:rsidRPr="004E053C">
        <w:rPr>
          <w:rFonts w:eastAsia="Times New Roman" w:cstheme="minorHAnsi"/>
          <w:sz w:val="22"/>
          <w:szCs w:val="22"/>
        </w:rPr>
        <w:fldChar w:fldCharType="separate"/>
      </w:r>
      <w:r w:rsidR="00407110" w:rsidRPr="004E053C">
        <w:rPr>
          <w:rFonts w:eastAsia="Times New Roman" w:cstheme="minorHAnsi"/>
          <w:noProof/>
          <w:sz w:val="22"/>
          <w:szCs w:val="22"/>
        </w:rPr>
        <w:t>(Long &amp; Roberts, 1984)</w:t>
      </w:r>
      <w:r w:rsidR="00407110" w:rsidRPr="004E053C">
        <w:rPr>
          <w:rFonts w:eastAsia="Times New Roman" w:cstheme="minorHAnsi"/>
          <w:sz w:val="22"/>
          <w:szCs w:val="22"/>
        </w:rPr>
        <w:fldChar w:fldCharType="end"/>
      </w:r>
      <w:r w:rsidRPr="004E053C">
        <w:rPr>
          <w:rFonts w:eastAsia="Times New Roman" w:cstheme="minorHAnsi"/>
          <w:sz w:val="22"/>
          <w:szCs w:val="22"/>
        </w:rPr>
        <w:t xml:space="preserve">. At the end of the century, Peru’s extractive sector was hit by the end of the Cold War, which reconfigured important trade, investment and political relationships </w:t>
      </w:r>
      <w:r w:rsidR="00407110" w:rsidRPr="004E053C">
        <w:rPr>
          <w:rFonts w:eastAsia="Times New Roman" w:cstheme="minorHAnsi"/>
          <w:sz w:val="22"/>
          <w:szCs w:val="22"/>
        </w:rPr>
        <w:fldChar w:fldCharType="begin" w:fldLock="1"/>
      </w:r>
      <w:r w:rsidR="00407110" w:rsidRPr="004E053C">
        <w:rPr>
          <w:rFonts w:eastAsia="Times New Roman"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2013)","plainTextFormattedCitation":"(Bebbington &amp; Bury, 2013)","previouslyFormattedCitation":"(Bebbington &amp; Bury, 2013)"},"properties":{"noteIndex":0},"schema":"https://github.com/citation-style-language/schema/raw/master/csl-citation.json"}</w:instrText>
      </w:r>
      <w:r w:rsidR="00407110" w:rsidRPr="004E053C">
        <w:rPr>
          <w:rFonts w:eastAsia="Times New Roman" w:cstheme="minorHAnsi"/>
          <w:sz w:val="22"/>
          <w:szCs w:val="22"/>
        </w:rPr>
        <w:fldChar w:fldCharType="separate"/>
      </w:r>
      <w:r w:rsidR="00407110" w:rsidRPr="004E053C">
        <w:rPr>
          <w:rFonts w:eastAsia="Times New Roman" w:cstheme="minorHAnsi"/>
          <w:noProof/>
          <w:sz w:val="22"/>
          <w:szCs w:val="22"/>
        </w:rPr>
        <w:t>(Bebbington &amp; Bury, 2013)</w:t>
      </w:r>
      <w:r w:rsidR="00407110" w:rsidRPr="004E053C">
        <w:rPr>
          <w:rFonts w:eastAsia="Times New Roman" w:cstheme="minorHAnsi"/>
          <w:sz w:val="22"/>
          <w:szCs w:val="22"/>
        </w:rPr>
        <w:fldChar w:fldCharType="end"/>
      </w:r>
      <w:r w:rsidRPr="004E053C">
        <w:rPr>
          <w:rFonts w:eastAsia="Times New Roman" w:cstheme="minorHAnsi"/>
          <w:sz w:val="22"/>
          <w:szCs w:val="22"/>
        </w:rPr>
        <w:t xml:space="preserve">. However, it was the economic crisis that had a more lasting effect, leading as it did to widespread neoliberal reform. </w:t>
      </w:r>
    </w:p>
    <w:p w14:paraId="1A8AD805" w14:textId="77777777" w:rsidR="00EF0BCB" w:rsidRPr="004E053C" w:rsidRDefault="00EF0BCB" w:rsidP="004E053C">
      <w:pPr>
        <w:spacing w:line="360" w:lineRule="auto"/>
        <w:jc w:val="both"/>
        <w:rPr>
          <w:rFonts w:eastAsia="Times New Roman" w:cstheme="minorHAnsi"/>
          <w:sz w:val="22"/>
          <w:szCs w:val="22"/>
        </w:rPr>
      </w:pPr>
    </w:p>
    <w:p w14:paraId="4BEF7242" w14:textId="215CED1D" w:rsidR="00375961" w:rsidRPr="004E053C" w:rsidRDefault="00502226" w:rsidP="004E053C">
      <w:pPr>
        <w:pStyle w:val="Heading3"/>
        <w:rPr>
          <w:rFonts w:asciiTheme="minorHAnsi" w:hAnsiTheme="minorHAnsi"/>
        </w:rPr>
      </w:pPr>
      <w:r w:rsidRPr="004E053C">
        <w:rPr>
          <w:rFonts w:asciiTheme="minorHAnsi" w:hAnsiTheme="minorHAnsi"/>
        </w:rPr>
        <w:t>3.</w:t>
      </w:r>
      <w:r w:rsidR="00EF0BCB" w:rsidRPr="004E053C">
        <w:rPr>
          <w:rFonts w:asciiTheme="minorHAnsi" w:hAnsiTheme="minorHAnsi"/>
        </w:rPr>
        <w:t>5.2. Large-scale mining and n</w:t>
      </w:r>
      <w:r w:rsidR="00375961" w:rsidRPr="004E053C">
        <w:rPr>
          <w:rFonts w:asciiTheme="minorHAnsi" w:hAnsiTheme="minorHAnsi"/>
        </w:rPr>
        <w:t>eo-liberalism</w:t>
      </w:r>
    </w:p>
    <w:p w14:paraId="3BFF239F" w14:textId="77777777" w:rsidR="00375961" w:rsidRPr="004E053C" w:rsidRDefault="00375961" w:rsidP="004E053C">
      <w:pPr>
        <w:spacing w:line="360" w:lineRule="auto"/>
        <w:jc w:val="both"/>
        <w:rPr>
          <w:rFonts w:eastAsia="Times New Roman" w:cstheme="minorHAnsi"/>
          <w:b/>
          <w:color w:val="242424"/>
          <w:sz w:val="22"/>
          <w:szCs w:val="22"/>
          <w:shd w:val="clear" w:color="auto" w:fill="FFFFFF"/>
        </w:rPr>
      </w:pPr>
    </w:p>
    <w:p w14:paraId="460655D7" w14:textId="1D109E2D" w:rsidR="00375961" w:rsidRPr="004E053C" w:rsidRDefault="00375961" w:rsidP="004E053C">
      <w:pPr>
        <w:spacing w:line="360" w:lineRule="auto"/>
        <w:jc w:val="both"/>
        <w:rPr>
          <w:rFonts w:eastAsia="Times New Roman" w:cstheme="minorHAnsi"/>
          <w:color w:val="000000"/>
          <w:sz w:val="22"/>
          <w:szCs w:val="22"/>
          <w:shd w:val="clear" w:color="auto" w:fill="FFFFFF"/>
        </w:rPr>
      </w:pPr>
      <w:r w:rsidRPr="004E053C">
        <w:rPr>
          <w:rFonts w:cstheme="minorHAnsi"/>
          <w:sz w:val="22"/>
          <w:szCs w:val="22"/>
        </w:rPr>
        <w:t xml:space="preserve">Since 1990, trade in minerals and hydrocarbons has been fundamental to Peru’s economic growth </w:t>
      </w:r>
      <w:r w:rsidR="00407110" w:rsidRPr="004E053C">
        <w:rPr>
          <w:rFonts w:cstheme="minorHAnsi"/>
          <w:sz w:val="22"/>
          <w:szCs w:val="22"/>
        </w:rPr>
        <w:fldChar w:fldCharType="begin" w:fldLock="1"/>
      </w:r>
      <w:r w:rsidR="00F87FEC" w:rsidRPr="004E053C">
        <w:rPr>
          <w:rFonts w:cstheme="minorHAnsi"/>
          <w:sz w:val="22"/>
          <w:szCs w:val="22"/>
        </w:rPr>
        <w:instrText>ADDIN CSL_CITATION {"citationItems":[{"id":"ITEM-1","itemData":{"author":[{"dropping-particle":"","family":"Field","given":"Alfred J","non-dropping-particle":"","parse-names":false,"suffix":""},{"dropping-particle":"","family":"Field","given":"Erica","non-dropping-particle":"","parse-names":false,"suffix":""}],"chapter-number":"10","container-title":"The Poor under Globalization in Asia, Latin America and Africa","editor":[{"dropping-particle":"","family":"Nissanke","given":"Machiko","non-dropping-particle":"","parse-names":false,"suffix":""},{"dropping-particle":"","family":"Thorbecke","given":"Erik","non-dropping-particle":"","parse-names":false,"suffix":""}],"id":"ITEM-1","issued":{"date-parts":[["2010"]]},"page":"285-324","publisher":"Oxford Scholarship Online","publisher-place":"Oxford, UK","title":"Globalization, crop choice and property rights in rural Pery, 1994-2004","type":"chapter"},"uris":["http://www.mendeley.com/documents/?uuid=09c7217d-546e-4a23-821a-69884c73742e"]}],"mendeley":{"formattedCitation":"(Field &amp; Field, 2010)","plainTextFormattedCitation":"(Field &amp; Field, 2010)","previouslyFormattedCitation":"(Field &amp; Field, 2010)"},"properties":{"noteIndex":0},"schema":"https://github.com/citation-style-language/schema/raw/master/csl-citation.json"}</w:instrText>
      </w:r>
      <w:r w:rsidR="00407110" w:rsidRPr="004E053C">
        <w:rPr>
          <w:rFonts w:cstheme="minorHAnsi"/>
          <w:sz w:val="22"/>
          <w:szCs w:val="22"/>
        </w:rPr>
        <w:fldChar w:fldCharType="separate"/>
      </w:r>
      <w:r w:rsidR="00407110" w:rsidRPr="004E053C">
        <w:rPr>
          <w:rFonts w:cstheme="minorHAnsi"/>
          <w:noProof/>
          <w:sz w:val="22"/>
          <w:szCs w:val="22"/>
        </w:rPr>
        <w:t>(Field &amp; Field, 2010)</w:t>
      </w:r>
      <w:r w:rsidR="00407110" w:rsidRPr="004E053C">
        <w:rPr>
          <w:rFonts w:cstheme="minorHAnsi"/>
          <w:sz w:val="22"/>
          <w:szCs w:val="22"/>
        </w:rPr>
        <w:fldChar w:fldCharType="end"/>
      </w:r>
      <w:r w:rsidRPr="004E053C">
        <w:rPr>
          <w:rFonts w:cstheme="minorHAnsi"/>
          <w:sz w:val="22"/>
          <w:szCs w:val="22"/>
        </w:rPr>
        <w:t xml:space="preserve">. </w:t>
      </w:r>
      <w:r w:rsidRPr="004E053C">
        <w:rPr>
          <w:rFonts w:eastAsia="Times New Roman" w:cstheme="minorHAnsi"/>
          <w:sz w:val="22"/>
          <w:szCs w:val="22"/>
        </w:rPr>
        <w:t xml:space="preserve">During the period of neoliberal reform, Peru’s extractive industries came under private ownership, of both foreign and domestic investors </w:t>
      </w:r>
      <w:r w:rsidR="00407110" w:rsidRPr="004E053C">
        <w:rPr>
          <w:rFonts w:eastAsia="Times New Roman" w:cstheme="minorHAnsi"/>
          <w:sz w:val="22"/>
          <w:szCs w:val="22"/>
        </w:rPr>
        <w:fldChar w:fldCharType="begin" w:fldLock="1"/>
      </w:r>
      <w:r w:rsidR="00407110" w:rsidRPr="004E053C">
        <w:rPr>
          <w:rFonts w:eastAsia="Times New Roman"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2013)","plainTextFormattedCitation":"(Bebbington &amp; Bury, 2013)","previouslyFormattedCitation":"(Bebbington &amp; Bury, 2013)"},"properties":{"noteIndex":0},"schema":"https://github.com/citation-style-language/schema/raw/master/csl-citation.json"}</w:instrText>
      </w:r>
      <w:r w:rsidR="00407110" w:rsidRPr="004E053C">
        <w:rPr>
          <w:rFonts w:eastAsia="Times New Roman" w:cstheme="minorHAnsi"/>
          <w:sz w:val="22"/>
          <w:szCs w:val="22"/>
        </w:rPr>
        <w:fldChar w:fldCharType="separate"/>
      </w:r>
      <w:r w:rsidR="00407110" w:rsidRPr="004E053C">
        <w:rPr>
          <w:rFonts w:eastAsia="Times New Roman" w:cstheme="minorHAnsi"/>
          <w:noProof/>
          <w:sz w:val="22"/>
          <w:szCs w:val="22"/>
        </w:rPr>
        <w:t>(Bebbington &amp; Bury, 2013)</w:t>
      </w:r>
      <w:r w:rsidR="00407110" w:rsidRPr="004E053C">
        <w:rPr>
          <w:rFonts w:eastAsia="Times New Roman" w:cstheme="minorHAnsi"/>
          <w:sz w:val="22"/>
          <w:szCs w:val="22"/>
        </w:rPr>
        <w:fldChar w:fldCharType="end"/>
      </w:r>
      <w:r w:rsidRPr="004E053C">
        <w:rPr>
          <w:rFonts w:eastAsia="Times New Roman" w:cstheme="minorHAnsi"/>
          <w:sz w:val="22"/>
          <w:szCs w:val="22"/>
        </w:rPr>
        <w:t>. The was accompanied not just by new regulations to facilitate FDI, such as the removal of local hiring requirements and the freedom to remit profit abroad, but the abolition of pre-existing legislation that protected natural resources. Furthermore, infrastructure investment projects sought to provide access to remote areas where new hydrocarbons and mineral deposits were being discovered</w:t>
      </w:r>
      <w:r w:rsidRPr="004E053C">
        <w:rPr>
          <w:rFonts w:eastAsia="Times New Roman" w:cstheme="minorHAnsi"/>
          <w:i/>
          <w:sz w:val="22"/>
          <w:szCs w:val="22"/>
        </w:rPr>
        <w:t xml:space="preserve"> </w:t>
      </w:r>
      <w:r w:rsidR="00407110" w:rsidRPr="004E053C">
        <w:rPr>
          <w:rFonts w:eastAsia="Times New Roman" w:cstheme="minorHAnsi"/>
          <w:sz w:val="22"/>
          <w:szCs w:val="22"/>
        </w:rPr>
        <w:fldChar w:fldCharType="begin" w:fldLock="1"/>
      </w:r>
      <w:r w:rsidR="00697A46" w:rsidRPr="004E053C">
        <w:rPr>
          <w:rFonts w:eastAsia="Times New Roman"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2013)","manualFormatting":"(Ibid.)","plainTextFormattedCitation":"(Bebbington &amp; Bury, 2013)","previouslyFormattedCitation":"(Bebbington &amp; Bury, 2013)"},"properties":{"noteIndex":0},"schema":"https://github.com/citation-style-language/schema/raw/master/csl-citation.json"}</w:instrText>
      </w:r>
      <w:r w:rsidR="00407110" w:rsidRPr="004E053C">
        <w:rPr>
          <w:rFonts w:eastAsia="Times New Roman" w:cstheme="minorHAnsi"/>
          <w:sz w:val="22"/>
          <w:szCs w:val="22"/>
        </w:rPr>
        <w:fldChar w:fldCharType="separate"/>
      </w:r>
      <w:r w:rsidR="00407110" w:rsidRPr="004E053C">
        <w:rPr>
          <w:rFonts w:eastAsia="Times New Roman" w:cstheme="minorHAnsi"/>
          <w:noProof/>
          <w:sz w:val="22"/>
          <w:szCs w:val="22"/>
        </w:rPr>
        <w:t>(</w:t>
      </w:r>
      <w:r w:rsidR="00697A46" w:rsidRPr="004E053C">
        <w:rPr>
          <w:rFonts w:eastAsia="Times New Roman" w:cstheme="minorHAnsi"/>
          <w:noProof/>
          <w:sz w:val="22"/>
          <w:szCs w:val="22"/>
        </w:rPr>
        <w:t>Ibid.</w:t>
      </w:r>
      <w:r w:rsidR="00407110" w:rsidRPr="004E053C">
        <w:rPr>
          <w:rFonts w:eastAsia="Times New Roman" w:cstheme="minorHAnsi"/>
          <w:noProof/>
          <w:sz w:val="22"/>
          <w:szCs w:val="22"/>
        </w:rPr>
        <w:t>)</w:t>
      </w:r>
      <w:r w:rsidR="00407110" w:rsidRPr="004E053C">
        <w:rPr>
          <w:rFonts w:eastAsia="Times New Roman" w:cstheme="minorHAnsi"/>
          <w:sz w:val="22"/>
          <w:szCs w:val="22"/>
        </w:rPr>
        <w:fldChar w:fldCharType="end"/>
      </w:r>
      <w:r w:rsidR="00407110" w:rsidRPr="004E053C">
        <w:rPr>
          <w:rFonts w:eastAsia="Times New Roman" w:cstheme="minorHAnsi"/>
          <w:sz w:val="22"/>
          <w:szCs w:val="22"/>
        </w:rPr>
        <w:t xml:space="preserve">. </w:t>
      </w:r>
      <w:r w:rsidRPr="004E053C">
        <w:rPr>
          <w:rFonts w:eastAsia="Times New Roman" w:cstheme="minorHAnsi"/>
          <w:sz w:val="22"/>
          <w:szCs w:val="22"/>
        </w:rPr>
        <w:t xml:space="preserve">This new legislation opened up the economy, </w:t>
      </w:r>
      <w:r w:rsidRPr="004E053C">
        <w:rPr>
          <w:rFonts w:eastAsia="Times New Roman" w:cstheme="minorHAnsi"/>
          <w:sz w:val="22"/>
          <w:szCs w:val="22"/>
          <w:shd w:val="clear" w:color="auto" w:fill="FFFFFF"/>
        </w:rPr>
        <w:t xml:space="preserve">and in the period from 1994 to 2004, exports plus imports as a share of GDP rose from 23 per cent to nearly 39 per cent </w:t>
      </w:r>
      <w:r w:rsidR="00407110" w:rsidRPr="004E053C">
        <w:rPr>
          <w:rFonts w:cstheme="minorHAnsi"/>
          <w:sz w:val="22"/>
          <w:szCs w:val="22"/>
        </w:rPr>
        <w:fldChar w:fldCharType="begin" w:fldLock="1"/>
      </w:r>
      <w:r w:rsidR="00F87FEC" w:rsidRPr="004E053C">
        <w:rPr>
          <w:rFonts w:cstheme="minorHAnsi"/>
          <w:sz w:val="22"/>
          <w:szCs w:val="22"/>
        </w:rPr>
        <w:instrText>ADDIN CSL_CITATION {"citationItems":[{"id":"ITEM-1","itemData":{"author":[{"dropping-particle":"","family":"Field","given":"Alfred J","non-dropping-particle":"","parse-names":false,"suffix":""},{"dropping-particle":"","family":"Field","given":"Erica","non-dropping-particle":"","parse-names":false,"suffix":""}],"chapter-number":"10","container-title":"The Poor under Globalization in Asia, Latin America and Africa","editor":[{"dropping-particle":"","family":"Nissanke","given":"Machiko","non-dropping-particle":"","parse-names":false,"suffix":""},{"dropping-particle":"","family":"Thorbecke","given":"Erik","non-dropping-particle":"","parse-names":false,"suffix":""}],"id":"ITEM-1","issued":{"date-parts":[["2010"]]},"page":"285-324","publisher":"Oxford Scholarship Online","publisher-place":"Oxford, UK","title":"Globalization, crop choice and property rights in rural Pery, 1994-2004","type":"chapter"},"uris":["http://www.mendeley.com/documents/?uuid=09c7217d-546e-4a23-821a-69884c73742e"]}],"mendeley":{"formattedCitation":"(Field &amp; Field, 2010)","plainTextFormattedCitation":"(Field &amp; Field, 2010)","previouslyFormattedCitation":"(Field &amp; Field, 2010)"},"properties":{"noteIndex":0},"schema":"https://github.com/citation-style-language/schema/raw/master/csl-citation.json"}</w:instrText>
      </w:r>
      <w:r w:rsidR="00407110" w:rsidRPr="004E053C">
        <w:rPr>
          <w:rFonts w:cstheme="minorHAnsi"/>
          <w:sz w:val="22"/>
          <w:szCs w:val="22"/>
        </w:rPr>
        <w:fldChar w:fldCharType="separate"/>
      </w:r>
      <w:r w:rsidR="00407110" w:rsidRPr="004E053C">
        <w:rPr>
          <w:rFonts w:cstheme="minorHAnsi"/>
          <w:noProof/>
          <w:sz w:val="22"/>
          <w:szCs w:val="22"/>
        </w:rPr>
        <w:t>(Field &amp; Field, 2010)</w:t>
      </w:r>
      <w:r w:rsidR="00407110" w:rsidRPr="004E053C">
        <w:rPr>
          <w:rFonts w:cstheme="minorHAnsi"/>
          <w:sz w:val="22"/>
          <w:szCs w:val="22"/>
        </w:rPr>
        <w:fldChar w:fldCharType="end"/>
      </w:r>
      <w:r w:rsidR="00407110" w:rsidRPr="004E053C">
        <w:rPr>
          <w:rFonts w:cstheme="minorHAnsi"/>
          <w:sz w:val="22"/>
          <w:szCs w:val="22"/>
        </w:rPr>
        <w:t xml:space="preserve">. </w:t>
      </w:r>
      <w:r w:rsidRPr="004E053C">
        <w:rPr>
          <w:rFonts w:cstheme="minorHAnsi"/>
          <w:sz w:val="22"/>
          <w:szCs w:val="22"/>
        </w:rPr>
        <w:t>By 2006, the Peruvian government had privati</w:t>
      </w:r>
      <w:r w:rsidR="00277027">
        <w:rPr>
          <w:rFonts w:cstheme="minorHAnsi"/>
          <w:sz w:val="22"/>
          <w:szCs w:val="22"/>
        </w:rPr>
        <w:t>s</w:t>
      </w:r>
      <w:r w:rsidRPr="004E053C">
        <w:rPr>
          <w:rFonts w:cstheme="minorHAnsi"/>
          <w:sz w:val="22"/>
          <w:szCs w:val="22"/>
        </w:rPr>
        <w:t>ed 220 state-owned firms in the mining a</w:t>
      </w:r>
      <w:r w:rsidR="00F87FEC" w:rsidRPr="004E053C">
        <w:rPr>
          <w:rFonts w:cstheme="minorHAnsi"/>
          <w:sz w:val="22"/>
          <w:szCs w:val="22"/>
        </w:rPr>
        <w:t xml:space="preserve">nd fuels industry, generating huge capital flows </w:t>
      </w:r>
      <w:r w:rsidR="00F87FEC" w:rsidRPr="004E053C">
        <w:rPr>
          <w:rFonts w:cstheme="minorHAnsi"/>
          <w:sz w:val="22"/>
          <w:szCs w:val="22"/>
        </w:rPr>
        <w:fldChar w:fldCharType="begin" w:fldLock="1"/>
      </w:r>
      <w:r w:rsidR="002F0CEA">
        <w:rPr>
          <w:rFonts w:cstheme="minorHAnsi"/>
          <w:sz w:val="22"/>
          <w:szCs w:val="22"/>
        </w:rPr>
        <w:instrText>ADDIN CSL_CITATION {"citationItems":[{"id":"ITEM-1","itemData":{"abstract":"This review article synthesizes research findings which demonstrate that mining in the Andes is transforming local livelihoods by changing water quality and quantity and land tenure practices upon which traditional livelihoods depend, as well as by generating new employment opportunities in mining communities. I argue that research on livelihood change in Andean mining communities would be enriched by 1) a deeper attendance to the gendered, raced, and classed nature of these changes and 2) the disaggregation of different mining management regimes (e.g. state-run, privately-run, cooperative-run) to allow for comparisons of the livelihood impacts between them.","author":[{"dropping-particle":"","family":"Brain","given":"Kelsey A.","non-dropping-particle":"","parse-names":false,"suffix":""}],"container-title":"Extractive Industries and Society","id":"ITEM-1","issue":"2","issued":{"date-parts":[["2017"]]},"page":"410-418","publisher":"Elsevier Ltd.","title":"The impacts of mining on livelihoods in the Andes: a critical overview","type":"article-journal","volume":"4"},"uris":["http://www.mendeley.com/documents/?uuid=ec00d2a6-d618-4c51-88cd-2ef762c1aea2"]}],"mendeley":{"formattedCitation":"(Brain, 2017)","plainTextFormattedCitation":"(Brain, 2017)","previouslyFormattedCitation":"(Brain, 2017)"},"properties":{"noteIndex":0},"schema":"https://github.com/citation-style-language/schema/raw/master/csl-citation.json"}</w:instrText>
      </w:r>
      <w:r w:rsidR="00F87FEC" w:rsidRPr="004E053C">
        <w:rPr>
          <w:rFonts w:cstheme="minorHAnsi"/>
          <w:sz w:val="22"/>
          <w:szCs w:val="22"/>
        </w:rPr>
        <w:fldChar w:fldCharType="separate"/>
      </w:r>
      <w:r w:rsidR="00F87FEC" w:rsidRPr="004E053C">
        <w:rPr>
          <w:rFonts w:cstheme="minorHAnsi"/>
          <w:noProof/>
          <w:sz w:val="22"/>
          <w:szCs w:val="22"/>
        </w:rPr>
        <w:t>(Brain, 2017)</w:t>
      </w:r>
      <w:r w:rsidR="00F87FEC" w:rsidRPr="004E053C">
        <w:rPr>
          <w:rFonts w:cstheme="minorHAnsi"/>
          <w:sz w:val="22"/>
          <w:szCs w:val="22"/>
        </w:rPr>
        <w:fldChar w:fldCharType="end"/>
      </w:r>
      <w:r w:rsidRPr="004E053C">
        <w:rPr>
          <w:rFonts w:cstheme="minorHAnsi"/>
          <w:sz w:val="22"/>
          <w:szCs w:val="22"/>
        </w:rPr>
        <w:t>.</w:t>
      </w:r>
      <w:r w:rsidRPr="004E053C">
        <w:rPr>
          <w:rFonts w:cstheme="minorHAnsi"/>
          <w:color w:val="505050"/>
        </w:rPr>
        <w:t xml:space="preserve"> </w:t>
      </w:r>
    </w:p>
    <w:p w14:paraId="7C17F317" w14:textId="77777777" w:rsidR="00375961" w:rsidRPr="004E053C" w:rsidRDefault="00375961" w:rsidP="004E053C">
      <w:pPr>
        <w:pStyle w:val="NormalWeb"/>
        <w:spacing w:before="0" w:beforeAutospacing="0" w:after="0" w:afterAutospacing="0" w:line="360" w:lineRule="auto"/>
        <w:jc w:val="both"/>
        <w:rPr>
          <w:rFonts w:asciiTheme="minorHAnsi" w:hAnsiTheme="minorHAnsi" w:cstheme="minorHAnsi"/>
          <w:color w:val="505050"/>
        </w:rPr>
      </w:pPr>
    </w:p>
    <w:p w14:paraId="1480AABC" w14:textId="5BCF8D59" w:rsidR="00375961" w:rsidRPr="004E053C" w:rsidRDefault="002749EC" w:rsidP="004E053C">
      <w:pPr>
        <w:spacing w:line="360" w:lineRule="auto"/>
        <w:jc w:val="both"/>
        <w:rPr>
          <w:rFonts w:cstheme="minorHAnsi"/>
        </w:rPr>
      </w:pPr>
      <w:r w:rsidRPr="004E053C">
        <w:rPr>
          <w:rFonts w:cstheme="minorHAnsi"/>
          <w:sz w:val="22"/>
          <w:szCs w:val="22"/>
        </w:rPr>
        <w:t xml:space="preserve">These policies have contributed to the growth of extractive industries and the sector’s internationalisation </w:t>
      </w:r>
      <w:r w:rsidRPr="004E053C">
        <w:rPr>
          <w:rFonts w:cstheme="minorHAnsi"/>
          <w:sz w:val="22"/>
          <w:szCs w:val="22"/>
        </w:rPr>
        <w:fldChar w:fldCharType="begin" w:fldLock="1"/>
      </w:r>
      <w:r w:rsidR="002F0CEA">
        <w:rPr>
          <w:rFonts w:cstheme="minorHAnsi"/>
          <w:sz w:val="22"/>
          <w:szCs w:val="22"/>
        </w:rPr>
        <w:instrText>ADDIN CSL_CITATION {"citationItems":[{"id":"ITEM-1","itemData":{"author":[{"dropping-particle":"","family":"Bury","given":"Jeffrey","non-dropping-particle":"","parse-names":false,"suffix":""}],"container-title":"Environment and Planning A: Economy and Space","id":"ITEM-1","issue":"2","issued":{"date-parts":[["2005"]]},"page":"221-239","title":"Mining mountains: neoliberalism, land tenure, livelihoods, and the new Peruvian industry in Cajamarca","type":"article-journal","volume":"37"},"uris":["http://www.mendeley.com/documents/?uuid=9309a77f-e866-4768-8413-3cb675a4bf78"]},{"id":"ITEM-2","itemData":{"abstract":"Social conflicts related to extractive industries in Peru tend to be conceptualised as problems of governance, namely, as conflicts generated from ill-designed policies for distribution of revenues from extractive industries, formal political participation, transparency and conflict management. The governance approach, however, does not analyse the historical connection between extractive policies and exploitation/dispossession of indigenous peoples and the permanence of colonial patterns of domination. The main argument of this paper is that many social conflicts related to extractive activities do not derive from problems of 'governance', but more profoundly, they emerge due to divergences that transcend the current governance and express different political ontologies. This argument will be developed through the case study of the Baguazo and the Awajun territorial struggles in the Peruvian Amazon.","author":[{"dropping-particle":"","family":"Acuña","given":"Roger Merino","non-dropping-particle":"","parse-names":false,"suffix":""}],"container-title":"Extractive Industries and Society","id":"ITEM-2","issue":"1","issued":{"date-parts":[["2015"]]},"page":"85-92","title":"The politics of extractive governance: indigenous peoples and socio-environmental conflicts","type":"article-journal","volume":"2"},"uris":["http://www.mendeley.com/documents/?uuid=3a2bf9fd-11f3-4ec9-8e79-ac1663f0f37b"]},{"id":"ITEM-3","itemData":{"abstract":"Recent years have seen increasingly aggressive expansion of extractive industry in the Andean-Amazonian region. Reminiscent of the film Avatar, this expansion drives conflicts over land, territory and political control of space. This expansion is occurring in both overtly neoliberal regimes and in self-consciously post- neoliberal ones. This essay documents the convergence among the different regimes’ ways of governing extraction and socio-environmental conflicts. We draw on Executive level statements and policy positions as well as on statements by indigenous peoples’ organisations. Among the reasons for this apparent con- vergence are: long-standing resource curse effects; the need to generate resources to finance social policy instruments that are integral to the governments’ overall political strategies; power and information asymmetries among companies and governments; and international relations. The convergences among Bolivia, Ecuador and Peru regarding the governance of extraction and the conflicts that it catalyses suggests the need for great critical caution before using the termino- logy of post-neoliberalism.","author":[{"dropping-particle":"","family":"Bebbington","given":"Anthony","non-dropping-particle":"","parse-names":false,"suffix":""},{"dropping-particle":"","family":"Bebbington","given":"Denise Humphreys","non-dropping-particle":"","parse-names":false,"suffix":""}],"container-title":"New Political Economy","id":"ITEM-3","issue":"1","issued":{"date-parts":[["2011"]]},"page":"131-145","title":"An Andean Avatar: post-neoliberal and neoliberal strategies for securing the unobtainable","type":"article-journal","volume":"16"},"uris":["http://www.mendeley.com/documents/?uuid=90f90f17-4976-4bb0-99c7-9d2f644f2509"]},{"id":"ITEM-4","itemData":{"abstract":"This article on small-scale alluvial gold mining in Bolivia shows how cultural practices, social patterns, and institutions, policies and politics are connected to technologies, physical environments, infrastructure, and landscapes. It presents a detailed description of the techniques, material makeup, work organization, social organization, and the regional and national political setting of alluvial small-scale gold mining in northern Bolivia, and argues for an analytical approach that acknowledges the interlinking of sociocultural and physical dimensions. To do so, the article is built of scale-ascending sections: Starting with a detailed description of the micro-operations on the pontoons on which the work takes place, followed by a theoretical exploration of the idea of sociomaterial entanglements, the argument proceeds to address the relations between the “inhabitants” of the pontoons and the nearby village that is their home, the miners’ organization (a cooperative), and the more macro setting in which this cooperative developed. The titles of the sections therefore allude to increasingly large scales. The closing section merges the various scales and summarizes the argument.","author":[{"dropping-particle":"","family":"Salman","given":"T","non-dropping-particle":"","parse-names":false,"suffix":""}],"container-title":"Society and Natural Resources","id":"ITEM-4","issue":"9","issued":{"date-parts":[["2016"]]},"page":"1124-1138","title":"The intricacies of “being able to work undisturbed”: the organization of alluvial gold mining in Bolivia","type":"article-journal","volume":"29"},"uris":["http://www.mendeley.com/documents/?uuid=e9ce4cf9-e45d-4428-aaa9-4305d8fa4d73"]}],"mendeley":{"formattedCitation":"(Acuña, 2015; Bebbington &amp; Bebbington, 2011; Bury, 2005; Salman, 2016)","manualFormatting":"(Acuña, 2015; Bebbington &amp; Bebbington, 2011; Bury, 2005)","plainTextFormattedCitation":"(Acuña, 2015; Bebbington &amp; Bebbington, 2011; Bury, 2005; Salman, 2016)","previouslyFormattedCitation":"(Acuña, 2015; Bebbington &amp; Bebbington, 2011; Bury, 2005; Salman, 2016)"},"properties":{"noteIndex":0},"schema":"https://github.com/citation-style-language/schema/raw/master/csl-citation.json"}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(Acuña, 2015; Bebbington &amp; Bebbington, 2011; Bury, 2005)</w:t>
      </w:r>
      <w:r w:rsidRPr="004E053C">
        <w:rPr>
          <w:rFonts w:cstheme="minorHAnsi"/>
          <w:sz w:val="22"/>
          <w:szCs w:val="22"/>
        </w:rPr>
        <w:fldChar w:fldCharType="end"/>
      </w:r>
      <w:bookmarkStart w:id="40" w:name="bbib0150"/>
      <w:r w:rsidRPr="004E053C">
        <w:rPr>
          <w:rFonts w:cstheme="minorHAnsi"/>
          <w:sz w:val="22"/>
          <w:szCs w:val="22"/>
        </w:rPr>
        <w:t xml:space="preserve">. </w:t>
      </w:r>
      <w:bookmarkEnd w:id="40"/>
      <w:r w:rsidRPr="004E053C">
        <w:rPr>
          <w:rFonts w:eastAsia="Times New Roman" w:cstheme="minorHAnsi"/>
          <w:sz w:val="22"/>
          <w:szCs w:val="22"/>
        </w:rPr>
        <w:t xml:space="preserve">The sectors growth was </w:t>
      </w:r>
      <w:r w:rsidR="00375961" w:rsidRPr="004E053C">
        <w:rPr>
          <w:rFonts w:eastAsia="Times New Roman" w:cstheme="minorHAnsi"/>
          <w:sz w:val="22"/>
          <w:szCs w:val="22"/>
        </w:rPr>
        <w:t>reflected in successful mining projects such as the Yanacocha mine in the Cajamarca region of the northern Highlands, as well as the discovery of a host of new mineral and gas deposit</w:t>
      </w:r>
      <w:bookmarkStart w:id="41" w:name="bbib0170"/>
      <w:r w:rsidR="00375961" w:rsidRPr="004E053C">
        <w:rPr>
          <w:rFonts w:eastAsia="Times New Roman" w:cstheme="minorHAnsi"/>
          <w:sz w:val="22"/>
          <w:szCs w:val="22"/>
        </w:rPr>
        <w:t xml:space="preserve">s </w:t>
      </w:r>
      <w:r w:rsidR="00F87FEC" w:rsidRPr="004E053C">
        <w:rPr>
          <w:rFonts w:eastAsia="Times New Roman" w:cstheme="minorHAnsi"/>
          <w:sz w:val="22"/>
          <w:szCs w:val="22"/>
        </w:rPr>
        <w:fldChar w:fldCharType="begin" w:fldLock="1"/>
      </w:r>
      <w:r w:rsidR="00F87FEC" w:rsidRPr="004E053C">
        <w:rPr>
          <w:rFonts w:eastAsia="Times New Roman"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2013)","plainTextFormattedCitation":"(Bebbington &amp; Bury, 2013)","previouslyFormattedCitation":"(Bebbington &amp; Bury, 2013)"},"properties":{"noteIndex":0},"schema":"https://github.com/citation-style-language/schema/raw/master/csl-citation.json"}</w:instrText>
      </w:r>
      <w:r w:rsidR="00F87FEC" w:rsidRPr="004E053C">
        <w:rPr>
          <w:rFonts w:eastAsia="Times New Roman" w:cstheme="minorHAnsi"/>
          <w:sz w:val="22"/>
          <w:szCs w:val="22"/>
        </w:rPr>
        <w:fldChar w:fldCharType="separate"/>
      </w:r>
      <w:r w:rsidR="00F87FEC" w:rsidRPr="004E053C">
        <w:rPr>
          <w:rFonts w:eastAsia="Times New Roman" w:cstheme="minorHAnsi"/>
          <w:noProof/>
          <w:sz w:val="22"/>
          <w:szCs w:val="22"/>
        </w:rPr>
        <w:t>(Bebbington &amp; Bury, 2013)</w:t>
      </w:r>
      <w:r w:rsidR="00F87FEC" w:rsidRPr="004E053C">
        <w:rPr>
          <w:rFonts w:eastAsia="Times New Roman" w:cstheme="minorHAnsi"/>
          <w:sz w:val="22"/>
          <w:szCs w:val="22"/>
        </w:rPr>
        <w:fldChar w:fldCharType="end"/>
      </w:r>
      <w:r w:rsidR="00375961" w:rsidRPr="004E053C">
        <w:rPr>
          <w:rFonts w:eastAsia="Times New Roman" w:cstheme="minorHAnsi"/>
          <w:sz w:val="22"/>
          <w:szCs w:val="22"/>
        </w:rPr>
        <w:t xml:space="preserve">. </w:t>
      </w:r>
      <w:r w:rsidR="00375961" w:rsidRPr="004E053C">
        <w:rPr>
          <w:rFonts w:cstheme="minorHAnsi"/>
          <w:sz w:val="22"/>
          <w:szCs w:val="22"/>
        </w:rPr>
        <w:t>At the same time, there was an increased demand for minerals on global markets, especially from rapidly industriali</w:t>
      </w:r>
      <w:r w:rsidR="00277027">
        <w:rPr>
          <w:rFonts w:cstheme="minorHAnsi"/>
          <w:sz w:val="22"/>
          <w:szCs w:val="22"/>
        </w:rPr>
        <w:t>s</w:t>
      </w:r>
      <w:r w:rsidR="00375961" w:rsidRPr="004E053C">
        <w:rPr>
          <w:rFonts w:cstheme="minorHAnsi"/>
          <w:sz w:val="22"/>
          <w:szCs w:val="22"/>
        </w:rPr>
        <w:t xml:space="preserve">ing countries like Brazil, China, and India, and advances in extraction and processing technologies </w:t>
      </w:r>
      <w:r w:rsidR="00F87FEC" w:rsidRPr="004E053C">
        <w:rPr>
          <w:rFonts w:cstheme="minorHAnsi"/>
          <w:sz w:val="22"/>
          <w:szCs w:val="22"/>
        </w:rPr>
        <w:fldChar w:fldCharType="begin" w:fldLock="1"/>
      </w:r>
      <w:r w:rsidRPr="004E053C">
        <w:rPr>
          <w:rFonts w:cstheme="minorHAnsi"/>
          <w:sz w:val="22"/>
          <w:szCs w:val="22"/>
        </w:rPr>
        <w:instrText>ADDIN CSL_CITATION {"citationItems":[{"id":"ITEM-1","itemData":{"author":[{"dropping-particle":"","family":"Himley","given":"M.D.","non-dropping-particle":"","parse-names":false,"suffix":""}],"container-title":"Berkshire Encyclopedia of Sustainability, vol.8, The Americas and Oceania: Assessing Sustainability","id":"ITEM-1","issued":{"date-parts":[["2012"]]},"page":"166-169","publisher":"Berkshire","publisher-place":"Great Barrington, MA","title":"Mining (Andes)","type":"chapter"},"uris":["http://www.mendeley.com/documents/?uuid=3ecff631-e65e-4e17-a25b-6013a6e7cd16"]}],"mendeley":{"formattedCitation":"(Himley, 2012)","plainTextFormattedCitation":"(Himley, 2012)","previouslyFormattedCitation":"(Himley, 2012)"},"properties":{"noteIndex":0},"schema":"https://github.com/citation-style-language/schema/raw/master/csl-citation.json"}</w:instrText>
      </w:r>
      <w:r w:rsidR="00F87FEC" w:rsidRPr="004E053C">
        <w:rPr>
          <w:rFonts w:cstheme="minorHAnsi"/>
          <w:sz w:val="22"/>
          <w:szCs w:val="22"/>
        </w:rPr>
        <w:fldChar w:fldCharType="separate"/>
      </w:r>
      <w:r w:rsidR="00F87FEC" w:rsidRPr="004E053C">
        <w:rPr>
          <w:rFonts w:cstheme="minorHAnsi"/>
          <w:noProof/>
          <w:sz w:val="22"/>
          <w:szCs w:val="22"/>
        </w:rPr>
        <w:t>(Himley, 2012)</w:t>
      </w:r>
      <w:r w:rsidR="00F87FEC" w:rsidRPr="004E053C">
        <w:rPr>
          <w:rFonts w:cstheme="minorHAnsi"/>
          <w:sz w:val="22"/>
          <w:szCs w:val="22"/>
        </w:rPr>
        <w:fldChar w:fldCharType="end"/>
      </w:r>
      <w:r w:rsidR="00375961" w:rsidRPr="004E053C">
        <w:rPr>
          <w:rFonts w:cstheme="minorHAnsi"/>
          <w:sz w:val="22"/>
          <w:szCs w:val="22"/>
        </w:rPr>
        <w:t xml:space="preserve">. </w:t>
      </w:r>
      <w:bookmarkEnd w:id="41"/>
      <w:r w:rsidR="00375961" w:rsidRPr="004E053C">
        <w:rPr>
          <w:rFonts w:cstheme="minorHAnsi"/>
          <w:sz w:val="22"/>
          <w:szCs w:val="22"/>
        </w:rPr>
        <w:t>Over the last decade, Peru has remained consistently neoliberal in its mining legislation policies, and the government continues to facilitate the role of private, foreign compan</w:t>
      </w:r>
      <w:r w:rsidRPr="004E053C">
        <w:rPr>
          <w:rFonts w:cstheme="minorHAnsi"/>
          <w:sz w:val="22"/>
          <w:szCs w:val="22"/>
        </w:rPr>
        <w:t xml:space="preserve">ies in extraction </w:t>
      </w:r>
      <w:r w:rsidRPr="004E053C">
        <w:rPr>
          <w:rFonts w:cstheme="minorHAnsi"/>
          <w:sz w:val="22"/>
          <w:szCs w:val="22"/>
        </w:rPr>
        <w:fldChar w:fldCharType="begin" w:fldLock="1"/>
      </w:r>
      <w:r w:rsidR="002F0CEA">
        <w:rPr>
          <w:rFonts w:cstheme="minorHAnsi"/>
          <w:sz w:val="22"/>
          <w:szCs w:val="22"/>
        </w:rPr>
        <w:instrText>ADDIN CSL_CITATION {"citationItems":[{"id":"ITEM-1","itemData":{"abstract":"This review article synthesizes research findings which demonstrate that mining in the Andes is transforming local livelihoods by changing water quality and quantity and land tenure practices upon which traditional livelihoods depend, as well as by generating new employment opportunities in mining communities. I argue that research on livelihood change in Andean mining communities would be enriched by 1) a deeper attendance to the gendered, raced, and classed nature of these changes and 2) the disaggregation of different mining management regimes (e.g. state-run, privately-run, cooperative-run) to allow for comparisons of the livelihood impacts between them.","author":[{"dropping-particle":"","family":"Brain","given":"Kelsey A.","non-dropping-particle":"","parse-names":false,"suffix":""}],"container-title":"Extractive Industries and Society","id":"ITEM-1","issue":"2","issued":{"date-parts":[["2017"]]},"page":"410-418","publisher":"Elsevier Ltd.","title":"The impacts of mining on livelihoods in the Andes: a critical overview","type":"article-journal","volume":"4"},"uris":["http://www.mendeley.com/documents/?uuid=ec00d2a6-d618-4c51-88cd-2ef762c1aea2"]}],"mendeley":{"formattedCitation":"(Brain, 2017)","plainTextFormattedCitation":"(Brain, 2017)","previouslyFormattedCitation":"(Brain, 2017)"},"properties":{"noteIndex":0},"schema":"https://github.com/citation-style-language/schema/raw/master/csl-citation.json"}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(Brain, 2017)</w:t>
      </w:r>
      <w:r w:rsidRPr="004E053C">
        <w:rPr>
          <w:rFonts w:cstheme="minorHAnsi"/>
          <w:sz w:val="22"/>
          <w:szCs w:val="22"/>
        </w:rPr>
        <w:fldChar w:fldCharType="end"/>
      </w:r>
      <w:r w:rsidR="00375961" w:rsidRPr="004E053C">
        <w:rPr>
          <w:rFonts w:cstheme="minorHAnsi"/>
          <w:sz w:val="22"/>
          <w:szCs w:val="22"/>
        </w:rPr>
        <w:t>.</w:t>
      </w:r>
      <w:r w:rsidR="00375961" w:rsidRPr="004E053C">
        <w:rPr>
          <w:rFonts w:cstheme="minorHAnsi"/>
          <w:color w:val="505050"/>
          <w:sz w:val="22"/>
          <w:szCs w:val="22"/>
        </w:rPr>
        <w:t xml:space="preserve">  </w:t>
      </w:r>
      <w:r w:rsidR="00375961" w:rsidRPr="004E053C">
        <w:rPr>
          <w:rFonts w:cstheme="minorHAnsi"/>
          <w:sz w:val="22"/>
          <w:szCs w:val="22"/>
        </w:rPr>
        <w:t xml:space="preserve">For example, in the face of falling mineral prices in 2014, the Peruvian government adopted weaker environmental rules in order to attract investment </w:t>
      </w:r>
      <w:r w:rsidRPr="004E053C">
        <w:rPr>
          <w:rFonts w:cstheme="minorHAnsi"/>
          <w:sz w:val="22"/>
          <w:szCs w:val="22"/>
        </w:rPr>
        <w:fldChar w:fldCharType="begin" w:fldLock="1"/>
      </w:r>
      <w:r w:rsidRPr="004E053C">
        <w:rPr>
          <w:rFonts w:cstheme="minorHAnsi"/>
          <w:sz w:val="22"/>
          <w:szCs w:val="22"/>
        </w:rPr>
        <w:instrText>ADDIN CSL_CITATION {"citationItems":[{"id":"ITEM-1","itemData":{"author":[{"dropping-particle":"","family":"Shortell","given":"Paul","non-dropping-particle":"","parse-names":false,"suffix":""}],"container-title":"World Politics Review","id":"ITEM-1","issued":{"date-parts":[["2014"]]},"title":"In need of investment, Peru rolls back environmental standards","type":"article-journal","volume":"28 July"},"uris":["http://www.mendeley.com/documents/?uuid=66e36990-e701-46c3-8cea-0d31f6962df6"]}],"mendeley":{"formattedCitation":"(Shortell, 2014)","plainTextFormattedCitation":"(Shortell, 2014)","previouslyFormattedCitation":"(Shortell, 2014)"},"properties":{"noteIndex":0},"schema":"https://github.com/citation-style-language/schema/raw/master/csl-citation.json"}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(Shortell, 2014)</w:t>
      </w:r>
      <w:r w:rsidRPr="004E053C">
        <w:rPr>
          <w:rFonts w:cstheme="minorHAnsi"/>
          <w:sz w:val="22"/>
          <w:szCs w:val="22"/>
        </w:rPr>
        <w:fldChar w:fldCharType="end"/>
      </w:r>
      <w:r w:rsidRPr="004E053C">
        <w:rPr>
          <w:rFonts w:cstheme="minorHAnsi"/>
          <w:sz w:val="22"/>
          <w:szCs w:val="22"/>
        </w:rPr>
        <w:t>.</w:t>
      </w:r>
      <w:r w:rsidR="00375961" w:rsidRPr="004E053C">
        <w:rPr>
          <w:rFonts w:cstheme="minorHAnsi"/>
        </w:rPr>
        <w:t xml:space="preserve"> </w:t>
      </w:r>
      <w:r w:rsidR="00375961" w:rsidRPr="004E053C">
        <w:rPr>
          <w:rFonts w:cstheme="minorHAnsi"/>
          <w:sz w:val="22"/>
          <w:szCs w:val="22"/>
        </w:rPr>
        <w:t xml:space="preserve">However, some observers have highlighted an overreliance </w:t>
      </w:r>
      <w:r w:rsidR="00375961" w:rsidRPr="004E053C">
        <w:rPr>
          <w:rFonts w:eastAsia="Times New Roman" w:cstheme="minorHAnsi"/>
          <w:sz w:val="22"/>
          <w:szCs w:val="22"/>
        </w:rPr>
        <w:t>on extractives, arguing that this has dis-incentivised diversity within the economy and effectively restricted Peru to the role of a pr</w:t>
      </w:r>
      <w:r w:rsidRPr="004E053C">
        <w:rPr>
          <w:rFonts w:eastAsia="Times New Roman" w:cstheme="minorHAnsi"/>
          <w:sz w:val="22"/>
          <w:szCs w:val="22"/>
        </w:rPr>
        <w:t xml:space="preserve">imary exporter </w:t>
      </w:r>
      <w:r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{"citationItems":[{"id":"ITEM-1","itemData":{"abstract":"The first section explains the basic hypothesis about the key economic variables within liberalization programs as well as some aspects of the relationships between structural adjustment and direct social programs. The next three sections examine characteristics of the individual adjustment processes in Chile, Mexico, and Peru. The final section interprets regularities and contrasts in these experiences, raising some questions about what is actually possible for these countries.","author":[{"dropping-particle":"","family":"Sheahan","given":"J.","non-dropping-particle":"","parse-names":false,"suffix":""}],"container-title":"Latin American Research Review","id":"ITEM-1","issue":"3","issued":{"date-parts":[["1997"]]},"page":"7-37","title":"Effects of liberalization programs on poverty and inequality: Chile, Mexico, and Peru","type":"article-journal","volume":"32"},"uris":["http://www.mendeley.com/documents/?uuid=8ef89d92-9011-45e6-b5f6-dda71f5e6780"]}],"mendeley":{"formattedCitation":"(Sheahan, 1997)","plainTextFormattedCitation":"(Sheahan, 1997)","previouslyFormattedCitation":"(Sheahan, 1997)"},"properties":{"noteIndex":0},"schema":"https://github.com/citation-style-language/schema/raw/master/csl-citation.json"}</w:instrText>
      </w:r>
      <w:r w:rsidRPr="004E053C">
        <w:rPr>
          <w:rFonts w:eastAsia="Times New Roman" w:cstheme="minorHAnsi"/>
          <w:sz w:val="22"/>
          <w:szCs w:val="22"/>
        </w:rPr>
        <w:fldChar w:fldCharType="separate"/>
      </w:r>
      <w:r w:rsidRPr="004E053C">
        <w:rPr>
          <w:rFonts w:eastAsia="Times New Roman" w:cstheme="minorHAnsi"/>
          <w:noProof/>
          <w:sz w:val="22"/>
          <w:szCs w:val="22"/>
        </w:rPr>
        <w:t>(Sheahan, 1997)</w:t>
      </w:r>
      <w:r w:rsidRPr="004E053C">
        <w:rPr>
          <w:rFonts w:eastAsia="Times New Roman" w:cstheme="minorHAnsi"/>
          <w:sz w:val="22"/>
          <w:szCs w:val="22"/>
        </w:rPr>
        <w:fldChar w:fldCharType="end"/>
      </w:r>
      <w:r w:rsidRPr="004E053C">
        <w:rPr>
          <w:rFonts w:eastAsia="Times New Roman" w:cstheme="minorHAnsi"/>
          <w:sz w:val="22"/>
          <w:szCs w:val="22"/>
        </w:rPr>
        <w:t>.</w:t>
      </w:r>
      <w:r w:rsidR="00375961" w:rsidRPr="004E053C">
        <w:rPr>
          <w:rFonts w:cstheme="minorHAnsi"/>
          <w:sz w:val="22"/>
          <w:szCs w:val="22"/>
        </w:rPr>
        <w:t xml:space="preserve"> </w:t>
      </w:r>
    </w:p>
    <w:p w14:paraId="2722B302" w14:textId="77777777" w:rsidR="00375961" w:rsidRPr="004E053C" w:rsidRDefault="00375961" w:rsidP="004E053C">
      <w:pPr>
        <w:spacing w:line="360" w:lineRule="auto"/>
        <w:jc w:val="both"/>
        <w:rPr>
          <w:rFonts w:cstheme="minorHAnsi"/>
          <w:sz w:val="22"/>
          <w:szCs w:val="22"/>
          <w:highlight w:val="yellow"/>
        </w:rPr>
      </w:pPr>
    </w:p>
    <w:p w14:paraId="793A1CDA" w14:textId="0582D984" w:rsidR="00375961" w:rsidRPr="004E053C" w:rsidRDefault="00375961" w:rsidP="004E053C">
      <w:pPr>
        <w:spacing w:line="360" w:lineRule="auto"/>
        <w:jc w:val="both"/>
        <w:rPr>
          <w:rFonts w:cstheme="minorHAnsi"/>
          <w:color w:val="2E2E2E"/>
          <w:sz w:val="22"/>
          <w:szCs w:val="22"/>
        </w:rPr>
      </w:pPr>
      <w:r w:rsidRPr="004E053C">
        <w:rPr>
          <w:rFonts w:cstheme="minorHAnsi"/>
          <w:sz w:val="22"/>
          <w:szCs w:val="22"/>
        </w:rPr>
        <w:t>A major issue of large-scale mining is that that mining</w:t>
      </w:r>
      <w:r w:rsidRPr="004E053C">
        <w:rPr>
          <w:rFonts w:eastAsia="Times New Roman" w:cstheme="minorHAnsi"/>
          <w:spacing w:val="2"/>
          <w:sz w:val="22"/>
          <w:szCs w:val="22"/>
          <w:shd w:val="clear" w:color="auto" w:fill="FCFCFC"/>
        </w:rPr>
        <w:t xml:space="preserve"> wealth accrues almost exclusively to foreign companies and the capitalist class, and does little to address inequality </w:t>
      </w:r>
      <w:r w:rsidR="002749EC" w:rsidRPr="004E053C">
        <w:rPr>
          <w:rFonts w:eastAsia="Times New Roman" w:cstheme="minorHAnsi"/>
          <w:spacing w:val="2"/>
          <w:sz w:val="22"/>
          <w:szCs w:val="22"/>
          <w:shd w:val="clear" w:color="auto" w:fill="FCFCFC"/>
        </w:rPr>
        <w:fldChar w:fldCharType="begin" w:fldLock="1"/>
      </w:r>
      <w:r w:rsidR="002749EC" w:rsidRPr="004E053C">
        <w:rPr>
          <w:rFonts w:eastAsia="Times New Roman" w:cstheme="minorHAnsi"/>
          <w:spacing w:val="2"/>
          <w:sz w:val="22"/>
          <w:szCs w:val="22"/>
          <w:shd w:val="clear" w:color="auto" w:fill="FCFCFC"/>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2749EC" w:rsidRPr="004E053C">
        <w:rPr>
          <w:rFonts w:eastAsia="Times New Roman" w:cstheme="minorHAnsi"/>
          <w:spacing w:val="2"/>
          <w:sz w:val="22"/>
          <w:szCs w:val="22"/>
          <w:shd w:val="clear" w:color="auto" w:fill="FCFCFC"/>
        </w:rPr>
        <w:fldChar w:fldCharType="separate"/>
      </w:r>
      <w:r w:rsidR="002749EC" w:rsidRPr="004E053C">
        <w:rPr>
          <w:rFonts w:eastAsia="Times New Roman" w:cstheme="minorHAnsi"/>
          <w:noProof/>
          <w:spacing w:val="2"/>
          <w:sz w:val="22"/>
          <w:szCs w:val="22"/>
          <w:shd w:val="clear" w:color="auto" w:fill="FCFCFC"/>
        </w:rPr>
        <w:t>(Orihuela, 2012)</w:t>
      </w:r>
      <w:r w:rsidR="002749EC" w:rsidRPr="004E053C">
        <w:rPr>
          <w:rFonts w:eastAsia="Times New Roman" w:cstheme="minorHAnsi"/>
          <w:spacing w:val="2"/>
          <w:sz w:val="22"/>
          <w:szCs w:val="22"/>
          <w:shd w:val="clear" w:color="auto" w:fill="FCFCFC"/>
        </w:rPr>
        <w:fldChar w:fldCharType="end"/>
      </w:r>
      <w:r w:rsidRPr="004E053C">
        <w:rPr>
          <w:rFonts w:eastAsia="Times New Roman" w:cstheme="minorHAnsi"/>
          <w:spacing w:val="2"/>
          <w:sz w:val="22"/>
          <w:szCs w:val="22"/>
          <w:shd w:val="clear" w:color="auto" w:fill="FCFCFC"/>
        </w:rPr>
        <w:t xml:space="preserve">. </w:t>
      </w:r>
      <w:r w:rsidRPr="004E053C">
        <w:rPr>
          <w:rFonts w:cstheme="minorHAnsi"/>
          <w:sz w:val="22"/>
          <w:szCs w:val="22"/>
        </w:rPr>
        <w:t xml:space="preserve">Extractive industries have been historically based in the Andes, </w:t>
      </w:r>
      <w:r w:rsidRPr="004E053C">
        <w:rPr>
          <w:rFonts w:eastAsia="Times New Roman" w:cstheme="minorHAnsi"/>
          <w:sz w:val="22"/>
          <w:szCs w:val="22"/>
        </w:rPr>
        <w:t xml:space="preserve">due to it being the principle location for mine sites and an important supply of seasonal labour </w:t>
      </w:r>
      <w:r w:rsidRPr="004E053C">
        <w:rPr>
          <w:rFonts w:cstheme="minorHAnsi"/>
          <w:sz w:val="22"/>
          <w:szCs w:val="22"/>
        </w:rPr>
        <w:t>yet the</w:t>
      </w:r>
      <w:r w:rsidRPr="004E053C">
        <w:rPr>
          <w:rFonts w:eastAsia="Times New Roman" w:cstheme="minorHAnsi"/>
          <w:sz w:val="22"/>
          <w:szCs w:val="22"/>
        </w:rPr>
        <w:t xml:space="preserve"> region has failed to accumulate capital from mining activity </w:t>
      </w:r>
      <w:r w:rsidR="002749EC" w:rsidRPr="004E053C">
        <w:rPr>
          <w:rFonts w:eastAsia="Times New Roman" w:cstheme="minorHAnsi"/>
          <w:sz w:val="22"/>
          <w:szCs w:val="22"/>
        </w:rPr>
        <w:fldChar w:fldCharType="begin" w:fldLock="1"/>
      </w:r>
      <w:r w:rsidR="002749EC" w:rsidRPr="004E053C">
        <w:rPr>
          <w:rFonts w:eastAsia="Times New Roman"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Peru","type":"book"},"uris":["http://www.mendeley.com/documents/?uuid=148aa043-01ee-43e6-9f45-0575ca5e740b"]},{"id":"ITEM-2","itemData":{"abstract":"The extraction of minerals, oil and gas has a long and ambiguous history in development processes – in North America, Europe, Latin America and Australasia. Extraction has yielded wealth, regional identities and in some cases capital for industrialization. In other cases its main heritages have been social conflict, environmental damage and underperforming national economies. As the extractive economy has entered another boom period over the last decade, not least in Latin America, the countries in which this boom is occurring are challenged to interpret this ambiguity. Will the extractive industry yield, for them, economic development, or will its main gifts be ones of conflict, degradation and unequal forms of growth.","author":[{"dropping-particle":"","family":"Bebbington","given":"Anthony","non-dropping-particle":"","parse-names":false,"suffix":""}],"id":"ITEM-2","issued":{"date-parts":[["2011"]]},"number-of-pages":"258","title":"Social Conflict, Economic Development and Extractive Industry: Evidence from South America","type":"book"},"uris":["http://www.mendeley.com/documents/?uuid=81fa501e-2549-4623-908e-76e796de9056"]}],"mendeley":{"formattedCitation":"(Bebbington, 2011; Norman Long &amp; Roberts, 1984)","manualFormatting":"(Bebbington, 2011; Long &amp; Roberts, 1984)","plainTextFormattedCitation":"(Bebbington, 2011; Norman Long &amp; Roberts, 1984)","previouslyFormattedCitation":"(Bebbington, 2011; Norman Long &amp; Roberts, 1984)"},"properties":{"noteIndex":0},"schema":"https://github.com/citation-style-language/schema/raw/master/csl-citation.json"}</w:instrText>
      </w:r>
      <w:r w:rsidR="002749EC" w:rsidRPr="004E053C">
        <w:rPr>
          <w:rFonts w:eastAsia="Times New Roman" w:cstheme="minorHAnsi"/>
          <w:sz w:val="22"/>
          <w:szCs w:val="22"/>
        </w:rPr>
        <w:fldChar w:fldCharType="separate"/>
      </w:r>
      <w:r w:rsidR="002749EC" w:rsidRPr="004E053C">
        <w:rPr>
          <w:rFonts w:eastAsia="Times New Roman" w:cstheme="minorHAnsi"/>
          <w:noProof/>
          <w:sz w:val="22"/>
          <w:szCs w:val="22"/>
        </w:rPr>
        <w:t>(Bebbington, 2011; Long &amp; Roberts, 1984)</w:t>
      </w:r>
      <w:r w:rsidR="002749EC" w:rsidRPr="004E053C">
        <w:rPr>
          <w:rFonts w:eastAsia="Times New Roman" w:cstheme="minorHAnsi"/>
          <w:sz w:val="22"/>
          <w:szCs w:val="22"/>
        </w:rPr>
        <w:fldChar w:fldCharType="end"/>
      </w:r>
      <w:r w:rsidR="002749EC" w:rsidRPr="004E053C">
        <w:rPr>
          <w:rFonts w:cstheme="minorHAnsi"/>
          <w:sz w:val="22"/>
          <w:szCs w:val="22"/>
        </w:rPr>
        <w:t xml:space="preserve">. </w:t>
      </w:r>
      <w:r w:rsidRPr="004E053C">
        <w:rPr>
          <w:rFonts w:eastAsia="Times New Roman" w:cstheme="minorHAnsi"/>
          <w:spacing w:val="2"/>
          <w:sz w:val="22"/>
          <w:szCs w:val="22"/>
          <w:shd w:val="clear" w:color="auto" w:fill="FCFCFC"/>
        </w:rPr>
        <w:t>The local</w:t>
      </w:r>
      <w:r w:rsidRPr="004E053C">
        <w:rPr>
          <w:rFonts w:cstheme="minorHAnsi"/>
          <w:sz w:val="22"/>
          <w:szCs w:val="22"/>
        </w:rPr>
        <w:t xml:space="preserve">, indigenous communities in these areas rarely benefit, as there are limited employment opportunities and few spill-over effects </w:t>
      </w:r>
      <w:r w:rsidR="002749EC" w:rsidRPr="004E053C">
        <w:rPr>
          <w:rFonts w:cstheme="minorHAnsi"/>
          <w:sz w:val="22"/>
          <w:szCs w:val="22"/>
        </w:rPr>
        <w:fldChar w:fldCharType="begin" w:fldLock="1"/>
      </w:r>
      <w:r w:rsidR="002749EC" w:rsidRPr="004E053C">
        <w:rPr>
          <w:rFonts w:cstheme="minorHAnsi"/>
          <w:sz w:val="22"/>
          <w:szCs w:val="22"/>
        </w:rPr>
        <w:instrText>ADDIN CSL_CITATION {"citationItems":[{"id":"ITEM-1","itemData":{"abstract":"The reality of the so-called ‘resource curse’is now widely accepted. Thepopulations of countries that possess significant natural resources often suffer when these resources are extracted and exported. Attention is turning to ways of mitigating the adverse effects of the ‘curse’. Responsible fiscal policies arerequired but are in themselves insufficient for overcoming it. Internationalinstitutions have recently advanced what I term the ‘new natural resource policyagenda’to deal with the problem. Its core features are (a) decentralisation of government (b) a greater role for direct citizen participation in the allocation of mining revenue; and (c) more cooperation between state agencies andcommercial organisations (public-private partnerships). However,the recenthistory of Peru poses major questions about the effectiveness of this new policyagenda. The government has adopted both conservative fiscal policies and thenew policy agenda. Over the last five years the mineral price boom has increasedmining revenues markedly, but it has had little impact on poverty. More important,local level conflicts around mining operations have increased, and appear tothreaten political instability even more. The problem is that, in a context of weakcentral state and even weaker local governments, the ‘new natural resource policyagenda’has partially re-located the resource curse to sub-national levels. Localgovernments, mining companies and a variety of activist movements are lockedinto complex relationships that are not easy to negotiate and into conflicts that arenot easily resolved. Like its predecessors, this very contemporary manifestation of the resource curse results in poor quality public expenditure and the waste of much of the new resource revenue","author":[{"dropping-particle":"","family":"Arellano-Yanguas","given":"Javier","non-dropping-particle":"","parse-names":false,"suffix":""}],"collection-title":"IDS","id":"ITEM-1","issued":{"date-parts":[["2008"]]},"number":"300","number-of-pages":"1-49","publisher-place":"Brighton","title":"A Thoroughly Modern Resource Curse? The New Natural Resource Policy Agenda and the Mining Revival in Peru","type":"report"},"uris":["http://www.mendeley.com/documents/?uuid=ccd31bbd-5d20-497b-9b65-d5633d9b570f"]},{"id":"ITEM-2","itemData":{"abstract":"Despite violent protests across Latin America, policies to make mining more environmentally sound and socially acceptable remain elusive. This essay explores the factors that hinder progress in resolving mining conflicts. It describes the fiscal incentives that drive governments to promote mining, the environmental risks inherent in open pit mining, and the divisive property rights that contribute to conflict. While no mining is environmentally benign, more can be done to protect the health and livelihoods of local communities. Progress requires not only improving the technical capacity of institutions tasked with environmental monitoring but also resolving the deeply rooted social divisions in the region. Affirming the rights of local communities - nonindigenous as well as indigenous - to control zoning, water supplies and the financial benefits of mining would both better link governance to those most affected and, in many cases, reduce poverty.","author":[{"dropping-particle":"","family":"Helwege","given":"Ann","non-dropping-particle":"","parse-names":false,"suffix":""}],"container-title":"Extractive Industries and Society","id":"ITEM-2","issue":"1","issued":{"date-parts":[["2015"]]},"page":"73-84","publisher":"Elsevier Ltd","title":"Challenges with resolving mining conflicts in Latin America","type":"article-journal","volume":"2"},"uris":["http://www.mendeley.com/documents/?uuid=90d97209-2390-479c-8391-bd46dadc69ac"]},{"id":"ITEM-3","itemData":{"author":[{"dropping-particle":"","family":"Orihuela","given":"Jose Carlos","non-dropping-particle":"","parse-names":false,"suffix":""}],"container-title":"European Journal of Development Research","id":"ITEM-3","issue":"5","issued":{"date-parts":[["2012"]]},"page":"688-705","title":"The Making of Conflict-Prone Development: Trade and Horizontal Inequalities in Peru","type":"article-journal","volume":"24"},"uris":["http://www.mendeley.com/documents/?uuid=b97d35fe-8345-4424-af45-28422a9651b0"]}],"mendeley":{"formattedCitation":"(Arellano-Yanguas, 2008; Helwege, 2015; Orihuela, 2012)","plainTextFormattedCitation":"(Arellano-Yanguas, 2008; Helwege, 2015; Orihuela, 2012)","previouslyFormattedCitation":"(Arellano-Yanguas, 2008; Helwege, 2015; Orihuela, 2012)"},"properties":{"noteIndex":0},"schema":"https://github.com/citation-style-language/schema/raw/master/csl-citation.json"}</w:instrText>
      </w:r>
      <w:r w:rsidR="002749EC" w:rsidRPr="004E053C">
        <w:rPr>
          <w:rFonts w:cstheme="minorHAnsi"/>
          <w:sz w:val="22"/>
          <w:szCs w:val="22"/>
        </w:rPr>
        <w:fldChar w:fldCharType="separate"/>
      </w:r>
      <w:r w:rsidR="002749EC" w:rsidRPr="004E053C">
        <w:rPr>
          <w:rFonts w:cstheme="minorHAnsi"/>
          <w:noProof/>
          <w:sz w:val="22"/>
          <w:szCs w:val="22"/>
        </w:rPr>
        <w:t>(Arellano-Yanguas, 2008; Helwege, 2015; Orihuela, 2012)</w:t>
      </w:r>
      <w:r w:rsidR="002749EC" w:rsidRPr="004E053C">
        <w:rPr>
          <w:rFonts w:cstheme="minorHAnsi"/>
          <w:sz w:val="22"/>
          <w:szCs w:val="22"/>
        </w:rPr>
        <w:fldChar w:fldCharType="end"/>
      </w:r>
      <w:r w:rsidRPr="004E053C">
        <w:rPr>
          <w:rFonts w:cstheme="minorHAnsi"/>
          <w:sz w:val="22"/>
          <w:szCs w:val="22"/>
        </w:rPr>
        <w:t xml:space="preserve">. This is despite the existence of the Mining Canon, which is a </w:t>
      </w:r>
      <w:r w:rsidRPr="004E053C">
        <w:rPr>
          <w:rFonts w:eastAsia="Times New Roman" w:cstheme="minorHAnsi"/>
          <w:color w:val="000000"/>
          <w:sz w:val="22"/>
          <w:szCs w:val="22"/>
          <w:shd w:val="clear" w:color="auto" w:fill="FFFFFF"/>
        </w:rPr>
        <w:t xml:space="preserve">scheme developed in 2002 through which the central Government transfers </w:t>
      </w:r>
      <w:r w:rsidRPr="004E053C">
        <w:rPr>
          <w:rFonts w:cstheme="minorHAnsi"/>
          <w:color w:val="2E2E2E"/>
          <w:sz w:val="22"/>
          <w:szCs w:val="22"/>
        </w:rPr>
        <w:t>50% of the taxes levied on mining companies to local governments in mining regions</w:t>
      </w:r>
      <w:r w:rsidR="002749EC" w:rsidRPr="004E053C">
        <w:rPr>
          <w:rFonts w:cstheme="minorHAnsi"/>
          <w:color w:val="2E2E2E"/>
          <w:sz w:val="22"/>
          <w:szCs w:val="22"/>
        </w:rPr>
        <w:t xml:space="preserve"> </w:t>
      </w:r>
      <w:r w:rsidR="002749EC" w:rsidRPr="004E053C">
        <w:rPr>
          <w:rFonts w:cstheme="minorHAnsi"/>
          <w:color w:val="2E2E2E"/>
          <w:sz w:val="22"/>
          <w:szCs w:val="22"/>
        </w:rPr>
        <w:fldChar w:fldCharType="begin" w:fldLock="1"/>
      </w:r>
      <w:r w:rsidR="002749EC" w:rsidRPr="004E053C">
        <w:rPr>
          <w:rFonts w:cstheme="minorHAnsi"/>
          <w:color w:val="2E2E2E"/>
          <w:sz w:val="22"/>
          <w:szCs w:val="22"/>
        </w:rPr>
        <w:instrText>ADDIN CSL_CITATION {"citationItems":[{"id":"ITEM-1","itemData":{"author":[{"dropping-particle":"","family":"Loayza","given":"Norman","non-dropping-particle":"","parse-names":false,"suffix":""},{"dropping-particle":"","family":"Rigolini","given":"Jamele","non-dropping-particle":"","parse-names":false,"suffix":""}],"container-title":"World Development","id":"ITEM-1","issued":{"date-parts":[["2016"]]},"page":"219-234","title":"The local impact of mining on poverty and inequality: evidence from the commodity boom in Peru","type":"article-journal","volume":"84"},"uris":["http://www.mendeley.com/documents/?uuid=e121f1ce-ea8c-43f3-98c2-275860133d1b"]},{"id":"ITEM-2","itemData":{"author":[{"dropping-particle":"","family":"Field","given":"Alfred J","non-dropping-particle":"","parse-names":false,"suffix":""},{"dropping-particle":"","family":"Field","given":"Erica","non-dropping-particle":"","parse-names":false,"suffix":""}],"chapter-number":"10","container-title":"The Poor under Globalization in Asia, Latin America and Africa","editor":[{"dropping-particle":"","family":"Nissanke","given":"Machiko","non-dropping-particle":"","parse-names":false,"suffix":""},{"dropping-particle":"","family":"Thorbecke","given":"Erik","non-dropping-particle":"","parse-names":false,"suffix":""}],"id":"ITEM-2","issued":{"date-parts":[["2010"]]},"page":"285-324","publisher":"Oxford Scholarship Online","publisher-place":"Oxford, UK","title":"Globalization, crop choice and property rights in rural Pery, 1994-2004","type":"chapter"},"uris":["http://www.mendeley.com/documents/?uuid=09c7217d-546e-4a23-821a-69884c73742e"]}],"mendeley":{"formattedCitation":"(Field &amp; Field, 2010; Loayza &amp; Rigolini, 2016)","plainTextFormattedCitation":"(Field &amp; Field, 2010; Loayza &amp; Rigolini, 2016)","previouslyFormattedCitation":"(Field &amp; Field, 2010; Loayza &amp; Rigolini, 2016)"},"properties":{"noteIndex":0},"schema":"https://github.com/citation-style-language/schema/raw/master/csl-citation.json"}</w:instrText>
      </w:r>
      <w:r w:rsidR="002749EC" w:rsidRPr="004E053C">
        <w:rPr>
          <w:rFonts w:cstheme="minorHAnsi"/>
          <w:color w:val="2E2E2E"/>
          <w:sz w:val="22"/>
          <w:szCs w:val="22"/>
        </w:rPr>
        <w:fldChar w:fldCharType="separate"/>
      </w:r>
      <w:r w:rsidR="002749EC" w:rsidRPr="004E053C">
        <w:rPr>
          <w:rFonts w:cstheme="minorHAnsi"/>
          <w:noProof/>
          <w:color w:val="2E2E2E"/>
          <w:sz w:val="22"/>
          <w:szCs w:val="22"/>
        </w:rPr>
        <w:t>(Field &amp; Field, 2010; Loayza &amp; Rigolini, 2016)</w:t>
      </w:r>
      <w:r w:rsidR="002749EC" w:rsidRPr="004E053C">
        <w:rPr>
          <w:rFonts w:cstheme="minorHAnsi"/>
          <w:color w:val="2E2E2E"/>
          <w:sz w:val="22"/>
          <w:szCs w:val="22"/>
        </w:rPr>
        <w:fldChar w:fldCharType="end"/>
      </w:r>
      <w:r w:rsidR="002749EC" w:rsidRPr="004E053C">
        <w:rPr>
          <w:rFonts w:cstheme="minorHAnsi"/>
          <w:color w:val="2E2E2E"/>
          <w:sz w:val="22"/>
          <w:szCs w:val="22"/>
        </w:rPr>
        <w:t>.</w:t>
      </w:r>
    </w:p>
    <w:p w14:paraId="4571E230" w14:textId="77777777" w:rsidR="00375961" w:rsidRPr="004E053C" w:rsidRDefault="00375961" w:rsidP="004E053C">
      <w:pPr>
        <w:spacing w:line="360" w:lineRule="auto"/>
        <w:jc w:val="both"/>
        <w:rPr>
          <w:rFonts w:cstheme="minorHAnsi"/>
          <w:sz w:val="22"/>
          <w:szCs w:val="22"/>
        </w:rPr>
      </w:pPr>
    </w:p>
    <w:p w14:paraId="3CFF232E" w14:textId="2984AAE3" w:rsidR="00375961" w:rsidRPr="004E053C" w:rsidRDefault="00375961" w:rsidP="004E053C">
      <w:pPr>
        <w:widowControl w:val="0"/>
        <w:autoSpaceDE w:val="0"/>
        <w:autoSpaceDN w:val="0"/>
        <w:adjustRightInd w:val="0"/>
        <w:spacing w:line="360" w:lineRule="auto"/>
        <w:jc w:val="both"/>
        <w:rPr>
          <w:rFonts w:cstheme="minorHAnsi"/>
          <w:color w:val="2E2E2E"/>
          <w:sz w:val="22"/>
          <w:szCs w:val="22"/>
        </w:rPr>
      </w:pPr>
      <w:r w:rsidRPr="004E053C">
        <w:rPr>
          <w:rFonts w:cstheme="minorHAnsi"/>
          <w:sz w:val="22"/>
          <w:szCs w:val="22"/>
        </w:rPr>
        <w:t xml:space="preserve">For many Peruvians, the large-scale Andean mines only serve to reflect the injustices of colonial trade and extraction </w:t>
      </w:r>
      <w:r w:rsidR="002749EC" w:rsidRPr="004E053C">
        <w:rPr>
          <w:rFonts w:cstheme="minorHAnsi"/>
          <w:sz w:val="22"/>
          <w:szCs w:val="22"/>
        </w:rPr>
        <w:fldChar w:fldCharType="begin" w:fldLock="1"/>
      </w:r>
      <w:r w:rsidR="002749EC" w:rsidRPr="004E053C">
        <w:rPr>
          <w:rFonts w:cstheme="minorHAnsi"/>
          <w:sz w:val="22"/>
          <w:szCs w:val="22"/>
        </w:rPr>
        <w:instrText>ADDIN CSL_CITATION {"citationItems":[{"id":"ITEM-1","itemData":{"author":[{"dropping-particle":"","family":"Stark","given":"Jeffrey","non-dropping-particle":"","parse-names":false,"suffix":""},{"dropping-particle":"","family":"Guillen","given":"Sergio","non-dropping-particle":"","parse-names":false,"suffix":""},{"dropping-particle":"","family":"Brady","given":"Cynthia","non-dropping-particle":"","parse-names":false,"suffix":""}],"id":"ITEM-1","issued":{"date-parts":[["2012"]]},"publisher-place":"Washington D.C.","title":"Follow the Water: Emerging Issues of Climate Change and Conflict in Peru","type":"report"},"uris":["http://www.mendeley.com/documents/?uuid=72844084-b006-4072-bb47-ee92e2d3235b"]}],"mendeley":{"formattedCitation":"(J. Stark, Guillen, &amp; Brady, 2012)","manualFormatting":"(Stark, Guillen &amp; Brady, 2012)","plainTextFormattedCitation":"(J. Stark, Guillen, &amp; Brady, 2012)","previouslyFormattedCitation":"(J. Stark, Guillen, &amp; Brady, 2012)"},"properties":{"noteIndex":0},"schema":"https://github.com/citation-style-language/schema/raw/master/csl-citation.json"}</w:instrText>
      </w:r>
      <w:r w:rsidR="002749EC" w:rsidRPr="004E053C">
        <w:rPr>
          <w:rFonts w:cstheme="minorHAnsi"/>
          <w:sz w:val="22"/>
          <w:szCs w:val="22"/>
        </w:rPr>
        <w:fldChar w:fldCharType="separate"/>
      </w:r>
      <w:r w:rsidR="002749EC" w:rsidRPr="004E053C">
        <w:rPr>
          <w:rFonts w:cstheme="minorHAnsi"/>
          <w:noProof/>
          <w:sz w:val="22"/>
          <w:szCs w:val="22"/>
        </w:rPr>
        <w:t>(Stark, Guillen &amp; Brady, 2012)</w:t>
      </w:r>
      <w:r w:rsidR="002749EC" w:rsidRPr="004E053C">
        <w:rPr>
          <w:rFonts w:cstheme="minorHAnsi"/>
          <w:sz w:val="22"/>
          <w:szCs w:val="22"/>
        </w:rPr>
        <w:fldChar w:fldCharType="end"/>
      </w:r>
      <w:r w:rsidRPr="004E053C">
        <w:rPr>
          <w:rFonts w:cstheme="minorHAnsi"/>
          <w:sz w:val="22"/>
          <w:szCs w:val="22"/>
        </w:rPr>
        <w:t xml:space="preserve">. </w:t>
      </w:r>
      <w:r w:rsidRPr="004E053C">
        <w:rPr>
          <w:rFonts w:cstheme="minorHAnsi"/>
          <w:color w:val="2E2E2E"/>
          <w:sz w:val="22"/>
          <w:szCs w:val="22"/>
        </w:rPr>
        <w:t xml:space="preserve">Large </w:t>
      </w:r>
      <w:r w:rsidRPr="004E053C">
        <w:rPr>
          <w:rFonts w:eastAsia="Times New Roman" w:cstheme="minorHAnsi"/>
          <w:sz w:val="22"/>
          <w:szCs w:val="22"/>
        </w:rPr>
        <w:t xml:space="preserve">mine operations can lead to pollution of water supplies, land degradation and the loss of local resources, which is often perceived as unfair given that the benefits of the industry are felt elsewhere </w:t>
      </w:r>
      <w:r w:rsidR="002749EC"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{"citationItems":[{"id":"ITEM-1","itemData":{"author":[{"dropping-particle":"","family":"Hoffman","given":"Max","non-dropping-particle":"","parse-names":false,"suffix":""},{"dropping-particle":"","family":"Grigera","given":"Ana I","non-dropping-particle":"","parse-names":false,"suffix":""}],"id":"ITEM-1","issued":{"date-parts":[["2013"]]},"number-of-pages":"110","publisher-place":"Washington D.C.","title":"Climate Change, Migration, and Conflict in the Amazon and the Andes Rising Tensions and Policy Options in South America","type":"report"},"uris":["http://www.mendeley.com/documents/?uuid=452d85a6-8009-3436-9de9-094826b567f3"]},{"id":"ITEM-2","itemData":{"abstract":"Global consumption continues to generate growth in mining. In lesser developed economies, this growth offers the potential to generate new resources for development, but also creates challenges to sustainability in the regions in which extraction occurs. This context leads to debate on the institutional arrangements most likely to build synergies between mining, livelihoods, and development, and on the socio-political conditions under which such institutions can emerge. Building from a multiyear, three-country program of research projects, Peru, a global center of mining expansion, serves as an exemplar for analyzing the effects of extractive industry on livelihoods and the conditions under which arrangements favoring local sustainability might emerge. This program is guided by three emergent hypotheses in human-environmental sciences regarding the relationships among institutions, knowledge, learning, and sustainability. The research combines in-depth and comparative case study analysis, and uses mapping and spatial analysis, surveys, in-depth interviews, participant observation, and our own direct participation in public debates on the regulation of mining for development. The findings demonstrate the pressures that mining expansion has placed on water resources, livelihood assets, and social relationships. These pressures are a result of institutional conditions that separate the governance of mineral expansion, water resources, and local development, and of relationships of power that prioritize large scale investment over livelihood and environment. A further problem is the poor communication between mining sector knowledge systems and those of local populations. These results are consistent with themes recently elaborated in sustainability science.","author":[{"dropping-particle":"","family":"Bebbington","given":"Anthony","non-dropping-particle":"","parse-names":false,"suffix":""},{"dropping-particle":"","family":"Bury","given":"Jeffrey","non-dropping-particle":"","parse-names":false,"suffix":""}],"container-title":"Proceedings of the National Academy of Sciences","id":"ITEM-2","issue":"41","issued":{"date-parts":[["2009"]]},"page":"17296-17301","title":"Institutional challenges for mining and sustainability in Peru","type":"article-journal","volume":"106"},"uris":["http://www.mendeley.com/documents/?uuid=8977b93e-6643-43cd-a722-d4559a1a0a88"]},{"id":"ITEM-3","itemData":{"abstract":"This review article synthesizes research findings which demonstrate that mining in the Andes is transforming local livelihoods by changing water quality and quantity and land tenure practices upon which traditional livelihoods depend, as well as by generating new employment opportunities in mining communities. I argue that research on livelihood change in Andean mining communities would be enriched by 1) a deeper attendance to the gendered, raced, and classed nature of these changes and 2) the disaggregation of different mining management regimes (e.g. state-run, privately-run, cooperative-run) to allow for comparisons of the livelihood impacts between them.","author":[{"dropping-particle":"","family":"Brain","given":"Kelsey A.","non-dropping-particle":"","parse-names":false,"suffix":""}],"container-title":"Extractive Industries and Society","id":"ITEM-3","issue":"2","issued":{"date-parts":[["2017"]]},"page":"410-418","publisher":"Elsevier Ltd.","title":"The impacts of mining on livelihoods in the Andes: a critical overview","type":"article-journal","volume":"4"},"uris":["http://www.mendeley.com/documents/?uuid=ec00d2a6-d618-4c51-88cd-2ef762c1aea2"]}],"mendeley":{"formattedCitation":"(Bebbington &amp; Bury, 2009; Brain, 2017; Hoffman &amp; Grigera, 2013)","plainTextFormattedCitation":"(Bebbington &amp; Bury, 2009; Brain, 2017; Hoffman &amp; Grigera, 2013)","previouslyFormattedCitation":"(Bebbington &amp; Bury, 2009; Brain, 2017; Hoffman &amp; Grigera, 2013)"},"properties":{"noteIndex":0},"schema":"https://github.com/citation-style-language/schema/raw/master/csl-citation.json"}</w:instrText>
      </w:r>
      <w:r w:rsidR="002749EC" w:rsidRPr="004E053C">
        <w:rPr>
          <w:rFonts w:eastAsia="Times New Roman" w:cstheme="minorHAnsi"/>
          <w:sz w:val="22"/>
          <w:szCs w:val="22"/>
        </w:rPr>
        <w:fldChar w:fldCharType="separate"/>
      </w:r>
      <w:r w:rsidR="002749EC" w:rsidRPr="004E053C">
        <w:rPr>
          <w:rFonts w:eastAsia="Times New Roman" w:cstheme="minorHAnsi"/>
          <w:noProof/>
          <w:sz w:val="22"/>
          <w:szCs w:val="22"/>
        </w:rPr>
        <w:t>(Bebbington &amp; Bury, 2009; Brain, 2017; Hoffman &amp; Grigera, 2013)</w:t>
      </w:r>
      <w:r w:rsidR="002749EC" w:rsidRPr="004E053C">
        <w:rPr>
          <w:rFonts w:eastAsia="Times New Roman" w:cstheme="minorHAnsi"/>
          <w:sz w:val="22"/>
          <w:szCs w:val="22"/>
        </w:rPr>
        <w:fldChar w:fldCharType="end"/>
      </w:r>
      <w:r w:rsidRPr="004E053C">
        <w:rPr>
          <w:rFonts w:eastAsia="Times New Roman" w:cstheme="minorHAnsi"/>
          <w:sz w:val="22"/>
          <w:szCs w:val="22"/>
        </w:rPr>
        <w:t>.</w:t>
      </w:r>
      <w:r w:rsidRPr="004E053C">
        <w:rPr>
          <w:rFonts w:cstheme="minorHAnsi"/>
          <w:color w:val="505050"/>
          <w:sz w:val="22"/>
          <w:szCs w:val="22"/>
        </w:rPr>
        <w:t xml:space="preserve"> </w:t>
      </w:r>
      <w:r w:rsidRPr="004E053C">
        <w:rPr>
          <w:rFonts w:cstheme="minorHAnsi"/>
          <w:color w:val="2E2E2E"/>
          <w:sz w:val="22"/>
          <w:szCs w:val="22"/>
        </w:rPr>
        <w:t xml:space="preserve">There is also evidence to suggest that the Mining Canon may have a perverse impact on inequality, due to a distributional impact that favours the better off and the risk of rents being misappropriated through corruption </w:t>
      </w:r>
      <w:r w:rsidR="002749EC" w:rsidRPr="004E053C">
        <w:rPr>
          <w:rFonts w:cstheme="minorHAnsi"/>
          <w:color w:val="2E2E2E"/>
          <w:sz w:val="22"/>
          <w:szCs w:val="22"/>
        </w:rPr>
        <w:fldChar w:fldCharType="begin" w:fldLock="1"/>
      </w:r>
      <w:r w:rsidR="002749EC" w:rsidRPr="004E053C">
        <w:rPr>
          <w:rFonts w:cstheme="minorHAnsi"/>
          <w:color w:val="2E2E2E"/>
          <w:sz w:val="22"/>
          <w:szCs w:val="22"/>
        </w:rPr>
        <w:instrText>ADDIN CSL_CITATION {"citationItems":[{"id":"ITEM-1","itemData":{"author":[{"dropping-particle":"","family":"Loayza","given":"Norman","non-dropping-particle":"","parse-names":false,"suffix":""},{"dropping-particle":"","family":"Rigolini","given":"Jamele","non-dropping-particle":"","parse-names":false,"suffix":""}],"container-title":"World Development","id":"ITEM-1","issued":{"date-parts":[["2016"]]},"page":"219-234","title":"The local impact of mining on poverty and inequality: evidence from the commodity boom in Peru","type":"article-journal","volume":"84"},"uris":["http://www.mendeley.com/documents/?uuid=e121f1ce-ea8c-43f3-98c2-275860133d1b"]}],"mendeley":{"formattedCitation":"(Loayza &amp; Rigolini, 2016)","plainTextFormattedCitation":"(Loayza &amp; Rigolini, 2016)","previouslyFormattedCitation":"(Loayza &amp; Rigolini, 2016)"},"properties":{"noteIndex":0},"schema":"https://github.com/citation-style-language/schema/raw/master/csl-citation.json"}</w:instrText>
      </w:r>
      <w:r w:rsidR="002749EC" w:rsidRPr="004E053C">
        <w:rPr>
          <w:rFonts w:cstheme="minorHAnsi"/>
          <w:color w:val="2E2E2E"/>
          <w:sz w:val="22"/>
          <w:szCs w:val="22"/>
        </w:rPr>
        <w:fldChar w:fldCharType="separate"/>
      </w:r>
      <w:r w:rsidR="002749EC" w:rsidRPr="004E053C">
        <w:rPr>
          <w:rFonts w:cstheme="minorHAnsi"/>
          <w:noProof/>
          <w:color w:val="2E2E2E"/>
          <w:sz w:val="22"/>
          <w:szCs w:val="22"/>
        </w:rPr>
        <w:t>(Loayza &amp; Rigolini, 2016)</w:t>
      </w:r>
      <w:r w:rsidR="002749EC" w:rsidRPr="004E053C">
        <w:rPr>
          <w:rFonts w:cstheme="minorHAnsi"/>
          <w:color w:val="2E2E2E"/>
          <w:sz w:val="22"/>
          <w:szCs w:val="22"/>
        </w:rPr>
        <w:fldChar w:fldCharType="end"/>
      </w:r>
      <w:r w:rsidR="002749EC" w:rsidRPr="004E053C">
        <w:rPr>
          <w:rFonts w:cstheme="minorHAnsi"/>
          <w:color w:val="2E2E2E"/>
          <w:sz w:val="22"/>
          <w:szCs w:val="22"/>
        </w:rPr>
        <w:t>,</w:t>
      </w:r>
      <w:r w:rsidRPr="004E053C">
        <w:rPr>
          <w:rFonts w:cstheme="minorHAnsi"/>
          <w:color w:val="2E2E2E"/>
          <w:sz w:val="22"/>
          <w:szCs w:val="22"/>
        </w:rPr>
        <w:t xml:space="preserve"> thus reducing the benefits that may have otherwise accrued to the poor. The expansion of mining production has therefore been accompanied by rising social tensions</w:t>
      </w:r>
      <w:r w:rsidRPr="004E053C">
        <w:rPr>
          <w:rFonts w:cstheme="minorHAnsi"/>
          <w:sz w:val="22"/>
          <w:szCs w:val="22"/>
        </w:rPr>
        <w:t xml:space="preserve"> and conflict </w:t>
      </w:r>
      <w:r w:rsidR="002749EC" w:rsidRPr="004E053C">
        <w:rPr>
          <w:rFonts w:cstheme="minorHAnsi"/>
          <w:sz w:val="22"/>
          <w:szCs w:val="22"/>
        </w:rPr>
        <w:fldChar w:fldCharType="begin" w:fldLock="1"/>
      </w:r>
      <w:r w:rsidR="002749EC" w:rsidRPr="004E053C">
        <w:rPr>
          <w:rFonts w:cstheme="minorHAnsi"/>
          <w:sz w:val="22"/>
          <w:szCs w:val="22"/>
        </w:rPr>
        <w:instrText>ADDIN CSL_CITATION {"citationItems":[{"id":"ITEM-1","itemData":{"abstract":"From 2002 to 2012, 68 community consultations/referenda on large-scale mining activities have been conducted in Latin America challenging centralized decision-making procedures. These consultations are fostered by communities and social movements and usually supported by local governments. Around 700,000 people have participated, expressing a massive rejection of mining activities in Peru, Guatemala, Argentina, Colombia and Ecuador. Community consultations have contributed to ease local tensions temporarily, slowing down or stopping mining projects in some cases. This paper analyses the process of emergence and spread of such consultations exploring how they challenge the governance of mining activities. We claim that community consultations are being institutionalized in the context of mining conflicts in Latin America. Consultations are not isolated experiences but constitute a strategy diffused and transformed in the midst of multi-scalar social learning processes where social movements exchange strategies and discourses and a hybridising process occurs in relation to political and cultural local features. We sustain that community consultations are a hybrid institution where non-state and state actors and formal and informal institutions are mobilized. Consultations are a strategic tool of social movements and a contested emergent institution – as different state bodies support or reject their validity – that reclaim the right of affected populations and indigenous peoples to participate, in empowering forms, in high-stake decisions that affect their territories, livelihoods and future.","author":[{"dropping-particle":"","family":"Walter","given":"Mariana","non-dropping-particle":"","parse-names":false,"suffix":""},{"dropping-particle":"","family":"Urkidi","given":"Leire","non-dropping-particle":"","parse-names":false,"suffix":""}],"container-title":"Geoforum","id":"ITEM-1","issued":{"date-parts":[["2017"]]},"page":"265-279","publisher":"Elsevier Ltd","title":"Community mining consultations in Latin America (2002–2012): The contested emergence of a hybrid institution for participation","type":"article-journal","volume":"84"},"uris":["http://www.mendeley.com/documents/?uuid=b2e6dd9e-8d78-493b-9206-ebd7be5c3813"]},{"id":"ITEM-2","itemData":{"author":[{"dropping-particle":"","family":"Loayza","given":"Norman","non-dropping-particle":"","parse-names":false,"suffix":""},{"dropping-particle":"","family":"Rigolini","given":"Jamele","non-dropping-particle":"","parse-names":false,"suffix":""}],"container-title":"World Development","id":"ITEM-2","issued":{"date-parts":[["2016"]]},"page":"219-234","title":"The local impact of mining on poverty and inequality: evidence from the commodity boom in Peru","type":"article-journal","volume":"84"},"uris":["http://www.mendeley.com/documents/?uuid=e121f1ce-ea8c-43f3-98c2-275860133d1b"]}],"mendeley":{"formattedCitation":"(Loayza &amp; Rigolini, 2016; Walter &amp; Urkidi, 2017)","plainTextFormattedCitation":"(Loayza &amp; Rigolini, 2016; Walter &amp; Urkidi, 2017)","previouslyFormattedCitation":"(Loayza &amp; Rigolini, 2016; Walter &amp; Urkidi, 2017)"},"properties":{"noteIndex":0},"schema":"https://github.com/citation-style-language/schema/raw/master/csl-citation.json"}</w:instrText>
      </w:r>
      <w:r w:rsidR="002749EC" w:rsidRPr="004E053C">
        <w:rPr>
          <w:rFonts w:cstheme="minorHAnsi"/>
          <w:sz w:val="22"/>
          <w:szCs w:val="22"/>
        </w:rPr>
        <w:fldChar w:fldCharType="separate"/>
      </w:r>
      <w:r w:rsidR="002749EC" w:rsidRPr="004E053C">
        <w:rPr>
          <w:rFonts w:cstheme="minorHAnsi"/>
          <w:noProof/>
          <w:sz w:val="22"/>
          <w:szCs w:val="22"/>
        </w:rPr>
        <w:t>(Loayza &amp; Rigolini, 2016; Walter &amp; Urkidi, 2017)</w:t>
      </w:r>
      <w:r w:rsidR="002749EC" w:rsidRPr="004E053C">
        <w:rPr>
          <w:rFonts w:cstheme="minorHAnsi"/>
          <w:sz w:val="22"/>
          <w:szCs w:val="22"/>
        </w:rPr>
        <w:fldChar w:fldCharType="end"/>
      </w:r>
      <w:r w:rsidR="002749EC" w:rsidRPr="004E053C">
        <w:rPr>
          <w:rFonts w:cstheme="minorHAnsi"/>
          <w:sz w:val="22"/>
          <w:szCs w:val="22"/>
        </w:rPr>
        <w:t xml:space="preserve">. </w:t>
      </w:r>
      <w:r w:rsidRPr="004E053C">
        <w:rPr>
          <w:rFonts w:cstheme="minorHAnsi"/>
          <w:color w:val="000000"/>
          <w:sz w:val="22"/>
          <w:szCs w:val="22"/>
        </w:rPr>
        <w:t xml:space="preserve">Although much of this conflict has been between the population and the state, there have also been disagreements between subnational political units about the distribution of the mining canon </w:t>
      </w:r>
      <w:r w:rsidR="002749EC" w:rsidRPr="004E053C">
        <w:rPr>
          <w:rFonts w:cstheme="minorHAnsi"/>
          <w:color w:val="000000"/>
          <w:sz w:val="22"/>
          <w:szCs w:val="22"/>
        </w:rPr>
        <w:fldChar w:fldCharType="begin" w:fldLock="1"/>
      </w:r>
      <w:r w:rsidR="002749EC" w:rsidRPr="004E053C">
        <w:rPr>
          <w:rFonts w:cstheme="minorHAnsi"/>
          <w:color w:val="000000"/>
          <w:sz w:val="22"/>
          <w:szCs w:val="22"/>
        </w:rPr>
        <w:instrText>ADDIN CSL_CITATION {"citationItems":[{"id":"ITEM-1","itemData":{"abstract":"In the early part of this decade, at the beginning of the recent international commodity price boom, Peru adopted major components of the new ‘localist’ policy paradigm for the management of natural resources. A large fraction of revenues were transferred to the subnational governments in the mining areas. Additionally, the government encouraged mining companies to assume a more active role locally. The results have been disappointing. Statistical and fieldwork evidence shows that these policies have exacerbated local political conflicts. The new ‘localist’ policy paradigm is unlikely to be effective when, as in contemporary Peru, national political institutions are not supportive.","author":[{"dropping-particle":"","family":"Arellano-Yanguas","given":"Javier","non-dropping-particle":"","parse-names":false,"suffix":""}],"container-title":"Journal of Development Studies","id":"ITEM-1","issue":"4","issued":{"date-parts":[["2011"]]},"page":"617-638","title":"Aggravating the resource curse: Decentralisation, mining and conflict in Peru","type":"article-journal","volume":"47"},"uris":["http://www.mendeley.com/documents/?uuid=58da3e71-abdf-4d9e-9e05-8f12a00c49d6"]}],"mendeley":{"formattedCitation":"(Arellano-Yanguas, 2011)","plainTextFormattedCitation":"(Arellano-Yanguas, 2011)","previouslyFormattedCitation":"(Arellano-Yanguas, 2011)"},"properties":{"noteIndex":0},"schema":"https://github.com/citation-style-language/schema/raw/master/csl-citation.json"}</w:instrText>
      </w:r>
      <w:r w:rsidR="002749EC" w:rsidRPr="004E053C">
        <w:rPr>
          <w:rFonts w:cstheme="minorHAnsi"/>
          <w:color w:val="000000"/>
          <w:sz w:val="22"/>
          <w:szCs w:val="22"/>
        </w:rPr>
        <w:fldChar w:fldCharType="separate"/>
      </w:r>
      <w:r w:rsidR="002749EC" w:rsidRPr="004E053C">
        <w:rPr>
          <w:rFonts w:cstheme="minorHAnsi"/>
          <w:noProof/>
          <w:color w:val="000000"/>
          <w:sz w:val="22"/>
          <w:szCs w:val="22"/>
        </w:rPr>
        <w:t>(Arellano-Yanguas, 2011)</w:t>
      </w:r>
      <w:r w:rsidR="002749EC" w:rsidRPr="004E053C">
        <w:rPr>
          <w:rFonts w:cstheme="minorHAnsi"/>
          <w:color w:val="000000"/>
          <w:sz w:val="22"/>
          <w:szCs w:val="22"/>
        </w:rPr>
        <w:fldChar w:fldCharType="end"/>
      </w:r>
      <w:r w:rsidR="002749EC" w:rsidRPr="004E053C">
        <w:rPr>
          <w:rFonts w:cstheme="minorHAnsi"/>
          <w:color w:val="000000"/>
          <w:sz w:val="22"/>
          <w:szCs w:val="22"/>
        </w:rPr>
        <w:t>.</w:t>
      </w:r>
    </w:p>
    <w:p w14:paraId="22F56A17" w14:textId="77777777" w:rsidR="00375961" w:rsidRPr="004E053C" w:rsidRDefault="00375961" w:rsidP="004E053C">
      <w:pPr>
        <w:widowControl w:val="0"/>
        <w:autoSpaceDE w:val="0"/>
        <w:autoSpaceDN w:val="0"/>
        <w:adjustRightInd w:val="0"/>
        <w:spacing w:line="360" w:lineRule="auto"/>
        <w:jc w:val="both"/>
        <w:rPr>
          <w:rFonts w:cstheme="minorHAnsi"/>
          <w:sz w:val="22"/>
          <w:szCs w:val="22"/>
        </w:rPr>
      </w:pPr>
    </w:p>
    <w:p w14:paraId="3BF3A7AF" w14:textId="510219DF" w:rsidR="00375961" w:rsidRPr="004E053C" w:rsidRDefault="00502226" w:rsidP="004E053C">
      <w:pPr>
        <w:pStyle w:val="Heading3"/>
        <w:rPr>
          <w:rFonts w:asciiTheme="minorHAnsi" w:hAnsiTheme="minorHAnsi"/>
        </w:rPr>
      </w:pPr>
      <w:r w:rsidRPr="004E053C">
        <w:rPr>
          <w:rFonts w:asciiTheme="minorHAnsi" w:hAnsiTheme="minorHAnsi"/>
        </w:rPr>
        <w:t>3.</w:t>
      </w:r>
      <w:r w:rsidR="00375961" w:rsidRPr="004E053C">
        <w:rPr>
          <w:rFonts w:asciiTheme="minorHAnsi" w:hAnsiTheme="minorHAnsi"/>
        </w:rPr>
        <w:t>5.3. Artisanal and Small-scale Mining in Peru</w:t>
      </w:r>
    </w:p>
    <w:p w14:paraId="0D74A850" w14:textId="77777777" w:rsidR="00375961" w:rsidRPr="004E053C" w:rsidRDefault="00375961" w:rsidP="004E053C">
      <w:pPr>
        <w:spacing w:line="360" w:lineRule="auto"/>
        <w:jc w:val="both"/>
        <w:rPr>
          <w:rFonts w:cstheme="minorHAnsi"/>
        </w:rPr>
      </w:pPr>
    </w:p>
    <w:p w14:paraId="4F69C055" w14:textId="317581E7" w:rsidR="00375961" w:rsidRPr="004E053C" w:rsidRDefault="00375961" w:rsidP="004E053C">
      <w:pPr>
        <w:spacing w:line="360" w:lineRule="auto"/>
        <w:jc w:val="both"/>
        <w:rPr>
          <w:rFonts w:cstheme="minorHAnsi"/>
          <w:bCs/>
          <w:sz w:val="22"/>
          <w:szCs w:val="22"/>
        </w:rPr>
      </w:pPr>
      <w:r w:rsidRPr="004E053C">
        <w:rPr>
          <w:rFonts w:cstheme="minorHAnsi"/>
          <w:sz w:val="22"/>
          <w:szCs w:val="22"/>
        </w:rPr>
        <w:t xml:space="preserve">Despite the favourable policy environment for large-scale mining, artisanal and small-scale gold mining in Peru has continued to grow, and at a faster rate than large-scale gold extraction </w:t>
      </w:r>
      <w:r w:rsidR="002749EC"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2016)","manualFormatting":"(Damonte, 2016)","plainTextFormattedCitation":"(Damonte, 2016)","previouslyFormattedCitation":"(Damonte, 2016)"},"properties":{"noteIndex":0},"schema":"https://github.com/citation-style-language/schema/raw/master/csl-citation.json"}</w:instrText>
      </w:r>
      <w:r w:rsidR="002749EC" w:rsidRPr="004E053C">
        <w:rPr>
          <w:rFonts w:cstheme="minorHAnsi"/>
          <w:sz w:val="22"/>
          <w:szCs w:val="22"/>
        </w:rPr>
        <w:fldChar w:fldCharType="separate"/>
      </w:r>
      <w:r w:rsidR="002749EC" w:rsidRPr="004E053C">
        <w:rPr>
          <w:rFonts w:cstheme="minorHAnsi"/>
          <w:noProof/>
          <w:sz w:val="22"/>
          <w:szCs w:val="22"/>
        </w:rPr>
        <w:t>(Damonte, 2016)</w:t>
      </w:r>
      <w:r w:rsidR="002749EC" w:rsidRPr="004E053C">
        <w:rPr>
          <w:rFonts w:cstheme="minorHAnsi"/>
          <w:sz w:val="22"/>
          <w:szCs w:val="22"/>
        </w:rPr>
        <w:fldChar w:fldCharType="end"/>
      </w:r>
      <w:r w:rsidR="002749EC" w:rsidRPr="004E053C">
        <w:rPr>
          <w:rFonts w:cstheme="minorHAnsi"/>
          <w:sz w:val="22"/>
          <w:szCs w:val="22"/>
        </w:rPr>
        <w:t>.</w:t>
      </w:r>
      <w:r w:rsidRPr="004E053C">
        <w:rPr>
          <w:rFonts w:cstheme="minorHAnsi"/>
          <w:sz w:val="22"/>
          <w:szCs w:val="22"/>
        </w:rPr>
        <w:t xml:space="preserve"> Some estimates put the proportion of Peru’s gold that comes from ASM as high as 28% </w:t>
      </w:r>
      <w:r w:rsidR="002749EC" w:rsidRPr="004E053C">
        <w:rPr>
          <w:rFonts w:cstheme="minorHAnsi"/>
          <w:sz w:val="22"/>
          <w:szCs w:val="22"/>
        </w:rPr>
        <w:fldChar w:fldCharType="begin" w:fldLock="1"/>
      </w:r>
      <w:r w:rsidR="002749EC" w:rsidRPr="004E053C">
        <w:rPr>
          <w:rFonts w:cstheme="minorHAnsi"/>
          <w:sz w:val="22"/>
          <w:szCs w:val="22"/>
        </w:rPr>
        <w:instrText>ADDIN CSL_CITATION {"citationItems":[{"id":"ITEM-1","itemData":{"author":[{"dropping-particle":"","family":"GIATOC","given":"","non-dropping-particle":"","parse-names":false,"suffix":""}],"id":"ITEM-1","issued":{"date-parts":[["2016"]]},"publisher-place":"Geneva","title":"Organized Crime and Illegally Mined Gold in Latin America","type":"report"},"uris":["http://www.mendeley.com/documents/?uuid=c4a6df59-74c7-4487-89f7-41028f284ee6"]}],"mendeley":{"formattedCitation":"(GIATOC, 2016)","plainTextFormattedCitation":"(GIATOC, 2016)","previouslyFormattedCitation":"(GIATOC, 2016)"},"properties":{"noteIndex":0},"schema":"https://github.com/citation-style-language/schema/raw/master/csl-citation.json"}</w:instrText>
      </w:r>
      <w:r w:rsidR="002749EC" w:rsidRPr="004E053C">
        <w:rPr>
          <w:rFonts w:cstheme="minorHAnsi"/>
          <w:sz w:val="22"/>
          <w:szCs w:val="22"/>
        </w:rPr>
        <w:fldChar w:fldCharType="separate"/>
      </w:r>
      <w:r w:rsidR="002749EC" w:rsidRPr="004E053C">
        <w:rPr>
          <w:rFonts w:cstheme="minorHAnsi"/>
          <w:noProof/>
          <w:sz w:val="22"/>
          <w:szCs w:val="22"/>
        </w:rPr>
        <w:t>(GIATOC, 2016)</w:t>
      </w:r>
      <w:r w:rsidR="002749EC" w:rsidRPr="004E053C">
        <w:rPr>
          <w:rFonts w:cstheme="minorHAnsi"/>
          <w:sz w:val="22"/>
          <w:szCs w:val="22"/>
        </w:rPr>
        <w:fldChar w:fldCharType="end"/>
      </w:r>
      <w:r w:rsidRPr="004E053C">
        <w:rPr>
          <w:rFonts w:cstheme="minorHAnsi"/>
          <w:sz w:val="22"/>
          <w:szCs w:val="22"/>
        </w:rPr>
        <w:t xml:space="preserve">, with between 100,000-500,000 people thought to work in the sector </w:t>
      </w:r>
      <w:r w:rsidR="002749EC" w:rsidRPr="004E053C">
        <w:rPr>
          <w:rFonts w:cstheme="minorHAnsi"/>
          <w:sz w:val="22"/>
          <w:szCs w:val="22"/>
        </w:rPr>
        <w:fldChar w:fldCharType="begin" w:fldLock="1"/>
      </w:r>
      <w:r w:rsidR="002749EC" w:rsidRPr="004E053C">
        <w:rPr>
          <w:rFonts w:cstheme="minorHAnsi"/>
          <w:sz w:val="22"/>
          <w:szCs w:val="22"/>
        </w:rPr>
        <w:instrText>ADDIN CSL_CITATION {"citationItems":[{"id":"ITEM-1","itemData":{"author":[{"dropping-particle":"","family":"Echave","given":"Jose","non-dropping-particle":"De","parse-names":false,"suffix":""}],"container-title":"Nueva Sociedad","id":"ITEM-1","issued":{"date-parts":[["2016"]]},"page":"131-144","title":"La minería ilegal en Perú: entre la informalidad y el delito","type":"article-journal","volume":"263"},"uris":["http://www.mendeley.com/documents/?uuid=b1dd474d-258c-4888-af46-3b1bfbccd38c"]}],"mendeley":{"formattedCitation":"(De Echave, 2016)","plainTextFormattedCitation":"(De Echave, 2016)","previouslyFormattedCitation":"(De Echave, 2016)"},"properties":{"noteIndex":0},"schema":"https://github.com/citation-style-language/schema/raw/master/csl-citation.json"}</w:instrText>
      </w:r>
      <w:r w:rsidR="002749EC" w:rsidRPr="004E053C">
        <w:rPr>
          <w:rFonts w:cstheme="minorHAnsi"/>
          <w:sz w:val="22"/>
          <w:szCs w:val="22"/>
        </w:rPr>
        <w:fldChar w:fldCharType="separate"/>
      </w:r>
      <w:r w:rsidR="002749EC" w:rsidRPr="004E053C">
        <w:rPr>
          <w:rFonts w:cstheme="minorHAnsi"/>
          <w:noProof/>
          <w:sz w:val="22"/>
          <w:szCs w:val="22"/>
        </w:rPr>
        <w:t>(De Echave, 2016)</w:t>
      </w:r>
      <w:r w:rsidR="002749EC" w:rsidRPr="004E053C">
        <w:rPr>
          <w:rFonts w:cstheme="minorHAnsi"/>
          <w:sz w:val="22"/>
          <w:szCs w:val="22"/>
        </w:rPr>
        <w:fldChar w:fldCharType="end"/>
      </w:r>
      <w:r w:rsidRPr="004E053C">
        <w:rPr>
          <w:rFonts w:cstheme="minorHAnsi"/>
          <w:sz w:val="22"/>
          <w:szCs w:val="22"/>
        </w:rPr>
        <w:t xml:space="preserve">. The majority of these work in the rainforest and other rural areas where the Peruvian state is weak </w:t>
      </w:r>
      <w:r w:rsidR="002749EC" w:rsidRPr="004E053C">
        <w:rPr>
          <w:rFonts w:cstheme="minorHAnsi"/>
          <w:sz w:val="22"/>
          <w:szCs w:val="22"/>
        </w:rPr>
        <w:fldChar w:fldCharType="begin" w:fldLock="1"/>
      </w:r>
      <w:r w:rsidR="002749EC" w:rsidRPr="004E053C">
        <w:rPr>
          <w:rFonts w:cstheme="minorHAnsi"/>
          <w:sz w:val="22"/>
          <w:szCs w:val="22"/>
        </w:rPr>
        <w:instrText>ADDIN CSL_CITATION {"citationItems":[{"id":"ITEM-1","itemData":{"abstract":"The recent unopposed proliferation of artisanal gold mining (AGM) in towns that previously rejected large-scale mining (LSM) in Andean countries poses a thorny question: Why do locals respond differently to mining activities at different scales? To explain the basis for opposition or tolerance to mining activities, the paper develops a comparative study of local communities’ perceptions of LSM and AGM. Through extensive fieldwork in the area and collection of qualitative evidence from surveys, interviews, and ethnographies, the paper revisits the case of Tambogrande (Peru) 15 years after the resistance against LSM operations in the light of the recent proliferation of AGM in the same area. The paper finds that AGM faces less resistance because it is considered more compatible with the existing social order, which hinges on personal ties and strong relationships of trust. By contrast, LSM is far removed from local dynamics and it is perceived as an imposition that would divide and displace the community. Although economic and environmental factors are in fact a cause for concern for local communities, social considerations usually take priority.","author":[{"dropping-particle":"","family":"Toledo Orozco","given":"Zaraí","non-dropping-particle":"","parse-names":false,"suffix":""},{"dropping-particle":"","family":"Veiga","given":"Marcello","non-dropping-particle":"","parse-names":false,"suffix":""}],"container-title":"Extractive Industries and Society","id":"ITEM-1","issue":"2","issued":{"date-parts":[["2018"]]},"page":"327-334","publisher":"Elsevier","title":"Locals’ attitudes toward artisanal and large-scale mining: a case study of Tambogrande, Peru","type":"article-journal","volume":"5"},"uris":["http://www.mendeley.com/documents/?uuid=9a26e764-a9c9-46d5-acbc-84ef6783a7a5"]}],"mendeley":{"formattedCitation":"(Toledo Orozco &amp; Veiga, 2018)","plainTextFormattedCitation":"(Toledo Orozco &amp; Veiga, 2018)","previouslyFormattedCitation":"(Toledo Orozco &amp; Veiga, 2018)"},"properties":{"noteIndex":0},"schema":"https://github.com/citation-style-language/schema/raw/master/csl-citation.json"}</w:instrText>
      </w:r>
      <w:r w:rsidR="002749EC" w:rsidRPr="004E053C">
        <w:rPr>
          <w:rFonts w:cstheme="minorHAnsi"/>
          <w:sz w:val="22"/>
          <w:szCs w:val="22"/>
        </w:rPr>
        <w:fldChar w:fldCharType="separate"/>
      </w:r>
      <w:r w:rsidR="002749EC" w:rsidRPr="004E053C">
        <w:rPr>
          <w:rFonts w:cstheme="minorHAnsi"/>
          <w:noProof/>
          <w:sz w:val="22"/>
          <w:szCs w:val="22"/>
        </w:rPr>
        <w:t>(Toledo Orozco &amp; Veiga, 2018)</w:t>
      </w:r>
      <w:r w:rsidR="002749EC" w:rsidRPr="004E053C">
        <w:rPr>
          <w:rFonts w:cstheme="minorHAnsi"/>
          <w:sz w:val="22"/>
          <w:szCs w:val="22"/>
        </w:rPr>
        <w:fldChar w:fldCharType="end"/>
      </w:r>
      <w:r w:rsidRPr="004E053C">
        <w:rPr>
          <w:rFonts w:cstheme="minorHAnsi"/>
          <w:sz w:val="22"/>
          <w:szCs w:val="22"/>
        </w:rPr>
        <w:t xml:space="preserve">. The most notorious area for ASM is the Amazonian region of Madre de Dios. </w:t>
      </w:r>
      <w:r w:rsidRPr="004E053C">
        <w:rPr>
          <w:rFonts w:eastAsia="Times New Roman" w:cstheme="minorHAnsi"/>
          <w:sz w:val="22"/>
          <w:szCs w:val="22"/>
        </w:rPr>
        <w:t xml:space="preserve">The mining here is varied, because the river channels that brought gold bearing </w:t>
      </w:r>
      <w:r w:rsidRPr="004E053C">
        <w:rPr>
          <w:rFonts w:eastAsia="Times New Roman" w:cstheme="minorHAnsi"/>
          <w:sz w:val="22"/>
          <w:szCs w:val="22"/>
        </w:rPr>
        <w:lastRenderedPageBreak/>
        <w:t xml:space="preserve">deposits from the Andes have drifted over time, creating complex sedimentological settings under the Amazonian rainforest floor </w:t>
      </w:r>
      <w:r w:rsidR="002749EC"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2016)","plainTextFormattedCitation":"(Salo et al., 2016)","previouslyFormattedCitation":"(Salo et al., 2016)"},"properties":{"noteIndex":0},"schema":"https://github.com/citation-style-language/schema/raw/master/csl-citation.json"}</w:instrText>
      </w:r>
      <w:r w:rsidR="002749EC" w:rsidRPr="004E053C">
        <w:rPr>
          <w:rFonts w:eastAsia="Times New Roman" w:cstheme="minorHAnsi"/>
          <w:sz w:val="22"/>
          <w:szCs w:val="22"/>
        </w:rPr>
        <w:fldChar w:fldCharType="separate"/>
      </w:r>
      <w:r w:rsidR="002749EC" w:rsidRPr="004E053C">
        <w:rPr>
          <w:rFonts w:eastAsia="Times New Roman" w:cstheme="minorHAnsi"/>
          <w:noProof/>
          <w:sz w:val="22"/>
          <w:szCs w:val="22"/>
        </w:rPr>
        <w:t>(Salo et al., 2016)</w:t>
      </w:r>
      <w:r w:rsidR="002749EC" w:rsidRPr="004E053C">
        <w:rPr>
          <w:rFonts w:eastAsia="Times New Roman" w:cstheme="minorHAnsi"/>
          <w:sz w:val="22"/>
          <w:szCs w:val="22"/>
        </w:rPr>
        <w:fldChar w:fldCharType="end"/>
      </w:r>
      <w:r w:rsidRPr="004E053C">
        <w:rPr>
          <w:rFonts w:eastAsia="Times New Roman" w:cstheme="minorHAnsi"/>
          <w:sz w:val="22"/>
          <w:szCs w:val="22"/>
        </w:rPr>
        <w:t>. As a result, the</w:t>
      </w:r>
      <w:r w:rsidRPr="004E053C">
        <w:rPr>
          <w:rFonts w:cstheme="minorHAnsi"/>
          <w:sz w:val="22"/>
          <w:szCs w:val="22"/>
        </w:rPr>
        <w:t xml:space="preserve"> environmental impact is huge, with deforestation rates in Madre de Dios higher than anywhere else in the Peruvian Amazon </w:t>
      </w:r>
      <w:r w:rsidR="00E20F22" w:rsidRPr="004E053C">
        <w:rPr>
          <w:rFonts w:cstheme="minorHAnsi"/>
          <w:sz w:val="22"/>
          <w:szCs w:val="22"/>
        </w:rPr>
        <w:fldChar w:fldCharType="begin" w:fldLock="1"/>
      </w:r>
      <w:r w:rsidR="002F0CEA">
        <w:rPr>
          <w:rFonts w:cstheme="minorHAnsi"/>
          <w:sz w:val="22"/>
          <w:szCs w:val="22"/>
        </w:rPr>
        <w:instrText>ADDIN CSL_CITATION {"citationItems":[{"id":"ITEM-1","itemData":{"author":[{"dropping-particle":"","family":"Menton","given":"M","non-dropping-particle":"","parse-names":false,"suffix":""},{"dropping-particle":"","family":"Cronkleton","given":"P","non-dropping-particle":"","parse-names":false,"suffix":""}],"container-title":"Migration and forests in the Peruvian Amazon: A review","id":"ITEM-1","issued":{"date-parts":[["2019"]]},"title":"Migration and forests in the Peruvian Amazon: A review","type":"article-journal"},"uris":["http://www.mendeley.com/documents/?uuid=a0ff1887-0449-48bb-9567-d943de189874"]}],"mendeley":{"formattedCitation":"(Menton &amp; Cronkleton, 2019)","plainTextFormattedCitation":"(Menton &amp; Cronkleton, 2019)","previouslyFormattedCitation":"(Menton &amp; Cronkleton, 2019)"},"properties":{"noteIndex":0},"schema":"https://github.com/citation-style-language/schema/raw/master/csl-citation.json"}</w:instrText>
      </w:r>
      <w:r w:rsidR="00E20F22" w:rsidRPr="004E053C">
        <w:rPr>
          <w:rFonts w:cstheme="minorHAnsi"/>
          <w:sz w:val="22"/>
          <w:szCs w:val="22"/>
        </w:rPr>
        <w:fldChar w:fldCharType="separate"/>
      </w:r>
      <w:r w:rsidR="00E20F22" w:rsidRPr="004E053C">
        <w:rPr>
          <w:rFonts w:cstheme="minorHAnsi"/>
          <w:noProof/>
          <w:sz w:val="22"/>
          <w:szCs w:val="22"/>
        </w:rPr>
        <w:t>(Menton &amp; Cronkleton, 2019)</w:t>
      </w:r>
      <w:r w:rsidR="00E20F22" w:rsidRPr="004E053C">
        <w:rPr>
          <w:rFonts w:cstheme="minorHAnsi"/>
          <w:sz w:val="22"/>
          <w:szCs w:val="22"/>
        </w:rPr>
        <w:fldChar w:fldCharType="end"/>
      </w:r>
      <w:r w:rsidR="00E20F22" w:rsidRPr="004E053C">
        <w:rPr>
          <w:rFonts w:cstheme="minorHAnsi"/>
          <w:sz w:val="22"/>
          <w:szCs w:val="22"/>
        </w:rPr>
        <w:t>.</w:t>
      </w:r>
      <w:r w:rsidRPr="004E053C">
        <w:rPr>
          <w:rFonts w:cstheme="minorHAnsi"/>
          <w:sz w:val="22"/>
          <w:szCs w:val="22"/>
        </w:rPr>
        <w:t xml:space="preserve"> </w:t>
      </w:r>
    </w:p>
    <w:p w14:paraId="27044A5B" w14:textId="77777777" w:rsidR="00375961" w:rsidRPr="004E053C" w:rsidRDefault="00375961" w:rsidP="004E053C">
      <w:pPr>
        <w:spacing w:line="360" w:lineRule="auto"/>
        <w:jc w:val="both"/>
        <w:rPr>
          <w:rFonts w:cstheme="minorHAnsi"/>
          <w:sz w:val="22"/>
          <w:szCs w:val="22"/>
        </w:rPr>
      </w:pPr>
    </w:p>
    <w:p w14:paraId="767AFBBC" w14:textId="7FF5E491" w:rsidR="00375961" w:rsidRPr="004E053C" w:rsidRDefault="00375961" w:rsidP="004E053C">
      <w:pPr>
        <w:spacing w:line="360" w:lineRule="auto"/>
        <w:jc w:val="both"/>
        <w:rPr>
          <w:rFonts w:cstheme="minorHAnsi"/>
        </w:rPr>
      </w:pPr>
      <w:r w:rsidRPr="004E053C">
        <w:rPr>
          <w:rFonts w:cstheme="minorHAnsi"/>
          <w:sz w:val="22"/>
          <w:szCs w:val="22"/>
        </w:rPr>
        <w:t xml:space="preserve">Madre de Dios has no medium or large-scale mining project due to the nature of ore deposits and the environmental conditions. Although the Government has sold concessions and land titles along the </w:t>
      </w:r>
      <w:r w:rsidRPr="004E053C">
        <w:rPr>
          <w:rFonts w:cstheme="minorHAnsi"/>
          <w:i/>
          <w:iCs/>
          <w:sz w:val="22"/>
          <w:szCs w:val="22"/>
        </w:rPr>
        <w:t>Corridor Minero</w:t>
      </w:r>
      <w:r w:rsidR="00697A46" w:rsidRPr="004E053C">
        <w:rPr>
          <w:rFonts w:cstheme="minorHAnsi"/>
          <w:sz w:val="22"/>
          <w:szCs w:val="22"/>
        </w:rPr>
        <w:t xml:space="preserve"> (Mining Corridor)</w:t>
      </w:r>
      <w:r w:rsidRPr="004E053C">
        <w:rPr>
          <w:rFonts w:cstheme="minorHAnsi"/>
          <w:sz w:val="22"/>
          <w:szCs w:val="22"/>
        </w:rPr>
        <w:t xml:space="preserve">, much of the ASM activity occurs in the recently emerged mining site of La Pampa, which lies within the Tambopata National Park Buffer Zone where all mining activity is prohibited </w:t>
      </w:r>
      <w:r w:rsidRPr="004E053C">
        <w:rPr>
          <w:rFonts w:cstheme="minorHAnsi"/>
          <w:sz w:val="22"/>
          <w:szCs w:val="22"/>
        </w:rPr>
        <w:fldChar w:fldCharType="begin" w:fldLock="1"/>
      </w:r>
      <w:r w:rsidR="00680892" w:rsidRPr="004E053C">
        <w:rPr>
          <w:rFonts w:cstheme="minorHAnsi"/>
          <w:sz w:val="22"/>
          <w:szCs w:val="22"/>
        </w:rPr>
        <w:instrText>ADDIN CSL_CITATION {"citationItems":[{"id":"ITEM-1","itemData":{"abstract":"Many researchers have tested whether protected areas save tropical forest, but generally focus on parks and reserves, management units that have internationally recognized standing and clear objectives. Buffer zones have received considerably less attention because of their ambiguous rules and often informal status. Although buffer zones are frequently dismissed as ineffective, they warrant attention given the need for landscape-level approaches to conservation and their prevalence around the world—in Peru, buffer zones cover &gt;10 % of the country. This study examines the effectiveness of buffer zones in the Peruvian Amazon to (a) prevent deforestation and (b) limit the extent of mining concessions. We employ covariate matching to determine the impact of 13 buffer zones on deforestation and mining concessions from 2007 to 2012. Despite variation between sites, these 13 buffer zones have prevented ~320 km2 of forest loss within their borders during the study period and ~1739 km2 of mining concessions, an outcome associated with the special approval process for granting formal concessions in these areas. However, a closer look at the buffer zone around the Tambopata National Reserve reveals the difficulties of controlling illegal and informal activities. According to interviews with NGO employees, government officials, and community leaders, enforcement of conservation is limited by uncertain institutional responsibilities, inadequate budgets, and corruption, although formal and community-based efforts to block illicit mining are on the rise. Landscape-level conservation not only requires clear legal protocol for addressing large-scale, formal extractive activities, but there must also be strategies and coordination to combat illegal activities.","author":[{"dropping-particle":"","family":"Weisse","given":"Mikaela","non-dropping-particle":"","parse-names":false,"suffix":""},{"dropping-particle":"","family":"Naughton-Treves","given":"Lisa","non-dropping-particle":"","parse-names":false,"suffix":""}],"container-title":"Environmental Management","id":"ITEM-1","issue":"2","issued":{"date-parts":[["2016"]]},"page":"297-311","title":"Conservation beyond park boundaries: the impact of buffer zones on deforestation and mining concessions in the Peruvian Amazon","type":"article-journal","volume":"58"},"uris":["http://www.mendeley.com/documents/?uuid=2f45a851-ca38-4ba3-95a8-6e1e8477e053"]}],"mendeley":{"formattedCitation":"(Weisse &amp; Naughton-Treves, 2016)","plainTextFormattedCitation":"(Weisse &amp; Naughton-Treves, 2016)","previouslyFormattedCitation":"(Weisse &amp; Naughton-Treves, 2016)"},"properties":{"noteIndex":0},"schema":"https://github.com/citation-style-language/schema/raw/master/csl-citation.json"}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(Weisse &amp; Naughton-Treves, 2016)</w:t>
      </w:r>
      <w:r w:rsidRPr="004E053C">
        <w:rPr>
          <w:rFonts w:cstheme="minorHAnsi"/>
          <w:sz w:val="22"/>
          <w:szCs w:val="22"/>
        </w:rPr>
        <w:fldChar w:fldCharType="end"/>
      </w:r>
      <w:r w:rsidRPr="004E053C">
        <w:rPr>
          <w:rFonts w:eastAsia="Times New Roman" w:cstheme="minorHAnsi"/>
          <w:spacing w:val="2"/>
          <w:sz w:val="22"/>
          <w:szCs w:val="22"/>
          <w:shd w:val="clear" w:color="auto" w:fill="FCFCFC"/>
        </w:rPr>
        <w:t>.</w:t>
      </w:r>
      <w:r w:rsidRPr="004E053C">
        <w:rPr>
          <w:rFonts w:cstheme="minorHAnsi"/>
          <w:sz w:val="22"/>
          <w:szCs w:val="22"/>
        </w:rPr>
        <w:t xml:space="preserve"> The majority of miners in both areas lack concessions, title deeds or registration, even though the miners within the </w:t>
      </w:r>
      <w:r w:rsidRPr="004E053C">
        <w:rPr>
          <w:rFonts w:cstheme="minorHAnsi"/>
          <w:i/>
          <w:iCs/>
          <w:sz w:val="22"/>
          <w:szCs w:val="22"/>
        </w:rPr>
        <w:t>Corridor Minero</w:t>
      </w:r>
      <w:r w:rsidRPr="004E053C">
        <w:rPr>
          <w:rFonts w:cstheme="minorHAnsi"/>
          <w:sz w:val="22"/>
          <w:szCs w:val="22"/>
        </w:rPr>
        <w:t xml:space="preserve"> work on land previously designated for mining. By no means all of the migrants in Madre de Dios engage in ASM, but the Government actively promoted ASM activity for some years, reflected in their decision to establish the </w:t>
      </w:r>
      <w:r w:rsidRPr="004E053C">
        <w:rPr>
          <w:rFonts w:cstheme="minorHAnsi"/>
          <w:i/>
          <w:iCs/>
          <w:sz w:val="22"/>
          <w:szCs w:val="22"/>
        </w:rPr>
        <w:t>Banco Minero</w:t>
      </w:r>
      <w:r w:rsidRPr="004E053C">
        <w:rPr>
          <w:rFonts w:cstheme="minorHAnsi"/>
          <w:sz w:val="22"/>
          <w:szCs w:val="22"/>
        </w:rPr>
        <w:t xml:space="preserve">. Although the bank was later closed and the policy towards ASM changed, the increase in the price of gold continued to attract miners. </w:t>
      </w:r>
      <w:r w:rsidRPr="004E053C">
        <w:rPr>
          <w:rFonts w:eastAsia="Times New Roman" w:cstheme="minorHAnsi"/>
          <w:sz w:val="22"/>
          <w:szCs w:val="22"/>
        </w:rPr>
        <w:t xml:space="preserve">In part this can still be attributed to the Peruvian state, due to the country’s reliance on labour informality and the fact that there continues to be a neoliberal promotion of large-scale mining activities yet no means of addressing ASM </w:t>
      </w:r>
      <w:r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2016)","plainTextFormattedCitation":"(Salo et al., 2016)","previouslyFormattedCitation":"(Salo et al., 2016)"},"properties":{"noteIndex":0},"schema":"https://github.com/citation-style-language/schema/raw/master/csl-citation.json"}</w:instrText>
      </w:r>
      <w:r w:rsidRPr="004E053C">
        <w:rPr>
          <w:rFonts w:eastAsia="Times New Roman" w:cstheme="minorHAnsi"/>
          <w:sz w:val="22"/>
          <w:szCs w:val="22"/>
        </w:rPr>
        <w:fldChar w:fldCharType="separate"/>
      </w:r>
      <w:r w:rsidRPr="004E053C">
        <w:rPr>
          <w:rFonts w:eastAsia="Times New Roman" w:cstheme="minorHAnsi"/>
          <w:noProof/>
          <w:sz w:val="22"/>
          <w:szCs w:val="22"/>
        </w:rPr>
        <w:t>(Salo et al., 2016)</w:t>
      </w:r>
      <w:r w:rsidRPr="004E053C">
        <w:rPr>
          <w:rFonts w:eastAsia="Times New Roman" w:cstheme="minorHAnsi"/>
          <w:sz w:val="22"/>
          <w:szCs w:val="22"/>
        </w:rPr>
        <w:fldChar w:fldCharType="end"/>
      </w:r>
      <w:r w:rsidRPr="004E053C">
        <w:rPr>
          <w:rFonts w:eastAsia="Times New Roman" w:cstheme="minorHAnsi"/>
          <w:sz w:val="22"/>
          <w:szCs w:val="22"/>
        </w:rPr>
        <w:t xml:space="preserve">. By 2011, it was estimated that while the official population of Madre de Dios had risen to around 130,000, there were at least an additional 30,000 informal miners </w:t>
      </w:r>
      <w:r w:rsidRPr="004E053C">
        <w:rPr>
          <w:rFonts w:eastAsia="Times New Roman" w:cstheme="minorHAnsi"/>
          <w:sz w:val="22"/>
          <w:szCs w:val="22"/>
        </w:rPr>
        <w:fldChar w:fldCharType="begin" w:fldLock="1"/>
      </w:r>
      <w:r w:rsidRPr="004E053C">
        <w:rPr>
          <w:rFonts w:eastAsia="Times New Roman" w:cstheme="minorHAnsi"/>
          <w:sz w:val="22"/>
          <w:szCs w:val="22"/>
        </w:rPr>
        <w:instrText>ADDIN CSL_CITATION {"citationItems":[{"id":"ITEM-1","itemData":{"author":[{"dropping-particle":"","family":"Brack, A., Ipenza, C. and Alvarez","given":"J.","non-dropping-particle":"","parse-names":false,"suffix":""}],"id":"ITEM-1","issued":{"date-parts":[["2011"]]},"number-of-pages":"103","publisher-place":"Lima, Peru","title":"Informe Sobre Mineria Aurifera en Madre de Dios y Contaminacion Con Mercurio – una Bomba de Tiempo","type":"report"},"uris":["http://www.mendeley.com/documents/?uuid=f329778f-4edb-48eb-9d61-4380938d28aa"]}],"mendeley":{"formattedCitation":"(Brack, A., Ipenza, C. and Alvarez, 2011)","manualFormatting":"(Brack et al, 2011)","plainTextFormattedCitation":"(Brack, A., Ipenza, C. and Alvarez, 2011)","previouslyFormattedCitation":"(Brack, A., Ipenza, C. and Alvarez, 2011)"},"properties":{"noteIndex":0},"schema":"https://github.com/citation-style-language/schema/raw/master/csl-citation.json"}</w:instrText>
      </w:r>
      <w:r w:rsidRPr="004E053C">
        <w:rPr>
          <w:rFonts w:eastAsia="Times New Roman" w:cstheme="minorHAnsi"/>
          <w:sz w:val="22"/>
          <w:szCs w:val="22"/>
        </w:rPr>
        <w:fldChar w:fldCharType="separate"/>
      </w:r>
      <w:r w:rsidRPr="004E053C">
        <w:rPr>
          <w:rFonts w:eastAsia="Times New Roman" w:cstheme="minorHAnsi"/>
          <w:noProof/>
          <w:sz w:val="22"/>
          <w:szCs w:val="22"/>
        </w:rPr>
        <w:t>(Brack et al, 2011)</w:t>
      </w:r>
      <w:r w:rsidRPr="004E053C">
        <w:rPr>
          <w:rFonts w:eastAsia="Times New Roman" w:cstheme="minorHAnsi"/>
          <w:sz w:val="22"/>
          <w:szCs w:val="22"/>
        </w:rPr>
        <w:fldChar w:fldCharType="end"/>
      </w:r>
      <w:r w:rsidRPr="004E053C">
        <w:rPr>
          <w:rFonts w:eastAsia="Times New Roman" w:cstheme="minorHAnsi"/>
          <w:sz w:val="22"/>
          <w:szCs w:val="22"/>
        </w:rPr>
        <w:t xml:space="preserve">.  </w:t>
      </w:r>
    </w:p>
    <w:p w14:paraId="67185308" w14:textId="77777777" w:rsidR="00375961" w:rsidRPr="004E053C" w:rsidRDefault="00375961" w:rsidP="004E053C">
      <w:pPr>
        <w:spacing w:line="360" w:lineRule="auto"/>
        <w:jc w:val="both"/>
        <w:rPr>
          <w:rFonts w:eastAsia="Times New Roman" w:cstheme="minorHAnsi"/>
          <w:sz w:val="22"/>
          <w:szCs w:val="22"/>
        </w:rPr>
      </w:pPr>
    </w:p>
    <w:p w14:paraId="2B363DF0" w14:textId="0CAD9115" w:rsidR="00375961" w:rsidRPr="004E053C" w:rsidRDefault="00375961" w:rsidP="004E053C">
      <w:pPr>
        <w:widowControl w:val="0"/>
        <w:autoSpaceDE w:val="0"/>
        <w:autoSpaceDN w:val="0"/>
        <w:adjustRightInd w:val="0"/>
        <w:spacing w:line="360" w:lineRule="auto"/>
        <w:jc w:val="both"/>
        <w:rPr>
          <w:rFonts w:cstheme="minorHAnsi"/>
          <w:color w:val="505050"/>
          <w:sz w:val="22"/>
          <w:szCs w:val="22"/>
        </w:rPr>
      </w:pPr>
      <w:r w:rsidRPr="004E053C">
        <w:rPr>
          <w:rFonts w:cstheme="minorHAnsi"/>
          <w:sz w:val="22"/>
          <w:szCs w:val="22"/>
        </w:rPr>
        <w:t xml:space="preserve">The weakness of the state in peripheral or rural areas has undoubtedly been an influencing factor in the rise of ASM activity in Madre de Dios </w:t>
      </w:r>
      <w:r w:rsidRPr="004E053C">
        <w:rPr>
          <w:rFonts w:cstheme="minorHAnsi"/>
          <w:sz w:val="22"/>
          <w:szCs w:val="22"/>
        </w:rPr>
        <w:fldChar w:fldCharType="begin" w:fldLock="1"/>
      </w:r>
      <w:r w:rsidR="00680892" w:rsidRPr="004E053C">
        <w:rPr>
          <w:rFonts w:cstheme="minorHAnsi"/>
          <w:sz w:val="22"/>
          <w:szCs w:val="22"/>
        </w:rPr>
        <w:instrText>ADDIN CSL_CITATION {"citationItems":[{"id":"ITEM-1","itemData":{"abstract":"The recent unopposed proliferation of artisanal gold mining (AGM) in towns that previously rejected large-scale mining (LSM) in Andean countries poses a thorny question: Why do locals respond differently to mining activities at different scales? To explain the basis for opposition or tolerance to mining activities, the paper develops a comparative study of local communities’ perceptions of LSM and AGM. Through extensive fieldwork in the area and collection of qualitative evidence from surveys, interviews, and ethnographies, the paper revisits the case of Tambogrande (Peru) 15 years after the resistance against LSM operations in the light of the recent proliferation of AGM in the same area. The paper finds that AGM faces less resistance because it is considered more compatible with the existing social order, which hinges on personal ties and strong relationships of trust. By contrast, LSM is far removed from local dynamics and it is perceived as an imposition that would divide and displace the community. Although economic and environmental factors are in fact a cause for concern for local communities, social considerations usually take priority.","author":[{"dropping-particle":"","family":"Toledo Orozco","given":"Zaraí","non-dropping-particle":"","parse-names":false,"suffix":""},{"dropping-particle":"","family":"Veiga","given":"Marcello","non-dropping-particle":"","parse-names":false,"suffix":""}],"container-title":"Extractive Industries and Society","id":"ITEM-1","issue":"2","issued":{"date-parts":[["2018"]]},"page":"327-334","publisher":"Elsevier","title":"Locals’ attitudes toward artisanal and large-scale mining: a case study of Tambogrande, Peru","type":"article-journal","volume":"5"},"uris":["http://www.mendeley.com/documents/?uuid=9a26e764-a9c9-46d5-acbc-84ef6783a7a5"]}],"mendeley":{"formattedCitation":"(Toledo Orozco &amp; Veiga, 2018)","plainTextFormattedCitation":"(Toledo Orozco &amp; Veiga, 2018)","previouslyFormattedCitation":"(Toledo Orozco &amp; Veiga, 2018)"},"properties":{"noteIndex":0},"schema":"https://github.com/citation-style-language/schema/raw/master/csl-citation.json"}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(Toledo Orozco &amp; Veiga, 2018)</w:t>
      </w:r>
      <w:r w:rsidRPr="004E053C">
        <w:rPr>
          <w:rFonts w:cstheme="minorHAnsi"/>
          <w:sz w:val="22"/>
          <w:szCs w:val="22"/>
        </w:rPr>
        <w:fldChar w:fldCharType="end"/>
      </w:r>
      <w:r w:rsidRPr="004E053C">
        <w:rPr>
          <w:rFonts w:cstheme="minorHAnsi"/>
          <w:sz w:val="22"/>
          <w:szCs w:val="22"/>
        </w:rPr>
        <w:t xml:space="preserve">. Despite claiming that formalisation is a top priority </w:t>
      </w:r>
      <w:r w:rsidRPr="004E053C">
        <w:rPr>
          <w:rFonts w:cstheme="minorHAnsi"/>
          <w:sz w:val="22"/>
          <w:szCs w:val="22"/>
        </w:rPr>
        <w:fldChar w:fldCharType="begin" w:fldLock="1"/>
      </w:r>
      <w:r w:rsidR="00697A46" w:rsidRPr="004E053C">
        <w:rPr>
          <w:rFonts w:cstheme="minorHAnsi"/>
          <w:sz w:val="22"/>
          <w:szCs w:val="22"/>
        </w:rPr>
        <w:instrText>ADDIN CSL_CITATION {"citationItems":[{"id":"ITEM-1","itemData":{"abstract":"The recent unopposed proliferation of artisanal gold mining (AGM) in towns that previously rejected large-scale mining (LSM) in Andean countries poses a thorny question: Why do locals respond differently to mining activities at different scales? To explain the basis for opposition or tolerance to mining activities, the paper develops a comparative study of local communities’ perceptions of LSM and AGM. Through extensive fieldwork in the area and collection of qualitative evidence from surveys, interviews, and ethnographies, the paper revisits the case of Tambogrande (Peru) 15 years after the resistance against LSM operations in the light of the recent proliferation of AGM in the same area. The paper finds that AGM faces less resistance because it is considered more compatible with the existing social order, which hinges on personal ties and strong relationships of trust. By contrast, LSM is far removed from local dynamics and it is perceived as an imposition that would divide and displace the community. Although economic and environmental factors are in fact a cause for concern for local communities, social considerations usually take priority.","author":[{"dropping-particle":"","family":"Toledo Orozco","given":"Zaraí","non-dropping-particle":"","parse-names":false,"suffix":""},{"dropping-particle":"","family":"Veiga","given":"Marcello","non-dropping-particle":"","parse-names":false,"suffix":""}],"container-title":"Extractive Industries and Society","id":"ITEM-1","issue":"2","issued":{"date-parts":[["2018"]]},"page":"327-334","publisher":"Elsevier","title":"Locals’ attitudes toward artisanal and large-scale mining: a case study of Tambogrande, Peru","type":"article-journal","volume":"5"},"uris":["http://www.mendeley.com/documents/?uuid=9a26e764-a9c9-46d5-acbc-84ef6783a7a5"]}],"mendeley":{"formattedCitation":"(Toledo Orozco &amp; Veiga, 2018)","manualFormatting":"(Ibid.)","plainTextFormattedCitation":"(Toledo Orozco &amp; Veiga, 2018)","previouslyFormattedCitation":"(Toledo Orozco &amp; Veiga, 2018)"},"properties":{"noteIndex":0},"schema":"https://github.com/citation-style-language/schema/raw/master/csl-citation.json"}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w:t>
      </w:r>
      <w:r w:rsidR="00697A46" w:rsidRPr="004E053C">
        <w:rPr>
          <w:rFonts w:cstheme="minorHAnsi"/>
          <w:noProof/>
          <w:sz w:val="22"/>
          <w:szCs w:val="22"/>
        </w:rPr>
        <w:t>Ibid.</w:t>
      </w:r>
      <w:r w:rsidRPr="004E053C">
        <w:rPr>
          <w:rFonts w:cstheme="minorHAnsi"/>
          <w:noProof/>
          <w:sz w:val="22"/>
          <w:szCs w:val="22"/>
        </w:rPr>
        <w:t>)</w:t>
      </w:r>
      <w:r w:rsidRPr="004E053C">
        <w:rPr>
          <w:rFonts w:cstheme="minorHAnsi"/>
          <w:sz w:val="22"/>
          <w:szCs w:val="22"/>
        </w:rPr>
        <w:fldChar w:fldCharType="end"/>
      </w:r>
      <w:r w:rsidRPr="004E053C">
        <w:rPr>
          <w:rFonts w:cstheme="minorHAnsi"/>
          <w:sz w:val="22"/>
          <w:szCs w:val="22"/>
        </w:rPr>
        <w:t xml:space="preserve">, the Peruvian state continues to struggle with ASM policy </w:t>
      </w:r>
      <w:r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2016)","manualFormatting":"(Damonte, 2016)","plainTextFormattedCitation":"(Damonte, 2016)","previouslyFormattedCitation":"(Damonte, 2016)"},"properties":{"noteIndex":0},"schema":"https://github.com/citation-style-language/schema/raw/master/csl-citation.json"}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(Damonte, 2016)</w:t>
      </w:r>
      <w:r w:rsidRPr="004E053C">
        <w:rPr>
          <w:rFonts w:cstheme="minorHAnsi"/>
          <w:sz w:val="22"/>
          <w:szCs w:val="22"/>
        </w:rPr>
        <w:fldChar w:fldCharType="end"/>
      </w:r>
      <w:r w:rsidRPr="004E053C">
        <w:rPr>
          <w:rFonts w:cstheme="minorHAnsi"/>
          <w:sz w:val="22"/>
          <w:szCs w:val="22"/>
        </w:rPr>
        <w:t xml:space="preserve">. In 2002, the General Mining Act was expanded to provide details on the process of formalisation </w:t>
      </w:r>
      <w:r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2016)","manualFormatting":"(Ibid.)","plainTextFormattedCitation":"(Damonte, 2016)","previouslyFormattedCitation":"(Damonte, 2016)"},"properties":{"noteIndex":0},"schema":"https://github.com/citation-style-language/schema/raw/master/csl-citation.json"}</w:instrText>
      </w:r>
      <w:r w:rsidRPr="004E053C">
        <w:rPr>
          <w:rFonts w:cstheme="minorHAnsi"/>
          <w:sz w:val="22"/>
          <w:szCs w:val="22"/>
        </w:rPr>
        <w:fldChar w:fldCharType="separate"/>
      </w:r>
      <w:r w:rsidR="00697A46" w:rsidRPr="004E053C">
        <w:rPr>
          <w:rFonts w:cstheme="minorHAnsi"/>
          <w:noProof/>
          <w:sz w:val="22"/>
          <w:szCs w:val="22"/>
        </w:rPr>
        <w:t>(Ibid.</w:t>
      </w:r>
      <w:r w:rsidRPr="004E053C">
        <w:rPr>
          <w:rFonts w:cstheme="minorHAnsi"/>
          <w:noProof/>
          <w:sz w:val="22"/>
          <w:szCs w:val="22"/>
        </w:rPr>
        <w:t>)</w:t>
      </w:r>
      <w:r w:rsidRPr="004E053C">
        <w:rPr>
          <w:rFonts w:cstheme="minorHAnsi"/>
          <w:sz w:val="22"/>
          <w:szCs w:val="22"/>
        </w:rPr>
        <w:fldChar w:fldCharType="end"/>
      </w:r>
      <w:r w:rsidRPr="004E053C">
        <w:rPr>
          <w:rFonts w:cstheme="minorHAnsi"/>
          <w:sz w:val="22"/>
          <w:szCs w:val="22"/>
        </w:rPr>
        <w:t xml:space="preserve">, although few miners in Madre de Dios have yet been formalised </w:t>
      </w:r>
      <w:r w:rsidRPr="004E053C">
        <w:rPr>
          <w:rFonts w:cstheme="minorHAnsi"/>
          <w:sz w:val="22"/>
          <w:szCs w:val="22"/>
        </w:rPr>
        <w:fldChar w:fldCharType="begin" w:fldLock="1"/>
      </w:r>
      <w:r w:rsidR="002F0CEA">
        <w:rPr>
          <w:rFonts w:cstheme="minorHAnsi"/>
          <w:sz w:val="22"/>
          <w:szCs w:val="22"/>
        </w:rPr>
        <w:instrText>ADDIN CSL_CITATION {"citationItems":[{"id":"ITEM-1","itemData":{"abstract":"The recent unopposed proliferation of artisanal gold mining (AGM) in towns that previously rejected large-scale mining (LSM) in Andean countries poses a thorny question: Why do locals respond differently to mining activities at different scales? To explain the basis for opposition or tolerance to mining activities, the paper develops a comparative study of local communities’ perceptions of LSM and AGM. Through extensive fieldwork in the area and collection of qualitative evidence from surveys, interviews, and ethnographies, the paper revisits the case of Tambogrande (Peru) 15 years after the resistance against LSM operations in the light of the recent proliferation of AGM in the same area. The paper finds that AGM faces less resistance because it is considered more compatible with the existing social order, which hinges on personal ties and strong relationships of trust. By contrast, LSM is far removed from local dynamics and it is perceived as an imposition that would divide and displace the community. Although economic and environmental factors are in fact a cause for concern for local communities, social considerations usually take priority.","author":[{"dropping-particle":"","family":"Toledo Orozco","given":"Zaraí","non-dropping-particle":"","parse-names":false,"suffix":""},{"dropping-particle":"","family":"Veiga","given":"Marcello","non-dropping-particle":"","parse-names":false,"suffix":""}],"container-title":"Extractive Industries and Society","id":"ITEM-1","issue":"2","issued":{"date-parts":[["2018"]]},"page":"327-334","publisher":"Elsevier","title":"Locals’ attitudes toward artisanal and large-scale mining: a case study of Tambogrande, Peru","type":"article-journal","volume":"5"},"uris":["http://www.mendeley.com/documents/?uuid=9a26e764-a9c9-46d5-acbc-84ef6783a7a5"]},{"id":"ITEM-2","itemData":{"abstract":"A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Society","id":"ITEM-2","issue":"4","issued":{"date-parts":[["2016"]]},"page":"1058-1066","publisher":"Elsevier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 Toledo Orozco &amp; Veiga, 2018)","plainTextFormattedCitation":"(Salo et al., 2016; Toledo Orozco &amp; Veiga, 2018)","previouslyFormattedCitation":"(Salo et al., 2016; Toledo Orozco &amp; Veiga, 2018)"},"properties":{"noteIndex":0},"schema":"https://github.com/citation-style-language/schema/raw/master/csl-citation.json"}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(Salo et al., 2016; Toledo Orozco &amp; Veiga, 2018)</w:t>
      </w:r>
      <w:r w:rsidRPr="004E053C">
        <w:rPr>
          <w:rFonts w:cstheme="minorHAnsi"/>
          <w:sz w:val="22"/>
          <w:szCs w:val="22"/>
        </w:rPr>
        <w:fldChar w:fldCharType="end"/>
      </w:r>
      <w:r w:rsidRPr="004E053C">
        <w:rPr>
          <w:rFonts w:cstheme="minorHAnsi"/>
          <w:sz w:val="22"/>
          <w:szCs w:val="22"/>
        </w:rPr>
        <w:t xml:space="preserve">. This is due to several reasons; the expensive and complicated bureaucratic process and constantly changing regulations; a lack of trust in the state and government institutions; and uncertainty over if and how formalisation will provide personal benefits </w:t>
      </w:r>
      <w:r w:rsidRPr="004E053C">
        <w:rPr>
          <w:rFonts w:cstheme="minorHAnsi"/>
          <w:sz w:val="22"/>
          <w:szCs w:val="22"/>
        </w:rPr>
        <w:fldChar w:fldCharType="begin" w:fldLock="1"/>
      </w:r>
      <w:r w:rsidR="00680892" w:rsidRPr="004E053C">
        <w:rPr>
          <w:rFonts w:cstheme="minorHAnsi"/>
          <w:sz w:val="22"/>
          <w:szCs w:val="22"/>
        </w:rPr>
        <w:instrText>ADDIN CSL_CITATION {"citationItems":[{"id":"ITEM-1","itemData":{"abstract":"The recent unopposed proliferation of artisanal gold mining (AGM) in towns that previously rejected large-scale mining (LSM) in Andean countries poses a thorny question: Why do locals respond differently to mining activities at different scales? To explain the basis for opposition or tolerance to mining activities, the paper develops a comparative study of local communities’ perceptions of LSM and AGM. Through extensive fieldwork in the area and collection of qualitative evidence from surveys, interviews, and ethnographies, the paper revisits the case of Tambogrande (Peru) 15 years after the resistance against LSM operations in the light of the recent proliferation of AGM in the same area. The paper finds that AGM faces less resistance because it is considered more compatible with the existing social order, which hinges on personal ties and strong relationships of trust. By contrast, LSM is far removed from local dynamics and it is perceived as an imposition that would divide and displace the community. Although economic and environmental factors are in fact a cause for concern for local communities, social considerations usually take priority.","author":[{"dropping-particle":"","family":"Toledo Orozco","given":"Zaraí","non-dropping-particle":"","parse-names":false,"suffix":""},{"dropping-particle":"","family":"Veiga","given":"Marcello","non-dropping-particle":"","parse-names":false,"suffix":""}],"container-title":"Extractive Industries and Society","id":"ITEM-1","issue":"2","issued":{"date-parts":[["2018"]]},"page":"327-334","publisher":"Elsevier","title":"Locals’ attitudes toward artisanal and large-scale mining: a case study of Tambogrande, Peru","type":"article-journal","volume":"5"},"uris":["http://www.mendeley.com/documents/?uuid=9a26e764-a9c9-46d5-acbc-84ef6783a7a5"]}],"mendeley":{"formattedCitation":"(Toledo Orozco &amp; Veiga, 2018)","plainTextFormattedCitation":"(Toledo Orozco &amp; Veiga, 2018)","previouslyFormattedCitation":"(Toledo Orozco &amp; Veiga, 2018)"},"properties":{"noteIndex":0},"schema":"https://github.com/citation-style-language/schema/raw/master/csl-citation.json"}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(Toledo Orozco &amp; Veiga, 2018)</w:t>
      </w:r>
      <w:r w:rsidRPr="004E053C">
        <w:rPr>
          <w:rFonts w:cstheme="minorHAnsi"/>
          <w:sz w:val="22"/>
          <w:szCs w:val="22"/>
        </w:rPr>
        <w:fldChar w:fldCharType="end"/>
      </w:r>
      <w:r w:rsidRPr="004E053C">
        <w:rPr>
          <w:rFonts w:cstheme="minorHAnsi"/>
          <w:sz w:val="22"/>
          <w:szCs w:val="22"/>
        </w:rPr>
        <w:t xml:space="preserve">. The sheer size of the Amazon and the weak reaches of the State are also often blamed for the failure to formalise </w:t>
      </w:r>
      <w:r w:rsidRPr="004E053C">
        <w:rPr>
          <w:rFonts w:cstheme="minorHAnsi"/>
          <w:sz w:val="22"/>
          <w:szCs w:val="22"/>
        </w:rPr>
        <w:fldChar w:fldCharType="begin" w:fldLock="1"/>
      </w:r>
      <w:r w:rsidR="00680892" w:rsidRPr="004E053C">
        <w:rPr>
          <w:rFonts w:cstheme="minorHAnsi"/>
          <w:sz w:val="22"/>
          <w:szCs w:val="22"/>
        </w:rPr>
        <w:instrText>ADDIN CSL_CITATION {"citationItems":[{"id":"ITEM-1","itemData":{"abstract":"The extraction of minerals, oil and gas has a long and ambiguous history in development processes – in North America, Europe, Latin America and Australasia. Extraction has yielded wealth, regional identities and in some cases capital for industrialization. In other cases its main heritages have been social conflict, environmental damage and underperforming national economies. As the extractive economy has entered another boom period over the last decade, not least in Latin America, the countries in which this boom is occurring are challenged to interpret this ambiguity. Will the extractive industry yield, for them, economic development, or will its main gifts be ones of conflict, degradation and unequal forms of growth.","author":[{"dropping-particle":"","family":"Bebbington","given":"Anthony","non-dropping-particle":"","parse-names":false,"suffix":""}],"id":"ITEM-1","issued":{"date-parts":[["2011"]]},"number-of-pages":"258","title":"Social Conflict, Economic Development and Extractive Industry: Evidence from South America","type":"book"},"uris":["http://www.mendeley.com/documents/?uuid=81fa501e-2549-4623-908e-76e796de9056"]},{"id":"ITEM-2","itemData":{"abstract":"In the early part of this decade, at the beginning of the recent international commodity price boom, Peru adopted major components of the new ‘localist’ policy paradigm for the management of natural resources. A large fraction of revenues were transferred to the subnational governments in the mining areas. Additionally, the government encouraged mining companies to assume a more active role locally. The results have been disappointing. Statistical and fieldwork evidence shows that these policies have exacerbated local political conflicts. The new ‘localist’ policy paradigm is unlikely to be effective when, as in contemporary Peru, national political institutions are not supportive.","author":[{"dropping-particle":"","family":"Arellano-Yanguas","given":"Javier","non-dropping-particle":"","parse-names":false,"suffix":""}],"container-title":"Journal of Development Studies","id":"ITEM-2","issue":"4","issued":{"date-parts":[["2011"]]},"page":"617-638","title":"Aggravating the resource curse: Decentralisation, mining and conflict in Peru","type":"article-journal","volume":"47"},"uris":["http://www.mendeley.com/documents/?uuid=58da3e71-abdf-4d9e-9e05-8f12a00c49d6"]}],"mendeley":{"formattedCitation":"(Arellano-Yanguas, 2011; Bebbington, 2011)","manualFormatting":"(Arellano-Yanguas, 2011; Bebbington, 2011)","plainTextFormattedCitation":"(Arellano-Yanguas, 2011; Bebbington, 2011)","previouslyFormattedCitation":"(Arellano-Yanguas, 2011; Bebbington, 2011)"},"properties":{"noteIndex":0},"schema":"https://github.com/citation-style-language/schema/raw/master/csl-citation.json"}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(Arellano-Yanguas, 2011; Bebbington, 2011)</w:t>
      </w:r>
      <w:r w:rsidRPr="004E053C">
        <w:rPr>
          <w:rFonts w:cstheme="minorHAnsi"/>
          <w:sz w:val="22"/>
          <w:szCs w:val="22"/>
        </w:rPr>
        <w:fldChar w:fldCharType="end"/>
      </w:r>
      <w:r w:rsidRPr="004E053C">
        <w:rPr>
          <w:rFonts w:cstheme="minorHAnsi"/>
          <w:sz w:val="22"/>
          <w:szCs w:val="22"/>
        </w:rPr>
        <w:t xml:space="preserve">, as well as the local and regional government’s lack of funds, capacity and political will to enforce ASM regulations </w:t>
      </w:r>
      <w:r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Amazon","type":"article-journal","volume":"48"},"uris":["http://www.mendeley.com/documents/?uuid=fc7d8531-86b5-35b7-a817-8d0034336ad3"]},{"id":"ITEM-2","itemData":{"abstract":"Many researchers have tested whether protected areas save tropical forest, but generally focus on parks and reserves, management units that have internationally recognized standing and clear objectives. Buffer zones have received considerably less attention because of their ambiguous rules and often informal status. Although buffer zones are frequently dismissed as ineffective, they warrant attention given the need for landscape-level approaches to conservation and their prevalence around the world—in Peru, buffer zones cover &gt;10 % of the country. This study examines the effectiveness of buffer zones in the Peruvian Amazon to (a) prevent deforestation and (b) limit the extent of mining concessions. We employ covariate matching to determine the impact of 13 buffer zones on deforestation and mining concessions from 2007 to 2012. Despite variation between sites, these 13 buffer zones have prevented ~320 km2 of forest loss within their borders during the study period and ~1739 km2 of mining concessions, an outcome associated with the special approval process for granting formal concessions in these areas. However, a closer look at the buffer zone around the Tambopata National Reserve reveals the difficulties of controlling illegal and informal activities. According to interviews with NGO employees, government officials, and community leaders, enforcement of conservation is limited by uncertain institutional responsibilities, inadequate budgets, and corruption, although formal and community-based efforts to block illicit mining are on the rise. Landscape-level conservation not only requires clear legal protocol for addressing large-scale, formal extractive activities, but there must also be strategies and coordination to combat illegal activities.","author":[{"dropping-particle":"","family":"Weisse","given":"Mikaela","non-dropping-particle":"","parse-names":false,"suffix":""},{"dropping-particle":"","family":"Naughton-Treves","given":"Lisa","non-dropping-particle":"","parse-names":false,"suffix":""}],"container-title":"Environmental Management","id":"ITEM-2","issue":"2","issued":{"date-parts":[["2016"]]},"page":"297-311","title":"Conservation beyond park boundaries: the impact of buffer zones on deforestation and mining concessions in the Peruvian Amazon","type":"article-journal","volume":"58"},"uris":["http://www.mendeley.com/documents/?uuid=2f45a851-ca38-4ba3-95a8-6e1e8477e053"]}],"mendeley":{"formattedCitation":"(Damonte, 2016; Weisse &amp; Naughton-Treves, 2016)","manualFormatting":"(Damonte, 2016; Weisse &amp; Naughton-Treves, 2016)","plainTextFormattedCitation":"(Damonte, 2016; Weisse &amp; Naughton-Treves, 2016)","previouslyFormattedCitation":"(Damonte, 2016; Weisse &amp; Naughton-Treves, 2016)"},"properties":{"noteIndex":0},"schema":"https://github.com/citation-style-language/schema/raw/master/csl-citation.json"}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(Damonte, 2016; Weisse &amp; Naughton-Treves, 2016)</w:t>
      </w:r>
      <w:r w:rsidRPr="004E053C">
        <w:rPr>
          <w:rFonts w:cstheme="minorHAnsi"/>
          <w:sz w:val="22"/>
          <w:szCs w:val="22"/>
        </w:rPr>
        <w:fldChar w:fldCharType="end"/>
      </w:r>
      <w:r w:rsidRPr="004E053C">
        <w:rPr>
          <w:rFonts w:cstheme="minorHAnsi"/>
          <w:sz w:val="22"/>
          <w:szCs w:val="22"/>
        </w:rPr>
        <w:t xml:space="preserve">. However, there is also a lack of consensus about ASM within government, particularly between the Ministry of Energy and Mines (MINEM) and the Ministry of the Environment (MINAM) (Damonte, 2016). While the former seek to </w:t>
      </w:r>
      <w:r w:rsidRPr="004E053C">
        <w:rPr>
          <w:rFonts w:cstheme="minorHAnsi"/>
          <w:sz w:val="22"/>
          <w:szCs w:val="22"/>
        </w:rPr>
        <w:lastRenderedPageBreak/>
        <w:t xml:space="preserve">halt ASM activity in Madre de Dios, the latter are advocates of formalisation, and the lack of clarity in legislation is in part due to the power struggle between the two ministries. A key issue has been that although the MINAM was introduced in 2008 to promote environmental and social sustainability, the MINEM has retained control of environmental and social impact assessments </w:t>
      </w:r>
      <w:r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{"citationItems":[{"id":"ITEM-1","itemData":{"abstract":"Global consumption continues to generate growth in mining. In lesser developed economies, this growth offers the potential to generate new resources for development, but also creates challenges to sustainability in the regions in which extraction occurs. This context leads to debate on the institutional arrangements most likely to build synergies between mining, livelihoods, and development, and on the socio-political conditions under which such institutions can emerge. Building from a multiyear, three-country program of research projects, Peru, a global center of mining expansion, serves as an exemplar for analyzing the effects of extractive industry on livelihoods and the conditions under which arrangements favoring local sustainability might emerge. This program is guided by three emergent hypotheses in human-environmental sciences regarding the relationships among institutions, knowledge, learning, and sustainability. The research combines in-depth and comparative case study analysis, and uses mapping and spatial analysis, surveys, in-depth interviews, participant observation, and our own direct participation in public debates on the regulation of mining for development. The findings demonstrate the pressures that mining expansion has placed on water resources, livelihood assets, and social relationships. These pressures are a result of institutional conditions that separate the governance of mineral expansion, water resources, and local development, and of relationships of power that prioritize large scale investment over livelihood and environment. A further problem is the poor communication between mining sector knowledge systems and those of local populations. These results are consistent with themes recently elaborated in sustainability science.","author":[{"dropping-particle":"","family":"Bebbington","given":"Anthony","non-dropping-particle":"","parse-names":false,"suffix":""},{"dropping-particle":"","family":"Bury","given":"Jeffrey","non-dropping-particle":"","parse-names":false,"suffix":""}],"container-title":"Proceedings of the National Academy of Sciences","id":"ITEM-1","issue":"41","issued":{"date-parts":[["2009"]]},"page":"17296-17301","title":"Institutional challenges for mining and sustainability in Peru","type":"article-journal","volume":"106"},"uris":["http://www.mendeley.com/documents/?uuid=8977b93e-6643-43cd-a722-d4559a1a0a88"]},{"id":"ITEM-2","itemData":{"author":[{"dropping-particle":"","family":"Duff","given":"Phyllis M","non-dropping-particle":"","parse-names":false,"suffix":""},{"dropping-particle":"","family":"Downs","given":"Timothy J","non-dropping-particle":"","parse-names":false,"suffix":""}],"container-title":"The Extractive Industries and Society","id":"ITEM-2","issue":"2","issued":{"date-parts":[["2019"]]},"page":"552-561","title":"Frontline narratives on sustainable development challenges/opportuntiies in the 'illegal' gold mining region of Madre de Dios, Peru: informing an integrative colaborative response","type":"article-journal","volume":"6"},"uris":["http://www.mendeley.com/documents/?uuid=7419bfcf-15ae-3a1c-8491-a9ec3369d1d5"]}],"mendeley":{"formattedCitation":"(Bebbington &amp; Bury, 2009; Duff &amp; Downs, 2019)","manualFormatting":"(Bebbington &amp; Bury, 2009; Duff &amp; Downs, 2019)","plainTextFormattedCitation":"(Bebbington &amp; Bury, 2009; Duff &amp; Downs, 2019)","previouslyFormattedCitation":"(Bebbington &amp; Bury, 2009; Duff &amp; Downs, 2019)"},"properties":{"noteIndex":0},"schema":"https://github.com/citation-style-language/schema/raw/master/csl-citation.json"}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(Bebbington &amp; Bury, 2009; Duff &amp; Downs, 2019)</w:t>
      </w:r>
      <w:r w:rsidRPr="004E053C">
        <w:rPr>
          <w:rFonts w:cstheme="minorHAnsi"/>
          <w:sz w:val="22"/>
          <w:szCs w:val="22"/>
        </w:rPr>
        <w:fldChar w:fldCharType="end"/>
      </w:r>
      <w:r w:rsidRPr="004E053C">
        <w:rPr>
          <w:rFonts w:cstheme="minorHAnsi"/>
          <w:sz w:val="22"/>
          <w:szCs w:val="22"/>
        </w:rPr>
        <w:t xml:space="preserve">. </w:t>
      </w:r>
    </w:p>
    <w:p w14:paraId="5AF2E678" w14:textId="77777777" w:rsidR="00375961" w:rsidRPr="004E053C" w:rsidRDefault="00375961" w:rsidP="004E053C">
      <w:pPr>
        <w:pStyle w:val="NormalWeb"/>
        <w:spacing w:before="0" w:beforeAutospacing="0" w:after="0" w:afterAutospacing="0" w:line="360" w:lineRule="auto"/>
        <w:jc w:val="both"/>
        <w:rPr>
          <w:rFonts w:asciiTheme="minorHAnsi" w:hAnsiTheme="minorHAnsi" w:cstheme="minorHAnsi"/>
          <w:sz w:val="22"/>
          <w:szCs w:val="22"/>
        </w:rPr>
      </w:pPr>
    </w:p>
    <w:p w14:paraId="338071F8" w14:textId="70265B4B" w:rsidR="00375961" w:rsidRPr="004E053C" w:rsidRDefault="00502226" w:rsidP="004E053C">
      <w:pPr>
        <w:pStyle w:val="Heading3"/>
        <w:rPr>
          <w:rFonts w:asciiTheme="minorHAnsi" w:hAnsiTheme="minorHAnsi"/>
        </w:rPr>
      </w:pPr>
      <w:r w:rsidRPr="004E053C">
        <w:rPr>
          <w:rFonts w:asciiTheme="minorHAnsi" w:hAnsiTheme="minorHAnsi"/>
        </w:rPr>
        <w:t>3.</w:t>
      </w:r>
      <w:r w:rsidR="00EF0BCB" w:rsidRPr="004E053C">
        <w:rPr>
          <w:rFonts w:asciiTheme="minorHAnsi" w:hAnsiTheme="minorHAnsi"/>
        </w:rPr>
        <w:t>5.4. Mining and m</w:t>
      </w:r>
      <w:r w:rsidR="00375961" w:rsidRPr="004E053C">
        <w:rPr>
          <w:rFonts w:asciiTheme="minorHAnsi" w:hAnsiTheme="minorHAnsi"/>
        </w:rPr>
        <w:t>igration</w:t>
      </w:r>
    </w:p>
    <w:p w14:paraId="61A111E8" w14:textId="77777777" w:rsidR="00375961" w:rsidRPr="004E053C" w:rsidRDefault="00375961" w:rsidP="004E053C">
      <w:pPr>
        <w:pStyle w:val="NormalWeb"/>
        <w:spacing w:before="0" w:beforeAutospacing="0" w:after="0" w:afterAutospacing="0" w:line="360" w:lineRule="auto"/>
        <w:jc w:val="both"/>
        <w:rPr>
          <w:rFonts w:asciiTheme="minorHAnsi" w:hAnsiTheme="minorHAnsi" w:cstheme="minorHAnsi"/>
          <w:sz w:val="22"/>
          <w:szCs w:val="22"/>
        </w:rPr>
      </w:pPr>
    </w:p>
    <w:p w14:paraId="7B38D0D0" w14:textId="706BC622" w:rsidR="00375961" w:rsidRPr="004E053C" w:rsidRDefault="00375961" w:rsidP="004E053C">
      <w:pPr>
        <w:pStyle w:val="NormalWeb"/>
        <w:spacing w:before="0" w:beforeAutospacing="0" w:after="0" w:afterAutospacing="0" w:line="360" w:lineRule="auto"/>
        <w:jc w:val="both"/>
        <w:rPr>
          <w:rFonts w:asciiTheme="minorHAnsi" w:hAnsiTheme="minorHAnsi" w:cstheme="minorHAnsi"/>
          <w:color w:val="000000"/>
          <w:sz w:val="22"/>
          <w:szCs w:val="22"/>
        </w:rPr>
      </w:pPr>
      <w:r w:rsidRPr="004E053C">
        <w:rPr>
          <w:rFonts w:asciiTheme="minorHAnsi" w:hAnsiTheme="minorHAnsi" w:cstheme="minorHAnsi"/>
          <w:sz w:val="22"/>
          <w:szCs w:val="22"/>
        </w:rPr>
        <w:t>Mining in Peru has always been heavily linke</w:t>
      </w:r>
      <w:r w:rsidR="00E20F22" w:rsidRPr="004E053C">
        <w:rPr>
          <w:rFonts w:asciiTheme="minorHAnsi" w:hAnsiTheme="minorHAnsi" w:cstheme="minorHAnsi"/>
          <w:sz w:val="22"/>
          <w:szCs w:val="22"/>
        </w:rPr>
        <w:t xml:space="preserve">d to migration. Contreras </w:t>
      </w:r>
      <w:r w:rsidR="00E20F22" w:rsidRPr="004E053C">
        <w:rPr>
          <w:rFonts w:asciiTheme="minorHAnsi" w:hAnsiTheme="minorHAnsi" w:cstheme="minorHAnsi"/>
          <w:sz w:val="22"/>
          <w:szCs w:val="22"/>
        </w:rPr>
        <w:fldChar w:fldCharType="begin" w:fldLock="1"/>
      </w:r>
      <w:r w:rsidR="00E20F22" w:rsidRPr="004E053C">
        <w:rPr>
          <w:rFonts w:asciiTheme="minorHAnsi" w:hAnsiTheme="minorHAnsi" w:cstheme="minorHAnsi"/>
          <w:sz w:val="22"/>
          <w:szCs w:val="22"/>
        </w:rPr>
        <w:instrText>ADDIN CSL_CITATION {"citationItems":[{"id":"ITEM-1","itemData":{"author":[{"dropping-particle":"","family":"Contreras","given":"Carlos","non-dropping-particle":"","parse-names":false,"suffix":""}],"id":"ITEM-1","issued":{"date-parts":[["1988"]]},"publisher":"IEP","publisher-place":"Lima, Peru","title":"Mineros y Campesinos en los Andes","type":"book"},"uris":["http://www.mendeley.com/documents/?uuid=90530bd3-0eae-4a0f-8372-3ca1e6cb877a"]}],"mendeley":{"formattedCitation":"(Contreras, 1988)","manualFormatting":"(1988)","plainTextFormattedCitation":"(Contreras, 1988)","previouslyFormattedCitation":"(Contreras, 1988)"},"properties":{"noteIndex":0},"schema":"https://github.com/citation-style-language/schema/raw/master/csl-citation.json"}</w:instrText>
      </w:r>
      <w:r w:rsidR="00E20F22" w:rsidRPr="004E053C">
        <w:rPr>
          <w:rFonts w:asciiTheme="minorHAnsi" w:hAnsiTheme="minorHAnsi" w:cstheme="minorHAnsi"/>
          <w:sz w:val="22"/>
          <w:szCs w:val="22"/>
        </w:rPr>
        <w:fldChar w:fldCharType="separate"/>
      </w:r>
      <w:r w:rsidR="00E20F22" w:rsidRPr="004E053C">
        <w:rPr>
          <w:rFonts w:asciiTheme="minorHAnsi" w:hAnsiTheme="minorHAnsi" w:cstheme="minorHAnsi"/>
          <w:noProof/>
          <w:sz w:val="22"/>
          <w:szCs w:val="22"/>
        </w:rPr>
        <w:t>(1988)</w:t>
      </w:r>
      <w:r w:rsidR="00E20F22" w:rsidRPr="004E053C">
        <w:rPr>
          <w:rFonts w:asciiTheme="minorHAnsi" w:hAnsiTheme="minorHAnsi" w:cstheme="minorHAnsi"/>
          <w:sz w:val="22"/>
          <w:szCs w:val="22"/>
        </w:rPr>
        <w:fldChar w:fldCharType="end"/>
      </w:r>
      <w:r w:rsidR="00E20F22" w:rsidRPr="004E053C">
        <w:rPr>
          <w:rFonts w:asciiTheme="minorHAnsi" w:hAnsiTheme="minorHAnsi" w:cstheme="minorHAnsi"/>
          <w:sz w:val="22"/>
          <w:szCs w:val="22"/>
        </w:rPr>
        <w:t xml:space="preserve"> </w:t>
      </w:r>
      <w:r w:rsidRPr="004E053C">
        <w:rPr>
          <w:rFonts w:asciiTheme="minorHAnsi" w:hAnsiTheme="minorHAnsi" w:cstheme="minorHAnsi"/>
          <w:sz w:val="22"/>
          <w:szCs w:val="22"/>
        </w:rPr>
        <w:t>showed that labour intensive mining extraction provided work to temporary workers dur</w:t>
      </w:r>
      <w:r w:rsidR="00E20F22" w:rsidRPr="004E053C">
        <w:rPr>
          <w:rFonts w:asciiTheme="minorHAnsi" w:hAnsiTheme="minorHAnsi" w:cstheme="minorHAnsi"/>
          <w:sz w:val="22"/>
          <w:szCs w:val="22"/>
        </w:rPr>
        <w:t xml:space="preserve">ing the agricultural off-season. </w:t>
      </w:r>
      <w:r w:rsidRPr="004E053C">
        <w:rPr>
          <w:rFonts w:asciiTheme="minorHAnsi" w:hAnsiTheme="minorHAnsi" w:cstheme="minorHAnsi"/>
          <w:sz w:val="22"/>
          <w:szCs w:val="22"/>
        </w:rPr>
        <w:t xml:space="preserve">Similarly, some of the individuals in Vincent’s </w:t>
      </w:r>
      <w:r w:rsidR="00E20F22" w:rsidRPr="004E053C">
        <w:rPr>
          <w:rFonts w:asciiTheme="minorHAnsi" w:hAnsiTheme="minorHAnsi" w:cstheme="minorHAnsi"/>
          <w:sz w:val="22"/>
          <w:szCs w:val="22"/>
        </w:rPr>
        <w:fldChar w:fldCharType="begin" w:fldLock="1"/>
      </w:r>
      <w:r w:rsidR="00E20F22" w:rsidRPr="004E053C">
        <w:rPr>
          <w:rFonts w:asciiTheme="minorHAnsi" w:hAnsiTheme="minorHAnsi" w:cstheme="minorHAnsi"/>
          <w:sz w:val="22"/>
          <w:szCs w:val="22"/>
        </w:rPr>
        <w:instrText>ADDIN CSL_CITATION {"citationItems":[{"id":"ITEM-1","itemData":{"author":[{"dropping-particle":"","family":"Vincent","given":"Susan","non-dropping-particle":"","parse-names":false,"suffix":""}],"id":"ITEM-1","issued":{"date-parts":[["2012"]]},"publisher":"University of Toronto Press","publisher-place":"Toronto","title":"Dimensions of Development: History, Community and change in Allpachico, Peru","type":"book"},"uris":["http://www.mendeley.com/documents/?uuid=603c62e5-2f15-4da1-bb21-bffc1ac2f14e"]}],"mendeley":{"formattedCitation":"(Vincent, 2012b)","manualFormatting":"(2012b)","plainTextFormattedCitation":"(Vincent, 2012b)","previouslyFormattedCitation":"(Vincent, 2012b)"},"properties":{"noteIndex":0},"schema":"https://github.com/citation-style-language/schema/raw/master/csl-citation.json"}</w:instrText>
      </w:r>
      <w:r w:rsidR="00E20F22" w:rsidRPr="004E053C">
        <w:rPr>
          <w:rFonts w:asciiTheme="minorHAnsi" w:hAnsiTheme="minorHAnsi" w:cstheme="minorHAnsi"/>
          <w:sz w:val="22"/>
          <w:szCs w:val="22"/>
        </w:rPr>
        <w:fldChar w:fldCharType="separate"/>
      </w:r>
      <w:r w:rsidR="00E20F22" w:rsidRPr="004E053C">
        <w:rPr>
          <w:rFonts w:asciiTheme="minorHAnsi" w:hAnsiTheme="minorHAnsi" w:cstheme="minorHAnsi"/>
          <w:noProof/>
          <w:sz w:val="22"/>
          <w:szCs w:val="22"/>
        </w:rPr>
        <w:t>(2012b)</w:t>
      </w:r>
      <w:r w:rsidR="00E20F22" w:rsidRPr="004E053C">
        <w:rPr>
          <w:rFonts w:asciiTheme="minorHAnsi" w:hAnsiTheme="minorHAnsi" w:cstheme="minorHAnsi"/>
          <w:sz w:val="22"/>
          <w:szCs w:val="22"/>
        </w:rPr>
        <w:fldChar w:fldCharType="end"/>
      </w:r>
      <w:r w:rsidRPr="004E053C">
        <w:rPr>
          <w:rFonts w:asciiTheme="minorHAnsi" w:hAnsiTheme="minorHAnsi" w:cstheme="minorHAnsi"/>
          <w:sz w:val="22"/>
          <w:szCs w:val="22"/>
        </w:rPr>
        <w:t xml:space="preserve"> study were involved in mining, highlighting the level of influence that extractive industries have had on life in rural areas. From the 1920s-1960s, mining was the largest and most accessible source of full-time labour for many Andean villagers, who were often not sufficiently educated to find work in Lima </w:t>
      </w:r>
      <w:r w:rsidR="00E20F22" w:rsidRPr="004E053C">
        <w:rPr>
          <w:rFonts w:asciiTheme="minorHAnsi" w:hAnsiTheme="minorHAnsi" w:cstheme="minorHAnsi"/>
          <w:sz w:val="22"/>
          <w:szCs w:val="22"/>
        </w:rPr>
        <w:fldChar w:fldCharType="begin" w:fldLock="1"/>
      </w:r>
      <w:r w:rsidR="00E20F22" w:rsidRPr="004E053C">
        <w:rPr>
          <w:rFonts w:asciiTheme="minorHAnsi" w:hAnsiTheme="minorHAnsi"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1984)","manualFormatting":"(Long &amp; Roberts, 1984)","plainTextFormattedCitation":"(Norman Long &amp; Roberts, 1984)","previouslyFormattedCitation":"(Norman Long &amp; Roberts, 1984)"},"properties":{"noteIndex":0},"schema":"https://github.com/citation-style-language/schema/raw/master/csl-citation.json"}</w:instrText>
      </w:r>
      <w:r w:rsidR="00E20F22" w:rsidRPr="004E053C">
        <w:rPr>
          <w:rFonts w:asciiTheme="minorHAnsi" w:hAnsiTheme="minorHAnsi" w:cstheme="minorHAnsi"/>
          <w:sz w:val="22"/>
          <w:szCs w:val="22"/>
        </w:rPr>
        <w:fldChar w:fldCharType="separate"/>
      </w:r>
      <w:r w:rsidR="00E20F22" w:rsidRPr="004E053C">
        <w:rPr>
          <w:rFonts w:asciiTheme="minorHAnsi" w:hAnsiTheme="minorHAnsi" w:cstheme="minorHAnsi"/>
          <w:noProof/>
          <w:sz w:val="22"/>
          <w:szCs w:val="22"/>
        </w:rPr>
        <w:t>(Long &amp; Roberts, 1984)</w:t>
      </w:r>
      <w:r w:rsidR="00E20F22" w:rsidRPr="004E053C">
        <w:rPr>
          <w:rFonts w:asciiTheme="minorHAnsi" w:hAnsiTheme="minorHAnsi" w:cstheme="minorHAnsi"/>
          <w:sz w:val="22"/>
          <w:szCs w:val="22"/>
        </w:rPr>
        <w:fldChar w:fldCharType="end"/>
      </w:r>
      <w:r w:rsidRPr="004E053C">
        <w:rPr>
          <w:rFonts w:asciiTheme="minorHAnsi" w:hAnsiTheme="minorHAnsi" w:cstheme="minorHAnsi"/>
          <w:sz w:val="22"/>
          <w:szCs w:val="22"/>
        </w:rPr>
        <w:t xml:space="preserve">. Although many villagers were reluctant to go and work in the mines due to the distance they had to travel and the occupational risks, the lack of alternative options meant it was relatively easy for mining companies to recruit workers </w:t>
      </w:r>
      <w:r w:rsidR="00E20F22" w:rsidRPr="004E053C">
        <w:rPr>
          <w:rFonts w:asciiTheme="minorHAnsi" w:hAnsiTheme="minorHAnsi" w:cstheme="minorHAnsi"/>
          <w:sz w:val="22"/>
          <w:szCs w:val="22"/>
        </w:rPr>
        <w:fldChar w:fldCharType="begin" w:fldLock="1"/>
      </w:r>
      <w:r w:rsidR="00697A46" w:rsidRPr="004E053C">
        <w:rPr>
          <w:rFonts w:asciiTheme="minorHAnsi" w:hAnsiTheme="minorHAnsi"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1984)","manualFormatting":"(Ibid.)","plainTextFormattedCitation":"(Norman Long &amp; Roberts, 1984)","previouslyFormattedCitation":"(Norman Long &amp; Roberts, 1984)"},"properties":{"noteIndex":0},"schema":"https://github.com/citation-style-language/schema/raw/master/csl-citation.json"}</w:instrText>
      </w:r>
      <w:r w:rsidR="00E20F22" w:rsidRPr="004E053C">
        <w:rPr>
          <w:rFonts w:asciiTheme="minorHAnsi" w:hAnsiTheme="minorHAnsi" w:cstheme="minorHAnsi"/>
          <w:sz w:val="22"/>
          <w:szCs w:val="22"/>
        </w:rPr>
        <w:fldChar w:fldCharType="separate"/>
      </w:r>
      <w:r w:rsidR="00E20F22" w:rsidRPr="004E053C">
        <w:rPr>
          <w:rFonts w:asciiTheme="minorHAnsi" w:hAnsiTheme="minorHAnsi" w:cstheme="minorHAnsi"/>
          <w:noProof/>
          <w:sz w:val="22"/>
          <w:szCs w:val="22"/>
        </w:rPr>
        <w:t>(</w:t>
      </w:r>
      <w:r w:rsidR="00697A46" w:rsidRPr="004E053C">
        <w:rPr>
          <w:rFonts w:asciiTheme="minorHAnsi" w:hAnsiTheme="minorHAnsi" w:cstheme="minorHAnsi"/>
          <w:noProof/>
          <w:sz w:val="22"/>
          <w:szCs w:val="22"/>
        </w:rPr>
        <w:t>Ibid.</w:t>
      </w:r>
      <w:r w:rsidR="00E20F22" w:rsidRPr="004E053C">
        <w:rPr>
          <w:rFonts w:asciiTheme="minorHAnsi" w:hAnsiTheme="minorHAnsi" w:cstheme="minorHAnsi"/>
          <w:noProof/>
          <w:sz w:val="22"/>
          <w:szCs w:val="22"/>
        </w:rPr>
        <w:t>)</w:t>
      </w:r>
      <w:r w:rsidR="00E20F22" w:rsidRPr="004E053C">
        <w:rPr>
          <w:rFonts w:asciiTheme="minorHAnsi" w:hAnsiTheme="minorHAnsi" w:cstheme="minorHAnsi"/>
          <w:sz w:val="22"/>
          <w:szCs w:val="22"/>
        </w:rPr>
        <w:fldChar w:fldCharType="end"/>
      </w:r>
      <w:r w:rsidR="00E20F22" w:rsidRPr="004E053C">
        <w:rPr>
          <w:rFonts w:asciiTheme="minorHAnsi" w:hAnsiTheme="minorHAnsi" w:cstheme="minorHAnsi"/>
          <w:sz w:val="22"/>
          <w:szCs w:val="22"/>
        </w:rPr>
        <w:t xml:space="preserve">. </w:t>
      </w:r>
      <w:r w:rsidRPr="004E053C">
        <w:rPr>
          <w:rFonts w:asciiTheme="minorHAnsi" w:hAnsiTheme="minorHAnsi" w:cstheme="minorHAnsi"/>
          <w:sz w:val="22"/>
          <w:szCs w:val="22"/>
        </w:rPr>
        <w:t xml:space="preserve">Much of the work was temporary or seasonal in nature, which meant that villagers often continued with agricultural work at home for much of the year </w:t>
      </w:r>
      <w:r w:rsidR="00E20F22" w:rsidRPr="004E053C">
        <w:rPr>
          <w:rFonts w:asciiTheme="minorHAnsi" w:hAnsiTheme="minorHAnsi" w:cstheme="minorHAnsi"/>
          <w:sz w:val="22"/>
          <w:szCs w:val="22"/>
        </w:rPr>
        <w:fldChar w:fldCharType="begin" w:fldLock="1"/>
      </w:r>
      <w:r w:rsidR="00697A46" w:rsidRPr="004E053C">
        <w:rPr>
          <w:rFonts w:asciiTheme="minorHAnsi" w:hAnsiTheme="minorHAnsi"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1984)","manualFormatting":"(Ibid.)","plainTextFormattedCitation":"(Norman Long &amp; Roberts, 1984)","previouslyFormattedCitation":"(Norman Long &amp; Roberts, 1984)"},"properties":{"noteIndex":0},"schema":"https://github.com/citation-style-language/schema/raw/master/csl-citation.json"}</w:instrText>
      </w:r>
      <w:r w:rsidR="00E20F22" w:rsidRPr="004E053C">
        <w:rPr>
          <w:rFonts w:asciiTheme="minorHAnsi" w:hAnsiTheme="minorHAnsi" w:cstheme="minorHAnsi"/>
          <w:sz w:val="22"/>
          <w:szCs w:val="22"/>
        </w:rPr>
        <w:fldChar w:fldCharType="separate"/>
      </w:r>
      <w:r w:rsidR="00E20F22" w:rsidRPr="004E053C">
        <w:rPr>
          <w:rFonts w:asciiTheme="minorHAnsi" w:hAnsiTheme="minorHAnsi" w:cstheme="minorHAnsi"/>
          <w:noProof/>
          <w:sz w:val="22"/>
          <w:szCs w:val="22"/>
        </w:rPr>
        <w:t>(</w:t>
      </w:r>
      <w:r w:rsidR="00697A46" w:rsidRPr="004E053C">
        <w:rPr>
          <w:rFonts w:asciiTheme="minorHAnsi" w:hAnsiTheme="minorHAnsi" w:cstheme="minorHAnsi"/>
          <w:noProof/>
          <w:sz w:val="22"/>
          <w:szCs w:val="22"/>
        </w:rPr>
        <w:t>Ibid.</w:t>
      </w:r>
      <w:r w:rsidR="00E20F22" w:rsidRPr="004E053C">
        <w:rPr>
          <w:rFonts w:asciiTheme="minorHAnsi" w:hAnsiTheme="minorHAnsi" w:cstheme="minorHAnsi"/>
          <w:noProof/>
          <w:sz w:val="22"/>
          <w:szCs w:val="22"/>
        </w:rPr>
        <w:t>)</w:t>
      </w:r>
      <w:r w:rsidR="00E20F22" w:rsidRPr="004E053C">
        <w:rPr>
          <w:rFonts w:asciiTheme="minorHAnsi" w:hAnsiTheme="minorHAnsi" w:cstheme="minorHAnsi"/>
          <w:sz w:val="22"/>
          <w:szCs w:val="22"/>
        </w:rPr>
        <w:fldChar w:fldCharType="end"/>
      </w:r>
      <w:r w:rsidR="00E20F22" w:rsidRPr="004E053C">
        <w:rPr>
          <w:rFonts w:asciiTheme="minorHAnsi" w:hAnsiTheme="minorHAnsi" w:cstheme="minorHAnsi"/>
          <w:sz w:val="22"/>
          <w:szCs w:val="22"/>
        </w:rPr>
        <w:t xml:space="preserve">. </w:t>
      </w:r>
      <w:r w:rsidRPr="004E053C">
        <w:rPr>
          <w:rFonts w:asciiTheme="minorHAnsi" w:hAnsiTheme="minorHAnsi" w:cstheme="minorHAnsi"/>
          <w:sz w:val="22"/>
          <w:szCs w:val="22"/>
        </w:rPr>
        <w:t>Thus, migrating to work in mining has been occ</w:t>
      </w:r>
      <w:r w:rsidR="00B367A8" w:rsidRPr="004E053C">
        <w:rPr>
          <w:rFonts w:asciiTheme="minorHAnsi" w:hAnsiTheme="minorHAnsi" w:cstheme="minorHAnsi"/>
          <w:sz w:val="22"/>
          <w:szCs w:val="22"/>
        </w:rPr>
        <w:t>urring for generations in Peru. However, a</w:t>
      </w:r>
      <w:r w:rsidRPr="004E053C">
        <w:rPr>
          <w:rFonts w:asciiTheme="minorHAnsi" w:hAnsiTheme="minorHAnsi" w:cstheme="minorHAnsi"/>
          <w:bCs/>
          <w:sz w:val="22"/>
          <w:szCs w:val="22"/>
        </w:rPr>
        <w:t xml:space="preserve"> new wave of gold-led migration started in the 1970s </w:t>
      </w:r>
      <w:r w:rsidR="00E20F22" w:rsidRPr="004E053C">
        <w:rPr>
          <w:rFonts w:asciiTheme="minorHAnsi" w:hAnsiTheme="minorHAnsi" w:cstheme="minorHAnsi"/>
          <w:bCs/>
          <w:sz w:val="22"/>
          <w:szCs w:val="22"/>
        </w:rPr>
        <w:fldChar w:fldCharType="begin" w:fldLock="1"/>
      </w:r>
      <w:r w:rsidR="007A757C" w:rsidRPr="004E053C">
        <w:rPr>
          <w:rFonts w:asciiTheme="minorHAnsi" w:hAnsiTheme="minorHAnsi" w:cstheme="minorHAnsi"/>
          <w:bCs/>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2016)","manualFormatting":"(Damonte, 2016)","plainTextFormattedCitation":"(Damonte, 2016)","previouslyFormattedCitation":"(Damonte, 2016)"},"properties":{"noteIndex":0},"schema":"https://github.com/citation-style-language/schema/raw/master/csl-citation.json"}</w:instrText>
      </w:r>
      <w:r w:rsidR="00E20F22" w:rsidRPr="004E053C">
        <w:rPr>
          <w:rFonts w:asciiTheme="minorHAnsi" w:hAnsiTheme="minorHAnsi" w:cstheme="minorHAnsi"/>
          <w:bCs/>
          <w:sz w:val="22"/>
          <w:szCs w:val="22"/>
        </w:rPr>
        <w:fldChar w:fldCharType="separate"/>
      </w:r>
      <w:r w:rsidR="00E20F22" w:rsidRPr="004E053C">
        <w:rPr>
          <w:rFonts w:asciiTheme="minorHAnsi" w:hAnsiTheme="minorHAnsi" w:cstheme="minorHAnsi"/>
          <w:bCs/>
          <w:noProof/>
          <w:sz w:val="22"/>
          <w:szCs w:val="22"/>
        </w:rPr>
        <w:t>(Damonte, 2016)</w:t>
      </w:r>
      <w:r w:rsidR="00E20F22" w:rsidRPr="004E053C">
        <w:rPr>
          <w:rFonts w:asciiTheme="minorHAnsi" w:hAnsiTheme="minorHAnsi" w:cstheme="minorHAnsi"/>
          <w:bCs/>
          <w:sz w:val="22"/>
          <w:szCs w:val="22"/>
        </w:rPr>
        <w:fldChar w:fldCharType="end"/>
      </w:r>
      <w:r w:rsidRPr="004E053C">
        <w:rPr>
          <w:rFonts w:asciiTheme="minorHAnsi" w:hAnsiTheme="minorHAnsi" w:cstheme="minorHAnsi"/>
          <w:sz w:val="22"/>
          <w:szCs w:val="22"/>
        </w:rPr>
        <w:t xml:space="preserve"> with numbers increasing again after 2008 due to the increased price of gold and the completion of the Trans-oceanic Highway </w:t>
      </w:r>
      <w:r w:rsidRPr="004E053C">
        <w:rPr>
          <w:rFonts w:asciiTheme="minorHAnsi" w:hAnsiTheme="minorHAnsi" w:cstheme="minorHAnsi"/>
          <w:sz w:val="22"/>
          <w:szCs w:val="22"/>
        </w:rPr>
        <w:fldChar w:fldCharType="begin" w:fldLock="1"/>
      </w:r>
      <w:r w:rsidR="002F0CEA">
        <w:rPr>
          <w:rFonts w:asciiTheme="minorHAnsi" w:hAnsiTheme="minorHAnsi" w:cstheme="minorHAnsi"/>
          <w:sz w:val="22"/>
          <w:szCs w:val="22"/>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2016)","plainTextFormattedCitation":"(Salo et al., 2016)","previouslyFormattedCitation":"(Salo et al., 2016)"},"properties":{"noteIndex":0},"schema":"https://github.com/citation-style-language/schema/raw/master/csl-citation.json"}</w:instrText>
      </w:r>
      <w:r w:rsidRPr="004E053C">
        <w:rPr>
          <w:rFonts w:asciiTheme="minorHAnsi" w:hAnsiTheme="minorHAnsi" w:cstheme="minorHAnsi"/>
          <w:sz w:val="22"/>
          <w:szCs w:val="22"/>
        </w:rPr>
        <w:fldChar w:fldCharType="separate"/>
      </w:r>
      <w:r w:rsidRPr="004E053C">
        <w:rPr>
          <w:rFonts w:asciiTheme="minorHAnsi" w:hAnsiTheme="minorHAnsi" w:cstheme="minorHAnsi"/>
          <w:noProof/>
          <w:sz w:val="22"/>
          <w:szCs w:val="22"/>
        </w:rPr>
        <w:t>(Salo et al., 2016)</w:t>
      </w:r>
      <w:r w:rsidRPr="004E053C">
        <w:rPr>
          <w:rFonts w:asciiTheme="minorHAnsi" w:hAnsiTheme="minorHAnsi" w:cstheme="minorHAnsi"/>
          <w:sz w:val="22"/>
          <w:szCs w:val="22"/>
        </w:rPr>
        <w:fldChar w:fldCharType="end"/>
      </w:r>
      <w:r w:rsidRPr="004E053C">
        <w:rPr>
          <w:rFonts w:asciiTheme="minorHAnsi" w:hAnsiTheme="minorHAnsi" w:cstheme="minorHAnsi"/>
          <w:sz w:val="22"/>
          <w:szCs w:val="22"/>
        </w:rPr>
        <w:t xml:space="preserve">. Increasingly, </w:t>
      </w:r>
      <w:r w:rsidRPr="004E053C">
        <w:rPr>
          <w:rFonts w:asciiTheme="minorHAnsi" w:hAnsiTheme="minorHAnsi" w:cstheme="minorHAnsi"/>
          <w:color w:val="000000"/>
          <w:sz w:val="22"/>
          <w:szCs w:val="22"/>
        </w:rPr>
        <w:t>migrants are travelling to participate in ASM in Madre de Dios or the Andean mines such as La Rinconada</w:t>
      </w:r>
      <w:r w:rsidRPr="004E053C">
        <w:rPr>
          <w:rFonts w:asciiTheme="minorHAnsi" w:hAnsiTheme="minorHAnsi" w:cstheme="minorHAnsi"/>
          <w:sz w:val="22"/>
          <w:szCs w:val="22"/>
        </w:rPr>
        <w:t xml:space="preserve">. </w:t>
      </w:r>
      <w:r w:rsidRPr="004E053C">
        <w:rPr>
          <w:rFonts w:asciiTheme="minorHAnsi" w:hAnsiTheme="minorHAnsi" w:cstheme="minorHAnsi"/>
          <w:bCs/>
          <w:sz w:val="22"/>
          <w:szCs w:val="22"/>
        </w:rPr>
        <w:t xml:space="preserve">Now, almost all </w:t>
      </w:r>
      <w:r w:rsidRPr="004E053C">
        <w:rPr>
          <w:rFonts w:asciiTheme="minorHAnsi" w:hAnsiTheme="minorHAnsi" w:cstheme="minorHAnsi"/>
          <w:sz w:val="22"/>
          <w:szCs w:val="22"/>
        </w:rPr>
        <w:t xml:space="preserve">ASM workers in Madre de Dios are migrants, with the majority coming from the Andes </w:t>
      </w:r>
      <w:r w:rsidRPr="004E053C">
        <w:rPr>
          <w:rFonts w:asciiTheme="minorHAnsi" w:hAnsiTheme="minorHAnsi" w:cstheme="minorHAnsi"/>
          <w:sz w:val="22"/>
          <w:szCs w:val="22"/>
        </w:rPr>
        <w:fldChar w:fldCharType="begin" w:fldLock="1"/>
      </w:r>
      <w:r w:rsidR="007A757C" w:rsidRPr="004E053C">
        <w:rPr>
          <w:rFonts w:asciiTheme="minorHAnsi" w:hAnsiTheme="minorHAnsi"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2016)","manualFormatting":"(Damonte, 2016)","plainTextFormattedCitation":"(Damonte, 2016)","previouslyFormattedCitation":"(Damonte, 2016)"},"properties":{"noteIndex":0},"schema":"https://github.com/citation-style-language/schema/raw/master/csl-citation.json"}</w:instrText>
      </w:r>
      <w:r w:rsidRPr="004E053C">
        <w:rPr>
          <w:rFonts w:asciiTheme="minorHAnsi" w:hAnsiTheme="minorHAnsi" w:cstheme="minorHAnsi"/>
          <w:sz w:val="22"/>
          <w:szCs w:val="22"/>
        </w:rPr>
        <w:fldChar w:fldCharType="separate"/>
      </w:r>
      <w:r w:rsidRPr="004E053C">
        <w:rPr>
          <w:rFonts w:asciiTheme="minorHAnsi" w:hAnsiTheme="minorHAnsi" w:cstheme="minorHAnsi"/>
          <w:noProof/>
          <w:sz w:val="22"/>
          <w:szCs w:val="22"/>
        </w:rPr>
        <w:t>(Damonte, 2016)</w:t>
      </w:r>
      <w:r w:rsidRPr="004E053C">
        <w:rPr>
          <w:rFonts w:asciiTheme="minorHAnsi" w:hAnsiTheme="minorHAnsi" w:cstheme="minorHAnsi"/>
          <w:sz w:val="22"/>
          <w:szCs w:val="22"/>
        </w:rPr>
        <w:fldChar w:fldCharType="end"/>
      </w:r>
      <w:r w:rsidRPr="004E053C">
        <w:rPr>
          <w:rFonts w:asciiTheme="minorHAnsi" w:hAnsiTheme="minorHAnsi" w:cstheme="minorHAnsi"/>
          <w:sz w:val="22"/>
          <w:szCs w:val="22"/>
        </w:rPr>
        <w:t xml:space="preserve">. </w:t>
      </w:r>
    </w:p>
    <w:p w14:paraId="4DAFAC1B" w14:textId="77777777" w:rsidR="00375961" w:rsidRPr="004E053C" w:rsidRDefault="00375961" w:rsidP="004E053C">
      <w:pPr>
        <w:widowControl w:val="0"/>
        <w:autoSpaceDE w:val="0"/>
        <w:autoSpaceDN w:val="0"/>
        <w:adjustRightInd w:val="0"/>
        <w:spacing w:line="360" w:lineRule="auto"/>
        <w:jc w:val="both"/>
        <w:rPr>
          <w:rFonts w:cstheme="minorHAnsi"/>
          <w:sz w:val="22"/>
          <w:szCs w:val="22"/>
        </w:rPr>
      </w:pPr>
    </w:p>
    <w:p w14:paraId="676A5B0D" w14:textId="07982FBD" w:rsidR="00375961" w:rsidRPr="004E053C" w:rsidRDefault="00375961" w:rsidP="004E053C">
      <w:pPr>
        <w:pStyle w:val="NormalWeb"/>
        <w:spacing w:before="0" w:beforeAutospacing="0" w:after="0" w:afterAutospacing="0" w:line="360" w:lineRule="auto"/>
        <w:jc w:val="both"/>
        <w:rPr>
          <w:rFonts w:asciiTheme="minorHAnsi" w:hAnsiTheme="minorHAnsi" w:cstheme="minorHAnsi"/>
          <w:color w:val="000000"/>
          <w:sz w:val="22"/>
          <w:szCs w:val="22"/>
        </w:rPr>
      </w:pPr>
      <w:r w:rsidRPr="004E053C">
        <w:rPr>
          <w:rFonts w:asciiTheme="minorHAnsi" w:hAnsiTheme="minorHAnsi" w:cstheme="minorHAnsi"/>
          <w:color w:val="000000"/>
          <w:sz w:val="22"/>
          <w:szCs w:val="22"/>
        </w:rPr>
        <w:t xml:space="preserve">In recent years improvements in transport and road networks have made migration faster and easier </w:t>
      </w:r>
      <w:r w:rsidRPr="004E053C">
        <w:rPr>
          <w:rFonts w:asciiTheme="minorHAnsi" w:hAnsiTheme="minorHAnsi" w:cstheme="minorHAnsi"/>
          <w:color w:val="000000"/>
          <w:sz w:val="22"/>
          <w:szCs w:val="22"/>
        </w:rPr>
        <w:fldChar w:fldCharType="begin" w:fldLock="1"/>
      </w:r>
      <w:r w:rsidR="00E20F22" w:rsidRPr="004E053C">
        <w:rPr>
          <w:rFonts w:asciiTheme="minorHAnsi" w:hAnsiTheme="minorHAnsi" w:cstheme="minorHAnsi"/>
          <w:color w:val="000000"/>
          <w:sz w:val="22"/>
          <w:szCs w:val="22"/>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2014)","manualFormatting":"(Nyame &amp; Grant, 2014)","plainTextFormattedCitation":"(F. K. Nyame &amp; Grant, 2014)","previouslyFormattedCitation":"(F. K. Nyame &amp; Grant, 2014)"},"properties":{"noteIndex":0},"schema":"https://github.com/citation-style-language/schema/raw/master/csl-citation.json"}</w:instrText>
      </w:r>
      <w:r w:rsidRPr="004E053C">
        <w:rPr>
          <w:rFonts w:asciiTheme="minorHAnsi" w:hAnsiTheme="minorHAnsi" w:cstheme="minorHAnsi"/>
          <w:color w:val="000000"/>
          <w:sz w:val="22"/>
          <w:szCs w:val="22"/>
        </w:rPr>
        <w:fldChar w:fldCharType="separate"/>
      </w:r>
      <w:r w:rsidR="00E20F22" w:rsidRPr="004E053C">
        <w:rPr>
          <w:rFonts w:asciiTheme="minorHAnsi" w:hAnsiTheme="minorHAnsi" w:cstheme="minorHAnsi"/>
          <w:noProof/>
          <w:color w:val="000000"/>
          <w:sz w:val="22"/>
          <w:szCs w:val="22"/>
        </w:rPr>
        <w:t>(</w:t>
      </w:r>
      <w:r w:rsidR="00680892" w:rsidRPr="004E053C">
        <w:rPr>
          <w:rFonts w:asciiTheme="minorHAnsi" w:hAnsiTheme="minorHAnsi" w:cstheme="minorHAnsi"/>
          <w:noProof/>
          <w:color w:val="000000"/>
          <w:sz w:val="22"/>
          <w:szCs w:val="22"/>
        </w:rPr>
        <w:t>Nyame &amp; Grant, 2014)</w:t>
      </w:r>
      <w:r w:rsidRPr="004E053C">
        <w:rPr>
          <w:rFonts w:asciiTheme="minorHAnsi" w:hAnsiTheme="minorHAnsi" w:cstheme="minorHAnsi"/>
          <w:color w:val="000000"/>
          <w:sz w:val="22"/>
          <w:szCs w:val="22"/>
        </w:rPr>
        <w:fldChar w:fldCharType="end"/>
      </w:r>
      <w:r w:rsidRPr="004E053C">
        <w:rPr>
          <w:rFonts w:asciiTheme="minorHAnsi" w:hAnsiTheme="minorHAnsi" w:cstheme="minorHAnsi"/>
          <w:color w:val="000000"/>
          <w:sz w:val="22"/>
          <w:szCs w:val="22"/>
        </w:rPr>
        <w:t xml:space="preserve">. In Peru the Trans-oceanic Highway means that workers from the Andes are able to travel to the mining areas of Madre de Dios to find work with relative ease. </w:t>
      </w:r>
      <w:r w:rsidRPr="004E053C">
        <w:rPr>
          <w:rFonts w:asciiTheme="minorHAnsi" w:hAnsiTheme="minorHAnsi" w:cstheme="minorHAnsi"/>
          <w:sz w:val="22"/>
          <w:szCs w:val="22"/>
        </w:rPr>
        <w:t xml:space="preserve">The highway opened in 2011 and connects Peru and Brazil, passing Puerto Maldonado, Laberinto and a number of informal mining settlements in La Pampa on the way to the border. Although people have migrated to the mining areas seeking work for generations, the creation of the highway has meant the journey now takes hours rather than days. While this road has facilitated the influx of miners in Madre de Dios </w:t>
      </w:r>
      <w:r w:rsidRPr="004E053C">
        <w:rPr>
          <w:rFonts w:asciiTheme="minorHAnsi" w:hAnsiTheme="minorHAnsi" w:cstheme="minorHAnsi"/>
          <w:sz w:val="22"/>
          <w:szCs w:val="22"/>
        </w:rPr>
        <w:fldChar w:fldCharType="begin" w:fldLock="1"/>
      </w:r>
      <w:r w:rsidR="002F0CEA">
        <w:rPr>
          <w:rFonts w:asciiTheme="minorHAnsi" w:hAnsiTheme="minorHAnsi" w:cstheme="minorHAnsi"/>
          <w:sz w:val="22"/>
          <w:szCs w:val="22"/>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2016)","plainTextFormattedCitation":"(Salo et al., 2016)","previouslyFormattedCitation":"(Salo et al., 2016)"},"properties":{"noteIndex":0},"schema":"https://github.com/citation-style-language/schema/raw/master/csl-citation.json"}</w:instrText>
      </w:r>
      <w:r w:rsidRPr="004E053C">
        <w:rPr>
          <w:rFonts w:asciiTheme="minorHAnsi" w:hAnsiTheme="minorHAnsi" w:cstheme="minorHAnsi"/>
          <w:sz w:val="22"/>
          <w:szCs w:val="22"/>
        </w:rPr>
        <w:fldChar w:fldCharType="separate"/>
      </w:r>
      <w:r w:rsidRPr="004E053C">
        <w:rPr>
          <w:rFonts w:asciiTheme="minorHAnsi" w:hAnsiTheme="minorHAnsi" w:cstheme="minorHAnsi"/>
          <w:noProof/>
          <w:sz w:val="22"/>
          <w:szCs w:val="22"/>
        </w:rPr>
        <w:t>(Salo et al., 2016)</w:t>
      </w:r>
      <w:r w:rsidRPr="004E053C">
        <w:rPr>
          <w:rFonts w:asciiTheme="minorHAnsi" w:hAnsiTheme="minorHAnsi" w:cstheme="minorHAnsi"/>
          <w:sz w:val="22"/>
          <w:szCs w:val="22"/>
        </w:rPr>
        <w:fldChar w:fldCharType="end"/>
      </w:r>
      <w:r w:rsidRPr="004E053C">
        <w:rPr>
          <w:rFonts w:asciiTheme="minorHAnsi" w:hAnsiTheme="minorHAnsi" w:cstheme="minorHAnsi"/>
          <w:sz w:val="22"/>
          <w:szCs w:val="22"/>
        </w:rPr>
        <w:t xml:space="preserve"> it has also had a profound impact on life in these Andean villages. </w:t>
      </w:r>
      <w:r w:rsidRPr="004E053C">
        <w:rPr>
          <w:rFonts w:asciiTheme="minorHAnsi" w:hAnsiTheme="minorHAnsi" w:cstheme="minorHAnsi"/>
          <w:color w:val="000000"/>
          <w:sz w:val="22"/>
          <w:szCs w:val="22"/>
        </w:rPr>
        <w:t xml:space="preserve">At the same time, improvements in telecommunications enable miners to gain and respond to information about </w:t>
      </w:r>
      <w:r w:rsidRPr="004E053C">
        <w:rPr>
          <w:rFonts w:asciiTheme="minorHAnsi" w:hAnsiTheme="minorHAnsi" w:cstheme="minorHAnsi"/>
          <w:color w:val="000000"/>
          <w:sz w:val="22"/>
          <w:szCs w:val="22"/>
        </w:rPr>
        <w:lastRenderedPageBreak/>
        <w:t xml:space="preserve">new deposits and average earnings in other locations, whilst also making it easier to maintain links with their families at home </w:t>
      </w:r>
      <w:r w:rsidRPr="004E053C">
        <w:rPr>
          <w:rFonts w:asciiTheme="minorHAnsi" w:hAnsiTheme="minorHAnsi" w:cstheme="minorHAnsi"/>
          <w:color w:val="000000"/>
          <w:sz w:val="22"/>
          <w:szCs w:val="22"/>
        </w:rPr>
        <w:fldChar w:fldCharType="begin" w:fldLock="1"/>
      </w:r>
      <w:r w:rsidR="00E20F22" w:rsidRPr="004E053C">
        <w:rPr>
          <w:rFonts w:asciiTheme="minorHAnsi" w:hAnsiTheme="minorHAnsi" w:cstheme="minorHAnsi"/>
          <w:color w:val="000000"/>
          <w:sz w:val="22"/>
          <w:szCs w:val="22"/>
        </w:rPr>
        <w:instrText>ADDIN CSL_CITATION {"citationItems":[{"id":"ITEM-1","itemData":{"abstract":"While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Society","id":"ITEM-1","issue":"1","issued":{"date-parts":[["2014"]]},"page":"75-85","publisher":"Elsevier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operators","type":"article-journal","volume":"1"},"uris":["http://www.mendeley.com/documents/?uuid=56fd2b4b-fd5a-31ef-a59e-d2c754808936"]}],"mendeley":{"formattedCitation":"(F. K. Nyame &amp; Grant, 2014)","manualFormatting":"(Nyame &amp; Grant, 2014)","plainTextFormattedCitation":"(F. K. Nyame &amp; Grant, 2014)","previouslyFormattedCitation":"(F. K. Nyame &amp; Grant, 2014)"},"properties":{"noteIndex":0},"schema":"https://github.com/citation-style-language/schema/raw/master/csl-citation.json"}</w:instrText>
      </w:r>
      <w:r w:rsidRPr="004E053C">
        <w:rPr>
          <w:rFonts w:asciiTheme="minorHAnsi" w:hAnsiTheme="minorHAnsi" w:cstheme="minorHAnsi"/>
          <w:color w:val="000000"/>
          <w:sz w:val="22"/>
          <w:szCs w:val="22"/>
        </w:rPr>
        <w:fldChar w:fldCharType="separate"/>
      </w:r>
      <w:r w:rsidR="00E20F22" w:rsidRPr="004E053C">
        <w:rPr>
          <w:rFonts w:asciiTheme="minorHAnsi" w:hAnsiTheme="minorHAnsi" w:cstheme="minorHAnsi"/>
          <w:noProof/>
          <w:color w:val="000000"/>
          <w:sz w:val="22"/>
          <w:szCs w:val="22"/>
        </w:rPr>
        <w:t>(</w:t>
      </w:r>
      <w:r w:rsidR="00680892" w:rsidRPr="004E053C">
        <w:rPr>
          <w:rFonts w:asciiTheme="minorHAnsi" w:hAnsiTheme="minorHAnsi" w:cstheme="minorHAnsi"/>
          <w:noProof/>
          <w:color w:val="000000"/>
          <w:sz w:val="22"/>
          <w:szCs w:val="22"/>
        </w:rPr>
        <w:t>Nyame &amp; Grant, 2014)</w:t>
      </w:r>
      <w:r w:rsidRPr="004E053C">
        <w:rPr>
          <w:rFonts w:asciiTheme="minorHAnsi" w:hAnsiTheme="minorHAnsi" w:cstheme="minorHAnsi"/>
          <w:color w:val="000000"/>
          <w:sz w:val="22"/>
          <w:szCs w:val="22"/>
        </w:rPr>
        <w:fldChar w:fldCharType="end"/>
      </w:r>
      <w:r w:rsidRPr="004E053C">
        <w:rPr>
          <w:rFonts w:asciiTheme="minorHAnsi" w:hAnsiTheme="minorHAnsi" w:cstheme="minorHAnsi"/>
          <w:color w:val="000000"/>
          <w:sz w:val="22"/>
          <w:szCs w:val="22"/>
        </w:rPr>
        <w:t xml:space="preserve">. </w:t>
      </w:r>
    </w:p>
    <w:p w14:paraId="7633FA5B" w14:textId="77777777" w:rsidR="00375961" w:rsidRPr="004E053C" w:rsidRDefault="00375961" w:rsidP="004E053C">
      <w:pPr>
        <w:pStyle w:val="NormalWeb"/>
        <w:spacing w:before="0" w:beforeAutospacing="0" w:after="0" w:afterAutospacing="0" w:line="360" w:lineRule="auto"/>
        <w:jc w:val="both"/>
        <w:rPr>
          <w:rFonts w:asciiTheme="minorHAnsi" w:hAnsiTheme="minorHAnsi" w:cstheme="minorHAnsi"/>
          <w:color w:val="000000"/>
          <w:sz w:val="22"/>
          <w:szCs w:val="22"/>
        </w:rPr>
      </w:pPr>
    </w:p>
    <w:p w14:paraId="43185FD5" w14:textId="2292C415" w:rsidR="00375961" w:rsidRPr="004E053C" w:rsidRDefault="00375961" w:rsidP="004E053C">
      <w:pPr>
        <w:spacing w:line="360" w:lineRule="auto"/>
        <w:jc w:val="both"/>
        <w:rPr>
          <w:rFonts w:cstheme="minorHAnsi"/>
          <w:sz w:val="22"/>
          <w:szCs w:val="22"/>
        </w:rPr>
      </w:pPr>
      <w:r w:rsidRPr="004E053C">
        <w:rPr>
          <w:rFonts w:cstheme="minorHAnsi"/>
          <w:sz w:val="22"/>
          <w:szCs w:val="22"/>
        </w:rPr>
        <w:t>Numerous towns in Peru have boomed in recent years due to the presence of the mining industry and many open mines nearby which draw migrants from all</w:t>
      </w:r>
      <w:r w:rsidR="00E20F22" w:rsidRPr="004E053C">
        <w:rPr>
          <w:rFonts w:cstheme="minorHAnsi"/>
          <w:sz w:val="22"/>
          <w:szCs w:val="22"/>
        </w:rPr>
        <w:t xml:space="preserve"> over the country </w:t>
      </w:r>
      <w:r w:rsidR="00E20F22"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{"citationItems":[{"id":"ITEM-1","itemData":{"abstract":"Migration is often conceptualised as a failure to adapt to environmental risks and change, while new research suggests migration is an effective front-line response to environmental degradation. This thesis investigates the social and environmental mechanisms that lead to individuals adopting migration as an adaptation to environmental change. It argues that the use of migration as a response to environmental change depends on the ecosystem services available at location, the mobility characteristics of the individual and the degree to which ecosystem contribute to place utility. I interpret place utility as a function of both instrumental and affective bonds to place. The research tests these ideas in a highland migrant sending area in a small coastal valley of Peru, geographically and culturally connected to the capital city Lima but predominantly rural in nature. The area has established rural-urban migration networks and a complex social-ecological system vulnerable to climate change. Data on mobility characteristics, contributors to place utility and use of ecosystem services in the rural sending area were collected through household surveys and semi-structured interviews. Four settlements were sampled along an altitudinal transect representing different ecological zones as well as different access to off-farm employment and other opportunities. Analysis of the primary data shows that individuals gain utility from non-provisioning ecosystem services independently of reliance on provisioning ecosystem services. These impacts of climate change that previously only had a cultural significance take on significance in terms of migration. The data show that individuals remain in location because of positive place utility or low mobility potential. I conclude that a likely result of environmental change is an increase in dissatisfaction with no significant changes in the composition of the population. Low mobility potential, a function of affective bonds to place, prevents dissatisfied people from migrating. The thesis shows that populations are likely to be persistent in the face of environmental change. Understanding why individuals remain in location reveals the viability of migration as an adaptation to environmental change.","author":[{"dropping-particle":"","family":"Adams","given":"Helen","non-dropping-particle":"","parse-names":false,"suffix":""}],"id":"ITEM-1","issued":{"date-parts":[["2012"]]},"publisher":"University of East Anglia","title":"Migration decision-making under environmental change: place utility, mobility and ecosystem services in highland Peru","type":"thesis"},"uris":["http://www.mendeley.com/documents/?uuid=d3afa8f5-f881-36bf-88d5-2459f77d2b36"]}],"mendeley":{"formattedCitation":"(Adams, 2012)","plainTextFormattedCitation":"(Adams, 2012)","previouslyFormattedCitation":"(Adams, 2012)"},"properties":{"noteIndex":0},"schema":"https://github.com/citation-style-language/schema/raw/master/csl-citation.json"}</w:instrText>
      </w:r>
      <w:r w:rsidR="00E20F22" w:rsidRPr="004E053C">
        <w:rPr>
          <w:rFonts w:cstheme="minorHAnsi"/>
          <w:sz w:val="22"/>
          <w:szCs w:val="22"/>
        </w:rPr>
        <w:fldChar w:fldCharType="separate"/>
      </w:r>
      <w:r w:rsidR="00E20F22" w:rsidRPr="004E053C">
        <w:rPr>
          <w:rFonts w:cstheme="minorHAnsi"/>
          <w:noProof/>
          <w:sz w:val="22"/>
          <w:szCs w:val="22"/>
        </w:rPr>
        <w:t>(Adams, 2012)</w:t>
      </w:r>
      <w:r w:rsidR="00E20F22" w:rsidRPr="004E053C">
        <w:rPr>
          <w:rFonts w:cstheme="minorHAnsi"/>
          <w:sz w:val="22"/>
          <w:szCs w:val="22"/>
        </w:rPr>
        <w:fldChar w:fldCharType="end"/>
      </w:r>
      <w:r w:rsidR="00E20F22" w:rsidRPr="004E053C">
        <w:rPr>
          <w:rFonts w:cstheme="minorHAnsi"/>
          <w:sz w:val="22"/>
          <w:szCs w:val="22"/>
        </w:rPr>
        <w:t>.</w:t>
      </w:r>
      <w:r w:rsidRPr="004E053C">
        <w:rPr>
          <w:rFonts w:cstheme="minorHAnsi"/>
          <w:sz w:val="22"/>
          <w:szCs w:val="22"/>
        </w:rPr>
        <w:t xml:space="preserve"> Adams suggests that these mining boomtowns may lack the sustainability of rural communities, which are hardened to change because they have survived multiple socio-economic upheavals</w:t>
      </w:r>
      <w:r w:rsidR="00E20F22" w:rsidRPr="004E053C">
        <w:rPr>
          <w:rFonts w:cstheme="minorHAnsi"/>
          <w:sz w:val="22"/>
          <w:szCs w:val="22"/>
        </w:rPr>
        <w:t xml:space="preserve"> </w:t>
      </w:r>
      <w:r w:rsidR="00E20F22"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{"citationItems":[{"id":"ITEM-1","itemData":{"abstract":"Migration is often conceptualised as a failure to adapt to environmental risks and change, while new research suggests migration is an effective front-line response to environmental degradation. This thesis investigates the social and environmental mechanisms that lead to individuals adopting migration as an adaptation to environmental change. It argues that the use of migration as a response to environmental change depends on the ecosystem services available at location, the mobility characteristics of the individual and the degree to which ecosystem contribute to place utility. I interpret place utility as a function of both instrumental and affective bonds to place. The research tests these ideas in a highland migrant sending area in a small coastal valley of Peru, geographically and culturally connected to the capital city Lima but predominantly rural in nature. The area has established rural-urban migration networks and a complex social-ecological system vulnerable to climate change. Data on mobility characteristics, contributors to place utility and use of ecosystem services in the rural sending area were collected through household surveys and semi-structured interviews. Four settlements were sampled along an altitudinal transect representing different ecological zones as well as different access to off-farm employment and other opportunities. Analysis of the primary data shows that individuals gain utility from non-provisioning ecosystem services independently of reliance on provisioning ecosystem services. These impacts of climate change that previously only had a cultural significance take on significance in terms of migration. The data show that individuals remain in location because of positive place utility or low mobility potential. I conclude that a likely result of environmental change is an increase in dissatisfaction with no significant changes in the composition of the population. Low mobility potential, a function of affective bonds to place, prevents dissatisfied people from migrating. The thesis shows that populations are likely to be persistent in the face of environmental change. Understanding why individuals remain in location reveals the viability of migration as an adaptation to environmental change.","author":[{"dropping-particle":"","family":"Adams","given":"Helen","non-dropping-particle":"","parse-names":false,"suffix":""}],"id":"ITEM-1","issued":{"date-parts":[["2012"]]},"publisher":"University of East Anglia","title":"Migration decision-making under environmental change: place utility, mobility and ecosystem services in highland Peru","type":"thesis"},"uris":["http://www.mendeley.com/documents/?uuid=d3afa8f5-f881-36bf-88d5-2459f77d2b36"]}],"mendeley":{"formattedCitation":"(Adams, 2012)","manualFormatting":"(Ibid.)","plainTextFormattedCitation":"(Adams, 2012)","previouslyFormattedCitation":"(Adams, 2012)"},"properties":{"noteIndex":0},"schema":"https://github.com/citation-style-language/schema/raw/master/csl-citation.json"}</w:instrText>
      </w:r>
      <w:r w:rsidR="00E20F22" w:rsidRPr="004E053C">
        <w:rPr>
          <w:rFonts w:cstheme="minorHAnsi"/>
          <w:sz w:val="22"/>
          <w:szCs w:val="22"/>
        </w:rPr>
        <w:fldChar w:fldCharType="separate"/>
      </w:r>
      <w:r w:rsidR="00E20F22" w:rsidRPr="004E053C">
        <w:rPr>
          <w:rFonts w:cstheme="minorHAnsi"/>
          <w:noProof/>
          <w:sz w:val="22"/>
          <w:szCs w:val="22"/>
        </w:rPr>
        <w:t>(Ibid.)</w:t>
      </w:r>
      <w:r w:rsidR="00E20F22" w:rsidRPr="004E053C">
        <w:rPr>
          <w:rFonts w:cstheme="minorHAnsi"/>
          <w:sz w:val="22"/>
          <w:szCs w:val="22"/>
        </w:rPr>
        <w:fldChar w:fldCharType="end"/>
      </w:r>
      <w:r w:rsidR="00697A46" w:rsidRPr="004E053C">
        <w:rPr>
          <w:rFonts w:cstheme="minorHAnsi"/>
          <w:sz w:val="22"/>
          <w:szCs w:val="22"/>
        </w:rPr>
        <w:t>.</w:t>
      </w:r>
      <w:r w:rsidRPr="004E053C">
        <w:rPr>
          <w:rFonts w:cstheme="minorHAnsi"/>
          <w:sz w:val="22"/>
          <w:szCs w:val="22"/>
        </w:rPr>
        <w:t xml:space="preserve"> The limited knowledge that exists on mining communities suggests that migrants in Madre de Dios are a diverse group, including formal and informal rights holders, invited guests exploiting holdings in exchange for a royalty payment, paid workers, and individual independent miners </w:t>
      </w:r>
      <w:r w:rsidRPr="004E053C">
        <w:rPr>
          <w:rFonts w:cstheme="minorHAnsi"/>
          <w:sz w:val="22"/>
          <w:szCs w:val="22"/>
        </w:rPr>
        <w:fldChar w:fldCharType="begin" w:fldLock="1"/>
      </w:r>
      <w:r w:rsidR="002F0CEA">
        <w:rPr>
          <w:rFonts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Amazon","type":"article-journal","volume":"48"},"uris":["http://www.mendeley.com/documents/?uuid=fc7d8531-86b5-35b7-a817-8d0034336ad3"]},{"id":"ITEM-2","itemData":{"abstract":"A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Society","id":"ITEM-2","issue":"4","issued":{"date-parts":[["2016"]]},"page":"1058-1066","publisher":"Elsevier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Peru","type":"article-journal","volume":"3"},"uris":["http://www.mendeley.com/documents/?uuid=c58e85fb-cf81-4a8b-acb3-317eb51efe53"]}],"mendeley":{"formattedCitation":"(Damonte, 2016; Salo et al., 2016)","manualFormatting":"(Damonte, 2016; Salo et al., 2016)","plainTextFormattedCitation":"(Damonte, 2016; Salo et al., 2016)","previouslyFormattedCitation":"(Damonte, 2016; Salo et al., 2016)"},"properties":{"noteIndex":0},"schema":"https://github.com/citation-style-language/schema/raw/master/csl-citation.json"}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(Damonte, 2016; Salo et al., 2016)</w:t>
      </w:r>
      <w:r w:rsidRPr="004E053C">
        <w:rPr>
          <w:rFonts w:cstheme="minorHAnsi"/>
          <w:sz w:val="22"/>
          <w:szCs w:val="22"/>
        </w:rPr>
        <w:fldChar w:fldCharType="end"/>
      </w:r>
      <w:r w:rsidRPr="004E053C">
        <w:rPr>
          <w:rFonts w:cstheme="minorHAnsi"/>
          <w:sz w:val="22"/>
          <w:szCs w:val="22"/>
        </w:rPr>
        <w:t xml:space="preserve">. Damonte </w:t>
      </w:r>
      <w:r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2016)","manualFormatting":"(2016)","plainTextFormattedCitation":"(Damonte, 2016)","previouslyFormattedCitation":"(Damonte, 2016)"},"properties":{"noteIndex":0},"schema":"https://github.com/citation-style-language/schema/raw/master/csl-citation.json"}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(2016)</w:t>
      </w:r>
      <w:r w:rsidRPr="004E053C">
        <w:rPr>
          <w:rFonts w:cstheme="minorHAnsi"/>
          <w:sz w:val="22"/>
          <w:szCs w:val="22"/>
        </w:rPr>
        <w:fldChar w:fldCharType="end"/>
      </w:r>
      <w:r w:rsidRPr="004E053C">
        <w:rPr>
          <w:rFonts w:cstheme="minorHAnsi"/>
          <w:sz w:val="22"/>
          <w:szCs w:val="22"/>
        </w:rPr>
        <w:t xml:space="preserve"> suggested that the practical knowledge that these miners have provides them with an understanding of place and a sense of belonging, although he does not elaborate on this. Similar to Walsh’s observations in Madagascar, while the majority of miners are Andean immigrants, Damonte </w:t>
      </w:r>
      <w:r w:rsidRPr="004E053C">
        <w:rPr>
          <w:rFonts w:cstheme="minorHAnsi"/>
          <w:sz w:val="22"/>
          <w:szCs w:val="22"/>
        </w:rPr>
        <w:fldChar w:fldCharType="begin" w:fldLock="1"/>
      </w:r>
      <w:r w:rsidR="007A757C" w:rsidRPr="004E053C">
        <w:rPr>
          <w:rFonts w:cstheme="minorHAnsi"/>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2016)","manualFormatting":"(2016)","plainTextFormattedCitation":"(Damonte, 2016)","previouslyFormattedCitation":"(Damonte, 2016)"},"properties":{"noteIndex":0},"schema":"https://github.com/citation-style-language/schema/raw/master/csl-citation.json"}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(2016)</w:t>
      </w:r>
      <w:r w:rsidRPr="004E053C">
        <w:rPr>
          <w:rFonts w:cstheme="minorHAnsi"/>
          <w:sz w:val="22"/>
          <w:szCs w:val="22"/>
        </w:rPr>
        <w:fldChar w:fldCharType="end"/>
      </w:r>
      <w:r w:rsidRPr="004E053C">
        <w:rPr>
          <w:rFonts w:cstheme="minorHAnsi"/>
          <w:sz w:val="22"/>
          <w:szCs w:val="22"/>
        </w:rPr>
        <w:t xml:space="preserve"> noted there exists some important distinctions between ‘new’ settlers and ‘old’ mining groups who have lived in the area for many years. </w:t>
      </w:r>
    </w:p>
    <w:p w14:paraId="19214214" w14:textId="77777777" w:rsidR="00375961" w:rsidRPr="004E053C" w:rsidRDefault="00375961" w:rsidP="004E053C">
      <w:pPr>
        <w:spacing w:line="360" w:lineRule="auto"/>
        <w:jc w:val="both"/>
        <w:rPr>
          <w:rFonts w:cstheme="minorHAnsi"/>
          <w:sz w:val="22"/>
          <w:szCs w:val="22"/>
        </w:rPr>
      </w:pPr>
    </w:p>
    <w:p w14:paraId="2BF0A89F" w14:textId="16F284C5" w:rsidR="00375961" w:rsidRPr="004E053C" w:rsidRDefault="00502226" w:rsidP="004E053C">
      <w:pPr>
        <w:pStyle w:val="Heading2"/>
        <w:spacing w:before="0" w:line="360" w:lineRule="auto"/>
        <w:jc w:val="both"/>
      </w:pPr>
      <w:bookmarkStart w:id="42" w:name="_Toc33293088"/>
      <w:r w:rsidRPr="004E053C">
        <w:t>3.</w:t>
      </w:r>
      <w:r w:rsidR="00375961" w:rsidRPr="004E053C">
        <w:t>6. Resistance</w:t>
      </w:r>
      <w:bookmarkEnd w:id="42"/>
    </w:p>
    <w:p w14:paraId="4A81ADCF" w14:textId="77777777" w:rsidR="00375961" w:rsidRPr="004E053C" w:rsidRDefault="00375961" w:rsidP="004E053C">
      <w:pPr>
        <w:spacing w:line="360" w:lineRule="auto"/>
        <w:jc w:val="both"/>
        <w:rPr>
          <w:rFonts w:cstheme="minorHAnsi"/>
          <w:b/>
          <w:sz w:val="22"/>
          <w:szCs w:val="22"/>
        </w:rPr>
      </w:pPr>
    </w:p>
    <w:p w14:paraId="47CFEAC5" w14:textId="75A0D1C1" w:rsidR="00BD0A7C" w:rsidRPr="004E053C" w:rsidRDefault="00375961" w:rsidP="004E053C">
      <w:pPr>
        <w:spacing w:line="360" w:lineRule="auto"/>
        <w:jc w:val="both"/>
        <w:rPr>
          <w:rFonts w:cstheme="minorHAnsi"/>
          <w:sz w:val="22"/>
          <w:szCs w:val="22"/>
        </w:rPr>
      </w:pPr>
      <w:r w:rsidRPr="004E053C">
        <w:rPr>
          <w:rFonts w:cstheme="minorHAnsi"/>
          <w:sz w:val="22"/>
          <w:szCs w:val="22"/>
        </w:rPr>
        <w:t>Forms of resistance, ranging from the every-day to extreme violence, feature strongly throughout Peru’s history. This stretches back to colonial times, where the Inca’s sought to resist the conquest of the European settlers. This resistance was on the part of indigenous communities who had borne the brunt of war, disease and religious imperialism forced on them by the Spa</w:t>
      </w:r>
      <w:r w:rsidR="00E20F22" w:rsidRPr="004E053C">
        <w:rPr>
          <w:rFonts w:cstheme="minorHAnsi"/>
          <w:sz w:val="22"/>
          <w:szCs w:val="22"/>
        </w:rPr>
        <w:t xml:space="preserve">nish conquestors </w:t>
      </w:r>
      <w:r w:rsidR="00E20F22" w:rsidRPr="004E053C">
        <w:rPr>
          <w:rFonts w:cstheme="minorHAnsi"/>
          <w:sz w:val="22"/>
          <w:szCs w:val="22"/>
        </w:rPr>
        <w:fldChar w:fldCharType="begin" w:fldLock="1"/>
      </w:r>
      <w:r w:rsidR="00E20F22" w:rsidRPr="004E053C">
        <w:rPr>
          <w:rFonts w:cstheme="minorHAnsi"/>
          <w:sz w:val="22"/>
          <w:szCs w:val="22"/>
        </w:rPr>
        <w:instrText>ADDIN CSL_CITATION {"citationItems":[{"id":"ITEM-1","itemData":{"author":[{"dropping-particle":"","family":"Vincent","given":"Susan","non-dropping-particle":"","parse-names":false,"suffix":""}],"id":"ITEM-1","issued":{"date-parts":[["2012"]]},"publisher":"University of Toronto Press","publisher-place":"Toronto","title":"Dimensions of Development: History, Community and change in Allpachico, Peru","type":"book"},"uris":["http://www.mendeley.com/documents/?uuid=603c62e5-2f15-4da1-bb21-bffc1ac2f14e"]}],"mendeley":{"formattedCitation":"(Vincent, 2012b)","plainTextFormattedCitation":"(Vincent, 2012b)","previouslyFormattedCitation":"(Vincent, 2012b)"},"properties":{"noteIndex":0},"schema":"https://github.com/citation-style-language/schema/raw/master/csl-citation.json"}</w:instrText>
      </w:r>
      <w:r w:rsidR="00E20F22" w:rsidRPr="004E053C">
        <w:rPr>
          <w:rFonts w:cstheme="minorHAnsi"/>
          <w:sz w:val="22"/>
          <w:szCs w:val="22"/>
        </w:rPr>
        <w:fldChar w:fldCharType="separate"/>
      </w:r>
      <w:r w:rsidR="00E20F22" w:rsidRPr="004E053C">
        <w:rPr>
          <w:rFonts w:cstheme="minorHAnsi"/>
          <w:noProof/>
          <w:sz w:val="22"/>
          <w:szCs w:val="22"/>
        </w:rPr>
        <w:t>(Vincent, 2012b)</w:t>
      </w:r>
      <w:r w:rsidR="00E20F22" w:rsidRPr="004E053C">
        <w:rPr>
          <w:rFonts w:cstheme="minorHAnsi"/>
          <w:sz w:val="22"/>
          <w:szCs w:val="22"/>
        </w:rPr>
        <w:fldChar w:fldCharType="end"/>
      </w:r>
      <w:r w:rsidRPr="004E053C">
        <w:rPr>
          <w:rFonts w:cstheme="minorHAnsi"/>
          <w:sz w:val="22"/>
          <w:szCs w:val="22"/>
        </w:rPr>
        <w:t xml:space="preserve">. However, resistance has also been a defining feature of modern history and economic development, most notably during the decades of land conflict that resulted in the removal of the haciendas </w:t>
      </w:r>
      <w:r w:rsidR="00E20F22" w:rsidRPr="004E053C">
        <w:rPr>
          <w:rFonts w:cstheme="minorHAnsi"/>
          <w:sz w:val="22"/>
          <w:szCs w:val="22"/>
        </w:rPr>
        <w:fldChar w:fldCharType="begin" w:fldLock="1"/>
      </w:r>
      <w:r w:rsidR="007A757C" w:rsidRPr="004E053C">
        <w:rPr>
          <w:rFonts w:cstheme="minorHAnsi"/>
          <w:sz w:val="22"/>
          <w:szCs w:val="22"/>
        </w:rPr>
        <w:instrText>ADDIN CSL_CITATION {"citationItems":[{"id":"ITEM-1","itemData":{"author":[{"dropping-particle":"","family":"Becker","given":"David G.","non-dropping-particle":"","parse-names":false,"suffix":""}],"id":"ITEM-1","issued":{"date-parts":[["1983"]]},"number-of-pages":"419","publisher":"Princeton University Press","publisher-place":"Princeton, NJ","title":"The New Bourgeoisie and the Limits of Dependency: Mining, Class and Power in 'Revolutionary' Peru","type":"book"},"uris":["http://www.mendeley.com/documents/?uuid=13c0adb1-662f-4977-bb07-3645e008f35c"]}],"mendeley":{"formattedCitation":"(D. G. Becker, 1983)","manualFormatting":"(Becker, 1983)","plainTextFormattedCitation":"(D. G. Becker, 1983)","previouslyFormattedCitation":"(D. G. Becker, 1983)"},"properties":{"noteIndex":0},"schema":"https://github.com/citation-style-language/schema/raw/master/csl-citation.json"}</w:instrText>
      </w:r>
      <w:r w:rsidR="00E20F22" w:rsidRPr="004E053C">
        <w:rPr>
          <w:rFonts w:cstheme="minorHAnsi"/>
          <w:sz w:val="22"/>
          <w:szCs w:val="22"/>
        </w:rPr>
        <w:fldChar w:fldCharType="separate"/>
      </w:r>
      <w:r w:rsidR="00E20F22" w:rsidRPr="004E053C">
        <w:rPr>
          <w:rFonts w:cstheme="minorHAnsi"/>
          <w:noProof/>
          <w:sz w:val="22"/>
          <w:szCs w:val="22"/>
        </w:rPr>
        <w:t>(Becker, 1983)</w:t>
      </w:r>
      <w:r w:rsidR="00E20F22" w:rsidRPr="004E053C">
        <w:rPr>
          <w:rFonts w:cstheme="minorHAnsi"/>
          <w:sz w:val="22"/>
          <w:szCs w:val="22"/>
        </w:rPr>
        <w:fldChar w:fldCharType="end"/>
      </w:r>
      <w:r w:rsidRPr="004E053C">
        <w:rPr>
          <w:rFonts w:cstheme="minorHAnsi"/>
          <w:sz w:val="22"/>
          <w:szCs w:val="22"/>
        </w:rPr>
        <w:t>. This has been</w:t>
      </w:r>
      <w:r w:rsidR="00697A46" w:rsidRPr="004E053C">
        <w:rPr>
          <w:rFonts w:cstheme="minorHAnsi"/>
          <w:sz w:val="22"/>
          <w:szCs w:val="22"/>
        </w:rPr>
        <w:t xml:space="preserve"> well documented by Smith </w:t>
      </w:r>
      <w:r w:rsidR="00697A46" w:rsidRPr="004E053C">
        <w:rPr>
          <w:rFonts w:cstheme="minorHAnsi"/>
          <w:sz w:val="22"/>
          <w:szCs w:val="22"/>
        </w:rPr>
        <w:fldChar w:fldCharType="begin" w:fldLock="1"/>
      </w:r>
      <w:r w:rsidR="00B12F90" w:rsidRPr="004E053C">
        <w:rPr>
          <w:rFonts w:cstheme="minorHAnsi"/>
          <w:sz w:val="22"/>
          <w:szCs w:val="22"/>
        </w:rPr>
        <w:instrText>ADDIN CSL_CITATION {"citationItems":[{"id":"ITEM-1","itemData":{"author":[{"dropping-particle":"","family":"Smith","given":"Gavin","non-dropping-particle":"","parse-names":false,"suffix":""}],"id":"ITEM-1","issued":{"date-parts":[["1989"]]},"number-of-pages":"279","publisher":"University of California Press","publisher-place":"Oxford","title":"Livelihood and Resistance: Peasants and the Politics of Land in Peru","type":"book"},"uris":["http://www.mendeley.com/documents/?uuid=182fe83b-45d3-3a46-80df-4e21dbaf597c"]}],"mendeley":{"formattedCitation":"(G. Smith, 1989)","manualFormatting":"(1989)","plainTextFormattedCitation":"(G. Smith, 1989)","previouslyFormattedCitation":"(G. Smith, 1989)"},"properties":{"noteIndex":0},"schema":"https://github.com/citation-style-language/schema/raw/master/csl-citation.json"}</w:instrText>
      </w:r>
      <w:r w:rsidR="00697A46" w:rsidRPr="004E053C">
        <w:rPr>
          <w:rFonts w:cstheme="minorHAnsi"/>
          <w:sz w:val="22"/>
          <w:szCs w:val="22"/>
        </w:rPr>
        <w:fldChar w:fldCharType="separate"/>
      </w:r>
      <w:r w:rsidR="00697A46" w:rsidRPr="004E053C">
        <w:rPr>
          <w:rFonts w:cstheme="minorHAnsi"/>
          <w:noProof/>
          <w:sz w:val="22"/>
          <w:szCs w:val="22"/>
        </w:rPr>
        <w:t>(1989)</w:t>
      </w:r>
      <w:r w:rsidR="00697A46" w:rsidRPr="004E053C">
        <w:rPr>
          <w:rFonts w:cstheme="minorHAnsi"/>
          <w:sz w:val="22"/>
          <w:szCs w:val="22"/>
        </w:rPr>
        <w:fldChar w:fldCharType="end"/>
      </w:r>
      <w:r w:rsidRPr="004E053C">
        <w:rPr>
          <w:rFonts w:cstheme="minorHAnsi"/>
          <w:sz w:val="22"/>
          <w:szCs w:val="22"/>
        </w:rPr>
        <w:t xml:space="preserve"> in his description of the political resistance and violence instigated by rural peasants as they attempted to claim back their land. These actions provoked a change in government, widespread land reform and the introduction of development policy and planning </w:t>
      </w:r>
      <w:r w:rsidR="00BD0A7C" w:rsidRPr="004E053C">
        <w:rPr>
          <w:rFonts w:cstheme="minorHAnsi"/>
          <w:sz w:val="22"/>
          <w:szCs w:val="22"/>
        </w:rPr>
        <w:fldChar w:fldCharType="begin" w:fldLock="1"/>
      </w:r>
      <w:r w:rsidR="00BD0A7C" w:rsidRPr="004E053C">
        <w:rPr>
          <w:rFonts w:cstheme="minorHAnsi"/>
          <w:sz w:val="22"/>
          <w:szCs w:val="22"/>
        </w:rPr>
        <w:instrText>ADDIN CSL_CITATION {"citationItems":[{"id":"ITEM-1","itemData":{"author":[{"dropping-particle":"","family":"Smith","given":"Gavin","non-dropping-particle":"","parse-names":false,"suffix":""}],"id":"ITEM-1","issued":{"date-parts":[["1989"]]},"number-of-pages":"279","publisher":"University of California Press","publisher-place":"Oxford","title":"Livelihood and Resistance: Peasants and the Politics of Land in Peru","type":"book"},"uris":["http://www.mendeley.com/documents/?uuid=182fe83b-45d3-3a46-80df-4e21dbaf597c"]}],"mendeley":{"formattedCitation":"(G. Smith, 1989)","manualFormatting":"(Ibid.)","plainTextFormattedCitation":"(G. Smith, 1989)","previouslyFormattedCitation":"(G. Smith, 1989)"},"properties":{"noteIndex":0},"schema":"https://github.com/citation-style-language/schema/raw/master/csl-citation.json"}</w:instrText>
      </w:r>
      <w:r w:rsidR="00BD0A7C" w:rsidRPr="004E053C">
        <w:rPr>
          <w:rFonts w:cstheme="minorHAnsi"/>
          <w:sz w:val="22"/>
          <w:szCs w:val="22"/>
        </w:rPr>
        <w:fldChar w:fldCharType="separate"/>
      </w:r>
      <w:r w:rsidR="00BD0A7C" w:rsidRPr="004E053C">
        <w:rPr>
          <w:rFonts w:cstheme="minorHAnsi"/>
          <w:noProof/>
          <w:sz w:val="22"/>
          <w:szCs w:val="22"/>
        </w:rPr>
        <w:t>(Ibid.)</w:t>
      </w:r>
      <w:r w:rsidR="00BD0A7C" w:rsidRPr="004E053C">
        <w:rPr>
          <w:rFonts w:cstheme="minorHAnsi"/>
          <w:sz w:val="22"/>
          <w:szCs w:val="22"/>
        </w:rPr>
        <w:fldChar w:fldCharType="end"/>
      </w:r>
      <w:r w:rsidRPr="004E053C">
        <w:rPr>
          <w:rFonts w:cstheme="minorHAnsi"/>
          <w:sz w:val="22"/>
          <w:szCs w:val="22"/>
        </w:rPr>
        <w:t xml:space="preserve">. Women have also had an important role in Peru’s struggles, which is reflected in the proliferation of women’s collective organisations </w:t>
      </w:r>
      <w:r w:rsidR="00BD0A7C" w:rsidRPr="004E053C">
        <w:rPr>
          <w:rFonts w:cstheme="minorHAnsi"/>
          <w:sz w:val="22"/>
          <w:szCs w:val="22"/>
        </w:rPr>
        <w:fldChar w:fldCharType="begin" w:fldLock="1"/>
      </w:r>
      <w:r w:rsidR="002F0CEA">
        <w:rPr>
          <w:rFonts w:cstheme="minorHAnsi"/>
          <w:sz w:val="22"/>
          <w:szCs w:val="22"/>
        </w:rPr>
        <w:instrText>ADDIN CSL_CITATION {"citationItems":[{"id":"ITEM-1","itemData":{"abstract":"Since the early 1980s, development in Latin America has been defined by neo-liberal restructuring in response to the region's precarious debt. This paper examines the distinctly gendered impact of structural adjustment by analysing, first, the changing status of women's lives under neo-liberal reform and, second, their efforts to mitigate the deteriorating status of their households. The formation of community kitchens and village banks by women in shanty towns surrounding Lima offer examples of grassroots organisation to ensure collective survival and development. Such efforts constitute acts of resistance to neo-liberal restructuring and, hence, are part of a broader movement of resistance to neo-liberalism as a prescription for economic recovery and development.","author":[{"dropping-particle":"","family":"Hays-Mitchell","given":"Maureen","non-dropping-particle":"","parse-names":false,"suffix":""}],"container-title":"Gender and Development","id":"ITEM-1","issue":"3","issued":{"date-parts":[["2002"]]},"page":"71-81","title":"Resisting austerity: A gendered perspective on neo-liberal restructing in Peru","type":"article-journal","volume":"10"},"uris":["http://www.mendeley.com/documents/?uuid=081b2a14-ca98-4996-8f02-7e5d7da733ab"]}],"mendeley":{"formattedCitation":"(Hays-Mitchell, 2002)","plainTextFormattedCitation":"(Hays-Mitchell, 2002)","previouslyFormattedCitation":"(Hays-Mitchell, 2002)"},"properties":{"noteIndex":0},"schema":"https://github.com/citation-style-language/schema/raw/master/csl-citation.json"}</w:instrText>
      </w:r>
      <w:r w:rsidR="00BD0A7C" w:rsidRPr="004E053C">
        <w:rPr>
          <w:rFonts w:cstheme="minorHAnsi"/>
          <w:sz w:val="22"/>
          <w:szCs w:val="22"/>
        </w:rPr>
        <w:fldChar w:fldCharType="separate"/>
      </w:r>
      <w:r w:rsidR="00BD0A7C" w:rsidRPr="004E053C">
        <w:rPr>
          <w:rFonts w:cstheme="minorHAnsi"/>
          <w:noProof/>
          <w:sz w:val="22"/>
          <w:szCs w:val="22"/>
        </w:rPr>
        <w:t>(Hays-Mitchell, 2002)</w:t>
      </w:r>
      <w:r w:rsidR="00BD0A7C" w:rsidRPr="004E053C">
        <w:rPr>
          <w:rFonts w:cstheme="minorHAnsi"/>
          <w:sz w:val="22"/>
          <w:szCs w:val="22"/>
        </w:rPr>
        <w:fldChar w:fldCharType="end"/>
      </w:r>
      <w:r w:rsidRPr="004E053C">
        <w:rPr>
          <w:rFonts w:cstheme="minorHAnsi"/>
          <w:sz w:val="22"/>
          <w:szCs w:val="22"/>
        </w:rPr>
        <w:t xml:space="preserve">. </w:t>
      </w:r>
    </w:p>
    <w:p w14:paraId="3A0376D1" w14:textId="77777777" w:rsidR="00BD0A7C" w:rsidRPr="004E053C" w:rsidRDefault="00BD0A7C" w:rsidP="004E053C">
      <w:pPr>
        <w:spacing w:line="360" w:lineRule="auto"/>
        <w:jc w:val="both"/>
        <w:rPr>
          <w:rFonts w:cstheme="minorHAnsi"/>
          <w:sz w:val="22"/>
          <w:szCs w:val="22"/>
        </w:rPr>
      </w:pPr>
    </w:p>
    <w:p w14:paraId="2F838299" w14:textId="5E6A85E9" w:rsidR="00375961" w:rsidRPr="004E053C" w:rsidRDefault="00BD0A7C" w:rsidP="004E053C">
      <w:pPr>
        <w:spacing w:line="360" w:lineRule="auto"/>
        <w:jc w:val="both"/>
        <w:rPr>
          <w:rFonts w:cstheme="minorHAnsi"/>
          <w:sz w:val="22"/>
          <w:szCs w:val="22"/>
        </w:rPr>
      </w:pPr>
      <w:r w:rsidRPr="004E053C">
        <w:rPr>
          <w:rFonts w:cstheme="minorHAnsi"/>
          <w:sz w:val="22"/>
          <w:szCs w:val="22"/>
        </w:rPr>
        <w:t>In recent year</w:t>
      </w:r>
      <w:r w:rsidR="00375961" w:rsidRPr="004E053C">
        <w:rPr>
          <w:rFonts w:cstheme="minorHAnsi"/>
          <w:sz w:val="22"/>
          <w:szCs w:val="22"/>
        </w:rPr>
        <w:t xml:space="preserve">s </w:t>
      </w:r>
      <w:r w:rsidRPr="004E053C">
        <w:rPr>
          <w:rFonts w:cstheme="minorHAnsi"/>
          <w:sz w:val="22"/>
          <w:szCs w:val="22"/>
        </w:rPr>
        <w:t xml:space="preserve">however the most prevalent forms of social unrest and </w:t>
      </w:r>
      <w:r w:rsidR="00375961" w:rsidRPr="004E053C">
        <w:rPr>
          <w:rFonts w:cstheme="minorHAnsi"/>
          <w:sz w:val="22"/>
          <w:szCs w:val="22"/>
        </w:rPr>
        <w:t xml:space="preserve">conflict have been </w:t>
      </w:r>
      <w:r w:rsidRPr="004E053C">
        <w:rPr>
          <w:rFonts w:cstheme="minorHAnsi"/>
          <w:sz w:val="22"/>
          <w:szCs w:val="22"/>
        </w:rPr>
        <w:t xml:space="preserve">in response </w:t>
      </w:r>
      <w:r w:rsidR="00375961" w:rsidRPr="004E053C">
        <w:rPr>
          <w:rFonts w:cstheme="minorHAnsi"/>
          <w:sz w:val="22"/>
          <w:szCs w:val="22"/>
        </w:rPr>
        <w:t xml:space="preserve">to </w:t>
      </w:r>
      <w:r w:rsidRPr="004E053C">
        <w:rPr>
          <w:rFonts w:cstheme="minorHAnsi"/>
          <w:sz w:val="22"/>
          <w:szCs w:val="22"/>
        </w:rPr>
        <w:t xml:space="preserve">the growth in </w:t>
      </w:r>
      <w:r w:rsidR="00375961" w:rsidRPr="004E053C">
        <w:rPr>
          <w:rFonts w:cstheme="minorHAnsi"/>
          <w:sz w:val="22"/>
          <w:szCs w:val="22"/>
        </w:rPr>
        <w:t xml:space="preserve">extractive industries. </w:t>
      </w:r>
      <w:r w:rsidRPr="004E053C">
        <w:rPr>
          <w:rFonts w:cstheme="minorHAnsi"/>
          <w:sz w:val="22"/>
          <w:szCs w:val="22"/>
        </w:rPr>
        <w:t xml:space="preserve">This section will provide a background of this in relation to large-scale extractives, which has led to unrest due to the perceived inequalities. Not only </w:t>
      </w:r>
      <w:r w:rsidRPr="004E053C">
        <w:rPr>
          <w:rFonts w:cstheme="minorHAnsi"/>
          <w:sz w:val="22"/>
          <w:szCs w:val="22"/>
        </w:rPr>
        <w:lastRenderedPageBreak/>
        <w:t>do economic benefits accrue in uneven ways, but also the social and environmental costs are not shared equally. I then focus in on ASM, where forms of resistance and most notably carried out by the miners than by local affected communities. Here I provide some background details of the increasingly violent conflict between the miners and the government, which is particularly important for contextuali</w:t>
      </w:r>
      <w:r w:rsidR="00277027">
        <w:rPr>
          <w:rFonts w:cstheme="minorHAnsi"/>
          <w:sz w:val="22"/>
          <w:szCs w:val="22"/>
        </w:rPr>
        <w:t>s</w:t>
      </w:r>
      <w:r w:rsidRPr="004E053C">
        <w:rPr>
          <w:rFonts w:cstheme="minorHAnsi"/>
          <w:sz w:val="22"/>
          <w:szCs w:val="22"/>
        </w:rPr>
        <w:t xml:space="preserve">ing later findings. </w:t>
      </w:r>
    </w:p>
    <w:p w14:paraId="6335E8EB" w14:textId="77777777" w:rsidR="00375961" w:rsidRPr="004E053C" w:rsidRDefault="00375961" w:rsidP="004E053C">
      <w:pPr>
        <w:spacing w:line="360" w:lineRule="auto"/>
        <w:jc w:val="both"/>
        <w:rPr>
          <w:rFonts w:cstheme="minorHAnsi"/>
          <w:sz w:val="22"/>
          <w:szCs w:val="22"/>
        </w:rPr>
      </w:pPr>
    </w:p>
    <w:p w14:paraId="26356833" w14:textId="0A893A05" w:rsidR="00375961" w:rsidRPr="004E053C" w:rsidRDefault="00EF0BCB" w:rsidP="004E053C">
      <w:pPr>
        <w:pStyle w:val="Heading3"/>
        <w:rPr>
          <w:rFonts w:asciiTheme="minorHAnsi" w:hAnsiTheme="minorHAnsi"/>
        </w:rPr>
      </w:pPr>
      <w:r w:rsidRPr="004E053C">
        <w:rPr>
          <w:rFonts w:asciiTheme="minorHAnsi" w:hAnsiTheme="minorHAnsi"/>
        </w:rPr>
        <w:t>3.</w:t>
      </w:r>
      <w:r w:rsidR="00375961" w:rsidRPr="004E053C">
        <w:rPr>
          <w:rFonts w:asciiTheme="minorHAnsi" w:hAnsiTheme="minorHAnsi"/>
        </w:rPr>
        <w:t>6.1. Extractive Industries and Social Conflict</w:t>
      </w:r>
    </w:p>
    <w:p w14:paraId="69EB246C" w14:textId="77777777" w:rsidR="00375961" w:rsidRPr="004E053C" w:rsidRDefault="00375961" w:rsidP="004E053C">
      <w:pPr>
        <w:spacing w:line="360" w:lineRule="auto"/>
        <w:jc w:val="both"/>
        <w:rPr>
          <w:rFonts w:cstheme="minorHAnsi"/>
          <w:b/>
          <w:sz w:val="22"/>
          <w:szCs w:val="22"/>
        </w:rPr>
      </w:pPr>
    </w:p>
    <w:p w14:paraId="7CE13067" w14:textId="54729A67" w:rsidR="00375961" w:rsidRPr="004E053C" w:rsidRDefault="00375961" w:rsidP="004E053C">
      <w:pPr>
        <w:spacing w:line="360" w:lineRule="auto"/>
        <w:jc w:val="both"/>
        <w:rPr>
          <w:rFonts w:cstheme="minorHAnsi"/>
          <w:sz w:val="22"/>
          <w:szCs w:val="22"/>
        </w:rPr>
      </w:pPr>
      <w:r w:rsidRPr="004E053C">
        <w:rPr>
          <w:rFonts w:cstheme="minorHAnsi"/>
          <w:sz w:val="22"/>
          <w:szCs w:val="22"/>
        </w:rPr>
        <w:t xml:space="preserve">Bebbington </w:t>
      </w:r>
      <w:r w:rsidRPr="004E053C">
        <w:rPr>
          <w:rFonts w:cstheme="minorHAnsi"/>
          <w:sz w:val="22"/>
          <w:szCs w:val="22"/>
        </w:rPr>
        <w:fldChar w:fldCharType="begin" w:fldLock="1"/>
      </w:r>
      <w:r w:rsidR="00680892" w:rsidRPr="004E053C">
        <w:rPr>
          <w:rFonts w:cstheme="minorHAnsi"/>
          <w:sz w:val="22"/>
          <w:szCs w:val="22"/>
        </w:rPr>
        <w:instrText>ADDIN CSL_CITATION {"citationItems":[{"id":"ITEM-1","itemData":{"abstract":"The extraction of minerals, oil and gas has a long and ambiguous history in development processes – in North America, Europe, Latin America and Australasia. Extraction has yielded wealth, regional identities and in some cases capital for industrialization. In other cases its main heritages have been social conflict, environmental damage and underperforming national economies. As the extractive economy has entered another boom period over the last decade, not least in Latin America, the countries in which this boom is occurring are challenged to interpret this ambiguity. Will the extractive industry yield, for them, economic development, or will its main gifts be ones of conflict, degradation and unequal forms of growth.","author":[{"dropping-particle":"","family":"Bebbington","given":"Anthony","non-dropping-particle":"","parse-names":false,"suffix":""}],"id":"ITEM-1","issued":{"date-parts":[["2011"]]},"number-of-pages":"258","title":"Social Conflict, Economic Development and Extractive Industry: Evidence from South America","type":"book"},"uris":["http://www.mendeley.com/documents/?uuid=81fa501e-2549-4623-908e-76e796de9056"]}],"mendeley":{"formattedCitation":"(Bebbington, 2011)","manualFormatting":"(2011)","plainTextFormattedCitation":"(Bebbington, 2011)","previouslyFormattedCitation":"(Bebbington, 2011)"},"properties":{"noteIndex":0},"schema":"https://github.com/citation-style-language/schema/raw/master/csl-citation.json"}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(2011)</w:t>
      </w:r>
      <w:r w:rsidRPr="004E053C">
        <w:rPr>
          <w:rFonts w:cstheme="minorHAnsi"/>
          <w:sz w:val="22"/>
          <w:szCs w:val="22"/>
        </w:rPr>
        <w:fldChar w:fldCharType="end"/>
      </w:r>
      <w:r w:rsidRPr="004E053C">
        <w:rPr>
          <w:rFonts w:cstheme="minorHAnsi"/>
          <w:sz w:val="22"/>
          <w:szCs w:val="22"/>
        </w:rPr>
        <w:t xml:space="preserve"> claims that natural resource abundance generates so many distortions that it ultimately hinders any potential development gains. In Peru, as in many resource-rich countries, the distortions caused by a growth in large-scale mining and extractive industries have led to a rise in social conflict. This conflict normally takes the form of local resistance against planned oil or mining projects. In recent years, the National Confederation of Peruvian Communiti</w:t>
      </w:r>
      <w:r w:rsidR="00697A46" w:rsidRPr="004E053C">
        <w:rPr>
          <w:rFonts w:cstheme="minorHAnsi"/>
          <w:sz w:val="22"/>
          <w:szCs w:val="22"/>
        </w:rPr>
        <w:t>es Affected by Mining (CONACAMI)</w:t>
      </w:r>
      <w:r w:rsidRPr="004E053C">
        <w:rPr>
          <w:rFonts w:cstheme="minorHAnsi"/>
          <w:sz w:val="22"/>
          <w:szCs w:val="22"/>
        </w:rPr>
        <w:t xml:space="preserve"> emerged, led by activists from the most affecte</w:t>
      </w:r>
      <w:r w:rsidR="00BD0A7C" w:rsidRPr="004E053C">
        <w:rPr>
          <w:rFonts w:cstheme="minorHAnsi"/>
          <w:sz w:val="22"/>
          <w:szCs w:val="22"/>
        </w:rPr>
        <w:t xml:space="preserve">d Central Andes </w:t>
      </w:r>
      <w:r w:rsidR="00BD0A7C" w:rsidRPr="004E053C">
        <w:rPr>
          <w:rFonts w:cstheme="minorHAnsi"/>
          <w:sz w:val="22"/>
          <w:szCs w:val="22"/>
        </w:rPr>
        <w:fldChar w:fldCharType="begin" w:fldLock="1"/>
      </w:r>
      <w:r w:rsidR="00BD0A7C"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BD0A7C" w:rsidRPr="004E053C">
        <w:rPr>
          <w:rFonts w:cstheme="minorHAnsi"/>
          <w:sz w:val="22"/>
          <w:szCs w:val="22"/>
        </w:rPr>
        <w:fldChar w:fldCharType="separate"/>
      </w:r>
      <w:r w:rsidR="00BD0A7C" w:rsidRPr="004E053C">
        <w:rPr>
          <w:rFonts w:cstheme="minorHAnsi"/>
          <w:noProof/>
          <w:sz w:val="22"/>
          <w:szCs w:val="22"/>
        </w:rPr>
        <w:t>(Orihuela, 2012)</w:t>
      </w:r>
      <w:r w:rsidR="00BD0A7C" w:rsidRPr="004E053C">
        <w:rPr>
          <w:rFonts w:cstheme="minorHAnsi"/>
          <w:sz w:val="22"/>
          <w:szCs w:val="22"/>
        </w:rPr>
        <w:fldChar w:fldCharType="end"/>
      </w:r>
      <w:r w:rsidRPr="004E053C">
        <w:rPr>
          <w:rFonts w:cstheme="minorHAnsi"/>
          <w:sz w:val="22"/>
          <w:szCs w:val="22"/>
        </w:rPr>
        <w:t xml:space="preserve">. The strength of this form of collective resistance is reflected in the successful delay or abandonment of several high profiles mining developments. This includes the $4.8 billion Conga mine faced repeated delays due to ongoing and deadly protests by local communities, which risked the entire project as the capital may have been diverted elsewhere </w:t>
      </w:r>
      <w:r w:rsidR="00BD0A7C" w:rsidRPr="004E053C">
        <w:rPr>
          <w:rFonts w:cstheme="minorHAnsi"/>
          <w:sz w:val="22"/>
          <w:szCs w:val="22"/>
        </w:rPr>
        <w:fldChar w:fldCharType="begin" w:fldLock="1"/>
      </w:r>
      <w:r w:rsidR="00BD0A7C" w:rsidRPr="004E053C">
        <w:rPr>
          <w:rFonts w:cstheme="minorHAnsi"/>
          <w:sz w:val="22"/>
          <w:szCs w:val="22"/>
        </w:rPr>
        <w:instrText>ADDIN CSL_CITATION {"citationItems":[{"id":"ITEM-1","itemData":{"author":[{"dropping-particle":"","family":"Hoffman","given":"Max","non-dropping-particle":"","parse-names":false,"suffix":""},{"dropping-particle":"","family":"Grigera","given":"Ana I","non-dropping-particle":"","parse-names":false,"suffix":""}],"id":"ITEM-1","issued":{"date-parts":[["2013"]]},"number-of-pages":"110","publisher-place":"Washington D.C.","title":"Climate Change, Migration, and Conflict in the Amazon and the Andes Rising Tensions and Policy Options in South America","type":"report"},"uris":["http://www.mendeley.com/documents/?uuid=452d85a6-8009-3436-9de9-094826b567f3"]}],"mendeley":{"formattedCitation":"(Hoffman &amp; Grigera, 2013)","plainTextFormattedCitation":"(Hoffman &amp; Grigera, 2013)","previouslyFormattedCitation":"(Hoffman &amp; Grigera, 2013)"},"properties":{"noteIndex":0},"schema":"https://github.com/citation-style-language/schema/raw/master/csl-citation.json"}</w:instrText>
      </w:r>
      <w:r w:rsidR="00BD0A7C" w:rsidRPr="004E053C">
        <w:rPr>
          <w:rFonts w:cstheme="minorHAnsi"/>
          <w:sz w:val="22"/>
          <w:szCs w:val="22"/>
        </w:rPr>
        <w:fldChar w:fldCharType="separate"/>
      </w:r>
      <w:r w:rsidR="00BD0A7C" w:rsidRPr="004E053C">
        <w:rPr>
          <w:rFonts w:cstheme="minorHAnsi"/>
          <w:noProof/>
          <w:sz w:val="22"/>
          <w:szCs w:val="22"/>
        </w:rPr>
        <w:t>(Hoffman &amp; Grigera, 2013)</w:t>
      </w:r>
      <w:r w:rsidR="00BD0A7C" w:rsidRPr="004E053C">
        <w:rPr>
          <w:rFonts w:cstheme="minorHAnsi"/>
          <w:sz w:val="22"/>
          <w:szCs w:val="22"/>
        </w:rPr>
        <w:fldChar w:fldCharType="end"/>
      </w:r>
      <w:r w:rsidRPr="004E053C">
        <w:rPr>
          <w:rFonts w:cstheme="minorHAnsi"/>
          <w:sz w:val="22"/>
          <w:szCs w:val="22"/>
        </w:rPr>
        <w:t xml:space="preserve">. </w:t>
      </w:r>
      <w:r w:rsidRPr="004E053C">
        <w:rPr>
          <w:rFonts w:eastAsia="Times New Roman" w:cstheme="minorHAnsi"/>
          <w:sz w:val="22"/>
          <w:szCs w:val="22"/>
        </w:rPr>
        <w:t xml:space="preserve">Similarly, in 2009 a series of violent clashes that led to the deaths of 24 police officers and 10 civilians earned the repeal of two decrees that would have opened much of the Amazon to development </w:t>
      </w:r>
      <w:r w:rsidR="00BD0A7C" w:rsidRPr="004E053C">
        <w:rPr>
          <w:rFonts w:cstheme="minorHAnsi"/>
          <w:sz w:val="22"/>
          <w:szCs w:val="22"/>
        </w:rPr>
        <w:fldChar w:fldCharType="begin" w:fldLock="1"/>
      </w:r>
      <w:r w:rsidR="00702B6D" w:rsidRPr="004E053C">
        <w:rPr>
          <w:rFonts w:cstheme="minorHAnsi"/>
          <w:sz w:val="22"/>
          <w:szCs w:val="22"/>
        </w:rPr>
        <w:instrText>ADDIN CSL_CITATION {"citationItems":[{"id":"ITEM-1","itemData":{"author":[{"dropping-particle":"","family":"Hoffman","given":"Max","non-dropping-particle":"","parse-names":false,"suffix":""},{"dropping-particle":"","family":"Grigera","given":"Ana I","non-dropping-particle":"","parse-names":false,"suffix":""}],"id":"ITEM-1","issued":{"date-parts":[["2013"]]},"number-of-pages":"110","publisher-place":"Washington D.C.","title":"Climate Change, Migration, and Conflict in the Amazon and the Andes Rising Tensions and Policy Options in South America","type":"report"},"uris":["http://www.mendeley.com/documents/?uuid=452d85a6-8009-3436-9de9-094826b567f3"]}],"mendeley":{"formattedCitation":"(Hoffman &amp; Grigera, 2013)","manualFormatting":"(Ibid.)","plainTextFormattedCitation":"(Hoffman &amp; Grigera, 2013)","previouslyFormattedCitation":"(Hoffman &amp; Grigera, 2013)"},"properties":{"noteIndex":0},"schema":"https://github.com/citation-style-language/schema/raw/master/csl-citation.json"}</w:instrText>
      </w:r>
      <w:r w:rsidR="00BD0A7C" w:rsidRPr="004E053C">
        <w:rPr>
          <w:rFonts w:cstheme="minorHAnsi"/>
          <w:sz w:val="22"/>
          <w:szCs w:val="22"/>
        </w:rPr>
        <w:fldChar w:fldCharType="separate"/>
      </w:r>
      <w:r w:rsidR="00697A46" w:rsidRPr="004E053C">
        <w:rPr>
          <w:rFonts w:cstheme="minorHAnsi"/>
          <w:noProof/>
          <w:sz w:val="22"/>
          <w:szCs w:val="22"/>
        </w:rPr>
        <w:t>(Ibid.</w:t>
      </w:r>
      <w:r w:rsidR="00BD0A7C" w:rsidRPr="004E053C">
        <w:rPr>
          <w:rFonts w:cstheme="minorHAnsi"/>
          <w:noProof/>
          <w:sz w:val="22"/>
          <w:szCs w:val="22"/>
        </w:rPr>
        <w:t>)</w:t>
      </w:r>
      <w:r w:rsidR="00BD0A7C" w:rsidRPr="004E053C">
        <w:rPr>
          <w:rFonts w:cstheme="minorHAnsi"/>
          <w:sz w:val="22"/>
          <w:szCs w:val="22"/>
        </w:rPr>
        <w:fldChar w:fldCharType="end"/>
      </w:r>
      <w:r w:rsidR="00BD0A7C" w:rsidRPr="004E053C">
        <w:rPr>
          <w:rFonts w:cstheme="minorHAnsi"/>
          <w:sz w:val="22"/>
          <w:szCs w:val="22"/>
        </w:rPr>
        <w:t>.</w:t>
      </w:r>
    </w:p>
    <w:p w14:paraId="660AD235" w14:textId="77777777" w:rsidR="00375961" w:rsidRPr="004E053C" w:rsidRDefault="00375961" w:rsidP="004E053C">
      <w:pPr>
        <w:autoSpaceDE w:val="0"/>
        <w:autoSpaceDN w:val="0"/>
        <w:adjustRightInd w:val="0"/>
        <w:spacing w:line="360" w:lineRule="auto"/>
        <w:jc w:val="both"/>
        <w:rPr>
          <w:rFonts w:cstheme="minorHAnsi"/>
          <w:sz w:val="22"/>
          <w:szCs w:val="22"/>
        </w:rPr>
      </w:pPr>
    </w:p>
    <w:p w14:paraId="482F1F95" w14:textId="24D1C7B5" w:rsidR="00375961" w:rsidRPr="004E053C" w:rsidRDefault="00375961" w:rsidP="004E053C">
      <w:pPr>
        <w:widowControl w:val="0"/>
        <w:autoSpaceDE w:val="0"/>
        <w:autoSpaceDN w:val="0"/>
        <w:adjustRightInd w:val="0"/>
        <w:spacing w:line="360" w:lineRule="auto"/>
        <w:jc w:val="both"/>
        <w:rPr>
          <w:rFonts w:cstheme="minorHAnsi"/>
          <w:sz w:val="22"/>
          <w:szCs w:val="22"/>
        </w:rPr>
      </w:pPr>
      <w:r w:rsidRPr="004E053C">
        <w:rPr>
          <w:rFonts w:cstheme="minorHAnsi"/>
          <w:sz w:val="22"/>
          <w:szCs w:val="22"/>
        </w:rPr>
        <w:t xml:space="preserve">A major factor behind these violent protests is that while poor Andean and Amazon communities suffer from the expansion of extractive industries, they rarely benefit. These environmental concerns often centre around the consumption and pollution of important </w:t>
      </w:r>
      <w:r w:rsidRPr="004E053C">
        <w:rPr>
          <w:rFonts w:eastAsia="Times New Roman" w:cstheme="minorHAnsi"/>
          <w:sz w:val="22"/>
          <w:szCs w:val="22"/>
        </w:rPr>
        <w:t xml:space="preserve">land and water resources required for agriculture </w:t>
      </w:r>
      <w:r w:rsidR="00BD0A7C"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{"citationItems":[{"id":"ITEM-1","itemData":{"abstract":"Various researchers have sought to explain why community organisations respond differently to mining projects. One important, understudied factor is the local history of state-society relations, which shape specific collective identities as well as organisational structures. This study compares the mobilisation processes in two Peruvian mining projects: Rio Blanco in Huancabamba and Bambas in Cotabambas. The former region has a history of strong peasant self-defence organisation, and community demands have focused on local control of territory. The latter region experienced both state neglect and civil society breakdown under the Shining Path, and community demands focus on compensation and social services. The study shows that collective identities greatly affect the ability of local communities to act based on their own definition of their interests in a mining project.","author":[{"dropping-particle":"","family":"Gustafsson","given":"Maria Therese","non-dropping-particle":"","parse-names":false,"suffix":""}],"container-title":"Canadian Journal of Development Studies","id":"ITEM-1","issue":"3","issued":{"date-parts":[["2015"]]},"page":"313-329","title":"Historic state-society relations and mobilisations surrounding extractive industries: Lessons from Peru","type":"article-journal","volume":"36"},"uris":["http://www.mendeley.com/documents/?uuid=cc06e28e-1bb7-4afa-8dcc-1957ec5c0e77"]},{"id":"ITEM-2","itemData":{"author":[{"dropping-particle":"","family":"Orihuela","given":"Jose Carlos","non-dropping-particle":"","parse-names":false,"suffix":""}],"container-title":"European Journal of Development Research","id":"ITEM-2","issue":"5","issued":{"date-parts":[["2012"]]},"page":"688-705","title":"The Making of Conflict-Prone Development: Trade and Horizontal Inequalities in Peru","type":"article-journal","volume":"24"},"uris":["http://www.mendeley.com/documents/?uuid=b97d35fe-8345-4424-af45-28422a9651b0"]}],"mendeley":{"formattedCitation":"(Gustafsson, 2015; Orihuela, 2012)","plainTextFormattedCitation":"(Gustafsson, 2015; Orihuela, 2012)","previouslyFormattedCitation":"(Gustafsson, 2015; Orihuela, 2012)"},"properties":{"noteIndex":0},"schema":"https://github.com/citation-style-language/schema/raw/master/csl-citation.json"}</w:instrText>
      </w:r>
      <w:r w:rsidR="00BD0A7C" w:rsidRPr="004E053C">
        <w:rPr>
          <w:rFonts w:eastAsia="Times New Roman" w:cstheme="minorHAnsi"/>
          <w:sz w:val="22"/>
          <w:szCs w:val="22"/>
        </w:rPr>
        <w:fldChar w:fldCharType="separate"/>
      </w:r>
      <w:r w:rsidR="00BD0A7C" w:rsidRPr="004E053C">
        <w:rPr>
          <w:rFonts w:eastAsia="Times New Roman" w:cstheme="minorHAnsi"/>
          <w:noProof/>
          <w:sz w:val="22"/>
          <w:szCs w:val="22"/>
        </w:rPr>
        <w:t>(Gustafsson, 2015; Orihuela, 2012)</w:t>
      </w:r>
      <w:r w:rsidR="00BD0A7C" w:rsidRPr="004E053C">
        <w:rPr>
          <w:rFonts w:eastAsia="Times New Roman" w:cstheme="minorHAnsi"/>
          <w:sz w:val="22"/>
          <w:szCs w:val="22"/>
        </w:rPr>
        <w:fldChar w:fldCharType="end"/>
      </w:r>
      <w:r w:rsidRPr="004E053C">
        <w:rPr>
          <w:rFonts w:cstheme="minorHAnsi"/>
          <w:sz w:val="22"/>
          <w:szCs w:val="22"/>
        </w:rPr>
        <w:t xml:space="preserve"> and deforestation and forests </w:t>
      </w:r>
      <w:r w:rsidRPr="004E053C">
        <w:rPr>
          <w:rFonts w:cstheme="minorHAnsi"/>
          <w:sz w:val="22"/>
          <w:szCs w:val="22"/>
        </w:rPr>
        <w:fldChar w:fldCharType="begin" w:fldLock="1"/>
      </w:r>
      <w:r w:rsidR="00680892" w:rsidRPr="004E053C">
        <w:rPr>
          <w:rFonts w:cstheme="minorHAnsi"/>
          <w:sz w:val="22"/>
          <w:szCs w:val="22"/>
        </w:rPr>
        <w:instrText>ADDIN CSL_CITATION {"citationItems":[{"id":"ITEM-1","itemData":{"abstract":"From 2002 to 2012, 68 community consultations/referenda on large-scale mining activities have been conducted in Latin America challenging centralized decision-making procedures. These consultations are fostered by communities and social movements and usually supported by local governments. Around 700,000 people have participated, expressing a massive rejection of mining activities in Peru, Guatemala, Argentina, Colombia and Ecuador. Community consultations have contributed to ease local tensions temporarily, slowing down or stopping mining projects in some cases. This paper analyses the process of emergence and spread of such consultations exploring how they challenge the governance of mining activities. We claim that community consultations are being institutionalized in the context of mining conflicts in Latin America. Consultations are not isolated experiences but constitute a strategy diffused and transformed in the midst of multi-scalar social learning processes where social movements exchange strategies and discourses and a hybridising process occurs in relation to political and cultural local features. We sustain that community consultations are a hybrid institution where non-state and state actors and formal and informal institutions are mobilized. Consultations are a strategic tool of social movements and a contested emergent institution – as different state bodies support or reject their validity – that reclaim the right of affected populations and indigenous peoples to participate, in empowering forms, in high-stake decisions that affect their territories, livelihoods and future.","author":[{"dropping-particle":"","family":"Walter","given":"Mariana","non-dropping-particle":"","parse-names":false,"suffix":""},{"dropping-particle":"","family":"Urkidi","given":"Leire","non-dropping-particle":"","parse-names":false,"suffix":""}],"container-title":"Geoforum","id":"ITEM-1","issued":{"date-parts":[["2017"]]},"page":"265-279","publisher":"Elsevier Ltd","title":"Community mining consultations in Latin America (2002–2012): The contested emergence of a hybrid institution for participation","type":"article-journal","volume":"84"},"uris":["http://www.mendeley.com/documents/?uuid=b2e6dd9e-8d78-493b-9206-ebd7be5c3813"]}],"mendeley":{"formattedCitation":"(Walter &amp; Urkidi, 2017)","plainTextFormattedCitation":"(Walter &amp; Urkidi, 2017)","previouslyFormattedCitation":"(Walter &amp; Urkidi, 2017)"},"properties":{"noteIndex":0},"schema":"https://github.com/citation-style-language/schema/raw/master/csl-citation.json"}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(Walter &amp; Urkidi, 2017)</w:t>
      </w:r>
      <w:r w:rsidRPr="004E053C">
        <w:rPr>
          <w:rFonts w:cstheme="minorHAnsi"/>
          <w:sz w:val="22"/>
          <w:szCs w:val="22"/>
        </w:rPr>
        <w:fldChar w:fldCharType="end"/>
      </w:r>
      <w:r w:rsidRPr="004E053C">
        <w:rPr>
          <w:rFonts w:cstheme="minorHAnsi"/>
          <w:sz w:val="22"/>
          <w:szCs w:val="22"/>
        </w:rPr>
        <w:t>. This reinforces historical grievances that stem from the links between extractive industries and the abuse of indigenous people, ranging from slavery in rubber plantations and exploitative employment cond</w:t>
      </w:r>
      <w:r w:rsidR="00C666C8" w:rsidRPr="004E053C">
        <w:rPr>
          <w:rFonts w:cstheme="minorHAnsi"/>
          <w:sz w:val="22"/>
          <w:szCs w:val="22"/>
        </w:rPr>
        <w:t xml:space="preserve">itions in mines </w:t>
      </w:r>
      <w:r w:rsidR="00C666C8" w:rsidRPr="004E053C">
        <w:rPr>
          <w:rFonts w:cstheme="minorHAnsi"/>
          <w:sz w:val="22"/>
          <w:szCs w:val="22"/>
        </w:rPr>
        <w:fldChar w:fldCharType="begin" w:fldLock="1"/>
      </w:r>
      <w:r w:rsidR="00C666C8"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C666C8" w:rsidRPr="004E053C">
        <w:rPr>
          <w:rFonts w:cstheme="minorHAnsi"/>
          <w:sz w:val="22"/>
          <w:szCs w:val="22"/>
        </w:rPr>
        <w:fldChar w:fldCharType="separate"/>
      </w:r>
      <w:r w:rsidR="00C666C8" w:rsidRPr="004E053C">
        <w:rPr>
          <w:rFonts w:cstheme="minorHAnsi"/>
          <w:noProof/>
          <w:sz w:val="22"/>
          <w:szCs w:val="22"/>
        </w:rPr>
        <w:t>(Orihuela, 2012)</w:t>
      </w:r>
      <w:r w:rsidR="00C666C8" w:rsidRPr="004E053C">
        <w:rPr>
          <w:rFonts w:cstheme="minorHAnsi"/>
          <w:sz w:val="22"/>
          <w:szCs w:val="22"/>
        </w:rPr>
        <w:fldChar w:fldCharType="end"/>
      </w:r>
      <w:r w:rsidRPr="004E053C">
        <w:rPr>
          <w:rFonts w:cstheme="minorHAnsi"/>
          <w:sz w:val="22"/>
          <w:szCs w:val="22"/>
        </w:rPr>
        <w:t>. One of the underlying factors behind this sense of injustice is the issue of land rights. This has been a particular problem in Peru and other Latin American countries because land rights were not well defined, which meant that individual communities could often be legally displaced in the name of the grea</w:t>
      </w:r>
      <w:r w:rsidR="00C666C8" w:rsidRPr="004E053C">
        <w:rPr>
          <w:rFonts w:cstheme="minorHAnsi"/>
          <w:sz w:val="22"/>
          <w:szCs w:val="22"/>
        </w:rPr>
        <w:t xml:space="preserve">ter public good </w:t>
      </w:r>
      <w:r w:rsidR="00C666C8" w:rsidRPr="004E053C">
        <w:rPr>
          <w:rFonts w:cstheme="minorHAnsi"/>
          <w:sz w:val="22"/>
          <w:szCs w:val="22"/>
        </w:rPr>
        <w:fldChar w:fldCharType="begin" w:fldLock="1"/>
      </w:r>
      <w:r w:rsidR="00C666C8" w:rsidRPr="004E053C">
        <w:rPr>
          <w:rFonts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C666C8" w:rsidRPr="004E053C">
        <w:rPr>
          <w:rFonts w:cstheme="minorHAnsi"/>
          <w:sz w:val="22"/>
          <w:szCs w:val="22"/>
        </w:rPr>
        <w:fldChar w:fldCharType="separate"/>
      </w:r>
      <w:r w:rsidR="00C666C8" w:rsidRPr="004E053C">
        <w:rPr>
          <w:rFonts w:cstheme="minorHAnsi"/>
          <w:noProof/>
          <w:sz w:val="22"/>
          <w:szCs w:val="22"/>
        </w:rPr>
        <w:t>(Orihuela, 2012)</w:t>
      </w:r>
      <w:r w:rsidR="00C666C8" w:rsidRPr="004E053C">
        <w:rPr>
          <w:rFonts w:cstheme="minorHAnsi"/>
          <w:sz w:val="22"/>
          <w:szCs w:val="22"/>
        </w:rPr>
        <w:fldChar w:fldCharType="end"/>
      </w:r>
      <w:r w:rsidRPr="004E053C">
        <w:rPr>
          <w:rFonts w:cstheme="minorHAnsi"/>
          <w:sz w:val="22"/>
          <w:szCs w:val="22"/>
        </w:rPr>
        <w:t xml:space="preserve">. </w:t>
      </w:r>
      <w:r w:rsidRPr="004E053C">
        <w:rPr>
          <w:rFonts w:cstheme="minorHAnsi"/>
          <w:color w:val="000000"/>
          <w:sz w:val="22"/>
          <w:szCs w:val="22"/>
        </w:rPr>
        <w:t xml:space="preserve">The Peruvian Ombudsman found that it is this perception of continued injustice that has led to a majority of the recorded social conflicts within the country </w:t>
      </w:r>
      <w:r w:rsidR="00C666C8" w:rsidRPr="004E053C">
        <w:rPr>
          <w:rFonts w:cstheme="minorHAnsi"/>
          <w:color w:val="000000"/>
          <w:sz w:val="22"/>
          <w:szCs w:val="22"/>
        </w:rPr>
        <w:fldChar w:fldCharType="begin" w:fldLock="1"/>
      </w:r>
      <w:r w:rsidR="00C666C8" w:rsidRPr="004E053C">
        <w:rPr>
          <w:rFonts w:cstheme="minorHAnsi"/>
          <w:color w:val="000000"/>
          <w:sz w:val="22"/>
          <w:szCs w:val="22"/>
        </w:rPr>
        <w:instrText>ADDIN CSL_CITATION {"citationItems":[{"id":"ITEM-1","itemData":{"abstract":"From 2002 to 2012, 68 community consultations/referenda on large-scale mining activities have been conducted in Latin America challenging centralized decision-making procedures. These consultations are fostered by communities and social movements and usually supported by local governments. Around 700,000 people have participated, expressing a massive rejection of mining activities in Peru, Guatemala, Argentina, Colombia and Ecuador. Community consultations have contributed to ease local tensions temporarily, slowing down or stopping mining projects in some cases. This paper analyses the process of emergence and spread of such consultations exploring how they challenge the governance of mining activities. We claim that community consultations are being institutionalized in the context of mining conflicts in Latin America. Consultations are not isolated experiences but constitute a strategy diffused and transformed in the midst of multi-scalar social learning processes where social movements exchange strategies and discourses and a hybridising process occurs in relation to political and cultural local features. We sustain that community consultations are a hybrid institution where non-state and state actors and formal and informal institutions are mobilized. Consultations are a strategic tool of social movements and a contested emergent institution – as different state bodies support or reject their validity – that reclaim the right of affected populations and indigenous peoples to participate, in empowering forms, in high-stake decisions that affect their territories, livelihoods and future.","author":[{"dropping-particle":"","family":"Walter","given":"Mariana","non-dropping-particle":"","parse-names":false,"suffix":""},{"dropping-particle":"","family":"Urkidi","given":"Leire","non-dropping-particle":"","parse-names":false,"suffix":""}],"container-title":"Geoforum","id":"ITEM-1","issued":{"date-parts":[["2017"]]},"page":"265-279","publisher":"Elsevier Ltd","title":"Community mining consultations in Latin America (2002–2012): The contested emergence of a hybrid institution for participation","type":"article-journal","volume":"84"},"uris":["http://www.mendeley.com/documents/?uuid=b2e6dd9e-8d78-493b-9206-ebd7be5c3813"]}],"mendeley":{"formattedCitation":"(Walter &amp; Urkidi, 2017)","plainTextFormattedCitation":"(Walter &amp; Urkidi, 2017)","previouslyFormattedCitation":"(Walter &amp; Urkidi, 2017)"},"properties":{"noteIndex":0},"schema":"https://github.com/citation-style-language/schema/raw/master/csl-citation.json"}</w:instrText>
      </w:r>
      <w:r w:rsidR="00C666C8" w:rsidRPr="004E053C">
        <w:rPr>
          <w:rFonts w:cstheme="minorHAnsi"/>
          <w:color w:val="000000"/>
          <w:sz w:val="22"/>
          <w:szCs w:val="22"/>
        </w:rPr>
        <w:fldChar w:fldCharType="separate"/>
      </w:r>
      <w:r w:rsidR="00C666C8" w:rsidRPr="004E053C">
        <w:rPr>
          <w:rFonts w:cstheme="minorHAnsi"/>
          <w:noProof/>
          <w:color w:val="000000"/>
          <w:sz w:val="22"/>
          <w:szCs w:val="22"/>
        </w:rPr>
        <w:t>(Walter &amp; Urkidi, 2017)</w:t>
      </w:r>
      <w:r w:rsidR="00C666C8" w:rsidRPr="004E053C">
        <w:rPr>
          <w:rFonts w:cstheme="minorHAnsi"/>
          <w:color w:val="000000"/>
          <w:sz w:val="22"/>
          <w:szCs w:val="22"/>
        </w:rPr>
        <w:fldChar w:fldCharType="end"/>
      </w:r>
      <w:r w:rsidR="00C666C8" w:rsidRPr="004E053C">
        <w:rPr>
          <w:rFonts w:cstheme="minorHAnsi"/>
          <w:color w:val="000000"/>
          <w:sz w:val="22"/>
          <w:szCs w:val="22"/>
        </w:rPr>
        <w:t>.</w:t>
      </w:r>
      <w:r w:rsidRPr="004E053C">
        <w:rPr>
          <w:rFonts w:cstheme="minorHAnsi"/>
          <w:color w:val="000000"/>
          <w:sz w:val="22"/>
          <w:szCs w:val="22"/>
        </w:rPr>
        <w:t xml:space="preserve"> </w:t>
      </w:r>
    </w:p>
    <w:p w14:paraId="52DB7949" w14:textId="77777777" w:rsidR="00375961" w:rsidRPr="004E053C" w:rsidRDefault="00375961" w:rsidP="004E053C">
      <w:pPr>
        <w:spacing w:line="360" w:lineRule="auto"/>
        <w:jc w:val="both"/>
        <w:rPr>
          <w:rFonts w:eastAsia="Times New Roman" w:cstheme="minorHAnsi"/>
          <w:sz w:val="22"/>
          <w:szCs w:val="22"/>
        </w:rPr>
      </w:pPr>
    </w:p>
    <w:p w14:paraId="48C8BD69" w14:textId="15BA4A4A" w:rsidR="00375961" w:rsidRPr="004E053C" w:rsidRDefault="00375961" w:rsidP="004E053C">
      <w:pPr>
        <w:autoSpaceDE w:val="0"/>
        <w:autoSpaceDN w:val="0"/>
        <w:adjustRightInd w:val="0"/>
        <w:spacing w:line="360" w:lineRule="auto"/>
        <w:jc w:val="both"/>
        <w:rPr>
          <w:rFonts w:cstheme="minorHAnsi"/>
          <w:sz w:val="22"/>
          <w:szCs w:val="22"/>
        </w:rPr>
      </w:pPr>
      <w:r w:rsidRPr="004E053C">
        <w:rPr>
          <w:rFonts w:eastAsia="Times New Roman" w:cstheme="minorHAnsi"/>
          <w:sz w:val="22"/>
          <w:szCs w:val="22"/>
        </w:rPr>
        <w:lastRenderedPageBreak/>
        <w:t>Due to the location of most planned mining development, it is usually indigenous communities that are most engaged in violent protests. However</w:t>
      </w:r>
      <w:r w:rsidR="004E5F90" w:rsidRPr="004E053C">
        <w:rPr>
          <w:rFonts w:eastAsia="Times New Roman" w:cstheme="minorHAnsi"/>
          <w:sz w:val="22"/>
          <w:szCs w:val="22"/>
        </w:rPr>
        <w:t>, McNeish has pointed out that ‘</w:t>
      </w:r>
      <w:r w:rsidRPr="004E053C">
        <w:rPr>
          <w:rFonts w:eastAsia="Times New Roman" w:cstheme="minorHAnsi"/>
          <w:sz w:val="22"/>
          <w:szCs w:val="22"/>
        </w:rPr>
        <w:t>indigenous people are not inherently environmentalist, and rather their relationship with extractives and the environment are shaped through</w:t>
      </w:r>
      <w:r w:rsidR="004E5F90" w:rsidRPr="004E053C">
        <w:rPr>
          <w:rFonts w:eastAsia="Times New Roman" w:cstheme="minorHAnsi"/>
          <w:sz w:val="22"/>
          <w:szCs w:val="22"/>
        </w:rPr>
        <w:t xml:space="preserve"> different relational processes’</w:t>
      </w:r>
      <w:r w:rsidRPr="004E053C">
        <w:rPr>
          <w:rFonts w:eastAsia="Times New Roman" w:cstheme="minorHAnsi"/>
          <w:sz w:val="22"/>
          <w:szCs w:val="22"/>
        </w:rPr>
        <w:t xml:space="preserve"> </w:t>
      </w:r>
      <w:r w:rsidR="00C666C8" w:rsidRPr="004E053C">
        <w:rPr>
          <w:rFonts w:eastAsia="Times New Roman" w:cstheme="minorHAnsi"/>
          <w:sz w:val="22"/>
          <w:szCs w:val="22"/>
        </w:rPr>
        <w:fldChar w:fldCharType="begin" w:fldLock="1"/>
      </w:r>
      <w:r w:rsidR="00665903" w:rsidRPr="004E053C">
        <w:rPr>
          <w:rFonts w:eastAsia="Times New Roman" w:cstheme="minorHAnsi"/>
          <w:sz w:val="22"/>
          <w:szCs w:val="22"/>
        </w:rPr>
        <w:instrText>ADDIN CSL_CITATION {"citationItems":[{"id":"ITEM-1","itemData":{"author":[{"dropping-particle":"","family":"Mcneish","given":"John-Andrew","non-dropping-particle":"","parse-names":false,"suffix":""}],"container-title":"New Political Spaces in Latin American Natural Resource Governance","editor":[{"dropping-particle":"","family":"Haarstad","given":"Håvard","non-dropping-particle":"","parse-names":false,"suffix":""}],"id":"ITEM-1","issued":{"date-parts":[["2012"]]},"publisher":"Palgrave Macmillan","publisher-place":"New York, NY","title":"More than beads and feathers: resource extraction and the indigenous challenge in Latin America","type":"book"},"uris":["http://www.mendeley.com/documents/?uuid=e4976791-960e-44e9-a5ba-e74aa65b2d47"]}],"mendeley":{"formattedCitation":"(Mcneish, 2012)","manualFormatting":"(2012, p.43)","plainTextFormattedCitation":"(Mcneish, 2012)","previouslyFormattedCitation":"(Mcneish, 2012)"},"properties":{"noteIndex":0},"schema":"https://github.com/citation-style-language/schema/raw/master/csl-citation.json"}</w:instrText>
      </w:r>
      <w:r w:rsidR="00C666C8" w:rsidRPr="004E053C">
        <w:rPr>
          <w:rFonts w:eastAsia="Times New Roman" w:cstheme="minorHAnsi"/>
          <w:sz w:val="22"/>
          <w:szCs w:val="22"/>
        </w:rPr>
        <w:fldChar w:fldCharType="separate"/>
      </w:r>
      <w:r w:rsidR="00665903" w:rsidRPr="004E053C">
        <w:rPr>
          <w:rFonts w:eastAsia="Times New Roman" w:cstheme="minorHAnsi"/>
          <w:noProof/>
          <w:sz w:val="22"/>
          <w:szCs w:val="22"/>
        </w:rPr>
        <w:t>(2012, p.43)</w:t>
      </w:r>
      <w:r w:rsidR="00C666C8" w:rsidRPr="004E053C">
        <w:rPr>
          <w:rFonts w:eastAsia="Times New Roman" w:cstheme="minorHAnsi"/>
          <w:sz w:val="22"/>
          <w:szCs w:val="22"/>
        </w:rPr>
        <w:fldChar w:fldCharType="end"/>
      </w:r>
      <w:r w:rsidRPr="004E053C">
        <w:rPr>
          <w:rFonts w:eastAsia="Times New Roman" w:cstheme="minorHAnsi"/>
          <w:sz w:val="22"/>
          <w:szCs w:val="22"/>
        </w:rPr>
        <w:t xml:space="preserve">. </w:t>
      </w:r>
      <w:r w:rsidRPr="004E053C">
        <w:rPr>
          <w:rFonts w:cstheme="minorHAnsi"/>
          <w:color w:val="000000"/>
          <w:sz w:val="22"/>
          <w:szCs w:val="22"/>
        </w:rPr>
        <w:t xml:space="preserve">Moreover, some observers have also, perhaps rather cynically, suggested that protests are also an attempt by the communities to gain access to corporate resource flows, rather than to stop the development altogether </w:t>
      </w:r>
      <w:r w:rsidR="00665903" w:rsidRPr="004E053C">
        <w:rPr>
          <w:rFonts w:cstheme="minorHAnsi"/>
          <w:color w:val="000000"/>
          <w:sz w:val="22"/>
          <w:szCs w:val="22"/>
        </w:rPr>
        <w:fldChar w:fldCharType="begin" w:fldLock="1"/>
      </w:r>
      <w:r w:rsidR="002F0CEA">
        <w:rPr>
          <w:rFonts w:cstheme="minorHAnsi"/>
          <w:color w:val="000000"/>
          <w:sz w:val="22"/>
          <w:szCs w:val="22"/>
        </w:rPr>
        <w:instrText>ADDIN CSL_CITATION {"citationItems":[{"id":"ITEM-1","itemData":{"author":[{"dropping-particle":"","family":"Crabtree","given":"J.","non-dropping-particle":"","parse-names":false,"suffix":""},{"dropping-particle":"","family":"Crabtree-Condor","given":"I.","non-dropping-particle":"","parse-names":false,"suffix":""}],"container-title":"Social Conflict, Economic Development and Extractive Industries - Evidence from South America","editor":[{"dropping-particle":"","family":"Bebbington","given":"Anthony","non-dropping-particle":"","parse-names":false,"suffix":""}],"id":"ITEM-1","issued":{"date-parts":[["2012"]]},"page":"46-64","publisher":"Routledge","publisher-place":"London, UK","title":"The politics of extractive industries in the Central Andes","type":"chapter"},"uris":["http://www.mendeley.com/documents/?uuid=b5dcce80-6e4d-4173-92e0-4b38b24d38b8"]},{"id":"ITEM-2","itemData":{"abstract":"Various researchers have sought to explain why community organisations respond differently to mining projects. One important, understudied factor is the local history of state-society relations, which shape specific collective identities as well as organisational structures. This study compares the mobilisation processes in two Peruvian mining projects: Rio Blanco in Huancabamba and Bambas in Cotabambas. The former region has a history of strong peasant self-defence organisation, and community demands have focused on local control of territory. The latter region experienced both state neglect and civil society breakdown under the Shining Path, and community demands focus on compensation and social services. The study shows that collective identities greatly affect the ability of local communities to act based on their own definition of their interests in a mining project.","author":[{"dropping-particle":"","family":"Gustafsson","given":"Maria Therese","non-dropping-particle":"","parse-names":false,"suffix":""}],"container-title":"Canadian Journal of Development Studies","id":"ITEM-2","issue":"3","issued":{"date-parts":[["2015"]]},"page":"313-329","title":"Historic state-society relations and mobilisations surrounding extractive industries: Lessons from Peru","type":"article-journal","volume":"36"},"uris":["http://www.mendeley.com/documents/?uuid=cc06e28e-1bb7-4afa-8dcc-1957ec5c0e77"]}],"mendeley":{"formattedCitation":"(Crabtree &amp; Crabtree-Condor, 2012; Gustafsson, 2015)","plainTextFormattedCitation":"(Crabtree &amp; Crabtree-Condor, 2012; Gustafsson, 2015)","previouslyFormattedCitation":"(Crabtree &amp; Crabtree-Condor, 2012; Gustafsson, 2015)"},"properties":{"noteIndex":0},"schema":"https://github.com/citation-style-language/schema/raw/master/csl-citation.json"}</w:instrText>
      </w:r>
      <w:r w:rsidR="00665903" w:rsidRPr="004E053C">
        <w:rPr>
          <w:rFonts w:cstheme="minorHAnsi"/>
          <w:color w:val="000000"/>
          <w:sz w:val="22"/>
          <w:szCs w:val="22"/>
        </w:rPr>
        <w:fldChar w:fldCharType="separate"/>
      </w:r>
      <w:r w:rsidR="00665903" w:rsidRPr="004E053C">
        <w:rPr>
          <w:rFonts w:cstheme="minorHAnsi"/>
          <w:noProof/>
          <w:color w:val="000000"/>
          <w:sz w:val="22"/>
          <w:szCs w:val="22"/>
        </w:rPr>
        <w:t>(Crabtree &amp; Crabtree-Condor, 2012; Gustafsson, 2015)</w:t>
      </w:r>
      <w:r w:rsidR="00665903" w:rsidRPr="004E053C">
        <w:rPr>
          <w:rFonts w:cstheme="minorHAnsi"/>
          <w:color w:val="000000"/>
          <w:sz w:val="22"/>
          <w:szCs w:val="22"/>
        </w:rPr>
        <w:fldChar w:fldCharType="end"/>
      </w:r>
      <w:r w:rsidRPr="004E053C">
        <w:rPr>
          <w:rFonts w:eastAsia="Times New Roman" w:cstheme="minorHAnsi"/>
          <w:sz w:val="22"/>
          <w:szCs w:val="22"/>
        </w:rPr>
        <w:t xml:space="preserve">. </w:t>
      </w:r>
      <w:r w:rsidR="004E5F90" w:rsidRPr="004E053C">
        <w:rPr>
          <w:rFonts w:eastAsia="Times New Roman" w:cstheme="minorHAnsi"/>
          <w:sz w:val="22"/>
          <w:szCs w:val="22"/>
        </w:rPr>
        <w:t>What is also interesting</w:t>
      </w:r>
      <w:r w:rsidRPr="004E053C">
        <w:rPr>
          <w:rFonts w:eastAsia="Times New Roman" w:cstheme="minorHAnsi"/>
          <w:sz w:val="22"/>
          <w:szCs w:val="22"/>
        </w:rPr>
        <w:t xml:space="preserve"> is the rhetoric the </w:t>
      </w:r>
      <w:r w:rsidR="00E97A0D" w:rsidRPr="004E053C">
        <w:rPr>
          <w:rFonts w:eastAsia="Times New Roman" w:cstheme="minorHAnsi"/>
          <w:sz w:val="22"/>
          <w:szCs w:val="22"/>
        </w:rPr>
        <w:t xml:space="preserve">state uses about such protests. President Alan Garcia </w:t>
      </w:r>
      <w:r w:rsidRPr="004E053C">
        <w:rPr>
          <w:rFonts w:eastAsia="Times New Roman" w:cstheme="minorHAnsi"/>
          <w:sz w:val="22"/>
          <w:szCs w:val="22"/>
        </w:rPr>
        <w:t>famously likened the Amazonian tribes that resisted the oil development as criminals, quest</w:t>
      </w:r>
      <w:r w:rsidR="004E5F90" w:rsidRPr="004E053C">
        <w:rPr>
          <w:rFonts w:eastAsia="Times New Roman" w:cstheme="minorHAnsi"/>
          <w:sz w:val="22"/>
          <w:szCs w:val="22"/>
        </w:rPr>
        <w:t>ioning their authority to tell ‘Peruvians’</w:t>
      </w:r>
      <w:r w:rsidRPr="004E053C">
        <w:rPr>
          <w:rFonts w:eastAsia="Times New Roman" w:cstheme="minorHAnsi"/>
          <w:sz w:val="22"/>
          <w:szCs w:val="22"/>
        </w:rPr>
        <w:t xml:space="preserve"> </w:t>
      </w:r>
      <w:r w:rsidR="004E5F90" w:rsidRPr="004E053C">
        <w:rPr>
          <w:rFonts w:eastAsia="Times New Roman" w:cstheme="minorHAnsi"/>
          <w:sz w:val="22"/>
          <w:szCs w:val="22"/>
        </w:rPr>
        <w:t>that they could not go to the Amazon to</w:t>
      </w:r>
      <w:r w:rsidRPr="004E053C">
        <w:rPr>
          <w:rFonts w:eastAsia="Times New Roman" w:cstheme="minorHAnsi"/>
          <w:sz w:val="22"/>
          <w:szCs w:val="22"/>
        </w:rPr>
        <w:t xml:space="preserve"> extract resources </w:t>
      </w:r>
      <w:r w:rsidR="00E97A0D" w:rsidRPr="004E053C">
        <w:rPr>
          <w:rFonts w:eastAsia="Times New Roman" w:cstheme="minorHAnsi"/>
          <w:sz w:val="22"/>
          <w:szCs w:val="22"/>
        </w:rPr>
        <w:fldChar w:fldCharType="begin" w:fldLock="1"/>
      </w:r>
      <w:r w:rsidR="00E97A0D" w:rsidRPr="004E053C">
        <w:rPr>
          <w:rFonts w:eastAsia="Times New Roman" w:cstheme="minorHAnsi"/>
          <w:sz w:val="22"/>
          <w:szCs w:val="22"/>
        </w:rPr>
        <w:instrText>ADDIN CSL_CITATION {"citationItems":[{"id":"ITEM-1","itemData":{"author":[{"dropping-particle":"","family":"Boelens","given":"Rutgerd","non-dropping-particle":"","parse-names":false,"suffix":""}],"id":"ITEM-1","issued":{"date-parts":[["2015"]]},"publisher":"Routledge","publisher-place":"Oxford, UK","title":"Water, Power and Identity: The Cultural Politics of Water in the Andes","type":"book"},"uris":["http://www.mendeley.com/documents/?uuid=a9c3787f-40e7-4753-9eec-62944b13b88f"]},{"id":"ITEM-2","itemData":{"abstract":"The extraction of minerals, oil and gas has a long and ambiguous history in development processes – in North America, Europe, Latin America and Australasia. Extraction has yielded wealth, regional identities and in some cases capital for industrialization. In other cases its main heritages have been social conflict, environmental damage and underperforming national economies. As the extractive economy has entered another boom period over the last decade, not least in Latin America, the countries in which this boom is occurring are challenged to interpret this ambiguity. Will the extractive industry yield, for them, economic development, or will its main gifts be ones of conflict, degradation and unequal forms of growth.","author":[{"dropping-particle":"","family":"Bebbington","given":"Anthony","non-dropping-particle":"","parse-names":false,"suffix":""}],"id":"ITEM-2","issued":{"date-parts":[["2011"]]},"number-of-pages":"258","title":"Social Conflict, Economic Development and Extractive Industry: Evidence from South America","type":"book"},"uris":["http://www.mendeley.com/documents/?uuid=81fa501e-2549-4623-908e-76e796de9056"]}],"mendeley":{"formattedCitation":"(Bebbington, 2011; Boelens, 2015)","plainTextFormattedCitation":"(Bebbington, 2011; Boelens, 2015)","previouslyFormattedCitation":"(Bebbington, 2011; Boelens, 2015)"},"properties":{"noteIndex":0},"schema":"https://github.com/citation-style-language/schema/raw/master/csl-citation.json"}</w:instrText>
      </w:r>
      <w:r w:rsidR="00E97A0D" w:rsidRPr="004E053C">
        <w:rPr>
          <w:rFonts w:eastAsia="Times New Roman" w:cstheme="minorHAnsi"/>
          <w:sz w:val="22"/>
          <w:szCs w:val="22"/>
        </w:rPr>
        <w:fldChar w:fldCharType="separate"/>
      </w:r>
      <w:r w:rsidR="00E97A0D" w:rsidRPr="004E053C">
        <w:rPr>
          <w:rFonts w:eastAsia="Times New Roman" w:cstheme="minorHAnsi"/>
          <w:noProof/>
          <w:sz w:val="22"/>
          <w:szCs w:val="22"/>
        </w:rPr>
        <w:t>(Bebbington, 2011; Boelens, 2015)</w:t>
      </w:r>
      <w:r w:rsidR="00E97A0D" w:rsidRPr="004E053C">
        <w:rPr>
          <w:rFonts w:eastAsia="Times New Roman" w:cstheme="minorHAnsi"/>
          <w:sz w:val="22"/>
          <w:szCs w:val="22"/>
        </w:rPr>
        <w:fldChar w:fldCharType="end"/>
      </w:r>
      <w:r w:rsidR="00E97A0D" w:rsidRPr="004E053C">
        <w:rPr>
          <w:rFonts w:eastAsia="Times New Roman" w:cstheme="minorHAnsi"/>
          <w:sz w:val="22"/>
          <w:szCs w:val="22"/>
        </w:rPr>
        <w:t>.</w:t>
      </w:r>
      <w:r w:rsidRPr="004E053C">
        <w:rPr>
          <w:rFonts w:eastAsia="Times New Roman" w:cstheme="minorHAnsi"/>
          <w:sz w:val="22"/>
          <w:szCs w:val="22"/>
        </w:rPr>
        <w:t xml:space="preserve"> On the other hand, the authorities attempt to paint modern extractive industry as a clean and socially responsible process that can bring only benefits to the Peruvian economy </w:t>
      </w:r>
      <w:r w:rsidR="00E97A0D" w:rsidRPr="004E053C">
        <w:rPr>
          <w:rFonts w:eastAsia="Times New Roman" w:cstheme="minorHAnsi"/>
          <w:sz w:val="22"/>
          <w:szCs w:val="22"/>
        </w:rPr>
        <w:fldChar w:fldCharType="begin" w:fldLock="1"/>
      </w:r>
      <w:r w:rsidR="00E97A0D" w:rsidRPr="004E053C">
        <w:rPr>
          <w:rFonts w:eastAsia="Times New Roman"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E97A0D" w:rsidRPr="004E053C">
        <w:rPr>
          <w:rFonts w:eastAsia="Times New Roman" w:cstheme="minorHAnsi"/>
          <w:sz w:val="22"/>
          <w:szCs w:val="22"/>
        </w:rPr>
        <w:fldChar w:fldCharType="separate"/>
      </w:r>
      <w:r w:rsidR="00E97A0D" w:rsidRPr="004E053C">
        <w:rPr>
          <w:rFonts w:eastAsia="Times New Roman" w:cstheme="minorHAnsi"/>
          <w:noProof/>
          <w:sz w:val="22"/>
          <w:szCs w:val="22"/>
        </w:rPr>
        <w:t>(Orihuela, 2012)</w:t>
      </w:r>
      <w:r w:rsidR="00E97A0D" w:rsidRPr="004E053C">
        <w:rPr>
          <w:rFonts w:eastAsia="Times New Roman" w:cstheme="minorHAnsi"/>
          <w:sz w:val="22"/>
          <w:szCs w:val="22"/>
        </w:rPr>
        <w:fldChar w:fldCharType="end"/>
      </w:r>
      <w:r w:rsidRPr="004E053C">
        <w:rPr>
          <w:rFonts w:eastAsia="Times New Roman" w:cstheme="minorHAnsi"/>
          <w:sz w:val="22"/>
          <w:szCs w:val="22"/>
        </w:rPr>
        <w:t xml:space="preserve">. </w:t>
      </w:r>
    </w:p>
    <w:p w14:paraId="58174174" w14:textId="77777777" w:rsidR="00375961" w:rsidRPr="004E053C" w:rsidRDefault="00375961" w:rsidP="004E053C">
      <w:pPr>
        <w:spacing w:line="360" w:lineRule="auto"/>
        <w:jc w:val="both"/>
        <w:rPr>
          <w:rFonts w:eastAsia="Times New Roman" w:cstheme="minorHAnsi"/>
          <w:sz w:val="22"/>
          <w:szCs w:val="22"/>
        </w:rPr>
      </w:pPr>
    </w:p>
    <w:p w14:paraId="0F36F6F4" w14:textId="4CC2C532" w:rsidR="00375961" w:rsidRPr="004E053C" w:rsidRDefault="00EF0BCB" w:rsidP="004E053C">
      <w:pPr>
        <w:pStyle w:val="Heading3"/>
        <w:rPr>
          <w:rFonts w:asciiTheme="minorHAnsi" w:hAnsiTheme="minorHAnsi"/>
        </w:rPr>
      </w:pPr>
      <w:r w:rsidRPr="004E053C">
        <w:rPr>
          <w:rFonts w:asciiTheme="minorHAnsi" w:hAnsiTheme="minorHAnsi"/>
        </w:rPr>
        <w:t>3.</w:t>
      </w:r>
      <w:r w:rsidR="00375961" w:rsidRPr="004E053C">
        <w:rPr>
          <w:rFonts w:asciiTheme="minorHAnsi" w:hAnsiTheme="minorHAnsi"/>
        </w:rPr>
        <w:t xml:space="preserve">6.2. </w:t>
      </w:r>
      <w:r w:rsidR="00C66190" w:rsidRPr="004E053C">
        <w:rPr>
          <w:rFonts w:asciiTheme="minorHAnsi" w:hAnsiTheme="minorHAnsi"/>
        </w:rPr>
        <w:t>Resistance</w:t>
      </w:r>
      <w:r w:rsidR="004E5F90" w:rsidRPr="004E053C">
        <w:rPr>
          <w:rFonts w:asciiTheme="minorHAnsi" w:hAnsiTheme="minorHAnsi"/>
        </w:rPr>
        <w:t xml:space="preserve"> in the </w:t>
      </w:r>
      <w:r w:rsidR="00375961" w:rsidRPr="004E053C">
        <w:rPr>
          <w:rFonts w:asciiTheme="minorHAnsi" w:hAnsiTheme="minorHAnsi"/>
        </w:rPr>
        <w:t>ASM</w:t>
      </w:r>
      <w:r w:rsidR="004E5F90" w:rsidRPr="004E053C">
        <w:rPr>
          <w:rFonts w:asciiTheme="minorHAnsi" w:hAnsiTheme="minorHAnsi"/>
        </w:rPr>
        <w:t xml:space="preserve"> sector</w:t>
      </w:r>
    </w:p>
    <w:p w14:paraId="4AACB320" w14:textId="77777777" w:rsidR="00375961" w:rsidRPr="004E053C" w:rsidRDefault="00375961" w:rsidP="004E053C">
      <w:pPr>
        <w:spacing w:line="360" w:lineRule="auto"/>
        <w:jc w:val="both"/>
        <w:rPr>
          <w:rFonts w:eastAsia="Times New Roman" w:cstheme="minorHAnsi"/>
          <w:b/>
          <w:sz w:val="22"/>
          <w:szCs w:val="22"/>
        </w:rPr>
      </w:pPr>
    </w:p>
    <w:p w14:paraId="5E60AD36" w14:textId="776A1BA9" w:rsidR="00375961" w:rsidRPr="004E053C" w:rsidRDefault="00375961" w:rsidP="004E053C">
      <w:pPr>
        <w:spacing w:line="360" w:lineRule="auto"/>
        <w:jc w:val="both"/>
        <w:rPr>
          <w:rFonts w:cstheme="minorHAnsi"/>
          <w:sz w:val="22"/>
          <w:szCs w:val="22"/>
        </w:rPr>
      </w:pPr>
      <w:r w:rsidRPr="004E053C">
        <w:rPr>
          <w:rFonts w:cstheme="minorHAnsi"/>
          <w:sz w:val="22"/>
          <w:szCs w:val="22"/>
        </w:rPr>
        <w:t>Given the rise in ASM activity in recent years, it is perhaps unsurprising that there has been an accompanying increase in levels of social conflict within the sector. Unlike large-scale mining however, this conflict tends to happen between ASM operators and the Government. The go</w:t>
      </w:r>
      <w:r w:rsidR="00277027">
        <w:rPr>
          <w:rFonts w:cstheme="minorHAnsi"/>
          <w:sz w:val="22"/>
          <w:szCs w:val="22"/>
        </w:rPr>
        <w:t xml:space="preserve">vernment </w:t>
      </w:r>
      <w:r w:rsidR="00C66190">
        <w:rPr>
          <w:rFonts w:cstheme="minorHAnsi"/>
          <w:sz w:val="22"/>
          <w:szCs w:val="22"/>
        </w:rPr>
        <w:t>has</w:t>
      </w:r>
      <w:r w:rsidR="00277027">
        <w:rPr>
          <w:rFonts w:cstheme="minorHAnsi"/>
          <w:sz w:val="22"/>
          <w:szCs w:val="22"/>
        </w:rPr>
        <w:t xml:space="preserve"> developed formalis</w:t>
      </w:r>
      <w:r w:rsidRPr="004E053C">
        <w:rPr>
          <w:rFonts w:cstheme="minorHAnsi"/>
          <w:sz w:val="22"/>
          <w:szCs w:val="22"/>
        </w:rPr>
        <w:t xml:space="preserve">ation plans but these have been met with demonstrations and general strikes on the part of the miners because they do not agree with the terms on offer. In response, the state passed a regulation that effectively criminalises miners who are not formalised, and initiated a series of police and military interventions to clear out miners </w:t>
      </w:r>
      <w:r w:rsidRPr="004E053C">
        <w:rPr>
          <w:rFonts w:cstheme="minorHAnsi"/>
          <w:sz w:val="22"/>
          <w:szCs w:val="22"/>
        </w:rPr>
        <w:fldChar w:fldCharType="begin" w:fldLock="1"/>
      </w:r>
      <w:r w:rsidR="00680892" w:rsidRPr="004E053C">
        <w:rPr>
          <w:rFonts w:cstheme="minorHAnsi"/>
          <w:sz w:val="22"/>
          <w:szCs w:val="22"/>
        </w:rPr>
        <w:instrText>ADDIN CSL_CITATION {"citationItems":[{"id":"ITEM-1","itemData":{"author":[{"dropping-particle":"","family":"GIATOC","given":"","non-dropping-particle":"","parse-names":false,"suffix":""}],"id":"ITEM-1","issued":{"date-parts":[["2016"]]},"publisher-place":"Geneva","title":"Organized Crime and Illegally Mined Gold in Latin America","type":"report"},"uris":["http://www.mendeley.com/documents/?uuid=c4a6df59-74c7-4487-89f7-41028f284ee6"]},{"id":"ITEM-2","itemData":{"abstract":"The recent unopposed proliferation of artisanal gold mining (AGM) in towns that previously rejected large-scale mining (LSM) in Andean countries poses a thorny question: Why do locals respond differently to mining activities at different scales? To explain the basis for opposition or tolerance to mining activities, the paper develops a comparative study of local communities’ perceptions of LSM and AGM. Through extensive fieldwork in the area and collection of qualitative evidence from surveys, interviews, and ethnographies, the paper revisits the case of Tambogrande (Peru) 15 years after the resistance against LSM operations in the light of the recent proliferation of AGM in the same area. The paper finds that AGM faces less resistance because it is considered more compatible with the existing social order, which hinges on personal ties and strong relationships of trust. By contrast, LSM is far removed from local dynamics and it is perceived as an imposition that would divide and displace the community. Although economic and environmental factors are in fact a cause for concern for local communities, social considerations usually take priority.","author":[{"dropping-particle":"","family":"Toledo Orozco","given":"Zaraí","non-dropping-particle":"","parse-names":false,"suffix":""},{"dropping-particle":"","family":"Veiga","given":"Marcello","non-dropping-particle":"","parse-names":false,"suffix":""}],"container-title":"Extractive Industries and Society","id":"ITEM-2","issue":"2","issued":{"date-parts":[["2018"]]},"page":"327-334","publisher":"Elsevier","title":"Locals’ attitudes toward artisanal and large-scale mining: a case study of Tambogrande, Peru","type":"article-journal","volume":"5"},"uris":["http://www.mendeley.com/documents/?uuid=9a26e764-a9c9-46d5-acbc-84ef6783a7a5"]}],"mendeley":{"formattedCitation":"(GIATOC, 2016; Toledo Orozco &amp; Veiga, 2018)","plainTextFormattedCitation":"(GIATOC, 2016; Toledo Orozco &amp; Veiga, 2018)","previouslyFormattedCitation":"(GIATOC, 2016; Toledo Orozco &amp; Veiga, 2018)"},"properties":{"noteIndex":0},"schema":"https://github.com/citation-style-language/schema/raw/master/csl-citation.json"}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(GIATOC, 2016; Toledo Oro</w:t>
      </w:r>
      <w:r w:rsidR="00277027">
        <w:rPr>
          <w:rFonts w:cstheme="minorHAnsi"/>
          <w:noProof/>
          <w:sz w:val="22"/>
          <w:szCs w:val="22"/>
        </w:rPr>
        <w:t>z</w:t>
      </w:r>
      <w:r w:rsidRPr="004E053C">
        <w:rPr>
          <w:rFonts w:cstheme="minorHAnsi"/>
          <w:noProof/>
          <w:sz w:val="22"/>
          <w:szCs w:val="22"/>
        </w:rPr>
        <w:t>co &amp; Veiga, 2018)</w:t>
      </w:r>
      <w:r w:rsidRPr="004E053C">
        <w:rPr>
          <w:rFonts w:cstheme="minorHAnsi"/>
          <w:sz w:val="22"/>
          <w:szCs w:val="22"/>
        </w:rPr>
        <w:fldChar w:fldCharType="end"/>
      </w:r>
      <w:r w:rsidRPr="004E053C">
        <w:rPr>
          <w:rFonts w:cstheme="minorHAnsi"/>
          <w:sz w:val="22"/>
          <w:szCs w:val="22"/>
        </w:rPr>
        <w:t>.</w:t>
      </w:r>
      <w:r w:rsidR="00E97A0D" w:rsidRPr="004E053C">
        <w:rPr>
          <w:rFonts w:cstheme="minorHAnsi"/>
          <w:sz w:val="22"/>
          <w:szCs w:val="22"/>
        </w:rPr>
        <w:t xml:space="preserve"> Salo et al </w:t>
      </w:r>
      <w:r w:rsidR="00E97A0D" w:rsidRPr="004E053C">
        <w:rPr>
          <w:rFonts w:cstheme="minorHAnsi"/>
          <w:sz w:val="22"/>
          <w:szCs w:val="22"/>
        </w:rPr>
        <w:fldChar w:fldCharType="begin" w:fldLock="1"/>
      </w:r>
      <w:r w:rsidR="002F0CEA">
        <w:rPr>
          <w:rFonts w:cstheme="minorHAnsi"/>
          <w:sz w:val="22"/>
          <w:szCs w:val="22"/>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2016)","manualFormatting":"(2016)","plainTextFormattedCitation":"(Salo et al., 2016)","previouslyFormattedCitation":"(Salo et al., 2016)"},"properties":{"noteIndex":0},"schema":"https://github.com/citation-style-language/schema/raw/master/csl-citation.json"}</w:instrText>
      </w:r>
      <w:r w:rsidR="00E97A0D" w:rsidRPr="004E053C">
        <w:rPr>
          <w:rFonts w:cstheme="minorHAnsi"/>
          <w:sz w:val="22"/>
          <w:szCs w:val="22"/>
        </w:rPr>
        <w:fldChar w:fldCharType="separate"/>
      </w:r>
      <w:r w:rsidR="00E97A0D" w:rsidRPr="004E053C">
        <w:rPr>
          <w:rFonts w:cstheme="minorHAnsi"/>
          <w:noProof/>
          <w:sz w:val="22"/>
          <w:szCs w:val="22"/>
        </w:rPr>
        <w:t>(2016)</w:t>
      </w:r>
      <w:r w:rsidR="00E97A0D" w:rsidRPr="004E053C">
        <w:rPr>
          <w:rFonts w:cstheme="minorHAnsi"/>
          <w:sz w:val="22"/>
          <w:szCs w:val="22"/>
        </w:rPr>
        <w:fldChar w:fldCharType="end"/>
      </w:r>
      <w:r w:rsidRPr="004E053C">
        <w:rPr>
          <w:rFonts w:cstheme="minorHAnsi"/>
          <w:sz w:val="22"/>
          <w:szCs w:val="22"/>
        </w:rPr>
        <w:t xml:space="preserve"> argued that this is a clear example of how a mainstream formalisation process can be portrayed alternatively as a means to reform an economic activity and empower marginalised miners or as a way to control and punish them, sentencing many to illegality in the face of regulations impossible to comply with. </w:t>
      </w:r>
    </w:p>
    <w:p w14:paraId="3DE1E19C" w14:textId="77777777" w:rsidR="00375961" w:rsidRPr="004E053C" w:rsidRDefault="00375961" w:rsidP="004E053C">
      <w:pPr>
        <w:spacing w:line="360" w:lineRule="auto"/>
        <w:jc w:val="both"/>
        <w:rPr>
          <w:rFonts w:cstheme="minorHAnsi"/>
          <w:sz w:val="22"/>
          <w:szCs w:val="22"/>
        </w:rPr>
      </w:pPr>
    </w:p>
    <w:p w14:paraId="1D98F437" w14:textId="7F04A687" w:rsidR="00375961" w:rsidRPr="004E053C" w:rsidRDefault="00375961" w:rsidP="004E053C">
      <w:pPr>
        <w:spacing w:line="360" w:lineRule="auto"/>
        <w:jc w:val="both"/>
        <w:rPr>
          <w:rFonts w:cstheme="minorHAnsi"/>
          <w:sz w:val="22"/>
          <w:szCs w:val="22"/>
        </w:rPr>
      </w:pPr>
      <w:r w:rsidRPr="004E053C">
        <w:rPr>
          <w:rFonts w:cstheme="minorHAnsi"/>
          <w:sz w:val="22"/>
          <w:szCs w:val="22"/>
        </w:rPr>
        <w:t>The public discourse is broadly supportive of the government, and reports ASM in Madre de Dios as being environmentally destructive and migrant miners as being violent criminals</w:t>
      </w:r>
      <w:r w:rsidRPr="004E053C">
        <w:rPr>
          <w:rFonts w:eastAsia="Times New Roman" w:cstheme="minorHAnsi"/>
          <w:sz w:val="22"/>
          <w:szCs w:val="22"/>
        </w:rPr>
        <w:t xml:space="preserve"> </w:t>
      </w:r>
      <w:r w:rsidRPr="004E053C">
        <w:rPr>
          <w:rFonts w:eastAsia="Times New Roman" w:cstheme="minorHAnsi"/>
          <w:sz w:val="22"/>
          <w:szCs w:val="22"/>
        </w:rPr>
        <w:fldChar w:fldCharType="begin" w:fldLock="1"/>
      </w:r>
      <w:r w:rsidR="002F0CEA">
        <w:rPr>
          <w:rFonts w:eastAsia="Times New Roman" w:cstheme="minorHAnsi"/>
          <w:sz w:val="22"/>
          <w:szCs w:val="22"/>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id":"ITEM-2","itemData":{"author":[{"dropping-particle":"","family":"Damonte","given":"Gerardo","non-dropping-particle":"","parse-names":false,"suffix":""},{"dropping-particle":"","family":"Bueno de Mesquita","given":"Mourik","non-dropping-particle":"","parse-names":false,"suffix":""},{"dropping-particle":"","family":"Pachas","given":"Víctor Hugo","non-dropping-particle":"","parse-names":false,"suffix":""},{"dropping-particle":"","family":"Chávez","given":"Mary","non-dropping-particle":"","parse-names":false,"suffix":""}],"chapter-number":"5","container-title":"Small-Scale Gold Mining in the Amazon: The cases of Bolivia, Brazil, Colombia, Peru and Suriname","editor":[{"dropping-particle":"","family":"Leontien","given":"Kolen","non-dropping-particle":"","parse-names":false,"suffix":""},{"dropping-particle":"","family":"Cremers","given":"Judith","non-dropping-particle":"","parse-names":false,"suffix":""},{"dropping-particle":"","family":"Marjo","given":"de Theije","non-dropping-particle":"","parse-names":false,"suffix":""}],"id":"ITEM-2","issued":{"date-parts":[["2013"]]},"page":"68-84","publisher":"Cuadernos del CEDLA no.26","publisher-place":"Amsterdam","title":"Small-scale gold mining and social and environmental conflict in the Peruvian Amazon","type":"chapter"},"uris":["http://www.mendeley.com/documents/?uuid=91b131b3-280a-4452-8625-e265d634cbf2"]},{"id":"ITEM-3","itemData":{"abstract":"A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Society","id":"ITEM-3","issue":"4","issued":{"date-parts":[["2016"]]},"page":"1058-1066","publisher":"Elsevier Ltd.","title":"Local perspectives on the formalization of artisanal and small-scale mining in the Madre de Dios gold fields, Peru","type":"article-journal","volume":"3"},"uris":["http://www.mendeley.com/documents/?uuid=c58e85fb-cf81-4a8b-acb3-317eb51efe53"]},{"id":"ITEM-4","itemData":{"abstract":"The extraction of minerals, oil and gas has a long and ambiguous history in development processes – in North America, Europe, Latin America and Australasia. Extraction has yielded wealth, regional identities and in some cases capital for industrialization. In other cases its main heritages have been social conflict, environmental damage and underperforming national economies. As the extractive economy has entered another boom period over the last decade, not least in Latin America, the countries in which this boom is occurring are challenged to interpret this ambiguity. Will the extractive industry yield, for them, economic development, or will its main gifts be ones of conflict, degradation and unequal forms of growth.","author":[{"dropping-particle":"","family":"Bebbington","given":"Anthony","non-dropping-particle":"","parse-names":false,"suffix":""}],"id":"ITEM-4","issued":{"date-parts":[["2011"]]},"number-of-pages":"258","title":"Social Conflict, Economic Development and Extractive Industry: Evidence from South America","type":"book"},"uris":["http://www.mendeley.com/documents/?uuid=81fa501e-2549-4623-908e-76e796de9056"]}],"mendeley":{"formattedCitation":"(Bebbington, 2011; Damonte et al., 2013; Orihuela, 2012; Salo et al., 2016)","manualFormatting":"(Bebbington, 2011; Damonte et al., 2013; Orihuela, 2012; Salo et al., 2016)","plainTextFormattedCitation":"(Bebbington, 2011; Damonte et al., 2013; Orihuela, 2012; Salo et al., 2016)","previouslyFormattedCitation":"(Bebbington, 2011; Damonte et al., 2013; Orihuela, 2012; Salo et al., 2016)"},"properties":{"noteIndex":0},"schema":"https://github.com/citation-style-language/schema/raw/master/csl-citation.json"}</w:instrText>
      </w:r>
      <w:r w:rsidRPr="004E053C">
        <w:rPr>
          <w:rFonts w:eastAsia="Times New Roman" w:cstheme="minorHAnsi"/>
          <w:sz w:val="22"/>
          <w:szCs w:val="22"/>
        </w:rPr>
        <w:fldChar w:fldCharType="separate"/>
      </w:r>
      <w:r w:rsidRPr="004E053C">
        <w:rPr>
          <w:rFonts w:eastAsia="Times New Roman" w:cstheme="minorHAnsi"/>
          <w:noProof/>
          <w:sz w:val="22"/>
          <w:szCs w:val="22"/>
        </w:rPr>
        <w:t>(Bebbington, 2011; Damonte et al., 2013; Orihuela, 2012; Salo et al., 2016)</w:t>
      </w:r>
      <w:r w:rsidRPr="004E053C">
        <w:rPr>
          <w:rFonts w:eastAsia="Times New Roman" w:cstheme="minorHAnsi"/>
          <w:sz w:val="22"/>
          <w:szCs w:val="22"/>
        </w:rPr>
        <w:fldChar w:fldCharType="end"/>
      </w:r>
      <w:r w:rsidRPr="004E053C">
        <w:rPr>
          <w:rFonts w:cstheme="minorHAnsi"/>
          <w:sz w:val="22"/>
          <w:szCs w:val="22"/>
        </w:rPr>
        <w:t xml:space="preserve">. However, this somewhat masks the fact that the Peruvian state has long pursued systematic </w:t>
      </w:r>
      <w:r w:rsidRPr="004E053C">
        <w:rPr>
          <w:rFonts w:eastAsia="Times New Roman" w:cstheme="minorHAnsi"/>
          <w:spacing w:val="2"/>
          <w:sz w:val="22"/>
          <w:szCs w:val="22"/>
          <w:shd w:val="clear" w:color="auto" w:fill="FCFCFC"/>
        </w:rPr>
        <w:t xml:space="preserve">colonisation and extractive exploitation in the Amazon, with little sympathy for indigenous communities </w:t>
      </w:r>
      <w:r w:rsidRPr="004E053C">
        <w:rPr>
          <w:rFonts w:eastAsia="Times New Roman" w:cstheme="minorHAnsi"/>
          <w:spacing w:val="2"/>
          <w:sz w:val="22"/>
          <w:szCs w:val="22"/>
          <w:shd w:val="clear" w:color="auto" w:fill="FCFCFC"/>
        </w:rPr>
        <w:fldChar w:fldCharType="begin" w:fldLock="1"/>
      </w:r>
      <w:r w:rsidR="007A757C" w:rsidRPr="004E053C">
        <w:rPr>
          <w:rFonts w:eastAsia="Times New Roman" w:cstheme="minorHAnsi"/>
          <w:spacing w:val="2"/>
          <w:sz w:val="22"/>
          <w:szCs w:val="22"/>
          <w:shd w:val="clear" w:color="auto" w:fill="FCFCFC"/>
        </w:rPr>
        <w:instrText>ADDIN CSL_CITATION {"citationItems":[{"id":"ITEM-1","itemData":{"author":[{"dropping-particle":"","family":"Damonte","given":"Gerardo","non-dropping-particle":"","parse-names":false,"suffix":""},{"dropping-particle":"","family":"Bueno de Mesquita","given":"Mourik","non-dropping-particle":"","parse-names":false,"suffix":""},{"dropping-particle":"","family":"Pachas","given":"Víctor Hugo","non-dropping-particle":"","parse-names":false,"suffix":""},{"dropping-particle":"","family":"Chávez","given":"Mary","non-dropping-particle":"","parse-names":false,"suffix":""}],"chapter-number":"5","container-title":"Small-Scale Gold Mining in the Amazon: The cases of Bolivia, Brazil, Colombia, Peru and Suriname","editor":[{"dropping-particle":"","family":"Leontien","given":"Kolen","non-dropping-particle":"","parse-names":false,"suffix":""},{"dropping-particle":"","family":"Cremers","given":"Judith","non-dropping-particle":"","parse-names":false,"suffix":""},{"dropping-particle":"","family":"Marjo","given":"de Theije","non-dropping-particle":"","parse-names":false,"suffix":""}],"id":"ITEM-1","issued":{"date-parts":[["2013"]]},"page":"68-84","publisher":"Cuadernos del CEDLA no.26","publisher-place":"Amsterdam","title":"Small-scale gold mining and social and environmental conflict in the Peruvian Amazon","type":"chapter"},"uris":["http://www.mendeley.com/documents/?uuid=91b131b3-280a-4452-8625-e265d634cbf2"]}],"mendeley":{"formattedCitation":"(Damonte et al., 2013)","manualFormatting":"(Damonte et al., 2013)","plainTextFormattedCitation":"(Damonte et al., 2013)","previouslyFormattedCitation":"(Damonte et al., 2013)"},"properties":{"noteIndex":0},"schema":"https://github.com/citation-style-language/schema/raw/master/csl-citation.json"}</w:instrText>
      </w:r>
      <w:r w:rsidRPr="004E053C">
        <w:rPr>
          <w:rFonts w:eastAsia="Times New Roman" w:cstheme="minorHAnsi"/>
          <w:spacing w:val="2"/>
          <w:sz w:val="22"/>
          <w:szCs w:val="22"/>
          <w:shd w:val="clear" w:color="auto" w:fill="FCFCFC"/>
        </w:rPr>
        <w:fldChar w:fldCharType="separate"/>
      </w:r>
      <w:r w:rsidRPr="004E053C">
        <w:rPr>
          <w:rFonts w:eastAsia="Times New Roman" w:cstheme="minorHAnsi"/>
          <w:noProof/>
          <w:spacing w:val="2"/>
          <w:sz w:val="22"/>
          <w:szCs w:val="22"/>
          <w:shd w:val="clear" w:color="auto" w:fill="FCFCFC"/>
        </w:rPr>
        <w:t>(Damonte et al., 2013)</w:t>
      </w:r>
      <w:r w:rsidRPr="004E053C">
        <w:rPr>
          <w:rFonts w:eastAsia="Times New Roman" w:cstheme="minorHAnsi"/>
          <w:spacing w:val="2"/>
          <w:sz w:val="22"/>
          <w:szCs w:val="22"/>
          <w:shd w:val="clear" w:color="auto" w:fill="FCFCFC"/>
        </w:rPr>
        <w:fldChar w:fldCharType="end"/>
      </w:r>
      <w:r w:rsidRPr="004E053C">
        <w:rPr>
          <w:rFonts w:cstheme="minorHAnsi"/>
          <w:sz w:val="22"/>
          <w:szCs w:val="22"/>
        </w:rPr>
        <w:t xml:space="preserve">. </w:t>
      </w:r>
      <w:r w:rsidR="00E97A0D" w:rsidRPr="004E053C">
        <w:rPr>
          <w:rFonts w:cstheme="minorHAnsi"/>
          <w:sz w:val="22"/>
          <w:szCs w:val="22"/>
        </w:rPr>
        <w:t>As noted above,</w:t>
      </w:r>
      <w:r w:rsidRPr="004E053C">
        <w:rPr>
          <w:rFonts w:cstheme="minorHAnsi"/>
          <w:sz w:val="22"/>
          <w:szCs w:val="22"/>
        </w:rPr>
        <w:t xml:space="preserve"> the state government uses similar language around criminality when discussing actors involved in large-scale mining conflicts. </w:t>
      </w:r>
      <w:r w:rsidR="00C66190" w:rsidRPr="004E053C">
        <w:rPr>
          <w:rFonts w:cstheme="minorHAnsi"/>
          <w:sz w:val="22"/>
          <w:szCs w:val="22"/>
        </w:rPr>
        <w:t>For example, in Peru during consultations for the controversia</w:t>
      </w:r>
      <w:r w:rsidR="00C66190">
        <w:rPr>
          <w:rFonts w:cstheme="minorHAnsi"/>
          <w:sz w:val="22"/>
          <w:szCs w:val="22"/>
        </w:rPr>
        <w:t xml:space="preserve">l </w:t>
      </w:r>
      <w:r w:rsidR="00C66190">
        <w:rPr>
          <w:rFonts w:cstheme="minorHAnsi"/>
          <w:sz w:val="22"/>
          <w:szCs w:val="22"/>
        </w:rPr>
        <w:lastRenderedPageBreak/>
        <w:t>Ta</w:t>
      </w:r>
      <w:r w:rsidR="00C66190" w:rsidRPr="004E053C">
        <w:rPr>
          <w:rFonts w:cstheme="minorHAnsi"/>
          <w:sz w:val="22"/>
          <w:szCs w:val="22"/>
        </w:rPr>
        <w:t xml:space="preserve">mbogrande Mine, the state launched a campaign to effectively criminalise the local activists who opposed the development of the mine, declaring the referendum to be ‘illegal, communist and politically manipulated by international NGOs that intended to delay the country’s development’ </w:t>
      </w:r>
      <w:r w:rsidR="00C66190" w:rsidRPr="004E053C">
        <w:rPr>
          <w:rFonts w:cstheme="minorHAnsi"/>
          <w:sz w:val="22"/>
          <w:szCs w:val="22"/>
        </w:rPr>
        <w:fldChar w:fldCharType="begin" w:fldLock="1"/>
      </w:r>
      <w:r w:rsidR="00C66190" w:rsidRPr="004E053C">
        <w:rPr>
          <w:rFonts w:cstheme="minorHAnsi"/>
          <w:sz w:val="22"/>
          <w:szCs w:val="22"/>
        </w:rPr>
        <w:instrText>ADDIN CSL_CITATION {"citationItems":[{"id":"ITEM-1","itemData":{"abstract":"From 2002 to 2012, 68 community consultations/referenda on large-scale mining activities have been conducted in Latin America challenging centralized decision-making procedures. These consultations are fostered by communities and social movements and usually supported by local governments. Around 700,000 people have participated, expressing a massive rejection of mining activities in Peru, Guatemala, Argentina, Colombia and Ecuador. Community consultations have contributed to ease local tensions temporarily, slowing down or stopping mining projects in some cases. This paper analyses the process of emergence and spread of such consultations exploring how they challenge the governance of mining activities. We claim that community consultations are being institutionalized in the context of mining conflicts in Latin America. Consultations are not isolated experiences but constitute a strategy diffused and transformed in the midst of multi-scalar social learning processes where social movements exchange strategies and discourses and a hybridising process occurs in relation to political and cultural local features. We sustain that community consultations are a hybrid institution where non-state and state actors and formal and informal institutions are mobilized. Consultations are a strategic tool of social movements and a contested emergent institution – as different state bodies support or reject their validity – that reclaim the right of affected populations and indigenous peoples to participate, in empowering forms, in high-stake decisions that affect their territories, livelihoods and future.","author":[{"dropping-particle":"","family":"Walter","given":"Mariana","non-dropping-particle":"","parse-names":false,"suffix":""},{"dropping-particle":"","family":"Urkidi","given":"Leire","non-dropping-particle":"","parse-names":false,"suffix":""}],"container-title":"Geoforum","id":"ITEM-1","issued":{"date-parts":[["2017"]]},"page":"265-279","publisher":"Elsevier Ltd","title":"Community mining consultations in Latin America (2002–2012): The contested emergence of a hybrid institution for participation","type":"article-journal","volume":"84"},"uris":["http://www.mendeley.com/documents/?uuid=b2e6dd9e-8d78-493b-9206-ebd7be5c3813"]}],"mendeley":{"formattedCitation":"(Walter &amp; Urkidi, 2017)","manualFormatting":"(Walter &amp; Urkidi, 2017, p.303)","plainTextFormattedCitation":"(Walter &amp; Urkidi, 2017)","previouslyFormattedCitation":"(Walter &amp; Urkidi, 2017)"},"properties":{"noteIndex":0},"schema":"https://github.com/citation-style-language/schema/raw/master/csl-citation.json"}</w:instrText>
      </w:r>
      <w:r w:rsidR="00C66190" w:rsidRPr="004E053C">
        <w:rPr>
          <w:rFonts w:cstheme="minorHAnsi"/>
          <w:sz w:val="22"/>
          <w:szCs w:val="22"/>
        </w:rPr>
        <w:fldChar w:fldCharType="separate"/>
      </w:r>
      <w:r w:rsidR="00C66190" w:rsidRPr="004E053C">
        <w:rPr>
          <w:rFonts w:cstheme="minorHAnsi"/>
          <w:noProof/>
          <w:sz w:val="22"/>
          <w:szCs w:val="22"/>
        </w:rPr>
        <w:t>(Walter &amp; Urkidi, 2017, p.303)</w:t>
      </w:r>
      <w:r w:rsidR="00C66190" w:rsidRPr="004E053C">
        <w:rPr>
          <w:rFonts w:cstheme="minorHAnsi"/>
          <w:sz w:val="22"/>
          <w:szCs w:val="22"/>
        </w:rPr>
        <w:fldChar w:fldCharType="end"/>
      </w:r>
      <w:r w:rsidR="00C66190" w:rsidRPr="004E053C">
        <w:rPr>
          <w:rFonts w:cstheme="minorHAnsi"/>
          <w:sz w:val="22"/>
          <w:szCs w:val="22"/>
        </w:rPr>
        <w:t xml:space="preserve">. </w:t>
      </w:r>
      <w:r w:rsidRPr="004E053C">
        <w:rPr>
          <w:rFonts w:cstheme="minorHAnsi"/>
          <w:sz w:val="22"/>
          <w:szCs w:val="22"/>
        </w:rPr>
        <w:t>This suggests that the Government’s claim to be opposed to ASM due to the environmental consequences is perhaps not entirely accurate, with some suggesting it may have more to do wit</w:t>
      </w:r>
      <w:r w:rsidR="000F1838" w:rsidRPr="004E053C">
        <w:rPr>
          <w:rFonts w:cstheme="minorHAnsi"/>
          <w:sz w:val="22"/>
          <w:szCs w:val="22"/>
        </w:rPr>
        <w:t xml:space="preserve">h the effort of some actors to </w:t>
      </w:r>
      <w:r w:rsidRPr="004E053C">
        <w:rPr>
          <w:rFonts w:cstheme="minorHAnsi"/>
          <w:sz w:val="22"/>
          <w:szCs w:val="22"/>
        </w:rPr>
        <w:t>improve their political leverage a</w:t>
      </w:r>
      <w:r w:rsidR="000F1838" w:rsidRPr="004E053C">
        <w:rPr>
          <w:rFonts w:cstheme="minorHAnsi"/>
          <w:sz w:val="22"/>
          <w:szCs w:val="22"/>
        </w:rPr>
        <w:t xml:space="preserve">nd gain access to mining rents </w:t>
      </w:r>
      <w:r w:rsidR="000F1838" w:rsidRPr="004E053C">
        <w:rPr>
          <w:rFonts w:cstheme="minorHAnsi"/>
          <w:sz w:val="22"/>
          <w:szCs w:val="22"/>
        </w:rPr>
        <w:fldChar w:fldCharType="begin" w:fldLock="1"/>
      </w:r>
      <w:r w:rsidR="000F1838" w:rsidRPr="004E053C">
        <w:rPr>
          <w:rFonts w:cstheme="minorHAnsi"/>
          <w:sz w:val="22"/>
          <w:szCs w:val="22"/>
        </w:rPr>
        <w:instrText>ADDIN CSL_CITATION {"citationItems":[{"id":"ITEM-1","itemData":{"abstract":"From 2002 to 2012, 68 community consultations/referenda on large-scale mining activities have been conducted in Latin America challenging centralized decision-making procedures. These consultations are fostered by communities and social movements and usually supported by local governments. Around 700,000 people have participated, expressing a massive rejection of mining activities in Peru, Guatemala, Argentina, Colombia and Ecuador. Community consultations have contributed to ease local tensions temporarily, slowing down or stopping mining projects in some cases. This paper analyses the process of emergence and spread of such consultations exploring how they challenge the governance of mining activities. We claim that community consultations are being institutionalized in the context of mining conflicts in Latin America. Consultations are not isolated experiences but constitute a strategy diffused and transformed in the midst of multi-scalar social learning processes where social movements exchange strategies and discourses and a hybridising process occurs in relation to political and cultural local features. We sustain that community consultations are a hybrid institution where non-state and state actors and formal and informal institutions are mobilized. Consultations are a strategic tool of social movements and a contested emergent institution – as different state bodies support or reject their validity – that reclaim the right of affected populations and indigenous peoples to participate, in empowering forms, in high-stake decisions that affect their territories, livelihoods and future.","author":[{"dropping-particle":"","family":"Walter","given":"Mariana","non-dropping-particle":"","parse-names":false,"suffix":""},{"dropping-particle":"","family":"Urkidi","given":"Leire","non-dropping-particle":"","parse-names":false,"suffix":""}],"container-title":"Geoforum","id":"ITEM-1","issued":{"date-parts":[["2017"]]},"page":"265-279","publisher":"Elsevier Ltd","title":"Community mining consultations in Latin America (2002–2012): The contested emergence of a hybrid institution for participation","type":"article-journal","volume":"84"},"uris":["http://www.mendeley.com/documents/?uuid=b2e6dd9e-8d78-493b-9206-ebd7be5c3813"]}],"mendeley":{"formattedCitation":"(Walter &amp; Urkidi, 2017)","manualFormatting":"(Ibid.)","plainTextFormattedCitation":"(Walter &amp; Urkidi, 2017)","previouslyFormattedCitation":"(Walter &amp; Urkidi, 2017)"},"properties":{"noteIndex":0},"schema":"https://github.com/citation-style-language/schema/raw/master/csl-citation.json"}</w:instrText>
      </w:r>
      <w:r w:rsidR="000F1838" w:rsidRPr="004E053C">
        <w:rPr>
          <w:rFonts w:cstheme="minorHAnsi"/>
          <w:sz w:val="22"/>
          <w:szCs w:val="22"/>
        </w:rPr>
        <w:fldChar w:fldCharType="separate"/>
      </w:r>
      <w:r w:rsidR="000F1838" w:rsidRPr="004E053C">
        <w:rPr>
          <w:rFonts w:cstheme="minorHAnsi"/>
          <w:noProof/>
          <w:sz w:val="22"/>
          <w:szCs w:val="22"/>
        </w:rPr>
        <w:t>(Ibid.)</w:t>
      </w:r>
      <w:r w:rsidR="000F1838" w:rsidRPr="004E053C">
        <w:rPr>
          <w:rFonts w:cstheme="minorHAnsi"/>
          <w:sz w:val="22"/>
          <w:szCs w:val="22"/>
        </w:rPr>
        <w:fldChar w:fldCharType="end"/>
      </w:r>
      <w:r w:rsidR="000F1838" w:rsidRPr="004E053C">
        <w:rPr>
          <w:rFonts w:cstheme="minorHAnsi"/>
          <w:sz w:val="22"/>
          <w:szCs w:val="22"/>
        </w:rPr>
        <w:t>.</w:t>
      </w:r>
    </w:p>
    <w:p w14:paraId="0FDDB3F5" w14:textId="77777777" w:rsidR="00375961" w:rsidRPr="004E053C" w:rsidRDefault="00375961" w:rsidP="004E053C">
      <w:pPr>
        <w:spacing w:line="360" w:lineRule="auto"/>
        <w:jc w:val="both"/>
        <w:rPr>
          <w:rFonts w:cstheme="minorHAnsi"/>
          <w:sz w:val="22"/>
          <w:szCs w:val="22"/>
        </w:rPr>
      </w:pPr>
    </w:p>
    <w:p w14:paraId="474D668A" w14:textId="3C022137" w:rsidR="00375961" w:rsidRPr="004E053C" w:rsidRDefault="00375961" w:rsidP="004E053C">
      <w:pPr>
        <w:spacing w:line="360" w:lineRule="auto"/>
        <w:jc w:val="both"/>
        <w:rPr>
          <w:rFonts w:eastAsia="Times New Roman" w:cstheme="minorHAnsi"/>
          <w:b/>
          <w:sz w:val="22"/>
          <w:szCs w:val="22"/>
        </w:rPr>
      </w:pPr>
      <w:r w:rsidRPr="004E053C">
        <w:rPr>
          <w:rFonts w:cstheme="minorHAnsi"/>
          <w:sz w:val="22"/>
          <w:szCs w:val="22"/>
        </w:rPr>
        <w:t xml:space="preserve">The conflict </w:t>
      </w:r>
      <w:r w:rsidRPr="004E053C">
        <w:rPr>
          <w:rFonts w:cstheme="minorHAnsi"/>
          <w:color w:val="262626"/>
          <w:sz w:val="22"/>
          <w:szCs w:val="22"/>
        </w:rPr>
        <w:t xml:space="preserve">has becoming increasingly tense, with protests sometimes resulting in injuries and death </w:t>
      </w:r>
      <w:r w:rsidRPr="004E053C">
        <w:rPr>
          <w:rFonts w:cstheme="minorHAnsi"/>
          <w:color w:val="262626"/>
          <w:sz w:val="22"/>
          <w:szCs w:val="22"/>
        </w:rPr>
        <w:fldChar w:fldCharType="begin" w:fldLock="1"/>
      </w:r>
      <w:r w:rsidR="00680892" w:rsidRPr="004E053C">
        <w:rPr>
          <w:rFonts w:cstheme="minorHAnsi"/>
          <w:color w:val="262626"/>
          <w:sz w:val="22"/>
          <w:szCs w:val="22"/>
        </w:rPr>
        <w:instrText>ADDIN CSL_CITATION {"citationItems":[{"id":"ITEM-1","itemData":{"abstract":"During recent years, a rapid expansion in large-scale mining activity has generated a host of protests in Peru, as rural populations have attempted to defend their livelihood and environment. This article examines the genesis and trajectory of one such mobilization that emerged in the province of San Marcos and neighbouring Condebamba Valley, located in the northern Andean department of Cajamarca. The social movement's internal organization, strategy, tactics and repertoires of struggle are analyzed. Practices inherited from the rondas campesinas (nightwatch patrols) are seen to have exercised an important influence in shaping its modus operandi, which contrasts in key respects with the behaviour of other anti-mining protests in Peru, such as Majaz. The article concludes with an assessment of how shifting power relations within the state might influence the chances of successful collective action in the countryside.","author":[{"dropping-particle":"","family":"Taylor","given":"Lewis","non-dropping-particle":"","parse-names":false,"suffix":""}],"container-title":"Journal of Agrarian Change","id":"ITEM-1","issue":"3","issued":{"date-parts":[["2011"]]},"page":"420-439","title":"Environmentalism and social protest: the contemporary anti-mining mobilization in the province of San Marcos and the Condebamba Valley, Peru","type":"article-journal","volume":"11"},"uris":["http://www.mendeley.com/documents/?uuid=a3dba7d4-75a0-4f63-b759-538eb937e47b"]}],"mendeley":{"formattedCitation":"(L. Taylor, 2011)","manualFormatting":"(Taylor, 2011)","plainTextFormattedCitation":"(L. Taylor, 2011)","previouslyFormattedCitation":"(L. Taylor, 2011)"},"properties":{"noteIndex":0},"schema":"https://github.com/citation-style-language/schema/raw/master/csl-citation.json"}</w:instrText>
      </w:r>
      <w:r w:rsidRPr="004E053C">
        <w:rPr>
          <w:rFonts w:cstheme="minorHAnsi"/>
          <w:color w:val="262626"/>
          <w:sz w:val="22"/>
          <w:szCs w:val="22"/>
        </w:rPr>
        <w:fldChar w:fldCharType="separate"/>
      </w:r>
      <w:r w:rsidRPr="004E053C">
        <w:rPr>
          <w:rFonts w:cstheme="minorHAnsi"/>
          <w:noProof/>
          <w:color w:val="262626"/>
          <w:sz w:val="22"/>
          <w:szCs w:val="22"/>
        </w:rPr>
        <w:t>(Taylor, 2011)</w:t>
      </w:r>
      <w:r w:rsidRPr="004E053C">
        <w:rPr>
          <w:rFonts w:cstheme="minorHAnsi"/>
          <w:color w:val="262626"/>
          <w:sz w:val="22"/>
          <w:szCs w:val="22"/>
        </w:rPr>
        <w:fldChar w:fldCharType="end"/>
      </w:r>
      <w:r w:rsidR="00697A46" w:rsidRPr="004E053C">
        <w:rPr>
          <w:rFonts w:cstheme="minorHAnsi"/>
          <w:color w:val="262626"/>
          <w:sz w:val="22"/>
          <w:szCs w:val="22"/>
        </w:rPr>
        <w:t>,</w:t>
      </w:r>
      <w:r w:rsidRPr="004E053C">
        <w:rPr>
          <w:rFonts w:cstheme="minorHAnsi"/>
          <w:color w:val="262626"/>
          <w:sz w:val="22"/>
          <w:szCs w:val="22"/>
        </w:rPr>
        <w:t xml:space="preserve"> and the situation is complicated further due to the competing interests of</w:t>
      </w:r>
      <w:r w:rsidRPr="004E053C">
        <w:rPr>
          <w:rFonts w:cstheme="minorHAnsi"/>
          <w:sz w:val="22"/>
          <w:szCs w:val="22"/>
        </w:rPr>
        <w:t xml:space="preserve"> the Peruvian central government and the regional government of Madre de Dios, environmental NGOs, miners’ associations and indigenous organisations </w:t>
      </w:r>
      <w:r w:rsidRPr="004E053C">
        <w:rPr>
          <w:rFonts w:cstheme="minorHAnsi"/>
          <w:sz w:val="22"/>
          <w:szCs w:val="22"/>
        </w:rPr>
        <w:fldChar w:fldCharType="begin" w:fldLock="1"/>
      </w:r>
      <w:r w:rsidR="002F0CEA">
        <w:rPr>
          <w:rFonts w:cstheme="minorHAnsi"/>
          <w:sz w:val="22"/>
          <w:szCs w:val="22"/>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id":"ITEM-2","itemData":{"author":[{"dropping-particle":"","family":"Damonte","given":"Gerardo","non-dropping-particle":"","parse-names":false,"suffix":""},{"dropping-particle":"","family":"Bueno de Mesquita","given":"Mourik","non-dropping-particle":"","parse-names":false,"suffix":""},{"dropping-particle":"","family":"Pachas","given":"Víctor Hugo","non-dropping-particle":"","parse-names":false,"suffix":""},{"dropping-particle":"","family":"Chávez","given":"Mary","non-dropping-particle":"","parse-names":false,"suffix":""}],"chapter-number":"5","container-title":"Small-Scale Gold Mining in the Amazon: The cases of Bolivia, Brazil, Colombia, Peru and Suriname","editor":[{"dropping-particle":"","family":"Leontien","given":"Kolen","non-dropping-particle":"","parse-names":false,"suffix":""},{"dropping-particle":"","family":"Cremers","given":"Judith","non-dropping-particle":"","parse-names":false,"suffix":""},{"dropping-particle":"","family":"Marjo","given":"de Theije","non-dropping-particle":"","parse-names":false,"suffix":""}],"id":"ITEM-2","issued":{"date-parts":[["2013"]]},"page":"68-84","publisher":"Cuadernos del CEDLA no.26","publisher-place":"Amsterdam","title":"Small-scale gold mining and social and environmental conflict in the Peruvian Amazon","type":"chapter"},"uris":["http://www.mendeley.com/documents/?uuid=91b131b3-280a-4452-8625-e265d634cbf2"]}],"mendeley":{"formattedCitation":"(Damonte et al., 2013; Salo et al., 2016)","manualFormatting":"(Damonte et al., 2013; Salo et al., 2016)","plainTextFormattedCitation":"(Damonte et al., 2013; Salo et al., 2016)","previouslyFormattedCitation":"(Damonte et al., 2013; Salo et al., 2016)"},"properties":{"noteIndex":0},"schema":"https://github.com/citation-style-language/schema/raw/master/csl-citation.json"}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(Damonte et al., 2013; Salo et al., 2016)</w:t>
      </w:r>
      <w:r w:rsidRPr="004E053C">
        <w:rPr>
          <w:rFonts w:cstheme="minorHAnsi"/>
          <w:sz w:val="22"/>
          <w:szCs w:val="22"/>
        </w:rPr>
        <w:fldChar w:fldCharType="end"/>
      </w:r>
      <w:r w:rsidRPr="004E053C">
        <w:rPr>
          <w:rFonts w:cstheme="minorHAnsi"/>
          <w:sz w:val="22"/>
          <w:szCs w:val="22"/>
        </w:rPr>
        <w:t>. As of mid-2019, there had been no noticeable reduction in ASM activity as a result of the new regulations. The State in general is weak in Madre de Dios, and there are no large-scale extractive corporations or regional elites with whi</w:t>
      </w:r>
      <w:r w:rsidR="004E5F90" w:rsidRPr="004E053C">
        <w:rPr>
          <w:rFonts w:cstheme="minorHAnsi"/>
          <w:sz w:val="22"/>
          <w:szCs w:val="22"/>
        </w:rPr>
        <w:t>ch to form political alliances.</w:t>
      </w:r>
      <w:r w:rsidRPr="004E053C">
        <w:rPr>
          <w:rFonts w:cstheme="minorHAnsi"/>
          <w:sz w:val="22"/>
          <w:szCs w:val="22"/>
        </w:rPr>
        <w:t xml:space="preserve"> Furthermore, until recently the ASM sector received from the Regional Governor of Madre de Dios, who </w:t>
      </w:r>
      <w:r w:rsidRPr="004E053C">
        <w:rPr>
          <w:rFonts w:eastAsia="Times New Roman" w:cstheme="minorHAnsi"/>
          <w:spacing w:val="2"/>
          <w:sz w:val="22"/>
          <w:szCs w:val="22"/>
          <w:shd w:val="clear" w:color="auto" w:fill="FCFCFC"/>
        </w:rPr>
        <w:t xml:space="preserve">was previously a miner and has led miner </w:t>
      </w:r>
      <w:r w:rsidRPr="004E053C">
        <w:rPr>
          <w:rFonts w:eastAsia="Times New Roman" w:cstheme="minorHAnsi"/>
          <w:color w:val="333333"/>
          <w:spacing w:val="2"/>
          <w:sz w:val="22"/>
          <w:szCs w:val="22"/>
          <w:shd w:val="clear" w:color="auto" w:fill="FCFCFC"/>
        </w:rPr>
        <w:t xml:space="preserve">protests against the actions of the national government </w:t>
      </w:r>
      <w:r w:rsidRPr="004E053C">
        <w:rPr>
          <w:rFonts w:eastAsia="Times New Roman" w:cstheme="minorHAnsi"/>
          <w:color w:val="333333"/>
          <w:spacing w:val="2"/>
          <w:sz w:val="22"/>
          <w:szCs w:val="22"/>
          <w:shd w:val="clear" w:color="auto" w:fill="FCFCFC"/>
        </w:rPr>
        <w:fldChar w:fldCharType="begin" w:fldLock="1"/>
      </w:r>
      <w:r w:rsidR="00680892" w:rsidRPr="004E053C">
        <w:rPr>
          <w:rFonts w:eastAsia="Times New Roman" w:cstheme="minorHAnsi"/>
          <w:color w:val="333333"/>
          <w:spacing w:val="2"/>
          <w:sz w:val="22"/>
          <w:szCs w:val="22"/>
          <w:shd w:val="clear" w:color="auto" w:fill="FCFCFC"/>
        </w:rPr>
        <w:instrText>ADDIN CSL_CITATION {"citationItems":[{"id":"ITEM-1","itemData":{"abstract":"Many researchers have tested whether protected areas save tropical forest, but generally focus on parks and reserves, management units that have internationally recognized standing and clear objectives. Buffer zones have received considerably less attention because of their ambiguous rules and often informal status. Although buffer zones are frequently dismissed as ineffective, they warrant attention given the need for landscape-level approaches to conservation and their prevalence around the world—in Peru, buffer zones cover &gt;10 % of the country. This study examines the effectiveness of buffer zones in the Peruvian Amazon to (a) prevent deforestation and (b) limit the extent of mining concessions. We employ covariate matching to determine the impact of 13 buffer zones on deforestation and mining concessions from 2007 to 2012. Despite variation between sites, these 13 buffer zones have prevented ~320 km2 of forest loss within their borders during the study period and ~1739 km2 of mining concessions, an outcome associated with the special approval process for granting formal concessions in these areas. However, a closer look at the buffer zone around the Tambopata National Reserve reveals the difficulties of controlling illegal and informal activities. According to interviews with NGO employees, government officials, and community leaders, enforcement of conservation is limited by uncertain institutional responsibilities, inadequate budgets, and corruption, although formal and community-based efforts to block illicit mining are on the rise. Landscape-level conservation not only requires clear legal protocol for addressing large-scale, formal extractive activities, but there must also be strategies and coordination to combat illegal activities.","author":[{"dropping-particle":"","family":"Weisse","given":"Mikaela","non-dropping-particle":"","parse-names":false,"suffix":""},{"dropping-particle":"","family":"Naughton-Treves","given":"Lisa","non-dropping-particle":"","parse-names":false,"suffix":""}],"container-title":"Environmental Management","id":"ITEM-1","issue":"2","issued":{"date-parts":[["2016"]]},"page":"297-311","title":"Conservation beyond park boundaries: the impact of buffer zones on deforestation and mining concessions in the Peruvian Amazon","type":"article-journal","volume":"58"},"uris":["http://www.mendeley.com/documents/?uuid=2f45a851-ca38-4ba3-95a8-6e1e8477e053"]}],"mendeley":{"formattedCitation":"(Weisse &amp; Naughton-Treves, 2016)","plainTextFormattedCitation":"(Weisse &amp; Naughton-Treves, 2016)","previouslyFormattedCitation":"(Weisse &amp; Naughton-Treves, 2016)"},"properties":{"noteIndex":0},"schema":"https://github.com/citation-style-language/schema/raw/master/csl-citation.json"}</w:instrText>
      </w:r>
      <w:r w:rsidRPr="004E053C">
        <w:rPr>
          <w:rFonts w:eastAsia="Times New Roman" w:cstheme="minorHAnsi"/>
          <w:color w:val="333333"/>
          <w:spacing w:val="2"/>
          <w:sz w:val="22"/>
          <w:szCs w:val="22"/>
          <w:shd w:val="clear" w:color="auto" w:fill="FCFCFC"/>
        </w:rPr>
        <w:fldChar w:fldCharType="separate"/>
      </w:r>
      <w:r w:rsidRPr="004E053C">
        <w:rPr>
          <w:rFonts w:eastAsia="Times New Roman" w:cstheme="minorHAnsi"/>
          <w:noProof/>
          <w:color w:val="333333"/>
          <w:spacing w:val="2"/>
          <w:sz w:val="22"/>
          <w:szCs w:val="22"/>
          <w:shd w:val="clear" w:color="auto" w:fill="FCFCFC"/>
        </w:rPr>
        <w:t>(Weisse &amp; Naughton-Treves, 2016)</w:t>
      </w:r>
      <w:r w:rsidRPr="004E053C">
        <w:rPr>
          <w:rFonts w:eastAsia="Times New Roman" w:cstheme="minorHAnsi"/>
          <w:color w:val="333333"/>
          <w:spacing w:val="2"/>
          <w:sz w:val="22"/>
          <w:szCs w:val="22"/>
          <w:shd w:val="clear" w:color="auto" w:fill="FCFCFC"/>
        </w:rPr>
        <w:fldChar w:fldCharType="end"/>
      </w:r>
      <w:r w:rsidRPr="004E053C">
        <w:rPr>
          <w:rFonts w:cstheme="minorHAnsi"/>
          <w:sz w:val="22"/>
          <w:szCs w:val="22"/>
        </w:rPr>
        <w:t xml:space="preserve">. Verité </w:t>
      </w:r>
      <w:r w:rsidRPr="004E053C">
        <w:rPr>
          <w:rFonts w:cstheme="minorHAnsi"/>
          <w:sz w:val="22"/>
          <w:szCs w:val="22"/>
        </w:rPr>
        <w:fldChar w:fldCharType="begin" w:fldLock="1"/>
      </w:r>
      <w:r w:rsidRPr="004E053C">
        <w:rPr>
          <w:rFonts w:cstheme="minorHAnsi"/>
          <w:sz w:val="22"/>
          <w:szCs w:val="22"/>
        </w:rPr>
        <w:instrText>ADDIN CSL_CITATION {"citationItems":[{"id":"ITEM-1","itemData":{"author":[{"dropping-particle":"","family":"Verité","given":"","non-dropping-particle":"","parse-names":false,"suffix":""}],"id":"ITEM-1","issued":{"date-parts":[["2016"]]},"publisher-place":"Amherst, MA","title":"The Nexus of Illegal Gold Mining and Human Trafficking in Global Supply Chains: Lessons from Latin America","type":"report"},"uris":["http://www.mendeley.com/documents/?uuid=a2955052-dc7e-430e-b829-b31ea4151ab5","http://www.mendeley.com/documents/?uuid=300a27c4-dd8d-41d1-89ef-190841f9dc19"]}],"mendeley":{"formattedCitation":"(Verité, 2016)","manualFormatting":"(2016)","plainTextFormattedCitation":"(Verité, 2016)","previouslyFormattedCitation":"(Verité, 2016)"},"properties":{"noteIndex":0},"schema":"https://github.com/citation-style-language/schema/raw/master/csl-citation.json"}</w:instrText>
      </w:r>
      <w:r w:rsidRPr="004E053C">
        <w:rPr>
          <w:rFonts w:cstheme="minorHAnsi"/>
          <w:sz w:val="22"/>
          <w:szCs w:val="22"/>
        </w:rPr>
        <w:fldChar w:fldCharType="separate"/>
      </w:r>
      <w:r w:rsidRPr="004E053C">
        <w:rPr>
          <w:rFonts w:cstheme="minorHAnsi"/>
          <w:noProof/>
          <w:sz w:val="22"/>
          <w:szCs w:val="22"/>
        </w:rPr>
        <w:t>(2016)</w:t>
      </w:r>
      <w:r w:rsidRPr="004E053C">
        <w:rPr>
          <w:rFonts w:cstheme="minorHAnsi"/>
          <w:sz w:val="22"/>
          <w:szCs w:val="22"/>
        </w:rPr>
        <w:fldChar w:fldCharType="end"/>
      </w:r>
      <w:r w:rsidRPr="004E053C">
        <w:rPr>
          <w:rFonts w:cstheme="minorHAnsi"/>
          <w:sz w:val="22"/>
          <w:szCs w:val="22"/>
        </w:rPr>
        <w:t xml:space="preserve"> has found evidence of high-levels of corruption that are facilitating the continued operation of illegal mines and gold laundering despite official government crackdowns.</w:t>
      </w:r>
    </w:p>
    <w:p w14:paraId="7F63A03C" w14:textId="77777777" w:rsidR="00375961" w:rsidRPr="004E053C" w:rsidRDefault="00375961" w:rsidP="004E053C">
      <w:pPr>
        <w:spacing w:line="360" w:lineRule="auto"/>
        <w:jc w:val="both"/>
        <w:rPr>
          <w:rFonts w:cstheme="minorHAnsi"/>
        </w:rPr>
      </w:pPr>
    </w:p>
    <w:p w14:paraId="2C07116A" w14:textId="1E1B8840" w:rsidR="00375961" w:rsidRPr="00636641" w:rsidRDefault="00375961" w:rsidP="004E053C">
      <w:pPr>
        <w:spacing w:line="360" w:lineRule="auto"/>
        <w:jc w:val="both"/>
        <w:rPr>
          <w:rFonts w:cstheme="minorHAnsi"/>
          <w:sz w:val="22"/>
          <w:szCs w:val="22"/>
          <w:lang w:val="pt-PT"/>
        </w:rPr>
      </w:pPr>
      <w:r w:rsidRPr="004E053C">
        <w:rPr>
          <w:rFonts w:cstheme="minorHAnsi"/>
          <w:sz w:val="22"/>
          <w:szCs w:val="22"/>
        </w:rPr>
        <w:t>It has previously been observed that the extraction of minerals and hydrocarbons seems to contribute to the formation and radicali</w:t>
      </w:r>
      <w:r w:rsidR="00277027">
        <w:rPr>
          <w:rFonts w:cstheme="minorHAnsi"/>
          <w:sz w:val="22"/>
          <w:szCs w:val="22"/>
        </w:rPr>
        <w:t>s</w:t>
      </w:r>
      <w:r w:rsidRPr="004E053C">
        <w:rPr>
          <w:rFonts w:cstheme="minorHAnsi"/>
          <w:sz w:val="22"/>
          <w:szCs w:val="22"/>
        </w:rPr>
        <w:t xml:space="preserve">ation of identities, not least through the shared experience of working in a hazardous environment </w:t>
      </w:r>
      <w:r w:rsidR="000F1838" w:rsidRPr="004E053C">
        <w:rPr>
          <w:rFonts w:cstheme="minorHAnsi"/>
          <w:sz w:val="22"/>
          <w:szCs w:val="22"/>
        </w:rPr>
        <w:fldChar w:fldCharType="begin" w:fldLock="1"/>
      </w:r>
      <w:r w:rsidR="000F1838" w:rsidRPr="004E053C">
        <w:rPr>
          <w:rFonts w:cstheme="minorHAnsi"/>
          <w:sz w:val="22"/>
          <w:szCs w:val="22"/>
        </w:rPr>
        <w:instrText>ADDIN CSL_CITATION {"citationItems":[{"id":"ITEM-1","itemData":{"author":[{"dropping-particle":"","family":"Bebbington","given":"Anthony","non-dropping-particle":"","parse-names":false,"suffix":""},{"dropping-particle":"","family":"Bury","given":"Jeffrey","non-dropping-particle":"","parse-names":false,"suffix":""}],"chapter-number":"1","container-title":"Subterranean Struggles: New Dynamics of Mining, Oil, and Gas in Latin America","editor":[{"dropping-particle":"","family":"Bebbington","given":"Anthony","non-dropping-particle":"","parse-names":false,"suffix":""},{"dropping-particle":"","family":"Bury","given":"Jeffrey","non-dropping-particle":"","parse-names":false,"suffix":""}],"id":"ITEM-1","issued":{"date-parts":[["2013"]]},"page":"1-26","publisher":"University of Texas Press","publisher-place":"Austin, TX","title":"Political ecologies of the subsoil","type":"chapter"},"uris":["http://www.mendeley.com/documents/?uuid=604bfe56-d256-4d4a-a00b-80da1c694a00"]}],"mendeley":{"formattedCitation":"(Bebbington &amp; Bury, 2013)","plainTextFormattedCitation":"(Bebbington &amp; Bury, 2013)","previouslyFormattedCitation":"(Bebbington &amp; Bury, 2013)"},"properties":{"noteIndex":0},"schema":"https://github.com/citation-style-language/schema/raw/master/csl-citation.json"}</w:instrText>
      </w:r>
      <w:r w:rsidR="000F1838" w:rsidRPr="004E053C">
        <w:rPr>
          <w:rFonts w:cstheme="minorHAnsi"/>
          <w:sz w:val="22"/>
          <w:szCs w:val="22"/>
        </w:rPr>
        <w:fldChar w:fldCharType="separate"/>
      </w:r>
      <w:r w:rsidR="000F1838" w:rsidRPr="004E053C">
        <w:rPr>
          <w:rFonts w:cstheme="minorHAnsi"/>
          <w:noProof/>
          <w:sz w:val="22"/>
          <w:szCs w:val="22"/>
        </w:rPr>
        <w:t>(Bebbington &amp; Bury, 2013)</w:t>
      </w:r>
      <w:r w:rsidR="000F1838" w:rsidRPr="004E053C">
        <w:rPr>
          <w:rFonts w:cstheme="minorHAnsi"/>
          <w:sz w:val="22"/>
          <w:szCs w:val="22"/>
        </w:rPr>
        <w:fldChar w:fldCharType="end"/>
      </w:r>
      <w:r w:rsidRPr="004E053C">
        <w:rPr>
          <w:rFonts w:cstheme="minorHAnsi"/>
          <w:sz w:val="22"/>
          <w:szCs w:val="22"/>
        </w:rPr>
        <w:t xml:space="preserve">. In Peru, the formation of strong labour identities and organisations in the mining sector have been well documented by Long and Roberts </w:t>
      </w:r>
      <w:r w:rsidR="000F1838" w:rsidRPr="004E053C">
        <w:rPr>
          <w:rFonts w:cstheme="minorHAnsi"/>
          <w:sz w:val="22"/>
          <w:szCs w:val="22"/>
        </w:rPr>
        <w:fldChar w:fldCharType="begin" w:fldLock="1"/>
      </w:r>
      <w:r w:rsidR="00B12F90" w:rsidRPr="004E053C">
        <w:rPr>
          <w:rFonts w:cstheme="minorHAnsi"/>
          <w:sz w:val="22"/>
          <w:szCs w:val="22"/>
        </w:rPr>
        <w:instrText>ADDIN CSL_CITATION {"citationItems":[{"id":"ITEM-1","itemData":{"author":[{"dropping-particle":"","family":"Long","given":"Norman","non-dropping-particle":"","parse-names":false,"suffix":""},{"dropping-particle":"","family":"Roberts","given":"Bryan","non-dropping-particle":"","parse-names":false,"suffix":""}],"id":"ITEM-1","issued":{"date-parts":[["1984"]]},"number-of-pages":"288","publisher":"Cambridge University Press","publisher-place":"Cambridge, UK","title":"Miners, Peasants and Entrepreneurs: Regional Development in the Central Highlands in Peru","type":"book"},"uris":["http://www.mendeley.com/documents/?uuid=148aa043-01ee-43e6-9f45-0575ca5e740b"]}],"mendeley":{"formattedCitation":"(Norman Long &amp; Roberts, 1984)","manualFormatting":"(1984)","plainTextFormattedCitation":"(Norman Long &amp; Roberts, 1984)","previouslyFormattedCitation":"(Norman Long &amp; Roberts, 1984)"},"properties":{"noteIndex":0},"schema":"https://github.com/citation-style-language/schema/raw/master/csl-citation.json"}</w:instrText>
      </w:r>
      <w:r w:rsidR="000F1838" w:rsidRPr="004E053C">
        <w:rPr>
          <w:rFonts w:cstheme="minorHAnsi"/>
          <w:sz w:val="22"/>
          <w:szCs w:val="22"/>
        </w:rPr>
        <w:fldChar w:fldCharType="separate"/>
      </w:r>
      <w:r w:rsidR="000F1838" w:rsidRPr="004E053C">
        <w:rPr>
          <w:rFonts w:cstheme="minorHAnsi"/>
          <w:noProof/>
          <w:sz w:val="22"/>
          <w:szCs w:val="22"/>
        </w:rPr>
        <w:t>(1984)</w:t>
      </w:r>
      <w:r w:rsidR="000F1838" w:rsidRPr="004E053C">
        <w:rPr>
          <w:rFonts w:cstheme="minorHAnsi"/>
          <w:sz w:val="22"/>
          <w:szCs w:val="22"/>
        </w:rPr>
        <w:fldChar w:fldCharType="end"/>
      </w:r>
      <w:r w:rsidRPr="004E053C">
        <w:rPr>
          <w:rFonts w:cstheme="minorHAnsi"/>
          <w:sz w:val="22"/>
          <w:szCs w:val="22"/>
        </w:rPr>
        <w:t xml:space="preserve">. However, very little is known about these communities. Although ASM is dehumanised in the media and public discourse and the sector frequently condemned, it is not really clear whom the miners are </w:t>
      </w:r>
      <w:r w:rsidR="000F1838" w:rsidRPr="004E053C">
        <w:rPr>
          <w:rFonts w:cstheme="minorHAnsi"/>
          <w:sz w:val="22"/>
          <w:szCs w:val="22"/>
        </w:rPr>
        <w:fldChar w:fldCharType="begin" w:fldLock="1"/>
      </w:r>
      <w:r w:rsidR="000F1838" w:rsidRPr="004E053C">
        <w:rPr>
          <w:rFonts w:cstheme="minorHAnsi"/>
          <w:sz w:val="22"/>
          <w:szCs w:val="22"/>
        </w:rPr>
        <w:instrText>ADDIN CSL_CITATION {"citationItems":[{"id":"ITEM-1","itemData":{"abstract":"The recent unopposed proliferation of artisanal gold mining (AGM) in towns that previously rejected large-scale mining (LSM) in Andean countries poses a thorny question: Why do locals respond differently to mining activities at different scales? To explain the basis for opposition or tolerance to mining activities, the paper develops a comparative study of local communities’ perceptions of LSM and AGM. Through extensive fieldwork in the area and collection of qualitative evidence from surveys, interviews, and ethnographies, the paper revisits the case of Tambogrande (Peru) 15 years after the resistance again</w:instrText>
      </w:r>
      <w:r w:rsidR="000F1838" w:rsidRPr="00636641">
        <w:rPr>
          <w:rFonts w:cstheme="minorHAnsi"/>
          <w:sz w:val="22"/>
          <w:szCs w:val="22"/>
          <w:lang w:val="pt-PT"/>
        </w:rPr>
        <w:instrText>st LSM operations in the light of the recent proliferation of AGM in the same area. The paper finds that AGM faces less resistance because it is considered more compatible with the existing social order, which hinges on personal ties and strong relationships of trust. By contrast, LSM is far removed from local dynamics and it is perceived as an imposition that would divide and displace the community. Although economic and environmental factors are in fact a cause for concern for local communities, social considerations usually take priority.","author":[{"dropping-particle":"","family":"Toledo Orozco","given":"Zaraí","non-dropping-particle":"","parse-names":false,"suffix":""},{"dropping-particle":"","family":"Veiga","given":"Marcello","non-dropping-particle":"","parse-names":false,"suffix":""}],"container-title":"Extractive Industries and Society","id":"ITEM-1","issue":"2","issued":{"date-parts":[["2018"]]},"page":"327-334","publisher":"Elsevier","title":"Locals’ attitudes toward artisanal and large-scale mining: a case study of Tambogrande, Peru","type":"article-journal","volume":"5"},"uris":["http://www.mendeley.com/documents/?uuid=9a26e764-a9c9-46d5-acbc-84ef6783a7a5"]}],"mendeley":{"formattedCitation":"(Toledo Orozco &amp; Veiga, 2018)","plainTextFormattedCitation":"(Toledo Orozco &amp; Veiga, 2018)","previouslyFormattedCitation":"(Toledo Orozco &amp; Veiga, 2018)"},"properties":{"noteIndex":0},"schema":"https://github.com/citation-style-language/schema/raw/master/csl-citation.json"}</w:instrText>
      </w:r>
      <w:r w:rsidR="000F1838" w:rsidRPr="004E053C">
        <w:rPr>
          <w:rFonts w:cstheme="minorHAnsi"/>
          <w:sz w:val="22"/>
          <w:szCs w:val="22"/>
        </w:rPr>
        <w:fldChar w:fldCharType="separate"/>
      </w:r>
      <w:r w:rsidR="000F1838" w:rsidRPr="00636641">
        <w:rPr>
          <w:rFonts w:cstheme="minorHAnsi"/>
          <w:noProof/>
          <w:sz w:val="22"/>
          <w:szCs w:val="22"/>
          <w:lang w:val="pt-PT"/>
        </w:rPr>
        <w:t>(Toledo Orozco &amp; Veiga, 2018)</w:t>
      </w:r>
      <w:r w:rsidR="000F1838" w:rsidRPr="004E053C">
        <w:rPr>
          <w:rFonts w:cstheme="minorHAnsi"/>
          <w:sz w:val="22"/>
          <w:szCs w:val="22"/>
        </w:rPr>
        <w:fldChar w:fldCharType="end"/>
      </w:r>
      <w:r w:rsidRPr="00636641">
        <w:rPr>
          <w:rFonts w:cstheme="minorHAnsi"/>
          <w:sz w:val="22"/>
          <w:szCs w:val="22"/>
          <w:lang w:val="pt-PT"/>
        </w:rPr>
        <w:t xml:space="preserve">. Damonte </w:t>
      </w:r>
      <w:r w:rsidRPr="004E053C">
        <w:rPr>
          <w:rFonts w:cstheme="minorHAnsi"/>
          <w:sz w:val="22"/>
          <w:szCs w:val="22"/>
        </w:rPr>
        <w:fldChar w:fldCharType="begin" w:fldLock="1"/>
      </w:r>
      <w:r w:rsidR="007A757C" w:rsidRPr="00636641">
        <w:rPr>
          <w:rFonts w:cstheme="minorHAnsi"/>
          <w:sz w:val="22"/>
          <w:szCs w:val="22"/>
          <w:lang w:val="pt-PT"/>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2016)","manualFormatting":"(2016)","plainTextFormattedCitation":"(Damonte, 2016)","previouslyFormattedCitation":"(Damonte, 2016)"},"properties":{"noteIndex":0},"schema":"https://github.com/citation-style-language/schema/raw/master/csl-citation.json"}</w:instrText>
      </w:r>
      <w:r w:rsidRPr="004E053C">
        <w:rPr>
          <w:rFonts w:cstheme="minorHAnsi"/>
          <w:sz w:val="22"/>
          <w:szCs w:val="22"/>
        </w:rPr>
        <w:fldChar w:fldCharType="separate"/>
      </w:r>
      <w:r w:rsidRPr="00636641">
        <w:rPr>
          <w:rFonts w:cstheme="minorHAnsi"/>
          <w:noProof/>
          <w:sz w:val="22"/>
          <w:szCs w:val="22"/>
          <w:lang w:val="pt-PT"/>
        </w:rPr>
        <w:t>(2016)</w:t>
      </w:r>
      <w:r w:rsidRPr="004E053C">
        <w:rPr>
          <w:rFonts w:cstheme="minorHAnsi"/>
          <w:sz w:val="22"/>
          <w:szCs w:val="22"/>
        </w:rPr>
        <w:fldChar w:fldCharType="end"/>
      </w:r>
      <w:r w:rsidRPr="00636641">
        <w:rPr>
          <w:rFonts w:cstheme="minorHAnsi"/>
          <w:sz w:val="22"/>
          <w:szCs w:val="22"/>
          <w:lang w:val="pt-PT"/>
        </w:rPr>
        <w:t xml:space="preserve"> has noted that there has been no effort to collect social information on the miners and there is no data on mining organisations and miners’ power relations, which continue to represent black holes for state authorities and policy makers.</w:t>
      </w:r>
    </w:p>
    <w:p w14:paraId="2633CD7A" w14:textId="77777777" w:rsidR="00375961" w:rsidRPr="00636641" w:rsidRDefault="00375961" w:rsidP="004E053C">
      <w:pPr>
        <w:spacing w:line="360" w:lineRule="auto"/>
        <w:jc w:val="both"/>
        <w:rPr>
          <w:rFonts w:cstheme="minorHAnsi"/>
          <w:lang w:val="pt-PT"/>
        </w:rPr>
      </w:pPr>
    </w:p>
    <w:p w14:paraId="2C5E7D1D" w14:textId="17B28D22" w:rsidR="00375961" w:rsidRPr="004E053C" w:rsidRDefault="00502226" w:rsidP="004E053C">
      <w:pPr>
        <w:pStyle w:val="Heading2"/>
        <w:spacing w:before="0" w:line="360" w:lineRule="auto"/>
        <w:jc w:val="both"/>
      </w:pPr>
      <w:bookmarkStart w:id="43" w:name="_Toc33293089"/>
      <w:r w:rsidRPr="004E053C">
        <w:t>3.</w:t>
      </w:r>
      <w:r w:rsidR="00375961" w:rsidRPr="004E053C">
        <w:t>7. Summary</w:t>
      </w:r>
      <w:bookmarkEnd w:id="43"/>
    </w:p>
    <w:p w14:paraId="3FF2996D" w14:textId="77777777" w:rsidR="00375961" w:rsidRPr="004E053C" w:rsidRDefault="00375961" w:rsidP="004E053C">
      <w:pPr>
        <w:widowControl w:val="0"/>
        <w:autoSpaceDE w:val="0"/>
        <w:autoSpaceDN w:val="0"/>
        <w:adjustRightInd w:val="0"/>
        <w:spacing w:line="360" w:lineRule="auto"/>
        <w:jc w:val="both"/>
        <w:rPr>
          <w:rFonts w:cstheme="minorHAnsi"/>
          <w:sz w:val="22"/>
          <w:szCs w:val="22"/>
        </w:rPr>
      </w:pPr>
    </w:p>
    <w:p w14:paraId="5091E29B" w14:textId="31AC5416" w:rsidR="00375961" w:rsidRPr="00030E91" w:rsidRDefault="0031778E" w:rsidP="004E053C">
      <w:pPr>
        <w:spacing w:line="360" w:lineRule="auto"/>
        <w:jc w:val="both"/>
        <w:rPr>
          <w:sz w:val="22"/>
          <w:szCs w:val="22"/>
        </w:rPr>
      </w:pPr>
      <w:r w:rsidRPr="004E053C">
        <w:rPr>
          <w:sz w:val="22"/>
          <w:szCs w:val="22"/>
        </w:rPr>
        <w:lastRenderedPageBreak/>
        <w:t xml:space="preserve">This chapter has </w:t>
      </w:r>
      <w:r w:rsidR="00B12F90" w:rsidRPr="004E053C">
        <w:rPr>
          <w:sz w:val="22"/>
          <w:szCs w:val="22"/>
        </w:rPr>
        <w:t>provided a brief history of Peru</w:t>
      </w:r>
      <w:r w:rsidRPr="004E053C">
        <w:rPr>
          <w:sz w:val="22"/>
          <w:szCs w:val="22"/>
        </w:rPr>
        <w:t xml:space="preserve"> in order to contexualise the findings of this research that will be presented over the following chapters. It </w:t>
      </w:r>
      <w:r w:rsidR="00B12F90" w:rsidRPr="004E053C">
        <w:rPr>
          <w:sz w:val="22"/>
          <w:szCs w:val="22"/>
        </w:rPr>
        <w:t xml:space="preserve">starts by exploring Peru’s economic history, showing how economy policy historically moved </w:t>
      </w:r>
      <w:r w:rsidRPr="004E053C">
        <w:rPr>
          <w:sz w:val="22"/>
          <w:szCs w:val="22"/>
        </w:rPr>
        <w:t xml:space="preserve">between </w:t>
      </w:r>
      <w:r w:rsidR="00B12F90" w:rsidRPr="004E053C">
        <w:rPr>
          <w:sz w:val="22"/>
          <w:szCs w:val="22"/>
        </w:rPr>
        <w:t xml:space="preserve">periods of </w:t>
      </w:r>
      <w:r w:rsidRPr="004E053C">
        <w:rPr>
          <w:sz w:val="22"/>
          <w:szCs w:val="22"/>
        </w:rPr>
        <w:t xml:space="preserve">protectionism and free trade, before the reforms implemented by Fujimore ushered in an era of neoliberalism that successive governments have continued. This has had profound implications for the extractive industries and has, on the surface, improved acted as stimulus for the Peruvian economy. However, despite recent growth, inequality has deepened, with life in the Andes continuing to be charactierised by poverty. In section 3.3 I highlight how this </w:t>
      </w:r>
      <w:r w:rsidR="00B12F90" w:rsidRPr="004E053C">
        <w:rPr>
          <w:sz w:val="22"/>
          <w:szCs w:val="22"/>
        </w:rPr>
        <w:t>has exacerbated</w:t>
      </w:r>
      <w:r w:rsidRPr="004E053C">
        <w:rPr>
          <w:sz w:val="22"/>
          <w:szCs w:val="22"/>
        </w:rPr>
        <w:t xml:space="preserve"> racial div</w:t>
      </w:r>
      <w:r w:rsidR="00B12F90" w:rsidRPr="004E053C">
        <w:rPr>
          <w:sz w:val="22"/>
          <w:szCs w:val="22"/>
        </w:rPr>
        <w:t>ides within Peru and contributed</w:t>
      </w:r>
      <w:r w:rsidRPr="004E053C">
        <w:rPr>
          <w:sz w:val="22"/>
          <w:szCs w:val="22"/>
        </w:rPr>
        <w:t xml:space="preserve"> to continual flows of migration out of the Andean region. This leads on to a discussion of </w:t>
      </w:r>
      <w:r w:rsidRPr="004E053C">
        <w:rPr>
          <w:i/>
          <w:sz w:val="22"/>
          <w:szCs w:val="22"/>
        </w:rPr>
        <w:t xml:space="preserve">Sendero Luminoso </w:t>
      </w:r>
      <w:r w:rsidRPr="004E053C">
        <w:rPr>
          <w:sz w:val="22"/>
          <w:szCs w:val="22"/>
        </w:rPr>
        <w:t>and the conflict affected almost the entire country in the 1980s and 1990s</w:t>
      </w:r>
      <w:r w:rsidR="00B12F90" w:rsidRPr="004E053C">
        <w:rPr>
          <w:sz w:val="22"/>
          <w:szCs w:val="22"/>
        </w:rPr>
        <w:t>, which was primarily motivated by this pervasive inequality</w:t>
      </w:r>
      <w:r w:rsidRPr="004E053C">
        <w:rPr>
          <w:sz w:val="22"/>
          <w:szCs w:val="22"/>
        </w:rPr>
        <w:t>. I then move on to focus more specifically on extractive industries, providing details of Peru’s rich history of mining</w:t>
      </w:r>
      <w:r w:rsidR="00B12F90" w:rsidRPr="004E053C">
        <w:rPr>
          <w:sz w:val="22"/>
          <w:szCs w:val="22"/>
        </w:rPr>
        <w:t xml:space="preserve"> and how this has bee linked to migration. Finally, I reflect on the forms of resistance than have developed against large-scale mining and more </w:t>
      </w:r>
      <w:r w:rsidR="00030E91">
        <w:rPr>
          <w:sz w:val="22"/>
          <w:szCs w:val="22"/>
        </w:rPr>
        <w:t>recently within the ASM sector.</w:t>
      </w:r>
    </w:p>
    <w:p w14:paraId="0ED43C8E" w14:textId="1445B792" w:rsidR="007B5A28" w:rsidRPr="004E053C" w:rsidRDefault="00EA7F83" w:rsidP="004E053C">
      <w:pPr>
        <w:pStyle w:val="Heading1"/>
        <w:spacing w:line="360" w:lineRule="auto"/>
        <w:jc w:val="both"/>
        <w:rPr>
          <w:rFonts w:asciiTheme="minorHAnsi" w:hAnsiTheme="minorHAnsi" w:cstheme="majorHAnsi"/>
          <w:b w:val="0"/>
          <w:lang w:val="en-GB"/>
        </w:rPr>
      </w:pPr>
      <w:bookmarkStart w:id="44" w:name="_Toc33293090"/>
      <w:r w:rsidRPr="004E053C">
        <w:rPr>
          <w:rFonts w:asciiTheme="minorHAnsi" w:hAnsiTheme="minorHAnsi" w:cstheme="majorHAnsi"/>
          <w:b w:val="0"/>
          <w:lang w:val="en-GB"/>
        </w:rPr>
        <w:t>4</w:t>
      </w:r>
      <w:r w:rsidR="007B5A28" w:rsidRPr="004E053C">
        <w:rPr>
          <w:rFonts w:asciiTheme="minorHAnsi" w:hAnsiTheme="minorHAnsi" w:cstheme="majorHAnsi"/>
          <w:b w:val="0"/>
          <w:lang w:val="en-GB"/>
        </w:rPr>
        <w:t xml:space="preserve">. </w:t>
      </w:r>
      <w:r w:rsidR="009A638C" w:rsidRPr="004E053C">
        <w:rPr>
          <w:rFonts w:asciiTheme="minorHAnsi" w:hAnsiTheme="minorHAnsi" w:cstheme="majorHAnsi"/>
          <w:b w:val="0"/>
          <w:lang w:val="en-GB"/>
        </w:rPr>
        <w:t>A Bourdieusian Perspective of Translocal ASM Livelihoods</w:t>
      </w:r>
      <w:bookmarkEnd w:id="44"/>
    </w:p>
    <w:p w14:paraId="57BB6F23" w14:textId="77777777" w:rsidR="00574ED1" w:rsidRPr="004E053C" w:rsidRDefault="00574ED1" w:rsidP="004E053C">
      <w:pPr>
        <w:spacing w:line="360" w:lineRule="auto"/>
        <w:jc w:val="both"/>
        <w:rPr>
          <w:rFonts w:cstheme="majorHAnsi"/>
          <w:lang w:val="en-GB"/>
        </w:rPr>
      </w:pPr>
    </w:p>
    <w:p w14:paraId="2191D76F" w14:textId="5045B451" w:rsidR="00FE47C4" w:rsidRPr="004E053C" w:rsidRDefault="00EA7F83" w:rsidP="004E053C">
      <w:pPr>
        <w:pStyle w:val="Heading2"/>
        <w:spacing w:before="0" w:line="360" w:lineRule="auto"/>
        <w:jc w:val="both"/>
        <w:rPr>
          <w:rFonts w:cstheme="majorHAnsi"/>
          <w:lang w:val="en-GB" w:eastAsia="zh-CN"/>
        </w:rPr>
      </w:pPr>
      <w:bookmarkStart w:id="45" w:name="_Toc33293091"/>
      <w:r w:rsidRPr="004E053C">
        <w:rPr>
          <w:rFonts w:cstheme="majorHAnsi"/>
          <w:lang w:val="en-GB" w:eastAsia="zh-CN"/>
        </w:rPr>
        <w:t>4</w:t>
      </w:r>
      <w:r w:rsidR="00FE47C4" w:rsidRPr="004E053C">
        <w:rPr>
          <w:rFonts w:cstheme="majorHAnsi"/>
          <w:lang w:val="en-GB" w:eastAsia="zh-CN"/>
        </w:rPr>
        <w:t>.1. Introduction</w:t>
      </w:r>
      <w:bookmarkEnd w:id="45"/>
    </w:p>
    <w:p w14:paraId="73029417" w14:textId="77777777" w:rsidR="00FE47C4" w:rsidRPr="004E053C" w:rsidRDefault="00FE47C4" w:rsidP="004E053C">
      <w:pPr>
        <w:spacing w:line="360" w:lineRule="auto"/>
        <w:jc w:val="both"/>
        <w:rPr>
          <w:rFonts w:cstheme="majorHAnsi"/>
          <w:lang w:val="en-GB" w:eastAsia="zh-CN"/>
        </w:rPr>
      </w:pPr>
    </w:p>
    <w:p w14:paraId="381365B1" w14:textId="113EBA49" w:rsidR="001776D8"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Understanding mining communities is essential to inform the design of ASM policy </w:t>
      </w:r>
      <w:r w:rsidR="00840873" w:rsidRPr="004E053C">
        <w:rPr>
          <w:rFonts w:cstheme="majorHAnsi"/>
          <w:sz w:val="22"/>
          <w:szCs w:val="22"/>
          <w:lang w:val="en-GB" w:eastAsia="zh-CN"/>
        </w:rPr>
        <w:fldChar w:fldCharType="begin" w:fldLock="1"/>
      </w:r>
      <w:r w:rsidR="002F0CEA">
        <w:rPr>
          <w:rFonts w:cstheme="majorHAnsi"/>
          <w:sz w:val="22"/>
          <w:szCs w:val="22"/>
          <w:lang w:val="en-GB" w:eastAsia="zh-CN"/>
        </w:rPr>
        <w:instrText>ADDIN CSL_CITATION {"citationItems":[{"id":"ITEM-1","itemData":{"author":[{"dropping-particle":"","family":"Hentschel","given":"Thomas","non-dropping-particle":"","parse-names":false,"suffix":""},{"dropping-particle":"","family":"Hruschka","given":"Felix","non-dropping-particle":"","parse-names":false,"suffix":""},{"dropping-particle":"","family":"Priester","given":"Michael","non-dropping-particle":"","parse-names":false,"suffix":""}],"id":"ITEM-1","issued":{"date-parts":[["2002"]]},"publisher-place":"London","title":"Global Report on Artisanal and Small-Scale Mining","type":"report"},"uris":["http://www.mendeley.com/documents/?uuid=e0135a32-651f-3a94-9bc5-5c79c798e40e"]},{"id":"ITEM-2","itemData":{"author":[{"dropping-particle":"","family":"Hilson","given":"G","non-dropping-particle":"","parse-names":false,"suffix":""},{"dropping-particle":"","family":"Potter","given":"Clive","non-dropping-particle":"","parse-names":false,"suffix":""}],"container-title":"Development and Change","id":"ITEM-2","issue":"1","issued":{"date-parts":[["2005"]]},"page":"103-131","title":"Structural adjustment and subsistence industry: artisanal gold mining in Ghana","type":"article-journal","volume":"36"},"uris":["http://www.mendeley.com/documents/?uuid=d45e74ce-a6e3-420c-a0a0-dbd732423089"]},{"id":"ITEM-3","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Affairs","id":"ITEM-3","issue":"424","issued":{"date-parts":[["2007"]]},"page":"413-436","title":"To move or not to move’: reflections on the resettlement of artisanal miners in the western region of Ghana","type":"article-journal","volume":"106"},"uris":["http://www.mendeley.com/documents/?uuid=8ef2711f-ce75-4c5a-8a00-8e27b49f07cf"]},{"id":"ITEM-4","itemData":{"author":[{"dropping-particle":"","family":"Spiegal","given":"SJ","non-dropping-particle":"","parse-names":false,"suffix":""}],"container-title":"Resources Policy","id":"ITEM-4","issued":{"date-parts":[["2009"]]},"page":"39-44","title":"Resource policies and small-scale gold mining in Zimbabwe","type":"article-journal","volume":"34"},"uris":["http://www.mendeley.com/documents/?uuid=92559fdc-94b9-4cde-9fb6-c45edd09ceee"]},{"id":"ITEM-5","itemData":{"abstract":"a b s t r a c t Millions of people worldwide are involved in artisanal and small-scale gold mining. Many of them live in conditions of poverty and insalubrities due to the mercury amalgamation of gold and the application of other rudimentary techniques. In spite of this, the sector has been nearly overlooked by resource economists. In this paper we analyze the sector based on a survey of the existing literature. We find some commonalities of artisanal and small-scale gold mining in different countries of the developing world as follows: low levels of mechanization and technology, labor intensiveness, low awareness of environmental degradation, poor training, high transience among some miners, and lack of financial savings. Moreover, with these commonalities in mind, we present some topics and challenges for a research agenda in the field of environmental, ecological, and development economics.","author":[{"dropping-particle":"","family":"Saldarriaga-Isaza","given":"Adrián","non-dropping-particle":"","parse-names":false,"suffix":""},{"dropping-particle":"","family":"Villegas-Palacio","given":"Clara","non-dropping-particle":"","parse-names":false,"suffix":""},{"dropping-particle":"","family":"Arango","given":"Santiago","non-dropping-particle":"","parse-names":false,"suffix":""}],"container-title":"Resources Policy","id":"ITEM-5","issue":"2","issued":{"date-parts":[["2013"]]},"page":"224-232","title":"The public good dilemma of a non-renewable common resource: a look at the facts of artisanal gold mining","type":"article-journal","volume":"38"},"uris":["http://www.mendeley.com/documents/?uuid=9112f4f7-b1fb-43ae-8ee5-daf59e85ff33"]}],"mendeley":{"formattedCitation":"(Hentschel et al., 2002; G. Hilson et al., 2007; G Hilson &amp; Potter, 2005; Saldarriaga-Isaza et al., 2013; Spiegal, 2009)","manualFormatting":"(Hentschel et al., 2002; Hilson et al., 2007; Hilson &amp; Potter, 2005; Saldarriaga-Isaza et al., 2013; Spiegal, 2009)","plainTextFormattedCitation":"(Hentschel et al., 2002; G. Hilson et al., 2007; G Hilson &amp; Potter, 2005; Saldarriaga-Isaza et al., 2013; Spiegal, 2009)","previouslyFormattedCitation":"(Hentschel et al., 2002; G. Hilson et al., 2007; G Hilson &amp; Potter, 2005; Saldarriaga-Isaza et al., 2013; Spiegal, 2009)"},"properties":{"noteIndex":0},"schema":"https://github.com/citation-style-language/schema/raw/master/csl-citation.json"}</w:instrText>
      </w:r>
      <w:r w:rsidR="00840873" w:rsidRPr="004E053C">
        <w:rPr>
          <w:rFonts w:cstheme="majorHAnsi"/>
          <w:sz w:val="22"/>
          <w:szCs w:val="22"/>
          <w:lang w:val="en-GB" w:eastAsia="zh-CN"/>
        </w:rPr>
        <w:fldChar w:fldCharType="separate"/>
      </w:r>
      <w:r w:rsidR="00840873" w:rsidRPr="004E053C">
        <w:rPr>
          <w:rFonts w:cstheme="majorHAnsi"/>
          <w:noProof/>
          <w:sz w:val="22"/>
          <w:szCs w:val="22"/>
          <w:lang w:val="en-GB" w:eastAsia="zh-CN"/>
        </w:rPr>
        <w:t>(Hentschel et al., 2002; Hilson et al., 2007; Hilson &amp; Potter, 2005; Saldarriaga-Isaza et al., 2013; Spiegal, 2009)</w:t>
      </w:r>
      <w:r w:rsidR="00840873" w:rsidRPr="004E053C">
        <w:rPr>
          <w:rFonts w:cstheme="majorHAnsi"/>
          <w:sz w:val="22"/>
          <w:szCs w:val="22"/>
          <w:lang w:val="en-GB" w:eastAsia="zh-CN"/>
        </w:rPr>
        <w:fldChar w:fldCharType="end"/>
      </w:r>
      <w:r w:rsidRPr="004E053C">
        <w:rPr>
          <w:rFonts w:cstheme="majorHAnsi"/>
          <w:iCs/>
          <w:sz w:val="22"/>
          <w:szCs w:val="22"/>
          <w:lang w:val="en-GB" w:eastAsia="zh-CN"/>
        </w:rPr>
        <w:t xml:space="preserve">. </w:t>
      </w:r>
      <w:r w:rsidR="0026091D" w:rsidRPr="004E053C">
        <w:rPr>
          <w:rFonts w:cstheme="majorHAnsi"/>
          <w:sz w:val="22"/>
          <w:szCs w:val="22"/>
          <w:lang w:val="en-GB" w:eastAsia="zh-CN"/>
        </w:rPr>
        <w:t>However, as chapter two</w:t>
      </w:r>
      <w:r w:rsidRPr="004E053C">
        <w:rPr>
          <w:rFonts w:cstheme="majorHAnsi"/>
          <w:sz w:val="22"/>
          <w:szCs w:val="22"/>
          <w:lang w:val="en-GB" w:eastAsia="zh-CN"/>
        </w:rPr>
        <w:t xml:space="preserve"> has highlighted, there are significant gaps in the literature regarding the nature of ASM communities. This is related to two key issues; a lack of understanding of </w:t>
      </w:r>
      <w:r w:rsidR="009A638C" w:rsidRPr="004E053C">
        <w:rPr>
          <w:rFonts w:cstheme="majorHAnsi"/>
          <w:sz w:val="22"/>
          <w:szCs w:val="22"/>
          <w:lang w:val="en-GB" w:eastAsia="zh-CN"/>
        </w:rPr>
        <w:t>ASM communities</w:t>
      </w:r>
      <w:r w:rsidRPr="004E053C">
        <w:rPr>
          <w:rFonts w:cstheme="majorHAnsi"/>
          <w:sz w:val="22"/>
          <w:szCs w:val="22"/>
          <w:lang w:val="en-GB" w:eastAsia="zh-CN"/>
        </w:rPr>
        <w:t xml:space="preserve"> in terms of</w:t>
      </w:r>
      <w:r w:rsidR="009A638C" w:rsidRPr="004E053C">
        <w:rPr>
          <w:rFonts w:cstheme="majorHAnsi"/>
          <w:sz w:val="22"/>
          <w:szCs w:val="22"/>
          <w:lang w:val="en-GB" w:eastAsia="zh-CN"/>
        </w:rPr>
        <w:t xml:space="preserve"> the heterogeneity of</w:t>
      </w:r>
      <w:r w:rsidRPr="004E053C">
        <w:rPr>
          <w:rFonts w:cstheme="majorHAnsi"/>
          <w:sz w:val="22"/>
          <w:szCs w:val="22"/>
          <w:lang w:val="en-GB" w:eastAsia="zh-CN"/>
        </w:rPr>
        <w:t xml:space="preserve"> </w:t>
      </w:r>
      <w:r w:rsidR="009A638C" w:rsidRPr="004E053C">
        <w:rPr>
          <w:rFonts w:cstheme="majorHAnsi"/>
          <w:sz w:val="22"/>
          <w:szCs w:val="22"/>
          <w:lang w:val="en-GB" w:eastAsia="zh-CN"/>
        </w:rPr>
        <w:t>livelihood trajectories and</w:t>
      </w:r>
      <w:r w:rsidR="00E42750" w:rsidRPr="004E053C">
        <w:rPr>
          <w:rFonts w:cstheme="majorHAnsi"/>
          <w:sz w:val="22"/>
          <w:szCs w:val="22"/>
          <w:lang w:val="en-GB" w:eastAsia="zh-CN"/>
        </w:rPr>
        <w:t xml:space="preserve"> long-term </w:t>
      </w:r>
      <w:r w:rsidRPr="004E053C">
        <w:rPr>
          <w:rFonts w:cstheme="majorHAnsi"/>
          <w:sz w:val="22"/>
          <w:szCs w:val="22"/>
          <w:lang w:val="en-GB" w:eastAsia="zh-CN"/>
        </w:rPr>
        <w:t xml:space="preserve">migration patterns, and a tendency to focus on either location or destination communities, rather than taking a holistic view of migrant mining communities. There is also often a tendency for the ASM literature to concentrate on </w:t>
      </w:r>
      <w:r w:rsidRPr="004E053C">
        <w:rPr>
          <w:rFonts w:cstheme="majorHAnsi"/>
          <w:i/>
          <w:iCs/>
          <w:sz w:val="22"/>
          <w:szCs w:val="22"/>
          <w:lang w:val="en-GB" w:eastAsia="zh-CN"/>
        </w:rPr>
        <w:t>descriptive</w:t>
      </w:r>
      <w:r w:rsidRPr="004E053C">
        <w:rPr>
          <w:rFonts w:cstheme="majorHAnsi"/>
          <w:sz w:val="22"/>
          <w:szCs w:val="22"/>
          <w:lang w:val="en-GB" w:eastAsia="zh-CN"/>
        </w:rPr>
        <w:t xml:space="preserve"> accounts of lives and livelihoods in order to understan</w:t>
      </w:r>
      <w:r w:rsidR="007A7DCE">
        <w:rPr>
          <w:rFonts w:cstheme="majorHAnsi"/>
          <w:sz w:val="22"/>
          <w:szCs w:val="22"/>
          <w:lang w:val="en-GB" w:eastAsia="zh-CN"/>
        </w:rPr>
        <w:t>d the sector, with few researchers</w:t>
      </w:r>
      <w:r w:rsidRPr="004E053C">
        <w:rPr>
          <w:rFonts w:cstheme="majorHAnsi"/>
          <w:sz w:val="22"/>
          <w:szCs w:val="22"/>
          <w:lang w:val="en-GB" w:eastAsia="zh-CN"/>
        </w:rPr>
        <w:t xml:space="preserve"> developing theoretical arguments for their analysis.</w:t>
      </w:r>
      <w:r w:rsidR="00624D55" w:rsidRPr="004E053C">
        <w:rPr>
          <w:rFonts w:cstheme="majorHAnsi"/>
          <w:sz w:val="22"/>
          <w:szCs w:val="22"/>
          <w:lang w:val="en-GB" w:eastAsia="zh-CN"/>
        </w:rPr>
        <w:t xml:space="preserve"> </w:t>
      </w:r>
    </w:p>
    <w:p w14:paraId="042F0678" w14:textId="77777777" w:rsidR="001776D8" w:rsidRPr="004E053C" w:rsidRDefault="001776D8" w:rsidP="004E053C">
      <w:pPr>
        <w:spacing w:line="360" w:lineRule="auto"/>
        <w:jc w:val="both"/>
        <w:rPr>
          <w:rFonts w:cstheme="majorHAnsi"/>
          <w:sz w:val="22"/>
          <w:szCs w:val="22"/>
          <w:lang w:val="en-GB" w:eastAsia="zh-CN"/>
        </w:rPr>
      </w:pPr>
    </w:p>
    <w:p w14:paraId="7D864968" w14:textId="4D350A26"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In order to u</w:t>
      </w:r>
      <w:r w:rsidR="009A638C" w:rsidRPr="004E053C">
        <w:rPr>
          <w:rFonts w:cstheme="majorHAnsi"/>
          <w:sz w:val="22"/>
          <w:szCs w:val="22"/>
          <w:lang w:val="en-GB" w:eastAsia="zh-CN"/>
        </w:rPr>
        <w:t xml:space="preserve">nderstand </w:t>
      </w:r>
      <w:r w:rsidR="0026091D" w:rsidRPr="004E053C">
        <w:rPr>
          <w:rFonts w:cstheme="majorHAnsi"/>
          <w:sz w:val="22"/>
          <w:szCs w:val="22"/>
          <w:lang w:val="en-GB" w:eastAsia="zh-CN"/>
        </w:rPr>
        <w:t xml:space="preserve">migrant </w:t>
      </w:r>
      <w:r w:rsidR="009A638C" w:rsidRPr="004E053C">
        <w:rPr>
          <w:rFonts w:cstheme="majorHAnsi"/>
          <w:sz w:val="22"/>
          <w:szCs w:val="22"/>
          <w:lang w:val="en-GB" w:eastAsia="zh-CN"/>
        </w:rPr>
        <w:t>mining communities, I</w:t>
      </w:r>
      <w:r w:rsidR="00EA5608" w:rsidRPr="004E053C">
        <w:rPr>
          <w:rFonts w:cstheme="majorHAnsi"/>
          <w:sz w:val="22"/>
          <w:szCs w:val="22"/>
          <w:lang w:val="en-GB" w:eastAsia="zh-CN"/>
        </w:rPr>
        <w:t xml:space="preserve"> </w:t>
      </w:r>
      <w:r w:rsidR="00E42750" w:rsidRPr="004E053C">
        <w:rPr>
          <w:rFonts w:cstheme="majorHAnsi"/>
          <w:sz w:val="22"/>
          <w:szCs w:val="22"/>
          <w:lang w:val="en-GB" w:eastAsia="zh-CN"/>
        </w:rPr>
        <w:t>draw on the trans</w:t>
      </w:r>
      <w:r w:rsidR="00EA5608" w:rsidRPr="004E053C">
        <w:rPr>
          <w:rFonts w:cstheme="majorHAnsi"/>
          <w:sz w:val="22"/>
          <w:szCs w:val="22"/>
          <w:lang w:val="en-GB" w:eastAsia="zh-CN"/>
        </w:rPr>
        <w:t>local livelihoods literature and</w:t>
      </w:r>
      <w:r w:rsidR="00E42750" w:rsidRPr="004E053C">
        <w:rPr>
          <w:rFonts w:cstheme="majorHAnsi"/>
          <w:sz w:val="22"/>
          <w:szCs w:val="22"/>
          <w:lang w:val="en-GB" w:eastAsia="zh-CN"/>
        </w:rPr>
        <w:t xml:space="preserve"> </w:t>
      </w:r>
      <w:r w:rsidR="00EA5608" w:rsidRPr="004E053C">
        <w:rPr>
          <w:rFonts w:cstheme="majorHAnsi"/>
          <w:sz w:val="22"/>
          <w:szCs w:val="22"/>
          <w:lang w:val="en-GB" w:eastAsia="zh-CN"/>
        </w:rPr>
        <w:t xml:space="preserve">bring this together with </w:t>
      </w:r>
      <w:r w:rsidR="003C71AE" w:rsidRPr="004E053C">
        <w:rPr>
          <w:rFonts w:cstheme="majorHAnsi"/>
          <w:sz w:val="22"/>
          <w:szCs w:val="22"/>
          <w:lang w:val="en-GB" w:eastAsia="zh-CN"/>
        </w:rPr>
        <w:t>Bourdieusian theory</w:t>
      </w:r>
      <w:r w:rsidR="00EA5608" w:rsidRPr="004E053C">
        <w:rPr>
          <w:rFonts w:cstheme="majorHAnsi"/>
          <w:sz w:val="22"/>
          <w:szCs w:val="22"/>
          <w:lang w:val="en-GB" w:eastAsia="zh-CN"/>
        </w:rPr>
        <w:t xml:space="preserve"> in order to </w:t>
      </w:r>
      <w:r w:rsidR="0026091D" w:rsidRPr="004E053C">
        <w:rPr>
          <w:rFonts w:cstheme="majorHAnsi"/>
          <w:sz w:val="22"/>
          <w:szCs w:val="22"/>
          <w:lang w:val="en-GB" w:eastAsia="zh-CN"/>
        </w:rPr>
        <w:t>flesh out</w:t>
      </w:r>
      <w:r w:rsidR="00EA5608" w:rsidRPr="004E053C">
        <w:rPr>
          <w:rFonts w:cstheme="majorHAnsi"/>
          <w:sz w:val="22"/>
          <w:szCs w:val="22"/>
          <w:lang w:val="en-GB" w:eastAsia="zh-CN"/>
        </w:rPr>
        <w:t xml:space="preserve"> the nature of the community that is formed through these various patterns of migration</w:t>
      </w:r>
      <w:r w:rsidR="003C71AE" w:rsidRPr="004E053C">
        <w:rPr>
          <w:rFonts w:cstheme="majorHAnsi"/>
          <w:sz w:val="22"/>
          <w:szCs w:val="22"/>
          <w:lang w:val="en-GB" w:eastAsia="zh-CN"/>
        </w:rPr>
        <w:t>.</w:t>
      </w:r>
      <w:r w:rsidRPr="004E053C">
        <w:rPr>
          <w:rFonts w:cstheme="majorHAnsi"/>
          <w:sz w:val="22"/>
          <w:szCs w:val="22"/>
          <w:lang w:val="en-GB" w:eastAsia="zh-CN"/>
        </w:rPr>
        <w:t xml:space="preserve"> </w:t>
      </w:r>
      <w:r w:rsidR="001776D8" w:rsidRPr="004E053C">
        <w:rPr>
          <w:rFonts w:cstheme="majorHAnsi"/>
          <w:sz w:val="22"/>
          <w:szCs w:val="22"/>
          <w:lang w:val="en-GB" w:eastAsia="zh-CN"/>
        </w:rPr>
        <w:t xml:space="preserve">This is depicted in a model of the translocal social field, which adapts Carling’s </w:t>
      </w:r>
      <w:r w:rsidR="000F1838" w:rsidRPr="004E053C">
        <w:rPr>
          <w:rFonts w:cstheme="majorHAnsi"/>
          <w:sz w:val="22"/>
          <w:szCs w:val="22"/>
          <w:lang w:val="en-GB" w:eastAsia="zh-CN"/>
        </w:rPr>
        <w:fldChar w:fldCharType="begin" w:fldLock="1"/>
      </w:r>
      <w:r w:rsidR="00911D45" w:rsidRPr="004E053C">
        <w:rPr>
          <w:rFonts w:cstheme="majorHAnsi"/>
          <w:sz w:val="22"/>
          <w:szCs w:val="22"/>
          <w:lang w:val="en-GB" w:eastAsia="zh-CN"/>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transnationalism","type":"article-journal","volume":"31"},"uris":["http://www.mendeley.com/documents/?uuid=4e9502bd-03d1-49f4-adda-36bcff515ccc"]}],"mendeley":{"formattedCitation":"(Carling, 2008)","manualFormatting":"(2008)","plainTextFormattedCitation":"(Carling, 2008)","previouslyFormattedCitation":"(Carling, 2008)"},"properties":{"noteIndex":0},"schema":"https://github.com/citation-style-language/schema/raw/master/csl-citation.json"}</w:instrText>
      </w:r>
      <w:r w:rsidR="000F1838" w:rsidRPr="004E053C">
        <w:rPr>
          <w:rFonts w:cstheme="majorHAnsi"/>
          <w:sz w:val="22"/>
          <w:szCs w:val="22"/>
          <w:lang w:val="en-GB" w:eastAsia="zh-CN"/>
        </w:rPr>
        <w:fldChar w:fldCharType="separate"/>
      </w:r>
      <w:r w:rsidR="000F1838" w:rsidRPr="004E053C">
        <w:rPr>
          <w:rFonts w:cstheme="majorHAnsi"/>
          <w:noProof/>
          <w:sz w:val="22"/>
          <w:szCs w:val="22"/>
          <w:lang w:val="en-GB" w:eastAsia="zh-CN"/>
        </w:rPr>
        <w:t>(2008)</w:t>
      </w:r>
      <w:r w:rsidR="000F1838" w:rsidRPr="004E053C">
        <w:rPr>
          <w:rFonts w:cstheme="majorHAnsi"/>
          <w:sz w:val="22"/>
          <w:szCs w:val="22"/>
          <w:lang w:val="en-GB" w:eastAsia="zh-CN"/>
        </w:rPr>
        <w:fldChar w:fldCharType="end"/>
      </w:r>
      <w:r w:rsidR="001776D8" w:rsidRPr="004E053C">
        <w:rPr>
          <w:rFonts w:cstheme="majorHAnsi"/>
          <w:sz w:val="22"/>
          <w:szCs w:val="22"/>
          <w:lang w:val="en-GB" w:eastAsia="zh-CN"/>
        </w:rPr>
        <w:t xml:space="preserve"> conceptualisation of transnationalism. </w:t>
      </w:r>
      <w:r w:rsidRPr="004E053C">
        <w:rPr>
          <w:rFonts w:cstheme="majorHAnsi"/>
          <w:sz w:val="22"/>
          <w:szCs w:val="22"/>
          <w:lang w:val="en-GB" w:eastAsia="zh-CN"/>
        </w:rPr>
        <w:t xml:space="preserve">However, </w:t>
      </w:r>
      <w:r w:rsidR="001776D8" w:rsidRPr="004E053C">
        <w:rPr>
          <w:rFonts w:cstheme="majorHAnsi"/>
          <w:sz w:val="22"/>
          <w:szCs w:val="22"/>
          <w:lang w:val="en-GB" w:eastAsia="zh-CN"/>
        </w:rPr>
        <w:t xml:space="preserve">translocal livelihoods analysis, and indeed transnational models such as Carling’s, has often tended to overlook temporality. I argue that to understand how </w:t>
      </w:r>
      <w:r w:rsidRPr="004E053C">
        <w:rPr>
          <w:rFonts w:cstheme="majorHAnsi"/>
          <w:sz w:val="22"/>
          <w:szCs w:val="22"/>
          <w:lang w:val="en-GB" w:eastAsia="zh-CN"/>
        </w:rPr>
        <w:t xml:space="preserve">translocal livelihoods affect places on the </w:t>
      </w:r>
      <w:r w:rsidRPr="004E053C">
        <w:rPr>
          <w:rFonts w:cstheme="majorHAnsi"/>
          <w:sz w:val="22"/>
          <w:szCs w:val="22"/>
          <w:lang w:val="en-GB" w:eastAsia="zh-CN"/>
        </w:rPr>
        <w:lastRenderedPageBreak/>
        <w:t xml:space="preserve">crossroads of mobility </w:t>
      </w:r>
      <w:r w:rsidR="00061C18"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{"citationItems":[{"id":"ITEM-1","itemData":{"author":[{"dropping-particle":"","family":"Etzold","given":"Benjamin","non-dropping-particle":"","parse-names":false,"suffix":""}],"chapter-number":"3","container-title":"Livelihoods and Development: New Perspectives","editor":[{"dropping-particle":"","family":"Leo de Haan","given":"","non-dropping-particle":"","parse-names":false,"suffix":""}],"id":"ITEM-1","issued":{"date-parts":[["2017"]]},"page":"44-68","publisher":"Brill","publisher-place":"Leiden","title":"Mobility,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studies","type":"chapter"},"uris":["http://www.mendeley.com/documents/?uuid=8669327d-3056-4ab8-9bc0-8022e5d3152f"]}],"mendeley":{"formattedCitation":"(Etzold, 2017)","plainTextFormattedCitation":"(Etzold, 2017)","previouslyFormattedCitation":"(Etzold, 2017)"},"properties":{"noteIndex":0},"schema":"https://github.com/citation-style-language/schema/raw/master/csl-citation.json"}</w:instrText>
      </w:r>
      <w:r w:rsidR="00061C18" w:rsidRPr="004E053C">
        <w:rPr>
          <w:rFonts w:cstheme="majorHAnsi"/>
          <w:sz w:val="22"/>
          <w:szCs w:val="22"/>
          <w:lang w:val="en-GB" w:eastAsia="zh-CN"/>
        </w:rPr>
        <w:fldChar w:fldCharType="separate"/>
      </w:r>
      <w:r w:rsidR="00061C18" w:rsidRPr="004E053C">
        <w:rPr>
          <w:rFonts w:cstheme="majorHAnsi"/>
          <w:noProof/>
          <w:sz w:val="22"/>
          <w:szCs w:val="22"/>
          <w:lang w:val="en-GB" w:eastAsia="zh-CN"/>
        </w:rPr>
        <w:t>(Etzold, 2017)</w:t>
      </w:r>
      <w:r w:rsidR="00061C18" w:rsidRPr="004E053C">
        <w:rPr>
          <w:rFonts w:cstheme="majorHAnsi"/>
          <w:sz w:val="22"/>
          <w:szCs w:val="22"/>
          <w:lang w:val="en-GB" w:eastAsia="zh-CN"/>
        </w:rPr>
        <w:fldChar w:fldCharType="end"/>
      </w:r>
      <w:r w:rsidRPr="004E053C">
        <w:rPr>
          <w:rFonts w:cstheme="majorHAnsi"/>
          <w:sz w:val="22"/>
          <w:szCs w:val="22"/>
          <w:lang w:val="en-GB" w:eastAsia="zh-CN"/>
        </w:rPr>
        <w:t xml:space="preserve">, our conceptualisation of translocality may need to be extended. </w:t>
      </w:r>
      <w:r w:rsidR="00624D55" w:rsidRPr="004E053C">
        <w:rPr>
          <w:rFonts w:cstheme="majorHAnsi"/>
          <w:sz w:val="22"/>
          <w:szCs w:val="22"/>
          <w:lang w:val="en-GB" w:eastAsia="zh-CN"/>
        </w:rPr>
        <w:t xml:space="preserve">My intention </w:t>
      </w:r>
      <w:r w:rsidR="001776D8" w:rsidRPr="004E053C">
        <w:rPr>
          <w:rFonts w:cstheme="majorHAnsi"/>
          <w:sz w:val="22"/>
          <w:szCs w:val="22"/>
          <w:lang w:val="en-GB" w:eastAsia="zh-CN"/>
        </w:rPr>
        <w:t xml:space="preserve">in this thesis is to use this adapted model of the translocal social field to analyse </w:t>
      </w:r>
      <w:r w:rsidR="0032791E" w:rsidRPr="004E053C">
        <w:rPr>
          <w:rFonts w:cstheme="majorHAnsi"/>
          <w:sz w:val="22"/>
          <w:szCs w:val="22"/>
          <w:lang w:val="en-GB" w:eastAsia="zh-CN"/>
        </w:rPr>
        <w:t xml:space="preserve">ASM in Peru, </w:t>
      </w:r>
      <w:r w:rsidR="001776D8" w:rsidRPr="004E053C">
        <w:rPr>
          <w:rFonts w:cstheme="majorHAnsi"/>
          <w:sz w:val="22"/>
          <w:szCs w:val="22"/>
          <w:lang w:val="en-GB" w:eastAsia="zh-CN"/>
        </w:rPr>
        <w:t>before drawing on</w:t>
      </w:r>
      <w:r w:rsidR="0032791E" w:rsidRPr="004E053C">
        <w:rPr>
          <w:rFonts w:cstheme="majorHAnsi"/>
          <w:sz w:val="22"/>
          <w:szCs w:val="22"/>
          <w:lang w:val="en-GB" w:eastAsia="zh-CN"/>
        </w:rPr>
        <w:t xml:space="preserve"> ideas of place, identity and criminality to </w:t>
      </w:r>
      <w:r w:rsidR="001776D8" w:rsidRPr="004E053C">
        <w:rPr>
          <w:rFonts w:cstheme="majorHAnsi"/>
          <w:sz w:val="22"/>
          <w:szCs w:val="22"/>
          <w:lang w:val="en-GB" w:eastAsia="zh-CN"/>
        </w:rPr>
        <w:t xml:space="preserve">show what it </w:t>
      </w:r>
      <w:r w:rsidR="0032791E" w:rsidRPr="004E053C">
        <w:rPr>
          <w:rFonts w:cstheme="majorHAnsi"/>
          <w:sz w:val="22"/>
          <w:szCs w:val="22"/>
          <w:lang w:val="en-GB" w:eastAsia="zh-CN"/>
        </w:rPr>
        <w:t xml:space="preserve">might imply in the context of a precarious informal livelihood. </w:t>
      </w:r>
    </w:p>
    <w:p w14:paraId="7867212E" w14:textId="77777777" w:rsidR="00ED3EA5" w:rsidRPr="004E053C" w:rsidRDefault="00ED3EA5" w:rsidP="004E053C">
      <w:pPr>
        <w:spacing w:line="360" w:lineRule="auto"/>
        <w:jc w:val="both"/>
        <w:rPr>
          <w:rFonts w:cstheme="majorHAnsi"/>
          <w:sz w:val="22"/>
          <w:szCs w:val="22"/>
          <w:lang w:val="en-GB" w:eastAsia="zh-CN"/>
        </w:rPr>
      </w:pPr>
    </w:p>
    <w:p w14:paraId="23BB06FB" w14:textId="0FC603DC"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This chapter starts by introducing livelihoods as a social practice </w:t>
      </w:r>
      <w:r w:rsidR="00061C18" w:rsidRPr="004E053C">
        <w:rPr>
          <w:rFonts w:cstheme="majorHAnsi"/>
          <w:sz w:val="22"/>
          <w:szCs w:val="22"/>
          <w:lang w:val="en-GB" w:eastAsia="zh-CN"/>
        </w:rPr>
        <w:fldChar w:fldCharType="begin" w:fldLock="1"/>
      </w:r>
      <w:r w:rsidR="00E308C9" w:rsidRPr="004E053C">
        <w:rPr>
          <w:rFonts w:cstheme="majorHAnsi"/>
          <w:sz w:val="22"/>
          <w:szCs w:val="22"/>
          <w:lang w:val="en-GB" w:eastAsia="zh-CN"/>
        </w:rPr>
        <w:instrText>ADDIN CSL_CITATION {"citationItems":[{"id":"ITEM-1","itemData":{"author":[{"dropping-particle":"","family":"Bourdieu","given":"Pierre","non-dropping-particle":"","parse-names":false,"suffix":""}],"container-title":"Source: Theory and Society","id":"ITEM-1","issue":"6","issued":{"date-parts":[["1985"]]},"number-of-pages":"723-744","title":"The Social Space and the Genesis of Groups","type":"report","volume":"14"},"uris":["http://www.mendeley.com/documents/?uuid=f0c35b42-1dca-3e1c-80e1-fc37c7ba756a"]}],"mendeley":{"formattedCitation":"(Bourdieu, 1985)","plainTextFormattedCitation":"(Bourdieu, 1985)","previouslyFormattedCitation":"(Bourdieu, 1985)"},"properties":{"noteIndex":0},"schema":"https://github.com/citation-style-language/schema/raw/master/csl-citation.json"}</w:instrText>
      </w:r>
      <w:r w:rsidR="00061C18" w:rsidRPr="004E053C">
        <w:rPr>
          <w:rFonts w:cstheme="majorHAnsi"/>
          <w:sz w:val="22"/>
          <w:szCs w:val="22"/>
          <w:lang w:val="en-GB" w:eastAsia="zh-CN"/>
        </w:rPr>
        <w:fldChar w:fldCharType="separate"/>
      </w:r>
      <w:r w:rsidR="00061C18" w:rsidRPr="004E053C">
        <w:rPr>
          <w:rFonts w:cstheme="majorHAnsi"/>
          <w:noProof/>
          <w:sz w:val="22"/>
          <w:szCs w:val="22"/>
          <w:lang w:val="en-GB" w:eastAsia="zh-CN"/>
        </w:rPr>
        <w:t>(Bourdieu, 1985)</w:t>
      </w:r>
      <w:r w:rsidR="00061C18" w:rsidRPr="004E053C">
        <w:rPr>
          <w:rFonts w:cstheme="majorHAnsi"/>
          <w:sz w:val="22"/>
          <w:szCs w:val="22"/>
          <w:lang w:val="en-GB" w:eastAsia="zh-CN"/>
        </w:rPr>
        <w:fldChar w:fldCharType="end"/>
      </w:r>
      <w:r w:rsidRPr="004E053C">
        <w:rPr>
          <w:rFonts w:cstheme="majorHAnsi"/>
          <w:sz w:val="22"/>
          <w:szCs w:val="22"/>
          <w:lang w:val="en-GB" w:eastAsia="zh-CN"/>
        </w:rPr>
        <w:t xml:space="preserve"> and explaining how the notion of a social field may apply. It then moves on to explain why traditional linear models of migration do not adequately account for the realities of migrant life, particularly within the ASM sector. I focus on how linear models of migration, or even analysis that sees destination and origin communities as discrete places, </w:t>
      </w:r>
      <w:r w:rsidRPr="00030E91">
        <w:rPr>
          <w:rFonts w:cstheme="majorHAnsi"/>
          <w:sz w:val="22"/>
          <w:szCs w:val="22"/>
          <w:lang w:val="en-GB" w:eastAsia="zh-CN"/>
        </w:rPr>
        <w:t>runs the risk of obscuring those ‘l</w:t>
      </w:r>
      <w:r w:rsidR="00130A52" w:rsidRPr="00030E91">
        <w:rPr>
          <w:rFonts w:cstheme="majorHAnsi"/>
          <w:sz w:val="22"/>
          <w:szCs w:val="22"/>
          <w:lang w:val="en-GB" w:eastAsia="zh-CN"/>
        </w:rPr>
        <w:t xml:space="preserve">eft </w:t>
      </w:r>
      <w:r w:rsidRPr="00030E91">
        <w:rPr>
          <w:rFonts w:cstheme="majorHAnsi"/>
          <w:sz w:val="22"/>
          <w:szCs w:val="22"/>
          <w:lang w:val="en-GB" w:eastAsia="zh-CN"/>
        </w:rPr>
        <w:t>behind’ in origin communities from the analysis. This limits our understanding of the realities of ASM livelihoods and is a major weakness in much of the existing literature on ASM.</w:t>
      </w:r>
      <w:r w:rsidR="00745BB2" w:rsidRPr="00030E91">
        <w:rPr>
          <w:rFonts w:cstheme="majorHAnsi"/>
          <w:sz w:val="22"/>
          <w:szCs w:val="22"/>
          <w:lang w:val="en-GB" w:eastAsia="zh-CN"/>
        </w:rPr>
        <w:t xml:space="preserve"> I attempt to overcome this limitation </w:t>
      </w:r>
      <w:r w:rsidR="000601E0" w:rsidRPr="00030E91">
        <w:rPr>
          <w:rFonts w:cstheme="majorHAnsi"/>
          <w:sz w:val="22"/>
          <w:szCs w:val="22"/>
          <w:lang w:val="en-GB" w:eastAsia="zh-CN"/>
        </w:rPr>
        <w:t>in my analysis by focusing on</w:t>
      </w:r>
      <w:r w:rsidR="00974CD8" w:rsidRPr="00030E91">
        <w:rPr>
          <w:rFonts w:cstheme="majorHAnsi"/>
          <w:sz w:val="22"/>
          <w:szCs w:val="22"/>
          <w:lang w:val="en-GB" w:eastAsia="zh-CN"/>
        </w:rPr>
        <w:t xml:space="preserve"> </w:t>
      </w:r>
      <w:r w:rsidR="00745BB2" w:rsidRPr="00030E91">
        <w:rPr>
          <w:rFonts w:cstheme="majorHAnsi"/>
          <w:sz w:val="22"/>
          <w:szCs w:val="22"/>
          <w:lang w:val="en-GB" w:eastAsia="zh-CN"/>
        </w:rPr>
        <w:t xml:space="preserve">the </w:t>
      </w:r>
      <w:r w:rsidRPr="00030E91">
        <w:rPr>
          <w:rFonts w:cstheme="majorHAnsi"/>
          <w:sz w:val="22"/>
          <w:szCs w:val="22"/>
          <w:lang w:val="en-GB" w:eastAsia="zh-CN"/>
        </w:rPr>
        <w:t xml:space="preserve">translocal </w:t>
      </w:r>
      <w:r w:rsidR="00745BB2" w:rsidRPr="00030E91">
        <w:rPr>
          <w:rFonts w:cstheme="majorHAnsi"/>
          <w:sz w:val="22"/>
          <w:szCs w:val="22"/>
          <w:lang w:val="en-GB" w:eastAsia="zh-CN"/>
        </w:rPr>
        <w:t xml:space="preserve">nature of livelihoods and the </w:t>
      </w:r>
      <w:r w:rsidR="000601E0" w:rsidRPr="00030E91">
        <w:rPr>
          <w:rFonts w:cstheme="majorHAnsi"/>
          <w:sz w:val="22"/>
          <w:szCs w:val="22"/>
          <w:lang w:val="en-GB" w:eastAsia="zh-CN"/>
        </w:rPr>
        <w:t xml:space="preserve">translocal </w:t>
      </w:r>
      <w:r w:rsidRPr="00030E91">
        <w:rPr>
          <w:rFonts w:cstheme="majorHAnsi"/>
          <w:sz w:val="22"/>
          <w:szCs w:val="22"/>
          <w:lang w:val="en-GB" w:eastAsia="zh-CN"/>
        </w:rPr>
        <w:t>communities</w:t>
      </w:r>
      <w:r w:rsidR="00745BB2" w:rsidRPr="00030E91">
        <w:rPr>
          <w:rFonts w:cstheme="majorHAnsi"/>
          <w:sz w:val="22"/>
          <w:szCs w:val="22"/>
          <w:lang w:val="en-GB" w:eastAsia="zh-CN"/>
        </w:rPr>
        <w:t xml:space="preserve"> that emerge from them</w:t>
      </w:r>
      <w:r w:rsidRPr="00030E91">
        <w:rPr>
          <w:rFonts w:cstheme="majorHAnsi"/>
          <w:sz w:val="22"/>
          <w:szCs w:val="22"/>
          <w:lang w:val="en-GB" w:eastAsia="zh-CN"/>
        </w:rPr>
        <w:t xml:space="preserve">. </w:t>
      </w:r>
      <w:r w:rsidR="00177EEF" w:rsidRPr="00030E91">
        <w:rPr>
          <w:rFonts w:cstheme="majorHAnsi"/>
          <w:sz w:val="22"/>
          <w:szCs w:val="22"/>
          <w:lang w:val="en-GB" w:eastAsia="zh-CN"/>
        </w:rPr>
        <w:t xml:space="preserve">I briefly explain both of these concepts in section 4.3, and then reflect on Carling’s </w:t>
      </w:r>
      <w:r w:rsidR="0078143E" w:rsidRPr="00030E91">
        <w:rPr>
          <w:rFonts w:cstheme="majorHAnsi"/>
          <w:sz w:val="22"/>
          <w:szCs w:val="22"/>
          <w:lang w:val="en-GB" w:eastAsia="zh-CN"/>
        </w:rPr>
        <w:fldChar w:fldCharType="begin" w:fldLock="1"/>
      </w:r>
      <w:r w:rsidR="00071C60" w:rsidRPr="00030E91">
        <w:rPr>
          <w:rFonts w:cstheme="majorHAnsi"/>
          <w:sz w:val="22"/>
          <w:szCs w:val="22"/>
          <w:lang w:val="en-GB" w:eastAsia="zh-CN"/>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transnationalism","type":"article-journal","volume":"31"},"uris":["http://www.mendeley.com/documents/?uuid=4e9502bd-03d1-49f4-adda-36bcff515ccc"]}],"mendeley":{"formattedCitation":"(Carling, 2008)","manualFormatting":"(2008)","plainTextFormattedCitation":"(Carling, 2008)","previouslyFormattedCitation":"(Carling, 2008)"},"properties":{"noteIndex":0},"schema":"https://github.com/citation-style-language/schema/raw/master/csl-citation.json"}</w:instrText>
      </w:r>
      <w:r w:rsidR="0078143E" w:rsidRPr="00030E91">
        <w:rPr>
          <w:rFonts w:cstheme="majorHAnsi"/>
          <w:sz w:val="22"/>
          <w:szCs w:val="22"/>
          <w:lang w:val="en-GB" w:eastAsia="zh-CN"/>
        </w:rPr>
        <w:fldChar w:fldCharType="separate"/>
      </w:r>
      <w:r w:rsidR="0078143E" w:rsidRPr="00030E91">
        <w:rPr>
          <w:rFonts w:cstheme="majorHAnsi"/>
          <w:noProof/>
          <w:sz w:val="22"/>
          <w:szCs w:val="22"/>
          <w:lang w:val="en-GB" w:eastAsia="zh-CN"/>
        </w:rPr>
        <w:t>(2008)</w:t>
      </w:r>
      <w:r w:rsidR="0078143E" w:rsidRPr="00030E91">
        <w:rPr>
          <w:rFonts w:cstheme="majorHAnsi"/>
          <w:sz w:val="22"/>
          <w:szCs w:val="22"/>
          <w:lang w:val="en-GB" w:eastAsia="zh-CN"/>
        </w:rPr>
        <w:fldChar w:fldCharType="end"/>
      </w:r>
      <w:r w:rsidR="00177EEF" w:rsidRPr="00030E91">
        <w:rPr>
          <w:rFonts w:cstheme="majorHAnsi"/>
          <w:sz w:val="22"/>
          <w:szCs w:val="22"/>
          <w:lang w:val="en-GB" w:eastAsia="zh-CN"/>
        </w:rPr>
        <w:t xml:space="preserve"> model of the transnational social field, before proposing an adapted version that is suitable for framing the translocal community as a social field.</w:t>
      </w:r>
      <w:r w:rsidRPr="00030E91">
        <w:rPr>
          <w:rFonts w:cstheme="majorHAnsi"/>
          <w:sz w:val="22"/>
          <w:szCs w:val="22"/>
          <w:lang w:val="en-GB" w:eastAsia="zh-CN"/>
        </w:rPr>
        <w:t xml:space="preserve"> </w:t>
      </w:r>
      <w:r w:rsidR="00177EEF" w:rsidRPr="00030E91">
        <w:rPr>
          <w:rFonts w:cstheme="majorHAnsi"/>
          <w:sz w:val="22"/>
          <w:szCs w:val="22"/>
          <w:lang w:val="en-GB" w:eastAsia="zh-CN"/>
        </w:rPr>
        <w:t>I then point to</w:t>
      </w:r>
      <w:r w:rsidRPr="00030E91">
        <w:rPr>
          <w:rFonts w:cstheme="majorHAnsi"/>
          <w:sz w:val="22"/>
          <w:szCs w:val="22"/>
          <w:lang w:val="en-GB" w:eastAsia="zh-CN"/>
        </w:rPr>
        <w:t xml:space="preserve"> two areas that can be improved in the existing literature</w:t>
      </w:r>
      <w:r w:rsidR="000601E0" w:rsidRPr="00030E91">
        <w:rPr>
          <w:rFonts w:cstheme="majorHAnsi"/>
          <w:sz w:val="22"/>
          <w:szCs w:val="22"/>
          <w:lang w:val="en-GB" w:eastAsia="zh-CN"/>
        </w:rPr>
        <w:t xml:space="preserve"> on translocality</w:t>
      </w:r>
      <w:r w:rsidRPr="00030E91">
        <w:rPr>
          <w:rFonts w:cstheme="majorHAnsi"/>
          <w:sz w:val="22"/>
          <w:szCs w:val="22"/>
          <w:lang w:val="en-GB" w:eastAsia="zh-CN"/>
        </w:rPr>
        <w:t>; firstly, the tendency to continue to focus on migration between rural and urban</w:t>
      </w:r>
      <w:r w:rsidRPr="004E053C">
        <w:rPr>
          <w:rFonts w:cstheme="majorHAnsi"/>
          <w:sz w:val="22"/>
          <w:szCs w:val="22"/>
          <w:lang w:val="en-GB" w:eastAsia="zh-CN"/>
        </w:rPr>
        <w:t xml:space="preserve"> locations and secondly, the lack of differentiation between migrants, particularly in terms of the temporality of migration.</w:t>
      </w:r>
    </w:p>
    <w:p w14:paraId="590789BF" w14:textId="77777777" w:rsidR="00FE47C4" w:rsidRPr="004E053C" w:rsidRDefault="00FE47C4" w:rsidP="004E053C">
      <w:pPr>
        <w:spacing w:line="360" w:lineRule="auto"/>
        <w:jc w:val="both"/>
        <w:rPr>
          <w:rFonts w:cstheme="majorHAnsi"/>
          <w:sz w:val="22"/>
          <w:szCs w:val="22"/>
          <w:lang w:val="en-GB" w:eastAsia="zh-CN"/>
        </w:rPr>
      </w:pPr>
    </w:p>
    <w:p w14:paraId="113C57EE" w14:textId="207D8AB0" w:rsidR="00FE47C4" w:rsidRPr="00030E91"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In section 4, I </w:t>
      </w:r>
      <w:r w:rsidR="00974CD8" w:rsidRPr="004E053C">
        <w:rPr>
          <w:rFonts w:cstheme="majorHAnsi"/>
          <w:sz w:val="22"/>
          <w:szCs w:val="22"/>
          <w:lang w:val="en-GB" w:eastAsia="zh-CN"/>
        </w:rPr>
        <w:t xml:space="preserve">emphasise how place continues to be important, even though the meaning ascribed to it are </w:t>
      </w:r>
      <w:r w:rsidRPr="004E053C">
        <w:rPr>
          <w:rFonts w:cstheme="majorHAnsi"/>
          <w:sz w:val="22"/>
          <w:szCs w:val="22"/>
          <w:lang w:val="en-GB" w:eastAsia="zh-CN"/>
        </w:rPr>
        <w:t>affected by translocality</w:t>
      </w:r>
      <w:r w:rsidR="00974CD8" w:rsidRPr="004E053C">
        <w:rPr>
          <w:rFonts w:cstheme="majorHAnsi"/>
          <w:sz w:val="22"/>
          <w:szCs w:val="22"/>
          <w:lang w:val="en-GB" w:eastAsia="zh-CN"/>
        </w:rPr>
        <w:t xml:space="preserve">. </w:t>
      </w:r>
      <w:r w:rsidRPr="004E053C">
        <w:rPr>
          <w:rFonts w:cstheme="majorHAnsi"/>
          <w:sz w:val="22"/>
          <w:szCs w:val="22"/>
          <w:lang w:val="en-GB" w:eastAsia="zh-CN"/>
        </w:rPr>
        <w:t>I acknowledge that while the boundaries of place are in some ways dissolved by migration, the various locations that are connected through translocality remain important.</w:t>
      </w:r>
      <w:r w:rsidR="00974CD8" w:rsidRPr="004E053C">
        <w:rPr>
          <w:rFonts w:cstheme="majorHAnsi"/>
          <w:sz w:val="22"/>
          <w:szCs w:val="22"/>
          <w:lang w:val="en-GB" w:eastAsia="zh-CN"/>
        </w:rPr>
        <w:t xml:space="preserve"> This highlights the need for a multi-sited focus to the analysis. </w:t>
      </w:r>
      <w:r w:rsidRPr="004E053C">
        <w:rPr>
          <w:rFonts w:cstheme="majorHAnsi"/>
          <w:sz w:val="22"/>
          <w:szCs w:val="22"/>
          <w:lang w:val="en-GB" w:eastAsia="zh-CN"/>
        </w:rPr>
        <w:t xml:space="preserve">The importance of place for the movement of women and marginalised groups is also briefly discussed, as an understanding of the gendering of both translocality and place is important for this study. The latter part of section 4 then considers how translocality may affect place-attachment and place-identity, given the movement between different locations. It explains that rather than seeing the emergence of a translocal identity, </w:t>
      </w:r>
      <w:r w:rsidR="00974CD8" w:rsidRPr="004E053C">
        <w:rPr>
          <w:rFonts w:cstheme="majorHAnsi"/>
          <w:sz w:val="22"/>
          <w:szCs w:val="22"/>
          <w:lang w:val="en-GB" w:eastAsia="zh-CN"/>
        </w:rPr>
        <w:t>here</w:t>
      </w:r>
      <w:r w:rsidRPr="004E053C">
        <w:rPr>
          <w:rFonts w:cstheme="majorHAnsi"/>
          <w:sz w:val="22"/>
          <w:szCs w:val="22"/>
          <w:lang w:val="en-GB" w:eastAsia="zh-CN"/>
        </w:rPr>
        <w:t xml:space="preserve"> translocality </w:t>
      </w:r>
      <w:r w:rsidR="00974CD8" w:rsidRPr="004E053C">
        <w:rPr>
          <w:rFonts w:cstheme="majorHAnsi"/>
          <w:sz w:val="22"/>
          <w:szCs w:val="22"/>
          <w:lang w:val="en-GB" w:eastAsia="zh-CN"/>
        </w:rPr>
        <w:t xml:space="preserve">is seen </w:t>
      </w:r>
      <w:r w:rsidRPr="004E053C">
        <w:rPr>
          <w:rFonts w:cstheme="majorHAnsi"/>
          <w:sz w:val="22"/>
          <w:szCs w:val="22"/>
          <w:lang w:val="en-GB" w:eastAsia="zh-CN"/>
        </w:rPr>
        <w:t xml:space="preserve">as indicating embeddedness in multiple locations. The importance of this will be revealed in section 5, which </w:t>
      </w:r>
      <w:r w:rsidR="00974CD8" w:rsidRPr="004E053C">
        <w:rPr>
          <w:rFonts w:cstheme="majorHAnsi"/>
          <w:sz w:val="22"/>
          <w:szCs w:val="22"/>
          <w:lang w:val="en-GB" w:eastAsia="zh-CN"/>
        </w:rPr>
        <w:t xml:space="preserve">introduces literature on deviance in order to consider </w:t>
      </w:r>
      <w:r w:rsidR="000F107D" w:rsidRPr="004E053C">
        <w:rPr>
          <w:rFonts w:cstheme="majorHAnsi"/>
          <w:sz w:val="22"/>
          <w:szCs w:val="22"/>
          <w:lang w:val="en-GB" w:eastAsia="zh-CN"/>
        </w:rPr>
        <w:t xml:space="preserve">the implications of translocality as a function of the social field of </w:t>
      </w:r>
      <w:r w:rsidRPr="004E053C">
        <w:rPr>
          <w:rFonts w:cstheme="majorHAnsi"/>
          <w:sz w:val="22"/>
          <w:szCs w:val="22"/>
          <w:lang w:val="en-GB" w:eastAsia="zh-CN"/>
        </w:rPr>
        <w:t>ASM. I highlight how the norms and rules within the social field are often shaped by elites and highly contested, but that the state also has a strong influence, particularly through</w:t>
      </w:r>
      <w:r w:rsidR="000F107D" w:rsidRPr="004E053C">
        <w:rPr>
          <w:rFonts w:cstheme="majorHAnsi"/>
          <w:sz w:val="22"/>
          <w:szCs w:val="22"/>
          <w:lang w:val="en-GB" w:eastAsia="zh-CN"/>
        </w:rPr>
        <w:t xml:space="preserve"> legislation and discourse that</w:t>
      </w:r>
      <w:r w:rsidRPr="004E053C">
        <w:rPr>
          <w:rFonts w:cstheme="majorHAnsi"/>
          <w:sz w:val="22"/>
          <w:szCs w:val="22"/>
          <w:lang w:val="en-GB" w:eastAsia="zh-CN"/>
        </w:rPr>
        <w:t xml:space="preserve"> criminalise and demonise miners. This perceived injustice and the associated threat to lives and livelihoods, contributes to the development of a collective identity that seeks to resist domination from external </w:t>
      </w:r>
      <w:r w:rsidRPr="004E053C">
        <w:rPr>
          <w:rFonts w:cstheme="majorHAnsi"/>
          <w:sz w:val="22"/>
          <w:szCs w:val="22"/>
          <w:lang w:val="en-GB" w:eastAsia="zh-CN"/>
        </w:rPr>
        <w:lastRenderedPageBreak/>
        <w:t>forces. I conclude the chapter by suggesting that the temporality of translocal ASM livelihoods may undermine this collective identity</w:t>
      </w:r>
      <w:r w:rsidRPr="00030E91">
        <w:rPr>
          <w:rFonts w:cstheme="majorHAnsi"/>
          <w:sz w:val="22"/>
          <w:szCs w:val="22"/>
          <w:lang w:val="en-GB" w:eastAsia="zh-CN"/>
        </w:rPr>
        <w:t xml:space="preserve">, primarily through its affect on place attachment. </w:t>
      </w:r>
    </w:p>
    <w:p w14:paraId="5305FC62" w14:textId="77777777" w:rsidR="00FE47C4" w:rsidRPr="00030E91" w:rsidRDefault="00FE47C4" w:rsidP="004E053C">
      <w:pPr>
        <w:spacing w:line="360" w:lineRule="auto"/>
        <w:jc w:val="both"/>
        <w:rPr>
          <w:rFonts w:cstheme="majorHAnsi"/>
          <w:sz w:val="22"/>
          <w:szCs w:val="22"/>
          <w:lang w:val="en-GB" w:eastAsia="zh-CN"/>
        </w:rPr>
      </w:pPr>
    </w:p>
    <w:p w14:paraId="27B01AEA" w14:textId="33C79E17" w:rsidR="00FE47C4" w:rsidRPr="00030E91" w:rsidRDefault="00EA7F83" w:rsidP="004E053C">
      <w:pPr>
        <w:pStyle w:val="Heading2"/>
        <w:spacing w:before="0" w:line="360" w:lineRule="auto"/>
        <w:jc w:val="both"/>
        <w:rPr>
          <w:rFonts w:cstheme="majorHAnsi"/>
          <w:lang w:val="en-GB" w:eastAsia="zh-CN"/>
        </w:rPr>
      </w:pPr>
      <w:bookmarkStart w:id="46" w:name="_Toc33293092"/>
      <w:r w:rsidRPr="00030E91">
        <w:rPr>
          <w:rFonts w:cstheme="majorHAnsi"/>
          <w:lang w:val="en-GB" w:eastAsia="zh-CN"/>
        </w:rPr>
        <w:t>4</w:t>
      </w:r>
      <w:r w:rsidR="004A3EF1" w:rsidRPr="00030E91">
        <w:rPr>
          <w:rFonts w:cstheme="majorHAnsi"/>
          <w:lang w:val="en-GB" w:eastAsia="zh-CN"/>
        </w:rPr>
        <w:t>.2. Livelihoods, mi</w:t>
      </w:r>
      <w:r w:rsidR="00FE47C4" w:rsidRPr="00030E91">
        <w:rPr>
          <w:rFonts w:cstheme="majorHAnsi"/>
          <w:lang w:val="en-GB" w:eastAsia="zh-CN"/>
        </w:rPr>
        <w:t xml:space="preserve">gration </w:t>
      </w:r>
      <w:r w:rsidR="004A3EF1" w:rsidRPr="00030E91">
        <w:rPr>
          <w:rFonts w:cstheme="majorHAnsi"/>
          <w:lang w:val="en-GB" w:eastAsia="zh-CN"/>
        </w:rPr>
        <w:t>and the problem with single-sited research</w:t>
      </w:r>
      <w:bookmarkEnd w:id="46"/>
    </w:p>
    <w:p w14:paraId="2A053849" w14:textId="77777777" w:rsidR="00FE47C4" w:rsidRPr="00030E91" w:rsidRDefault="00FE47C4" w:rsidP="004E053C">
      <w:pPr>
        <w:spacing w:line="360" w:lineRule="auto"/>
        <w:jc w:val="both"/>
        <w:rPr>
          <w:rFonts w:cstheme="majorHAnsi"/>
          <w:lang w:val="en-GB" w:eastAsia="zh-CN"/>
        </w:rPr>
      </w:pPr>
    </w:p>
    <w:p w14:paraId="254D019E" w14:textId="142BE54B" w:rsidR="00FE47C4" w:rsidRPr="004E053C" w:rsidRDefault="00FE47C4" w:rsidP="004E053C">
      <w:pPr>
        <w:spacing w:line="360" w:lineRule="auto"/>
        <w:jc w:val="both"/>
        <w:rPr>
          <w:rFonts w:cstheme="majorHAnsi"/>
          <w:sz w:val="22"/>
          <w:szCs w:val="22"/>
          <w:lang w:val="en-GB"/>
        </w:rPr>
      </w:pPr>
      <w:r w:rsidRPr="00030E91">
        <w:rPr>
          <w:rFonts w:cstheme="majorHAnsi"/>
          <w:sz w:val="22"/>
          <w:szCs w:val="22"/>
          <w:lang w:val="en-GB"/>
        </w:rPr>
        <w:t xml:space="preserve">The overarching aim of this study is to </w:t>
      </w:r>
      <w:r w:rsidR="00F8018F" w:rsidRPr="00030E91">
        <w:rPr>
          <w:rFonts w:cstheme="majorHAnsi"/>
          <w:sz w:val="22"/>
          <w:szCs w:val="22"/>
          <w:lang w:val="en-GB"/>
        </w:rPr>
        <w:t xml:space="preserve">provide a theoretical </w:t>
      </w:r>
      <w:r w:rsidRPr="00030E91">
        <w:rPr>
          <w:rFonts w:cstheme="majorHAnsi"/>
          <w:sz w:val="22"/>
          <w:szCs w:val="22"/>
          <w:lang w:val="en-GB"/>
        </w:rPr>
        <w:t>understand</w:t>
      </w:r>
      <w:r w:rsidR="00F8018F" w:rsidRPr="00030E91">
        <w:rPr>
          <w:rFonts w:cstheme="majorHAnsi"/>
          <w:sz w:val="22"/>
          <w:szCs w:val="22"/>
          <w:lang w:val="en-GB"/>
        </w:rPr>
        <w:t>ing of</w:t>
      </w:r>
      <w:r w:rsidRPr="00030E91">
        <w:rPr>
          <w:rFonts w:cstheme="majorHAnsi"/>
          <w:sz w:val="22"/>
          <w:szCs w:val="22"/>
          <w:lang w:val="en-GB"/>
        </w:rPr>
        <w:t xml:space="preserve"> how</w:t>
      </w:r>
      <w:r w:rsidR="0078143E" w:rsidRPr="00030E91">
        <w:rPr>
          <w:rFonts w:cstheme="majorHAnsi"/>
          <w:sz w:val="22"/>
          <w:szCs w:val="22"/>
          <w:lang w:val="en-GB"/>
        </w:rPr>
        <w:t xml:space="preserve"> migratory</w:t>
      </w:r>
      <w:r w:rsidRPr="00030E91">
        <w:rPr>
          <w:rFonts w:cstheme="majorHAnsi"/>
          <w:sz w:val="22"/>
          <w:szCs w:val="22"/>
          <w:lang w:val="en-GB"/>
        </w:rPr>
        <w:t xml:space="preserve"> livelihoods</w:t>
      </w:r>
      <w:r w:rsidR="0078143E" w:rsidRPr="00030E91">
        <w:rPr>
          <w:rFonts w:cstheme="majorHAnsi"/>
          <w:sz w:val="22"/>
          <w:szCs w:val="22"/>
          <w:lang w:val="en-GB"/>
        </w:rPr>
        <w:t xml:space="preserve"> such as ASM</w:t>
      </w:r>
      <w:r w:rsidR="006715AC" w:rsidRPr="00030E91">
        <w:rPr>
          <w:rFonts w:cstheme="majorHAnsi"/>
          <w:sz w:val="22"/>
          <w:szCs w:val="22"/>
          <w:lang w:val="en-GB"/>
        </w:rPr>
        <w:t xml:space="preserve"> shape and are shaped by the</w:t>
      </w:r>
      <w:r w:rsidRPr="00030E91">
        <w:rPr>
          <w:rFonts w:cstheme="majorHAnsi"/>
          <w:sz w:val="22"/>
          <w:szCs w:val="22"/>
          <w:lang w:val="en-GB"/>
        </w:rPr>
        <w:t xml:space="preserve"> communities that practice them. Given the highly mobile nature of ASM, as discussed in the previous chapter, an exclusive focus on either the spatially bound origin or destination community masks the relationships between them, as well as the connections they have with other places. Understanding these relationships is crucial, as they are necessary for both the success</w:t>
      </w:r>
      <w:r w:rsidRPr="004E053C">
        <w:rPr>
          <w:rFonts w:cstheme="majorHAnsi"/>
          <w:sz w:val="22"/>
          <w:szCs w:val="22"/>
          <w:lang w:val="en-GB"/>
        </w:rPr>
        <w:t xml:space="preserve"> of the livelihood and for the reproduction of the local communities in both locations. This section will first explain Bourdieu’s theory of social practice, highlighting how various theorists have applied this conceptualisation to livelihoods in recent years. Using this notion of livelihoods, I will then go on to introduce migration as a key component of ASM livelihoods, illustrating how traditional models have failed to account for the divergent patterns of migration within the social field. These have particularly tended to obscure the origin communities through following a single-sited approach. This means that those ‘left-behind’ populations, who are often women in ASM livelihoods as it is a traditionally male-dominated sector, are not considered in the analysis. Overall, this section provides a background justification for adopting a translocal livelihoods approach </w:t>
      </w:r>
      <w:r w:rsidR="000F107D" w:rsidRPr="004E053C">
        <w:rPr>
          <w:rFonts w:cstheme="majorHAnsi"/>
          <w:sz w:val="22"/>
          <w:szCs w:val="22"/>
          <w:lang w:val="en-GB"/>
        </w:rPr>
        <w:t>to my analysis of ASM communities</w:t>
      </w:r>
      <w:r w:rsidRPr="004E053C">
        <w:rPr>
          <w:rFonts w:cstheme="majorHAnsi"/>
          <w:sz w:val="22"/>
          <w:szCs w:val="22"/>
          <w:lang w:val="en-GB"/>
        </w:rPr>
        <w:t xml:space="preserve">. </w:t>
      </w:r>
    </w:p>
    <w:p w14:paraId="1643CD9D" w14:textId="77777777" w:rsidR="00FE47C4" w:rsidRPr="004E053C" w:rsidRDefault="00FE47C4" w:rsidP="004E053C">
      <w:pPr>
        <w:spacing w:line="360" w:lineRule="auto"/>
        <w:jc w:val="both"/>
        <w:rPr>
          <w:rFonts w:cstheme="majorHAnsi"/>
          <w:sz w:val="22"/>
          <w:szCs w:val="22"/>
          <w:lang w:val="en-GB"/>
        </w:rPr>
      </w:pPr>
    </w:p>
    <w:p w14:paraId="4233B0E3" w14:textId="6EF972B0" w:rsidR="00FE47C4" w:rsidRPr="004E053C" w:rsidRDefault="00EA7F83" w:rsidP="004E053C">
      <w:pPr>
        <w:pStyle w:val="Heading3"/>
        <w:rPr>
          <w:rFonts w:asciiTheme="minorHAnsi" w:hAnsiTheme="minorHAnsi"/>
          <w:lang w:eastAsia="zh-CN"/>
        </w:rPr>
      </w:pPr>
      <w:r w:rsidRPr="004E053C">
        <w:rPr>
          <w:rFonts w:asciiTheme="minorHAnsi" w:hAnsiTheme="minorHAnsi"/>
          <w:lang w:eastAsia="zh-CN"/>
        </w:rPr>
        <w:t>4</w:t>
      </w:r>
      <w:r w:rsidR="004A3EF1" w:rsidRPr="004E053C">
        <w:rPr>
          <w:rFonts w:asciiTheme="minorHAnsi" w:hAnsiTheme="minorHAnsi"/>
          <w:lang w:eastAsia="zh-CN"/>
        </w:rPr>
        <w:t>.2.1. A Bourdieusian analysis of l</w:t>
      </w:r>
      <w:r w:rsidR="00FE47C4" w:rsidRPr="004E053C">
        <w:rPr>
          <w:rFonts w:asciiTheme="minorHAnsi" w:hAnsiTheme="minorHAnsi"/>
          <w:lang w:eastAsia="zh-CN"/>
        </w:rPr>
        <w:t>ivelihoods</w:t>
      </w:r>
    </w:p>
    <w:p w14:paraId="5415DECA" w14:textId="77777777" w:rsidR="00FE47C4" w:rsidRPr="004E053C" w:rsidRDefault="00FE47C4" w:rsidP="004E053C">
      <w:pPr>
        <w:spacing w:line="360" w:lineRule="auto"/>
        <w:jc w:val="both"/>
        <w:rPr>
          <w:rFonts w:cstheme="majorHAnsi"/>
          <w:lang w:val="en-GB" w:eastAsia="zh-CN"/>
        </w:rPr>
      </w:pPr>
    </w:p>
    <w:p w14:paraId="6610BB8E" w14:textId="790E02FA" w:rsidR="00FE47C4" w:rsidRPr="004E053C" w:rsidRDefault="00FE47C4"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t>In order to answer questions rela</w:t>
      </w:r>
      <w:r w:rsidR="000F107D" w:rsidRPr="004E053C">
        <w:rPr>
          <w:rFonts w:cstheme="majorHAnsi"/>
          <w:color w:val="000000"/>
          <w:sz w:val="22"/>
          <w:szCs w:val="22"/>
          <w:lang w:val="en-GB"/>
        </w:rPr>
        <w:t>ting to the artisanal and small-</w:t>
      </w:r>
      <w:r w:rsidRPr="004E053C">
        <w:rPr>
          <w:rFonts w:cstheme="majorHAnsi"/>
          <w:color w:val="000000"/>
          <w:sz w:val="22"/>
          <w:szCs w:val="22"/>
          <w:lang w:val="en-GB"/>
        </w:rPr>
        <w:t xml:space="preserve">scale mining community and uncover the interactions between them, it is useful to draw on Bourdieu’s Theory of Practice. </w:t>
      </w:r>
      <w:r w:rsidRPr="004E053C">
        <w:rPr>
          <w:rFonts w:cstheme="majorHAnsi"/>
          <w:sz w:val="22"/>
          <w:szCs w:val="22"/>
          <w:lang w:val="en-GB"/>
        </w:rPr>
        <w:t xml:space="preserve">Numerous authors have applied the theory to livelihoods research and have conceptualised livelihood activities as social practices </w:t>
      </w:r>
      <w:r w:rsidR="00E308C9"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Haan","given":"Leo","non-dropping-particle":"De","parse-names":false,"suffix":""},{"dropping-particle":"","family":"Zoomers","given":"Annelies","non-dropping-particle":"","parse-names":false,"suffix":""}],"container-title":"Development and Change","id":"ITEM-1","issue":"1","issued":{"date-parts":[["2005"]]},"page":"27-47","title":"Exploring the frontier of livelihoods research","type":"article-journal","volume":"36"},"uris":["http://www.mendeley.com/documents/?uuid=4fb7feee-443e-4bb5-8bef-76e0d2672510"]},{"id":"ITEM-2","itemData":{"author":[{"dropping-particle":"","family":"Etzold","given":"Benjamin","non-dropping-particle":"","parse-names":false,"suffix":""}],"id":"ITEM-2","issued":{"date-parts":[["2011"]]},"publisher-place":"Amsterdam","title":"Street food goverenance in Dhaka (Bangladesh): the appropriation of street vending spaces and the informal politics of exploitation","type":"report"},"uris":["http://www.mendeley.com/documents/?uuid=06d7ec71-4559-36e7-9bd3-39f2e9d55f54"]},{"id":"ITEM-3","itemData":{"author":[{"dropping-particle":"","family":"Obrist","given":"Brigit","non-dropping-particle":"","parse-names":false,"suffix":""},{"dropping-particle":"","family":"Pfeiffer","given":"Constanze","non-dropping-particle":"","parse-names":false,"suffix":""},{"dropping-particle":"","family":"Henley","given":"Robert","non-dropping-particle":"","parse-names":false,"suffix":""}],"container-title":"Progress in Development Studies","id":"ITEM-3","issue":"4","issued":{"date-parts":[["2010"]]},"page":"283-293","title":"Multi-layered social resilience: a new approach in migration research","type":"article-journal","volume":"10"},"uris":["http://www.mendeley.com/documents/?uuid=9dae35ba-5d36-3869-924c-d8a3a0721873"]},{"id":"ITEM-4","itemData":{"author":[{"dropping-particle":"","family":"Sakdapolrak","given":"P","non-dropping-particle":"","parse-names":false,"suffix":""}],"container-title":"Geographica Helvetica","id":"ITEM-4","issued":{"date-parts":[["2014"]]},"page":"19-28","title":"Livelihoods as social practices: re-energising livelihoods research with Bordieu’s theory of practice","type":"article-journal","volume":"69"},"uris":["http://www.mendeley.com/documents/?uuid=5c558648-6b19-4867-92d5-24033fabb968"]},{"id":"ITEM-5","itemData":{"author":[{"dropping-particle":"","family":"Thieme","given":"Susan","non-dropping-particle":"","parse-names":false,"suffix":""}],"container-title":"Mobilities","id":"ITEM-5","issue":"1","issued":{"date-parts":[["2008"]]},"page":"51-71","title":"Sustaining Livelihoods in Multi-local Settings: Possible Theoretical Linkages between Transnational Migration and Livelihood Studies","type":"article-journal","volume":"3"},"uris":["http://www.mendeley.com/documents/?uuid=f4a0aaa3-869f-4f87-9ad8-87699576ad9c"]},{"id":"ITEM-6","itemData":{"abstract":"To move urban livelihoods approaches beyond description to strategic action, its core concepts of livelihoods, capitals and livelihood outcomes (termed here as trajectories) need a more comprehensive and sociological conceptualisation. First, social structures are unpacked to show how livelihoods need to be thought of in term</w:instrText>
      </w:r>
      <w:r w:rsidR="007A757C" w:rsidRPr="00636641">
        <w:rPr>
          <w:rFonts w:cstheme="majorHAnsi"/>
          <w:sz w:val="22"/>
          <w:szCs w:val="22"/>
          <w:lang w:val="nl-NL"/>
        </w:rPr>
        <w:instrText>s of livelihood arrangements. Then, the problems with the present use of capitals, assets and resources (CARs) are discussed and their substantive, relational–contingent and embodied aspects outlined. Lastly, the article sketches a Sayer–Bourdieuian inspired approach.","author":[{"dropping-particle":"","family":"Dijk","given":"Tara","non-dropping-particle":"van","parse-names":false,"suffix":""}],"container-title":"Progress in Development Studies","id":"ITEM-6","issue":"2","issued":{"date-parts":[["2011"]]},"page":"101-117 ","title":"Livelihoods, capitals and livelihood trajectories: a more sociological conceptualisation","type":"article-journal","volume":"11"},"uris":["http://www.mendeley.com/documents/?uuid=c9dc3b17-1b4a-3205-a570-4e5cc77aaa43"]}],"mendeley":{"formattedCitation":"(De Haan &amp; Zoomers, 2005; Etzold, 2011; Obrist, Pfeiffer, &amp; Henley, 2010; P Sakdapolrak, 2014; Susan Thieme, 2008; van Dijk, 2011)","manualFormatting":"(De Haan &amp; Zoomers, 2005; Etzold, 2011; Obrist et al, 2010; Sakdapolrak, 2014; Thieme, 2008; van Dijk, 2011)","plainTextFormattedCitation":"(De Haan &amp; Zoomers, 2005; Etzold, 2011; Obrist, Pfeiffer, &amp; Henley, 2010; P Sakdapolrak, 2014; Susan Thieme, 2008; van Dijk, 2011)","previouslyFormattedCitation":"(De Haan &amp; Zoomers, 2005; Etzold, 2011; Obrist, Pfeiffer, &amp; Henley, 2010; P Sakdapolrak, 2014; Susan Thieme, 2008; van Dijk, 2011)"},"properties":{"noteIndex":0},"schema":"https://github.com/citation-style-language/schema/raw/master/csl-citation.json"}</w:instrText>
      </w:r>
      <w:r w:rsidR="00E308C9" w:rsidRPr="004E053C">
        <w:rPr>
          <w:rFonts w:cstheme="majorHAnsi"/>
          <w:sz w:val="22"/>
          <w:szCs w:val="22"/>
          <w:lang w:val="en-GB"/>
        </w:rPr>
        <w:fldChar w:fldCharType="separate"/>
      </w:r>
      <w:r w:rsidR="00E308C9" w:rsidRPr="004E053C">
        <w:rPr>
          <w:rFonts w:cstheme="majorHAnsi"/>
          <w:noProof/>
          <w:sz w:val="22"/>
          <w:szCs w:val="22"/>
          <w:lang w:val="nl-NL"/>
        </w:rPr>
        <w:t>(De Haan &amp; Zoomers, 2005; Etzold, 2011; Obri</w:t>
      </w:r>
      <w:r w:rsidR="00170378" w:rsidRPr="004E053C">
        <w:rPr>
          <w:rFonts w:cstheme="majorHAnsi"/>
          <w:noProof/>
          <w:sz w:val="22"/>
          <w:szCs w:val="22"/>
          <w:lang w:val="nl-NL"/>
        </w:rPr>
        <w:t xml:space="preserve">st et al, </w:t>
      </w:r>
      <w:r w:rsidR="004A3EF1" w:rsidRPr="004E053C">
        <w:rPr>
          <w:rFonts w:cstheme="majorHAnsi"/>
          <w:noProof/>
          <w:sz w:val="22"/>
          <w:szCs w:val="22"/>
          <w:lang w:val="nl-NL"/>
        </w:rPr>
        <w:t xml:space="preserve">2010; </w:t>
      </w:r>
      <w:r w:rsidR="00170378" w:rsidRPr="004E053C">
        <w:rPr>
          <w:rFonts w:cstheme="majorHAnsi"/>
          <w:noProof/>
          <w:sz w:val="22"/>
          <w:szCs w:val="22"/>
          <w:lang w:val="nl-NL"/>
        </w:rPr>
        <w:t xml:space="preserve">Sakdapolrak, 2014; </w:t>
      </w:r>
      <w:r w:rsidR="00E308C9" w:rsidRPr="004E053C">
        <w:rPr>
          <w:rFonts w:cstheme="majorHAnsi"/>
          <w:noProof/>
          <w:sz w:val="22"/>
          <w:szCs w:val="22"/>
          <w:lang w:val="nl-NL"/>
        </w:rPr>
        <w:t>Thieme, 2008; van Dijk, 2011)</w:t>
      </w:r>
      <w:r w:rsidR="00E308C9" w:rsidRPr="004E053C">
        <w:rPr>
          <w:rFonts w:cstheme="majorHAnsi"/>
          <w:sz w:val="22"/>
          <w:szCs w:val="22"/>
          <w:lang w:val="en-GB"/>
        </w:rPr>
        <w:fldChar w:fldCharType="end"/>
      </w:r>
      <w:r w:rsidRPr="004E053C">
        <w:rPr>
          <w:rFonts w:cstheme="majorHAnsi"/>
          <w:sz w:val="22"/>
          <w:szCs w:val="22"/>
          <w:lang w:val="nl-NL"/>
        </w:rPr>
        <w:t xml:space="preserve">. </w:t>
      </w:r>
      <w:r w:rsidRPr="004E053C">
        <w:rPr>
          <w:rFonts w:cstheme="majorHAnsi"/>
          <w:sz w:val="22"/>
          <w:szCs w:val="22"/>
          <w:lang w:val="en-GB"/>
        </w:rPr>
        <w:t xml:space="preserve">Bourdieu </w:t>
      </w:r>
      <w:r w:rsidR="00E308C9" w:rsidRPr="004E053C">
        <w:rPr>
          <w:rFonts w:cstheme="majorHAnsi"/>
          <w:sz w:val="22"/>
          <w:szCs w:val="22"/>
          <w:lang w:val="en-GB"/>
        </w:rPr>
        <w:fldChar w:fldCharType="begin" w:fldLock="1"/>
      </w:r>
      <w:r w:rsidR="00E308C9" w:rsidRPr="004E053C">
        <w:rPr>
          <w:rFonts w:cstheme="majorHAnsi"/>
          <w:sz w:val="22"/>
          <w:szCs w:val="22"/>
          <w:lang w:val="en-GB"/>
        </w:rPr>
        <w:instrText>ADDIN CSL_CITATION {"citationItems":[{"id":"ITEM-1","itemData":{"author":[{"dropping-particle":"","family":"Bourdieu","given":"Pierre","non-dropping-particle":"","parse-names":false,"suffix":""}],"id":"ITEM-1","issued":{"date-parts":[["1977"]]},"publisher":"Cambridge University Press","publisher-place":"Cambridge","title":"Outline of a Theory of Practice","type":"book"},"uris":["http://www.mendeley.com/documents/?uuid=8266da53-3861-3711-81ba-d99179335688"]},{"id":"ITEM-2","itemData":{"author":[{"dropping-particle":"","family":"Bourdieu","given":"Pierre","non-dropping-particle":"","parse-names":false,"suffix":""}],"container-title":"Source: Theory and Society","id":"ITEM-2","issue":"6","issued":{"date-parts":[["1985"]]},"number-of-pages":"723-744","title":"The Social Space and the Genesis of Groups","type":"report","volume":"14"},"uris":["http://www.mendeley.com/documents/?uuid=f0c35b42-1dca-3e1c-80e1-fc37c7ba756a"]}],"mendeley":{"formattedCitation":"(Bourdieu, 1977, 1985)","manualFormatting":"(1977, 1985)","plainTextFormattedCitation":"(Bourdieu, 1977, 1985)","previouslyFormattedCitation":"(Bourdieu, 1977, 1985)"},"properties":{"noteIndex":0},"schema":"https://github.com/citation-style-language/schema/raw/master/csl-citation.json"}</w:instrText>
      </w:r>
      <w:r w:rsidR="00E308C9" w:rsidRPr="004E053C">
        <w:rPr>
          <w:rFonts w:cstheme="majorHAnsi"/>
          <w:sz w:val="22"/>
          <w:szCs w:val="22"/>
          <w:lang w:val="en-GB"/>
        </w:rPr>
        <w:fldChar w:fldCharType="separate"/>
      </w:r>
      <w:r w:rsidR="00E308C9" w:rsidRPr="004E053C">
        <w:rPr>
          <w:rFonts w:cstheme="majorHAnsi"/>
          <w:noProof/>
          <w:sz w:val="22"/>
          <w:szCs w:val="22"/>
          <w:lang w:val="en-GB"/>
        </w:rPr>
        <w:t>(1977, 1985)</w:t>
      </w:r>
      <w:r w:rsidR="00E308C9" w:rsidRPr="004E053C">
        <w:rPr>
          <w:rFonts w:cstheme="majorHAnsi"/>
          <w:sz w:val="22"/>
          <w:szCs w:val="22"/>
          <w:lang w:val="en-GB"/>
        </w:rPr>
        <w:fldChar w:fldCharType="end"/>
      </w:r>
      <w:r w:rsidRPr="004E053C">
        <w:rPr>
          <w:rFonts w:cstheme="majorHAnsi"/>
          <w:sz w:val="22"/>
          <w:szCs w:val="22"/>
          <w:lang w:val="en-GB"/>
        </w:rPr>
        <w:t xml:space="preserve"> posited that social practices were an outcome of habitus (how an individual acts within the social structures that confine them), relative endowments of capital (including cultural, economic, social and symbolic) and the social field within which they occurred. </w:t>
      </w:r>
      <w:r w:rsidRPr="004E053C">
        <w:rPr>
          <w:rFonts w:cstheme="majorHAnsi"/>
          <w:color w:val="000000"/>
          <w:sz w:val="22"/>
          <w:szCs w:val="22"/>
          <w:lang w:val="en-GB"/>
        </w:rPr>
        <w:t xml:space="preserve">Following Bourdieu’s theory, </w:t>
      </w:r>
      <w:r w:rsidR="000F107D" w:rsidRPr="004E053C">
        <w:rPr>
          <w:rFonts w:cstheme="majorHAnsi"/>
          <w:color w:val="000000"/>
          <w:sz w:val="22"/>
          <w:szCs w:val="22"/>
          <w:lang w:val="en-GB"/>
        </w:rPr>
        <w:t>I conceptualis</w:t>
      </w:r>
      <w:r w:rsidR="000F5B72" w:rsidRPr="004E053C">
        <w:rPr>
          <w:rFonts w:cstheme="majorHAnsi"/>
          <w:color w:val="000000"/>
          <w:sz w:val="22"/>
          <w:szCs w:val="22"/>
          <w:lang w:val="en-GB"/>
        </w:rPr>
        <w:t>e</w:t>
      </w:r>
      <w:r w:rsidRPr="004E053C">
        <w:rPr>
          <w:rFonts w:cstheme="majorHAnsi"/>
          <w:color w:val="000000"/>
          <w:sz w:val="22"/>
          <w:szCs w:val="22"/>
          <w:lang w:val="en-GB"/>
        </w:rPr>
        <w:t xml:space="preserve"> ASM livelihood activity as a social practice, while the social ‘setting’ within which ASM occurs is seen as the social field. Some theorists that have produced work on translocal livelihoods have used Pries’ </w:t>
      </w:r>
      <w:r w:rsidR="00E308C9" w:rsidRPr="004E053C">
        <w:rPr>
          <w:rFonts w:cstheme="majorHAnsi"/>
          <w:color w:val="000000"/>
          <w:sz w:val="22"/>
          <w:szCs w:val="22"/>
          <w:lang w:val="en-GB"/>
        </w:rPr>
        <w:fldChar w:fldCharType="begin" w:fldLock="1"/>
      </w:r>
      <w:r w:rsidR="005D0B08">
        <w:rPr>
          <w:rFonts w:cstheme="majorHAnsi"/>
          <w:color w:val="000000"/>
          <w:sz w:val="22"/>
          <w:szCs w:val="22"/>
          <w:lang w:val="en-GB"/>
        </w:rPr>
        <w:instrText>ADDIN CSL_CITATION {"citationItems":[{"id":"ITEM-1","itemData":{"author":[{"dropping-particle":"","family":"Pries","given":"L","non-dropping-particle":"","parse-names":false,"suffix":""}],"container-title":"Migration and Transnational Social Spaces","editor":[{"dropping-particle":"","family":"Pries","given":"L","non-dropping-particle":"","parse-names":false,"suffix":""}],"id":"ITEM-1","issued":{"date-parts":[["1999"]]},"page":"1-35","publisher":"Ashgate Publishing Limited","publisher-place":"Aldershot, UK","title":"New migration in transnational spaces","type":"chapter"},"uris":["http://www.mendeley.com/documents/?uuid=b4c211d9-a2cd-439a-b303-c980618e4d40","http://www.mendeley.com/documents/?uuid=1630df65-ec2a-45e9-969b-306ac6990b46"]}],"mendeley":{"formattedCitation":"(L Pries, 1999)","manualFormatting":"(1999)","plainTextFormattedCitation":"(L Pries, 1999)","previouslyFormattedCitation":"(L Pries, 1999)"},"properties":{"noteIndex":0},"schema":"https://github.com/citation-style-language/schema/raw/master/csl-citation.json"}</w:instrText>
      </w:r>
      <w:r w:rsidR="00E308C9" w:rsidRPr="004E053C">
        <w:rPr>
          <w:rFonts w:cstheme="majorHAnsi"/>
          <w:color w:val="000000"/>
          <w:sz w:val="22"/>
          <w:szCs w:val="22"/>
          <w:lang w:val="en-GB"/>
        </w:rPr>
        <w:fldChar w:fldCharType="separate"/>
      </w:r>
      <w:r w:rsidR="00E308C9" w:rsidRPr="004E053C">
        <w:rPr>
          <w:rFonts w:cstheme="majorHAnsi"/>
          <w:noProof/>
          <w:color w:val="000000"/>
          <w:sz w:val="22"/>
          <w:szCs w:val="22"/>
          <w:lang w:val="en-GB"/>
        </w:rPr>
        <w:t>(1999)</w:t>
      </w:r>
      <w:r w:rsidR="00E308C9" w:rsidRPr="004E053C">
        <w:rPr>
          <w:rFonts w:cstheme="majorHAnsi"/>
          <w:color w:val="000000"/>
          <w:sz w:val="22"/>
          <w:szCs w:val="22"/>
          <w:lang w:val="en-GB"/>
        </w:rPr>
        <w:fldChar w:fldCharType="end"/>
      </w:r>
      <w:r w:rsidRPr="004E053C">
        <w:rPr>
          <w:rFonts w:cstheme="majorHAnsi"/>
          <w:color w:val="000000"/>
          <w:sz w:val="22"/>
          <w:szCs w:val="22"/>
          <w:lang w:val="en-GB"/>
        </w:rPr>
        <w:t xml:space="preserve"> conceptualisation of social space as a foundation for their research </w:t>
      </w:r>
      <w:r w:rsidR="00E308C9" w:rsidRPr="004E053C">
        <w:rPr>
          <w:rFonts w:cstheme="majorHAnsi"/>
          <w:color w:val="000000"/>
          <w:sz w:val="22"/>
          <w:szCs w:val="22"/>
          <w:lang w:val="en-GB"/>
        </w:rPr>
        <w:fldChar w:fldCharType="begin" w:fldLock="1"/>
      </w:r>
      <w:r w:rsidR="00B35D70" w:rsidRPr="004E053C">
        <w:rPr>
          <w:rFonts w:cstheme="majorHAnsi"/>
          <w:color w:val="000000"/>
          <w:sz w:val="22"/>
          <w:szCs w:val="22"/>
          <w:lang w:val="en-GB"/>
        </w:rPr>
        <w:instrText>ADDIN CSL_CITATION {"citationItems":[{"id":"ITEM-1","itemData":{"author":[{"dropping-particle":"","family":"Steinbrink","given":"Malte","non-dropping-particle":"","parse-names":false,"suffix":""}],"container-title":"Social Networks: Potential and Constraints. Indications from South Africa","editor":[{"dropping-particle":"","family":"Lohnert","given":"Beate","non-dropping-particle":"","parse-names":false,"suffix":""}],"id":"ITEM-1","issued":{"date-parts":[["2007"]]},"page":"73-113","publisher":"Verlag für Entwicklungspolitik","publisher-place":"Saarbrücken","title":"Exploring the role of migrants’ networks in the context of translocal livelihoods in South Africa","type":"chapter"},"uris":["http://www.mendeley.com/documents/?uuid=a2e6755a-4d01-46c3-907b-0ca21b40bd37"]}],"mendeley":{"formattedCitation":"(Steinbrink, 2007)","manualFormatting":"(see for example Steinbrink, 2007)","plainTextFormattedCitation":"(Steinbrink, 2007)","previouslyFormattedCitation":"(Steinbrink, 2007)"},"properties":{"noteIndex":0},"schema":"https://github.com/citation-style-language/schema/raw/master/csl-citation.json"}</w:instrText>
      </w:r>
      <w:r w:rsidR="00E308C9" w:rsidRPr="004E053C">
        <w:rPr>
          <w:rFonts w:cstheme="majorHAnsi"/>
          <w:color w:val="000000"/>
          <w:sz w:val="22"/>
          <w:szCs w:val="22"/>
          <w:lang w:val="en-GB"/>
        </w:rPr>
        <w:fldChar w:fldCharType="separate"/>
      </w:r>
      <w:r w:rsidR="00E308C9" w:rsidRPr="004E053C">
        <w:rPr>
          <w:rFonts w:cstheme="majorHAnsi"/>
          <w:noProof/>
          <w:color w:val="000000"/>
          <w:sz w:val="22"/>
          <w:szCs w:val="22"/>
          <w:lang w:val="en-GB"/>
        </w:rPr>
        <w:t>(see for example Steinbrink, 2007)</w:t>
      </w:r>
      <w:r w:rsidR="00E308C9" w:rsidRPr="004E053C">
        <w:rPr>
          <w:rFonts w:cstheme="majorHAnsi"/>
          <w:color w:val="000000"/>
          <w:sz w:val="22"/>
          <w:szCs w:val="22"/>
          <w:lang w:val="en-GB"/>
        </w:rPr>
        <w:fldChar w:fldCharType="end"/>
      </w:r>
      <w:r w:rsidRPr="004E053C">
        <w:rPr>
          <w:rFonts w:cstheme="majorHAnsi"/>
          <w:color w:val="000000"/>
          <w:sz w:val="22"/>
          <w:szCs w:val="22"/>
          <w:lang w:val="en-GB"/>
        </w:rPr>
        <w:t xml:space="preserve">. However, Bourdieu’s </w:t>
      </w:r>
      <w:r w:rsidRPr="004E053C">
        <w:rPr>
          <w:rFonts w:cstheme="majorHAnsi"/>
          <w:color w:val="000000"/>
          <w:sz w:val="22"/>
          <w:szCs w:val="22"/>
          <w:lang w:val="en-GB"/>
        </w:rPr>
        <w:lastRenderedPageBreak/>
        <w:t xml:space="preserve">conceptualisation seems more appropriate as a base for understanding ASM given his explicit references to contestation within the social field and his desire to understand relationships of power. </w:t>
      </w:r>
    </w:p>
    <w:p w14:paraId="0D676F20" w14:textId="3F93F75A" w:rsidR="00FE47C4" w:rsidRPr="004E053C" w:rsidRDefault="00FE47C4" w:rsidP="004E053C">
      <w:pPr>
        <w:spacing w:line="360" w:lineRule="auto"/>
        <w:jc w:val="both"/>
        <w:rPr>
          <w:rFonts w:cstheme="majorHAnsi"/>
          <w:sz w:val="22"/>
          <w:szCs w:val="22"/>
          <w:lang w:val="en-GB"/>
        </w:rPr>
      </w:pPr>
    </w:p>
    <w:p w14:paraId="541ECD9B" w14:textId="769327B7" w:rsidR="00FE47C4" w:rsidRPr="004E053C" w:rsidRDefault="00FE47C4" w:rsidP="004E053C">
      <w:pPr>
        <w:spacing w:line="360" w:lineRule="auto"/>
        <w:jc w:val="both"/>
        <w:rPr>
          <w:rFonts w:cstheme="majorHAnsi"/>
          <w:sz w:val="22"/>
          <w:szCs w:val="22"/>
          <w:lang w:val="en-GB"/>
        </w:rPr>
      </w:pPr>
      <w:r w:rsidRPr="004E053C">
        <w:rPr>
          <w:rFonts w:cstheme="majorHAnsi"/>
          <w:color w:val="000000"/>
          <w:sz w:val="22"/>
          <w:szCs w:val="22"/>
          <w:lang w:val="en-GB"/>
        </w:rPr>
        <w:t>Social fields are defined as semi-autonomous domains of unified social action that are organi</w:t>
      </w:r>
      <w:r w:rsidR="002D6E5D" w:rsidRPr="004E053C">
        <w:rPr>
          <w:rFonts w:cstheme="majorHAnsi"/>
          <w:color w:val="000000"/>
          <w:sz w:val="22"/>
          <w:szCs w:val="22"/>
          <w:lang w:val="en-GB"/>
        </w:rPr>
        <w:t>s</w:t>
      </w:r>
      <w:r w:rsidRPr="004E053C">
        <w:rPr>
          <w:rFonts w:cstheme="majorHAnsi"/>
          <w:color w:val="000000"/>
          <w:sz w:val="22"/>
          <w:szCs w:val="22"/>
          <w:lang w:val="en-GB"/>
        </w:rPr>
        <w:t xml:space="preserve">ed around capital, within which agents struggle over the rights to appropriate particular resources whilst obeying the unique rules and logic of that particular field </w:t>
      </w:r>
      <w:r w:rsidR="00B35D70" w:rsidRPr="004E053C">
        <w:rPr>
          <w:rFonts w:cstheme="majorHAnsi"/>
          <w:color w:val="000000"/>
          <w:sz w:val="22"/>
          <w:szCs w:val="22"/>
          <w:lang w:val="en-GB"/>
        </w:rPr>
        <w:fldChar w:fldCharType="begin" w:fldLock="1"/>
      </w:r>
      <w:r w:rsidR="00B35D70" w:rsidRPr="004E053C">
        <w:rPr>
          <w:rFonts w:cstheme="majorHAnsi"/>
          <w:color w:val="000000"/>
          <w:sz w:val="22"/>
          <w:szCs w:val="22"/>
          <w:lang w:val="en-GB"/>
        </w:rPr>
        <w:instrText>ADDIN CSL_CITATION {"citationItems":[{"id":"ITEM-1","itemData":{"author":[{"dropping-particle":"","family":"Bourdieu","given":"Pierre","non-dropping-particle":"","parse-names":false,"suffix":""},{"dropping-particle":"","family":"Wacquant","given":"Loic","non-dropping-particle":"","parse-names":false,"suffix":""}],"id":"ITEM-1","issued":{"date-parts":[["1992"]]},"publisher":"University of Chicago Press","publisher-place":"Chicago","title":"An Invitation to Reflexive Sociology","type":"book"},"uris":["http://www.mendeley.com/documents/?uuid=c1429f32-90a2-3b41-90c4-9a470864a959"]}],"mendeley":{"formattedCitation":"(Bourdieu &amp; Wacquant, 1992)","plainTextFormattedCitation":"(Bourdieu &amp; Wacquant, 1992)","previouslyFormattedCitation":"(Bourdieu &amp; Wacquant, 1992)"},"properties":{"noteIndex":0},"schema":"https://github.com/citation-style-language/schema/raw/master/csl-citation.json"}</w:instrText>
      </w:r>
      <w:r w:rsidR="00B35D70" w:rsidRPr="004E053C">
        <w:rPr>
          <w:rFonts w:cstheme="majorHAnsi"/>
          <w:color w:val="000000"/>
          <w:sz w:val="22"/>
          <w:szCs w:val="22"/>
          <w:lang w:val="en-GB"/>
        </w:rPr>
        <w:fldChar w:fldCharType="separate"/>
      </w:r>
      <w:r w:rsidR="00B35D70" w:rsidRPr="004E053C">
        <w:rPr>
          <w:rFonts w:cstheme="majorHAnsi"/>
          <w:noProof/>
          <w:color w:val="000000"/>
          <w:sz w:val="22"/>
          <w:szCs w:val="22"/>
          <w:lang w:val="en-GB"/>
        </w:rPr>
        <w:t>(Bourdieu &amp; Wacquant, 1992)</w:t>
      </w:r>
      <w:r w:rsidR="00B35D70" w:rsidRPr="004E053C">
        <w:rPr>
          <w:rFonts w:cstheme="majorHAnsi"/>
          <w:color w:val="000000"/>
          <w:sz w:val="22"/>
          <w:szCs w:val="22"/>
          <w:lang w:val="en-GB"/>
        </w:rPr>
        <w:fldChar w:fldCharType="end"/>
      </w:r>
      <w:r w:rsidRPr="004E053C">
        <w:rPr>
          <w:rFonts w:cstheme="majorHAnsi"/>
          <w:color w:val="000000"/>
          <w:sz w:val="22"/>
          <w:szCs w:val="22"/>
          <w:lang w:val="en-GB"/>
        </w:rPr>
        <w:t>.</w:t>
      </w:r>
      <w:r w:rsidRPr="004E053C">
        <w:rPr>
          <w:rFonts w:cstheme="majorHAnsi"/>
          <w:sz w:val="22"/>
          <w:szCs w:val="22"/>
          <w:lang w:val="en-GB"/>
        </w:rPr>
        <w:t xml:space="preserve"> These struggles are central to Bourdieusian theory, with the social field frequently compared to a ‘game’ or a ‘battlefield’ in Bourdieu’s writing </w:t>
      </w:r>
      <w:r w:rsidR="00B35D70"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2016)","plainTextFormattedCitation":"(Shammus &amp; Sandberg, 2016)","previouslyFormattedCitation":"(Shammus &amp; Sandberg, 2016)"},"properties":{"noteIndex":0},"schema":"https://github.com/citation-style-language/schema/raw/master/csl-citation.json"}</w:instrText>
      </w:r>
      <w:r w:rsidR="00B35D70" w:rsidRPr="004E053C">
        <w:rPr>
          <w:rFonts w:cstheme="majorHAnsi"/>
          <w:sz w:val="22"/>
          <w:szCs w:val="22"/>
          <w:lang w:val="en-GB"/>
        </w:rPr>
        <w:fldChar w:fldCharType="separate"/>
      </w:r>
      <w:r w:rsidR="00B35D70" w:rsidRPr="004E053C">
        <w:rPr>
          <w:rFonts w:cstheme="majorHAnsi"/>
          <w:noProof/>
          <w:sz w:val="22"/>
          <w:szCs w:val="22"/>
          <w:lang w:val="en-GB"/>
        </w:rPr>
        <w:t>(Shammus &amp; Sandberg, 2016)</w:t>
      </w:r>
      <w:r w:rsidR="00B35D70"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sz w:val="22"/>
          <w:szCs w:val="22"/>
          <w:lang w:val="en-GB"/>
        </w:rPr>
        <w:t>In modern society, human activity is highly differentiated and Bourdieu saw the various social fields that make up the social world as being dedicated to a specific activity, such as academia for exa</w:t>
      </w:r>
      <w:r w:rsidR="007A6419" w:rsidRPr="004E053C">
        <w:rPr>
          <w:rFonts w:cstheme="majorHAnsi"/>
          <w:color w:val="000000"/>
          <w:sz w:val="22"/>
          <w:szCs w:val="22"/>
          <w:lang w:val="en-GB"/>
        </w:rPr>
        <w:t xml:space="preserve">mple </w:t>
      </w:r>
      <w:r w:rsidR="007A6419" w:rsidRPr="004E053C">
        <w:rPr>
          <w:rFonts w:cstheme="majorHAnsi"/>
          <w:color w:val="000000"/>
          <w:sz w:val="22"/>
          <w:szCs w:val="22"/>
          <w:lang w:val="en-GB"/>
        </w:rPr>
        <w:fldChar w:fldCharType="begin" w:fldLock="1"/>
      </w:r>
      <w:r w:rsidR="007A6419" w:rsidRPr="004E053C">
        <w:rPr>
          <w:rFonts w:cstheme="majorHAnsi"/>
          <w:color w:val="000000"/>
          <w:sz w:val="22"/>
          <w:szCs w:val="22"/>
          <w:lang w:val="en-GB"/>
        </w:rPr>
        <w:instrText>ADDIN CSL_CITATION {"citationItems":[{"id":"ITEM-1","itemData":{"author":[{"dropping-particle":"","family":"Hilgers","given":"Mathieu","non-dropping-particle":"","parse-names":false,"suffix":""},{"dropping-particle":"","family":"Manguez","given":"Eric","non-dropping-particle":"","parse-names":false,"suffix":""}],"container-title":"Bourdieu's Theory of Social Fields: Concepts and Applications","editor":[{"dropping-particle":"","family":"Hilgers","given":"Mathieu","non-dropping-particle":"","parse-names":false,"suffix":""},{"dropping-particle":"","family":"Manguez","given":"Eric","non-dropping-particle":"","parse-names":false,"suffix":""}],"id":"ITEM-1","issued":{"date-parts":[["2015"]]},"page":"1-36","publisher":"Routledge","publisher-place":"Abingdon, UK","title":"Introduction to Pierre Bourdieu's theory of social fields","type":"chapter"},"uris":["http://www.mendeley.com/documents/?uuid=1990c678-91be-3578-9a7f-9af4596a0fe7"]}],"mendeley":{"formattedCitation":"(Hilgers &amp; Manguez, 2015)","plainTextFormattedCitation":"(Hilgers &amp; Manguez, 2015)","previouslyFormattedCitation":"(Hilgers &amp; Manguez, 2015)"},"properties":{"noteIndex":0},"schema":"https://github.com/citation-style-language/schema/raw/master/csl-citation.json"}</w:instrText>
      </w:r>
      <w:r w:rsidR="007A6419" w:rsidRPr="004E053C">
        <w:rPr>
          <w:rFonts w:cstheme="majorHAnsi"/>
          <w:color w:val="000000"/>
          <w:sz w:val="22"/>
          <w:szCs w:val="22"/>
          <w:lang w:val="en-GB"/>
        </w:rPr>
        <w:fldChar w:fldCharType="separate"/>
      </w:r>
      <w:r w:rsidR="007A6419" w:rsidRPr="004E053C">
        <w:rPr>
          <w:rFonts w:cstheme="majorHAnsi"/>
          <w:noProof/>
          <w:color w:val="000000"/>
          <w:sz w:val="22"/>
          <w:szCs w:val="22"/>
          <w:lang w:val="en-GB"/>
        </w:rPr>
        <w:t>(Hilgers &amp; Manguez, 2015)</w:t>
      </w:r>
      <w:r w:rsidR="007A6419" w:rsidRPr="004E053C">
        <w:rPr>
          <w:rFonts w:cstheme="majorHAnsi"/>
          <w:color w:val="000000"/>
          <w:sz w:val="22"/>
          <w:szCs w:val="22"/>
          <w:lang w:val="en-GB"/>
        </w:rPr>
        <w:fldChar w:fldCharType="end"/>
      </w:r>
      <w:r w:rsidRPr="004E053C">
        <w:rPr>
          <w:rFonts w:cstheme="majorHAnsi"/>
          <w:color w:val="000000"/>
          <w:sz w:val="22"/>
          <w:szCs w:val="22"/>
          <w:lang w:val="en-GB"/>
        </w:rPr>
        <w:t xml:space="preserve">, or indeed mining. Thus, it is not only socio-economic status that determines inclusion into a social field but also </w:t>
      </w:r>
      <w:r w:rsidRPr="004E053C">
        <w:rPr>
          <w:rFonts w:cstheme="majorHAnsi"/>
          <w:sz w:val="22"/>
          <w:szCs w:val="22"/>
          <w:lang w:val="en-GB"/>
        </w:rPr>
        <w:t xml:space="preserve">agents’ affiliation to occupational groups </w:t>
      </w:r>
      <w:r w:rsidR="007A6419" w:rsidRPr="004E053C">
        <w:rPr>
          <w:rFonts w:cstheme="majorHAnsi"/>
          <w:sz w:val="22"/>
          <w:szCs w:val="22"/>
          <w:lang w:val="en-GB"/>
        </w:rPr>
        <w:fldChar w:fldCharType="begin" w:fldLock="1"/>
      </w:r>
      <w:r w:rsidR="007A6419" w:rsidRPr="004E053C">
        <w:rPr>
          <w:rFonts w:cstheme="majorHAnsi"/>
          <w:sz w:val="22"/>
          <w:szCs w:val="22"/>
          <w:lang w:val="en-GB"/>
        </w:rPr>
        <w:instrText>ADDIN CSL_CITATION {"citationItems":[{"id":"ITEM-1","itemData":{"author":[{"dropping-particle":"","family":"Bourdieu","given":"Pierre","non-dropping-particle":"","parse-names":false,"suffix":""}],"container-title":"Source: Theory and Society","id":"ITEM-1","issue":"6","issued":{"date-parts":[["1985"]]},"number-of-pages":"723-744","title":"The Social Space and the Genesis of Groups","type":"report","volume":"14"},"uris":["http://www.mendeley.com/documents/?uuid=f0c35b42-1dca-3e1c-80e1-fc37c7ba756a"]}],"mendeley":{"formattedCitation":"(Bourdieu, 1985)","plainTextFormattedCitation":"(Bourdieu, 1985)","previouslyFormattedCitation":"(Bourdieu, 1985)"},"properties":{"noteIndex":0},"schema":"https://github.com/citation-style-language/schema/raw/master/csl-citation.json"}</w:instrText>
      </w:r>
      <w:r w:rsidR="007A6419" w:rsidRPr="004E053C">
        <w:rPr>
          <w:rFonts w:cstheme="majorHAnsi"/>
          <w:sz w:val="22"/>
          <w:szCs w:val="22"/>
          <w:lang w:val="en-GB"/>
        </w:rPr>
        <w:fldChar w:fldCharType="separate"/>
      </w:r>
      <w:r w:rsidR="007A6419" w:rsidRPr="004E053C">
        <w:rPr>
          <w:rFonts w:cstheme="majorHAnsi"/>
          <w:noProof/>
          <w:sz w:val="22"/>
          <w:szCs w:val="22"/>
          <w:lang w:val="en-GB"/>
        </w:rPr>
        <w:t>(Bourdieu, 1985)</w:t>
      </w:r>
      <w:r w:rsidR="007A6419" w:rsidRPr="004E053C">
        <w:rPr>
          <w:rFonts w:cstheme="majorHAnsi"/>
          <w:sz w:val="22"/>
          <w:szCs w:val="22"/>
          <w:lang w:val="en-GB"/>
        </w:rPr>
        <w:fldChar w:fldCharType="end"/>
      </w:r>
      <w:r w:rsidRPr="004E053C">
        <w:rPr>
          <w:rFonts w:cstheme="majorHAnsi"/>
          <w:sz w:val="22"/>
          <w:szCs w:val="22"/>
          <w:lang w:val="en-GB"/>
        </w:rPr>
        <w:t>,</w:t>
      </w:r>
      <w:r w:rsidR="007A6419" w:rsidRPr="004E053C">
        <w:rPr>
          <w:rFonts w:cstheme="majorHAnsi"/>
          <w:sz w:val="22"/>
          <w:szCs w:val="22"/>
          <w:lang w:val="en-GB"/>
        </w:rPr>
        <w:t xml:space="preserve"> </w:t>
      </w:r>
      <w:r w:rsidRPr="004E053C">
        <w:rPr>
          <w:rFonts w:cstheme="majorHAnsi"/>
          <w:sz w:val="22"/>
          <w:szCs w:val="22"/>
          <w:lang w:val="en-GB"/>
        </w:rPr>
        <w:t>such as ‘being’ an artisanal miner. The importance of occupational characteristics speaks to the existence of a miner identity, as has been proposed i</w:t>
      </w:r>
      <w:r w:rsidR="007A7DCE">
        <w:rPr>
          <w:rFonts w:cstheme="majorHAnsi"/>
          <w:sz w:val="22"/>
          <w:szCs w:val="22"/>
          <w:lang w:val="en-GB"/>
        </w:rPr>
        <w:t>n the ASM literature by academic</w:t>
      </w:r>
      <w:r w:rsidRPr="004E053C">
        <w:rPr>
          <w:rFonts w:cstheme="majorHAnsi"/>
          <w:sz w:val="22"/>
          <w:szCs w:val="22"/>
          <w:lang w:val="en-GB"/>
        </w:rPr>
        <w:t xml:space="preserve">s such as </w:t>
      </w:r>
      <w:r w:rsidRPr="004E053C">
        <w:rPr>
          <w:rFonts w:eastAsia="Times New Roman" w:cstheme="majorHAnsi"/>
          <w:sz w:val="22"/>
          <w:szCs w:val="22"/>
          <w:lang w:val="en-GB"/>
        </w:rPr>
        <w:t xml:space="preserve">Bryceson and Jønsson </w:t>
      </w:r>
      <w:r w:rsidR="007A6419"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2010)","manualFormatting":"(2010)","plainTextFormattedCitation":"(D. F. Bryceson &amp; Jønsson, 2010)","previouslyFormattedCitation":"(D. F. Bryceson &amp; Jønsson, 2010)"},"properties":{"noteIndex":0},"schema":"https://github.com/citation-style-language/schema/raw/master/csl-citation.json"}</w:instrText>
      </w:r>
      <w:r w:rsidR="007A6419" w:rsidRPr="004E053C">
        <w:rPr>
          <w:rFonts w:eastAsia="Times New Roman" w:cstheme="majorHAnsi"/>
          <w:sz w:val="22"/>
          <w:szCs w:val="22"/>
          <w:lang w:val="en-GB"/>
        </w:rPr>
        <w:fldChar w:fldCharType="separate"/>
      </w:r>
      <w:r w:rsidR="007A6419" w:rsidRPr="004E053C">
        <w:rPr>
          <w:rFonts w:eastAsia="Times New Roman" w:cstheme="majorHAnsi"/>
          <w:noProof/>
          <w:sz w:val="22"/>
          <w:szCs w:val="22"/>
          <w:lang w:val="en-GB"/>
        </w:rPr>
        <w:t>(2010)</w:t>
      </w:r>
      <w:r w:rsidR="007A6419" w:rsidRPr="004E053C">
        <w:rPr>
          <w:rFonts w:eastAsia="Times New Roman" w:cstheme="majorHAnsi"/>
          <w:sz w:val="22"/>
          <w:szCs w:val="22"/>
          <w:lang w:val="en-GB"/>
        </w:rPr>
        <w:fldChar w:fldCharType="end"/>
      </w:r>
      <w:r w:rsidRPr="004E053C">
        <w:rPr>
          <w:rFonts w:cstheme="majorHAnsi"/>
          <w:sz w:val="22"/>
          <w:szCs w:val="22"/>
          <w:lang w:val="en-GB"/>
        </w:rPr>
        <w:t xml:space="preserve">. However, the agents inhabit more or less advantageous positions, relative to each other </w:t>
      </w:r>
      <w:r w:rsidR="007A6419" w:rsidRPr="004E053C">
        <w:rPr>
          <w:rFonts w:cstheme="majorHAnsi"/>
          <w:sz w:val="22"/>
          <w:szCs w:val="22"/>
          <w:lang w:val="en-GB"/>
        </w:rPr>
        <w:fldChar w:fldCharType="begin" w:fldLock="1"/>
      </w:r>
      <w:r w:rsidR="007A6419" w:rsidRPr="004E053C">
        <w:rPr>
          <w:rFonts w:cstheme="majorHAnsi"/>
          <w:sz w:val="22"/>
          <w:szCs w:val="22"/>
          <w:lang w:val="en-GB"/>
        </w:rPr>
        <w:instrText>ADDIN CSL_CITATION {"citationItems":[{"id":"ITEM-1","itemData":{"author":[{"dropping-particle":"","family":"Bourdieu","given":"Pierre","non-dropping-particle":"","parse-names":false,"suffix":""},{"dropping-particle":"","family":"Wacquant","given":"Loic","non-dropping-particle":"","parse-names":false,"suffix":""}],"id":"ITEM-1","issued":{"date-parts":[["1992"]]},"publisher":"University of Chicago Press","publisher-place":"Chicago","title":"An Invitation to Reflexive Sociology","type":"book"},"uris":["http://www.mendeley.com/documents/?uuid=c1429f32-90a2-3b41-90c4-9a470864a959"]}],"mendeley":{"formattedCitation":"(Bourdieu &amp; Wacquant, 1992)","plainTextFormattedCitation":"(Bourdieu &amp; Wacquant, 1992)","previouslyFormattedCitation":"(Bourdieu &amp; Wacquant, 1992)"},"properties":{"noteIndex":0},"schema":"https://github.com/citation-style-language/schema/raw/master/csl-citation.json"}</w:instrText>
      </w:r>
      <w:r w:rsidR="007A6419" w:rsidRPr="004E053C">
        <w:rPr>
          <w:rFonts w:cstheme="majorHAnsi"/>
          <w:sz w:val="22"/>
          <w:szCs w:val="22"/>
          <w:lang w:val="en-GB"/>
        </w:rPr>
        <w:fldChar w:fldCharType="separate"/>
      </w:r>
      <w:r w:rsidR="007A6419" w:rsidRPr="004E053C">
        <w:rPr>
          <w:rFonts w:cstheme="majorHAnsi"/>
          <w:noProof/>
          <w:sz w:val="22"/>
          <w:szCs w:val="22"/>
          <w:lang w:val="en-GB"/>
        </w:rPr>
        <w:t>(Bourdieu &amp; Wacquant, 1992)</w:t>
      </w:r>
      <w:r w:rsidR="007A6419" w:rsidRPr="004E053C">
        <w:rPr>
          <w:rFonts w:cstheme="majorHAnsi"/>
          <w:sz w:val="22"/>
          <w:szCs w:val="22"/>
          <w:lang w:val="en-GB"/>
        </w:rPr>
        <w:fldChar w:fldCharType="end"/>
      </w:r>
      <w:r w:rsidRPr="004E053C">
        <w:rPr>
          <w:rFonts w:cstheme="majorHAnsi"/>
          <w:sz w:val="22"/>
          <w:szCs w:val="22"/>
          <w:lang w:val="en-GB"/>
        </w:rPr>
        <w:t xml:space="preserve">. </w:t>
      </w:r>
      <w:r w:rsidR="008C68C5" w:rsidRPr="004E053C">
        <w:rPr>
          <w:rFonts w:cstheme="majorHAnsi"/>
          <w:sz w:val="22"/>
          <w:szCs w:val="22"/>
          <w:lang w:val="en-GB"/>
        </w:rPr>
        <w:t>Within each field</w:t>
      </w:r>
      <w:r w:rsidR="000F5B72" w:rsidRPr="004E053C">
        <w:rPr>
          <w:rFonts w:cstheme="majorHAnsi"/>
          <w:sz w:val="22"/>
          <w:szCs w:val="22"/>
          <w:lang w:val="en-GB"/>
        </w:rPr>
        <w:t>,</w:t>
      </w:r>
      <w:r w:rsidR="008C68C5" w:rsidRPr="004E053C">
        <w:rPr>
          <w:rFonts w:cstheme="majorHAnsi"/>
          <w:sz w:val="22"/>
          <w:szCs w:val="22"/>
          <w:lang w:val="en-GB"/>
        </w:rPr>
        <w:t xml:space="preserve"> </w:t>
      </w:r>
      <w:r w:rsidR="000F5B72" w:rsidRPr="004E053C">
        <w:rPr>
          <w:rFonts w:cstheme="majorHAnsi"/>
          <w:sz w:val="22"/>
          <w:szCs w:val="22"/>
          <w:lang w:val="en-GB"/>
        </w:rPr>
        <w:t xml:space="preserve">the </w:t>
      </w:r>
      <w:r w:rsidR="008C68C5" w:rsidRPr="004E053C">
        <w:rPr>
          <w:rFonts w:cstheme="majorHAnsi"/>
          <w:sz w:val="22"/>
          <w:szCs w:val="22"/>
          <w:lang w:val="en-GB"/>
        </w:rPr>
        <w:t xml:space="preserve">activities </w:t>
      </w:r>
      <w:r w:rsidR="000F5B72" w:rsidRPr="004E053C">
        <w:rPr>
          <w:rFonts w:cstheme="majorHAnsi"/>
          <w:sz w:val="22"/>
          <w:szCs w:val="22"/>
          <w:lang w:val="en-GB"/>
        </w:rPr>
        <w:t xml:space="preserve">that occur within it </w:t>
      </w:r>
      <w:r w:rsidR="008C68C5" w:rsidRPr="004E053C">
        <w:rPr>
          <w:rFonts w:cstheme="majorHAnsi"/>
          <w:sz w:val="22"/>
          <w:szCs w:val="22"/>
          <w:lang w:val="en-GB"/>
        </w:rPr>
        <w:t xml:space="preserve">respond and are shaped by the rules and norms of that field. </w:t>
      </w:r>
      <w:r w:rsidR="000F5B72" w:rsidRPr="004E053C">
        <w:rPr>
          <w:rFonts w:cstheme="majorHAnsi"/>
          <w:sz w:val="22"/>
          <w:szCs w:val="22"/>
          <w:lang w:val="en-GB"/>
        </w:rPr>
        <w:t xml:space="preserve">Over time, </w:t>
      </w:r>
      <w:r w:rsidRPr="004E053C">
        <w:rPr>
          <w:rFonts w:cstheme="majorHAnsi"/>
          <w:sz w:val="22"/>
          <w:szCs w:val="22"/>
          <w:lang w:val="en-GB"/>
        </w:rPr>
        <w:t>pr</w:t>
      </w:r>
      <w:r w:rsidR="000F5B72" w:rsidRPr="004E053C">
        <w:rPr>
          <w:rFonts w:cstheme="majorHAnsi"/>
          <w:sz w:val="22"/>
          <w:szCs w:val="22"/>
          <w:lang w:val="en-GB"/>
        </w:rPr>
        <w:t xml:space="preserve">actices and behaviour </w:t>
      </w:r>
      <w:r w:rsidRPr="004E053C">
        <w:rPr>
          <w:rFonts w:cstheme="majorHAnsi"/>
          <w:sz w:val="22"/>
          <w:szCs w:val="22"/>
          <w:lang w:val="en-GB"/>
        </w:rPr>
        <w:t xml:space="preserve">become evaluated according to internally constructed criteria </w:t>
      </w:r>
      <w:r w:rsidR="007A6419" w:rsidRPr="004E053C">
        <w:rPr>
          <w:rFonts w:cstheme="majorHAnsi"/>
          <w:sz w:val="22"/>
          <w:szCs w:val="22"/>
          <w:lang w:val="en-GB"/>
        </w:rPr>
        <w:fldChar w:fldCharType="begin" w:fldLock="1"/>
      </w:r>
      <w:r w:rsidR="007A6419" w:rsidRPr="004E053C">
        <w:rPr>
          <w:rFonts w:cstheme="majorHAnsi"/>
          <w:sz w:val="22"/>
          <w:szCs w:val="22"/>
          <w:lang w:val="en-GB"/>
        </w:rPr>
        <w:instrText>ADDIN CSL_CITATION {"citationItems":[{"id":"ITEM-1","itemData":{"author":[{"dropping-particle":"","family":"Hilgers","given":"Mathieu","non-dropping-particle":"","parse-names":false,"suffix":""},{"dropping-particle":"","family":"Manguez","given":"Eric","non-dropping-particle":"","parse-names":false,"suffix":""}],"container-title":"Bourdieu's Theory of Social Fields: Concepts and Applications","editor":[{"dropping-particle":"","family":"Hilgers","given":"Mathieu","non-dropping-particle":"","parse-names":false,"suffix":""},{"dropping-particle":"","family":"Manguez","given":"Eric","non-dropping-particle":"","parse-names":false,"suffix":""}],"id":"ITEM-1","issued":{"date-parts":[["2015"]]},"page":"1-36","publisher":"Routledge","publisher-place":"Abingdon, UK","title":"Introduction to Pierre Bourdieu's theory of social fields","type":"chapter"},"uris":["http://www.mendeley.com/documents/?uuid=1990c678-91be-3578-9a7f-9af4596a0fe7"]}],"mendeley":{"formattedCitation":"(Hilgers &amp; Manguez, 2015)","plainTextFormattedCitation":"(Hilgers &amp; Manguez, 2015)","previouslyFormattedCitation":"(Hilgers &amp; Manguez, 2015)"},"properties":{"noteIndex":0},"schema":"https://github.com/citation-style-language/schema/raw/master/csl-citation.json"}</w:instrText>
      </w:r>
      <w:r w:rsidR="007A6419" w:rsidRPr="004E053C">
        <w:rPr>
          <w:rFonts w:cstheme="majorHAnsi"/>
          <w:sz w:val="22"/>
          <w:szCs w:val="22"/>
          <w:lang w:val="en-GB"/>
        </w:rPr>
        <w:fldChar w:fldCharType="separate"/>
      </w:r>
      <w:r w:rsidR="007A6419" w:rsidRPr="004E053C">
        <w:rPr>
          <w:rFonts w:cstheme="majorHAnsi"/>
          <w:noProof/>
          <w:sz w:val="22"/>
          <w:szCs w:val="22"/>
          <w:lang w:val="en-GB"/>
        </w:rPr>
        <w:t>(Hilgers &amp; Manguez, 2015)</w:t>
      </w:r>
      <w:r w:rsidR="007A6419" w:rsidRPr="004E053C">
        <w:rPr>
          <w:rFonts w:cstheme="majorHAnsi"/>
          <w:sz w:val="22"/>
          <w:szCs w:val="22"/>
          <w:lang w:val="en-GB"/>
        </w:rPr>
        <w:fldChar w:fldCharType="end"/>
      </w:r>
      <w:r w:rsidRPr="004E053C">
        <w:rPr>
          <w:rFonts w:cstheme="majorHAnsi"/>
          <w:sz w:val="22"/>
          <w:szCs w:val="22"/>
          <w:lang w:val="en-GB"/>
        </w:rPr>
        <w:t xml:space="preserve">, which seems highly relevant to </w:t>
      </w:r>
      <w:r w:rsidR="000F5B72" w:rsidRPr="004E053C">
        <w:rPr>
          <w:rFonts w:cstheme="majorHAnsi"/>
          <w:sz w:val="22"/>
          <w:szCs w:val="22"/>
          <w:lang w:val="en-GB"/>
        </w:rPr>
        <w:t xml:space="preserve">the </w:t>
      </w:r>
      <w:r w:rsidRPr="004E053C">
        <w:rPr>
          <w:rFonts w:cstheme="majorHAnsi"/>
          <w:sz w:val="22"/>
          <w:szCs w:val="22"/>
          <w:lang w:val="en-GB"/>
        </w:rPr>
        <w:t>ASM</w:t>
      </w:r>
      <w:r w:rsidR="000F5B72" w:rsidRPr="004E053C">
        <w:rPr>
          <w:rFonts w:cstheme="majorHAnsi"/>
          <w:sz w:val="22"/>
          <w:szCs w:val="22"/>
          <w:lang w:val="en-GB"/>
        </w:rPr>
        <w:t xml:space="preserve"> sector</w:t>
      </w:r>
      <w:r w:rsidRPr="004E053C">
        <w:rPr>
          <w:rFonts w:cstheme="majorHAnsi"/>
          <w:color w:val="000000"/>
          <w:sz w:val="22"/>
          <w:szCs w:val="22"/>
          <w:lang w:val="en-GB"/>
        </w:rPr>
        <w:t xml:space="preserve">. It is important to note however that the rules and norms are constantly reinterpreted, especially through interactions with external powers, which means that social fields become characterised by social conflict and political contestation </w:t>
      </w:r>
      <w:r w:rsidR="00B67ED4" w:rsidRPr="004E053C">
        <w:rPr>
          <w:rFonts w:cstheme="majorHAnsi"/>
          <w:color w:val="000000"/>
          <w:sz w:val="22"/>
          <w:szCs w:val="22"/>
          <w:lang w:val="en-GB"/>
        </w:rPr>
        <w:fldChar w:fldCharType="begin" w:fldLock="1"/>
      </w:r>
      <w:r w:rsidR="007A757C" w:rsidRPr="004E053C">
        <w:rPr>
          <w:rFonts w:cstheme="majorHAnsi"/>
          <w:color w:val="000000"/>
          <w:sz w:val="22"/>
          <w:szCs w:val="22"/>
          <w:lang w:val="en-GB"/>
        </w:rPr>
        <w:instrText>ADDIN CSL_CITATION {"citationItems":[{"id":"ITEM-1","itemData":{"author":[{"dropping-particle":"","family":"Bourdieu","given":"Pierre","non-dropping-particle":"","parse-names":false,"suffix":""}],"container-title":"Source: Theory and Society","id":"ITEM-1","issue":"6","issued":{"date-parts":[["1985"]]},"number-of-pages":"723-744","title":"The Social Space and the Genesis of Groups","type":"report","volume":"14"},"uris":["http://www.mendeley.com/documents/?uuid=f0c35b42-1dca-3e1c-80e1-fc37c7ba756a"]},{"id":"ITEM-2","itemData":{"author":[{"dropping-particle":"","family":"Etzold","given":"Benjamin","non-dropping-particle":"","parse-names":false,"suffix":""}],"chapter-number":"3","container-title":"Livelihoods and Development: New Perspectives","editor":[{"dropping-particle":"","family":"Leo de Haan","given":"","non-dropping-particle":"","parse-names":false,"suffix":""}],"id":"ITEM-2","issued":{"date-parts":[["2017"]]},"page":"44-68","publisher":"Brill","publisher-place":"Leiden","title":"Mobility,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studies","type":"chapter"},"uris":["http://www.mendeley.com/documents/?uuid=8669327d-3056-4ab8-9bc0-8022e5d3152f"]}],"mendeley":{"formattedCitation":"(Bourdieu, 1985; Etzold, 2017)","plainTextFormattedCitation":"(Bourdieu, 1985; Etzold, 2017)","previouslyFormattedCitation":"(Bourdieu, 1985; Etzold, 2017)"},"properties":{"noteIndex":0},"schema":"https://github.com/citation-style-language/schema/raw/master/csl-citation.json"}</w:instrText>
      </w:r>
      <w:r w:rsidR="00B67ED4" w:rsidRPr="004E053C">
        <w:rPr>
          <w:rFonts w:cstheme="majorHAnsi"/>
          <w:color w:val="000000"/>
          <w:sz w:val="22"/>
          <w:szCs w:val="22"/>
          <w:lang w:val="en-GB"/>
        </w:rPr>
        <w:fldChar w:fldCharType="separate"/>
      </w:r>
      <w:r w:rsidR="00B67ED4" w:rsidRPr="004E053C">
        <w:rPr>
          <w:rFonts w:cstheme="majorHAnsi"/>
          <w:noProof/>
          <w:color w:val="000000"/>
          <w:sz w:val="22"/>
          <w:szCs w:val="22"/>
          <w:lang w:val="en-GB"/>
        </w:rPr>
        <w:t>(Bourdieu, 1985; Etzold, 2017)</w:t>
      </w:r>
      <w:r w:rsidR="00B67ED4" w:rsidRPr="004E053C">
        <w:rPr>
          <w:rFonts w:cstheme="majorHAnsi"/>
          <w:color w:val="000000"/>
          <w:sz w:val="22"/>
          <w:szCs w:val="22"/>
          <w:lang w:val="en-GB"/>
        </w:rPr>
        <w:fldChar w:fldCharType="end"/>
      </w:r>
      <w:r w:rsidRPr="004E053C">
        <w:rPr>
          <w:rFonts w:cstheme="majorHAnsi"/>
          <w:sz w:val="22"/>
          <w:szCs w:val="22"/>
          <w:lang w:val="en-GB"/>
        </w:rPr>
        <w:t>.</w:t>
      </w:r>
    </w:p>
    <w:p w14:paraId="3CC288E1" w14:textId="77777777" w:rsidR="00FE47C4" w:rsidRPr="004E053C" w:rsidRDefault="00FE47C4" w:rsidP="004E053C">
      <w:pPr>
        <w:spacing w:line="360" w:lineRule="auto"/>
        <w:contextualSpacing/>
        <w:jc w:val="both"/>
        <w:rPr>
          <w:rFonts w:cstheme="majorHAnsi"/>
          <w:color w:val="000000"/>
          <w:sz w:val="22"/>
          <w:szCs w:val="22"/>
          <w:lang w:val="en-GB"/>
        </w:rPr>
      </w:pPr>
    </w:p>
    <w:p w14:paraId="2C76D9F2" w14:textId="4129853E" w:rsidR="00FE47C4" w:rsidRPr="004E053C" w:rsidRDefault="00FE47C4" w:rsidP="004E053C">
      <w:pPr>
        <w:spacing w:line="360" w:lineRule="auto"/>
        <w:contextualSpacing/>
        <w:jc w:val="both"/>
        <w:rPr>
          <w:rFonts w:cstheme="majorHAnsi"/>
          <w:color w:val="000000"/>
          <w:sz w:val="22"/>
          <w:szCs w:val="22"/>
          <w:lang w:val="en-GB"/>
        </w:rPr>
      </w:pPr>
      <w:r w:rsidRPr="004E053C">
        <w:rPr>
          <w:rFonts w:cstheme="majorHAnsi"/>
          <w:color w:val="000000"/>
          <w:sz w:val="22"/>
          <w:szCs w:val="22"/>
          <w:lang w:val="en-GB"/>
        </w:rPr>
        <w:t xml:space="preserve">Over time, agents within a social field develop dispositions of seeing, acting and thinking, which Bourdieu </w:t>
      </w:r>
      <w:r w:rsidR="007A6419" w:rsidRPr="004E053C">
        <w:rPr>
          <w:rFonts w:cstheme="majorHAnsi"/>
          <w:color w:val="000000"/>
          <w:sz w:val="22"/>
          <w:szCs w:val="22"/>
          <w:lang w:val="en-GB"/>
        </w:rPr>
        <w:fldChar w:fldCharType="begin" w:fldLock="1"/>
      </w:r>
      <w:r w:rsidR="007A6419" w:rsidRPr="004E053C">
        <w:rPr>
          <w:rFonts w:cstheme="majorHAnsi"/>
          <w:color w:val="000000"/>
          <w:sz w:val="22"/>
          <w:szCs w:val="22"/>
          <w:lang w:val="en-GB"/>
        </w:rPr>
        <w:instrText>ADDIN CSL_CITATION {"citationItems":[{"id":"ITEM-1","itemData":{"author":[{"dropping-particle":"","family":"Bourdieu","given":"Pierre","non-dropping-particle":"","parse-names":false,"suffix":""}],"id":"ITEM-1","issued":{"date-parts":[["1977"]]},"publisher":"Cambridge University Press","publisher-place":"Cambridge","title":"Outline of a Theory of Practice","type":"book"},"uris":["http://www.mendeley.com/documents/?uuid=8266da53-3861-3711-81ba-d99179335688"]}],"mendeley":{"formattedCitation":"(Bourdieu, 1977)","manualFormatting":"(1977)","plainTextFormattedCitation":"(Bourdieu, 1977)","previouslyFormattedCitation":"(Bourdieu, 1977)"},"properties":{"noteIndex":0},"schema":"https://github.com/citation-style-language/schema/raw/master/csl-citation.json"}</w:instrText>
      </w:r>
      <w:r w:rsidR="007A6419" w:rsidRPr="004E053C">
        <w:rPr>
          <w:rFonts w:cstheme="majorHAnsi"/>
          <w:color w:val="000000"/>
          <w:sz w:val="22"/>
          <w:szCs w:val="22"/>
          <w:lang w:val="en-GB"/>
        </w:rPr>
        <w:fldChar w:fldCharType="separate"/>
      </w:r>
      <w:r w:rsidR="007A6419" w:rsidRPr="004E053C">
        <w:rPr>
          <w:rFonts w:cstheme="majorHAnsi"/>
          <w:noProof/>
          <w:color w:val="000000"/>
          <w:sz w:val="22"/>
          <w:szCs w:val="22"/>
          <w:lang w:val="en-GB"/>
        </w:rPr>
        <w:t>(1977)</w:t>
      </w:r>
      <w:r w:rsidR="007A6419" w:rsidRPr="004E053C">
        <w:rPr>
          <w:rFonts w:cstheme="majorHAnsi"/>
          <w:color w:val="000000"/>
          <w:sz w:val="22"/>
          <w:szCs w:val="22"/>
          <w:lang w:val="en-GB"/>
        </w:rPr>
        <w:fldChar w:fldCharType="end"/>
      </w:r>
      <w:r w:rsidR="00170378" w:rsidRPr="004E053C">
        <w:rPr>
          <w:rFonts w:cstheme="majorHAnsi"/>
          <w:color w:val="000000"/>
          <w:sz w:val="22"/>
          <w:szCs w:val="22"/>
          <w:lang w:val="en-GB"/>
        </w:rPr>
        <w:t xml:space="preserve"> </w:t>
      </w:r>
      <w:r w:rsidRPr="004E053C">
        <w:rPr>
          <w:rFonts w:cstheme="majorHAnsi"/>
          <w:color w:val="000000"/>
          <w:sz w:val="22"/>
          <w:szCs w:val="22"/>
          <w:lang w:val="en-GB"/>
        </w:rPr>
        <w:t>ref</w:t>
      </w:r>
      <w:r w:rsidR="007A6419" w:rsidRPr="004E053C">
        <w:rPr>
          <w:rFonts w:cstheme="majorHAnsi"/>
          <w:color w:val="000000"/>
          <w:sz w:val="22"/>
          <w:szCs w:val="22"/>
          <w:lang w:val="en-GB"/>
        </w:rPr>
        <w:t>erred to as their habitus</w:t>
      </w:r>
      <w:r w:rsidR="00FF7888" w:rsidRPr="004E053C">
        <w:rPr>
          <w:rFonts w:cstheme="majorHAnsi"/>
          <w:color w:val="000000"/>
          <w:sz w:val="22"/>
          <w:szCs w:val="22"/>
          <w:lang w:val="en-GB"/>
        </w:rPr>
        <w:t>. Habitus is</w:t>
      </w:r>
      <w:r w:rsidRPr="004E053C">
        <w:rPr>
          <w:rFonts w:cstheme="majorHAnsi"/>
          <w:color w:val="000000"/>
          <w:sz w:val="22"/>
          <w:szCs w:val="22"/>
          <w:lang w:val="en-GB"/>
        </w:rPr>
        <w:t xml:space="preserve"> a crucial</w:t>
      </w:r>
      <w:r w:rsidR="00085546" w:rsidRPr="004E053C">
        <w:rPr>
          <w:rFonts w:cstheme="majorHAnsi"/>
          <w:color w:val="000000"/>
          <w:sz w:val="22"/>
          <w:szCs w:val="22"/>
          <w:lang w:val="en-GB"/>
        </w:rPr>
        <w:t xml:space="preserve"> element of social identity and </w:t>
      </w:r>
      <w:r w:rsidRPr="004E053C">
        <w:rPr>
          <w:rFonts w:cstheme="majorHAnsi"/>
          <w:color w:val="000000"/>
          <w:sz w:val="22"/>
          <w:szCs w:val="22"/>
          <w:lang w:val="en-GB"/>
        </w:rPr>
        <w:t>enable</w:t>
      </w:r>
      <w:r w:rsidR="00085546" w:rsidRPr="004E053C">
        <w:rPr>
          <w:rFonts w:cstheme="majorHAnsi"/>
          <w:color w:val="000000"/>
          <w:sz w:val="22"/>
          <w:szCs w:val="22"/>
          <w:lang w:val="en-GB"/>
        </w:rPr>
        <w:t>s</w:t>
      </w:r>
      <w:r w:rsidRPr="004E053C">
        <w:rPr>
          <w:rFonts w:cstheme="majorHAnsi"/>
          <w:color w:val="000000"/>
          <w:sz w:val="22"/>
          <w:szCs w:val="22"/>
          <w:lang w:val="en-GB"/>
        </w:rPr>
        <w:t xml:space="preserve"> an understanding of how socially embedded</w:t>
      </w:r>
      <w:r w:rsidRPr="004E053C">
        <w:rPr>
          <w:rFonts w:cstheme="majorHAnsi"/>
          <w:sz w:val="22"/>
          <w:szCs w:val="22"/>
          <w:lang w:val="en-GB"/>
        </w:rPr>
        <w:t xml:space="preserve"> livelihood practices have come about </w:t>
      </w:r>
      <w:r w:rsidR="007A6419"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Haan","given":"Leo","non-dropping-particle":"De","parse-names":false,"suffix":""},{"dropping-particle":"","family":"Zoomers","given":"Annelies","non-dropping-particle":"","parse-names":false,"suffix":""}],"container-title":"Development and Change","id":"ITEM-1","issue":"1","issued":{"date-parts":[["2005"]]},"page":"27-47","title":"Exploring the frontier of livelihoods research","type":"article-journal","volume":"36"},"uris":["http://www.mendeley.com/documents/?uuid=4fb7feee-443e-4bb5-8bef-76e0d2672510"]},{"id":"ITEM-2","itemData":{"author":[{"dropping-particle":"","family":"Sakdapolrak","given":"P","non-dropping-particle":"","parse-names":false,"suffix":""}],"container-title":"Geographica Helvetica","id":"ITEM-2","issued":{"date-parts":[["2014"]]},"page":"19-28","title":"Livelihoods as social practices: re-energising livelihoods research with Bordieu’s theory of practice","type":"article-journal","volume":"69"},"uris":["http://www.mendeley.com/documents/?uuid=5c558648-6b19-4867-92d5-24033fabb968"]},{"id":"ITEM-3","itemData":{"author":[{"dropping-particle":"","family":"Etzold","given":"Benjamin","non-dropping-particle":"","parse-names":false,"suffix":""}],"chapter-number":"3","container-title":"Livelihoods and Development: New Perspectives","editor":[{"dropping-particle":"","family":"Leo de Haan","given":"","non-dropping-particle":"","parse-names":false,"suffix":""}],"id":"ITEM-3","issued":{"date-parts":[["2017"]]},"page":"44-68","publisher":"Brill","publisher-place":"Leiden","title":"Mobility,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studies","type":"chapter"},"uris":["http://www.mendeley.com/documents/?uuid=8669327d-3056-4ab8-9bc0-8022e5d3152f"]}],"mendeley":{"formattedCitation":"(De Haan &amp; Zoomers, 2005; Etzold, 2017; P Sakdapolrak, 2014)","manualFormatting":"(De Haan &amp; Zoomers, 2005; Etzold, 2017; Sakdapolrak, 2014)","plainTextFormattedCitation":"(De Haan &amp; Zoomers, 2005; Etzold, 2017; P Sakdapolrak, 2014)","previouslyFormattedCitation":"(De Haan &amp; Zoomers, 2005; Etzold, 2017; P Sakdapolrak, 2014)"},"properties":{"noteIndex":0},"schema":"https://github.com/citation-style-language/schema/raw/master/csl-citation.json"}</w:instrText>
      </w:r>
      <w:r w:rsidR="007A6419" w:rsidRPr="004E053C">
        <w:rPr>
          <w:rFonts w:cstheme="majorHAnsi"/>
          <w:sz w:val="22"/>
          <w:szCs w:val="22"/>
          <w:lang w:val="en-GB"/>
        </w:rPr>
        <w:fldChar w:fldCharType="separate"/>
      </w:r>
      <w:r w:rsidR="007A6419" w:rsidRPr="004E053C">
        <w:rPr>
          <w:rFonts w:cstheme="majorHAnsi"/>
          <w:noProof/>
          <w:sz w:val="22"/>
          <w:szCs w:val="22"/>
          <w:lang w:val="en-GB"/>
        </w:rPr>
        <w:t>(De Haan &amp; Zoomers, 2005; Etzold, 2017; Sakdapolrak, 2014)</w:t>
      </w:r>
      <w:r w:rsidR="007A6419" w:rsidRPr="004E053C">
        <w:rPr>
          <w:rFonts w:cstheme="majorHAnsi"/>
          <w:sz w:val="22"/>
          <w:szCs w:val="22"/>
          <w:lang w:val="en-GB"/>
        </w:rPr>
        <w:fldChar w:fldCharType="end"/>
      </w:r>
      <w:r w:rsidRPr="004E053C">
        <w:rPr>
          <w:rFonts w:cstheme="majorHAnsi"/>
          <w:color w:val="000000"/>
          <w:sz w:val="22"/>
          <w:szCs w:val="22"/>
          <w:lang w:val="en-GB"/>
        </w:rPr>
        <w:t xml:space="preserve">. </w:t>
      </w:r>
      <w:r w:rsidRPr="004E053C">
        <w:rPr>
          <w:rFonts w:cstheme="majorHAnsi"/>
          <w:sz w:val="22"/>
          <w:szCs w:val="22"/>
          <w:lang w:val="en-GB"/>
        </w:rPr>
        <w:t xml:space="preserve">For example, De Haan and Zoomers </w:t>
      </w:r>
      <w:r w:rsidR="007A6419"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Haan","given":"Leo","non-dropping-particle":"De","parse-names":false,"suffix":""},{"dropping-particle":"","family":"Zoomers","given":"Annelies","non-dropping-particle":"","parse-names":false,"suffix":""}],"container-title":"Development and Change","id":"ITEM-1","issue":"1","issued":{"date-parts":[["2005"]]},"page":"27-47","title":"Exploring the frontier of livelihoods research","type":"article-journal","volume":"36"},"uris":["http://www.mendeley.com/documents/?uuid=4fb7feee-443e-4bb5-8bef-76e0d2672510"]}],"mendeley":{"formattedCitation":"(De Haan &amp; Zoomers, 2005)","manualFormatting":"(2005)","plainTextFormattedCitation":"(De Haan &amp; Zoomers, 2005)","previouslyFormattedCitation":"(De Haan &amp; Zoomers, 2005)"},"properties":{"noteIndex":0},"schema":"https://github.com/citation-style-language/schema/raw/master/csl-citation.json"}</w:instrText>
      </w:r>
      <w:r w:rsidR="007A6419" w:rsidRPr="004E053C">
        <w:rPr>
          <w:rFonts w:cstheme="majorHAnsi"/>
          <w:sz w:val="22"/>
          <w:szCs w:val="22"/>
          <w:lang w:val="en-GB"/>
        </w:rPr>
        <w:fldChar w:fldCharType="separate"/>
      </w:r>
      <w:r w:rsidR="007A6419" w:rsidRPr="004E053C">
        <w:rPr>
          <w:rFonts w:cstheme="majorHAnsi"/>
          <w:noProof/>
          <w:sz w:val="22"/>
          <w:szCs w:val="22"/>
          <w:lang w:val="en-GB"/>
        </w:rPr>
        <w:t>(2005)</w:t>
      </w:r>
      <w:r w:rsidR="007A6419" w:rsidRPr="004E053C">
        <w:rPr>
          <w:rFonts w:cstheme="majorHAnsi"/>
          <w:sz w:val="22"/>
          <w:szCs w:val="22"/>
          <w:lang w:val="en-GB"/>
        </w:rPr>
        <w:fldChar w:fldCharType="end"/>
      </w:r>
      <w:r w:rsidRPr="004E053C">
        <w:rPr>
          <w:rFonts w:cstheme="majorHAnsi"/>
          <w:sz w:val="22"/>
          <w:szCs w:val="22"/>
          <w:lang w:val="en-GB"/>
        </w:rPr>
        <w:t xml:space="preserve"> have used Bourdieu’s ideas of habitus in their suggestion that livelihood trajectories and styles</w:t>
      </w:r>
      <w:r w:rsidRPr="004E053C">
        <w:rPr>
          <w:rFonts w:cstheme="majorHAnsi"/>
          <w:color w:val="000000"/>
          <w:sz w:val="22"/>
          <w:szCs w:val="22"/>
          <w:lang w:val="en-GB"/>
        </w:rPr>
        <w:t xml:space="preserve"> are composed of shared experience, knowledge, insights, interests, prospects and interpretations of the context; an integrated set of practices and </w:t>
      </w:r>
      <w:r w:rsidR="00FF7888" w:rsidRPr="004E053C">
        <w:rPr>
          <w:rFonts w:cstheme="majorHAnsi"/>
          <w:color w:val="000000"/>
          <w:sz w:val="22"/>
          <w:szCs w:val="22"/>
          <w:lang w:val="en-GB"/>
        </w:rPr>
        <w:t>arti</w:t>
      </w:r>
      <w:r w:rsidR="00D3785B" w:rsidRPr="004E053C">
        <w:rPr>
          <w:rFonts w:cstheme="majorHAnsi"/>
          <w:color w:val="000000"/>
          <w:sz w:val="22"/>
          <w:szCs w:val="22"/>
          <w:lang w:val="en-GB"/>
        </w:rPr>
        <w:t>facts</w:t>
      </w:r>
      <w:r w:rsidRPr="004E053C">
        <w:rPr>
          <w:rFonts w:cstheme="majorHAnsi"/>
          <w:color w:val="000000"/>
          <w:sz w:val="22"/>
          <w:szCs w:val="22"/>
          <w:lang w:val="en-GB"/>
        </w:rPr>
        <w:t>. Again, this see</w:t>
      </w:r>
      <w:r w:rsidR="00B67ED4" w:rsidRPr="004E053C">
        <w:rPr>
          <w:rFonts w:cstheme="majorHAnsi"/>
          <w:color w:val="000000"/>
          <w:sz w:val="22"/>
          <w:szCs w:val="22"/>
          <w:lang w:val="en-GB"/>
        </w:rPr>
        <w:t xml:space="preserve">ms to have particular relevance </w:t>
      </w:r>
      <w:r w:rsidRPr="004E053C">
        <w:rPr>
          <w:rFonts w:cstheme="majorHAnsi"/>
          <w:color w:val="000000"/>
          <w:sz w:val="22"/>
          <w:szCs w:val="22"/>
          <w:lang w:val="en-GB"/>
        </w:rPr>
        <w:t xml:space="preserve">to the emergence of a miner identity. </w:t>
      </w:r>
      <w:r w:rsidRPr="004E053C">
        <w:rPr>
          <w:rFonts w:cstheme="majorHAnsi"/>
          <w:sz w:val="22"/>
          <w:szCs w:val="22"/>
          <w:lang w:val="en-GB"/>
        </w:rPr>
        <w:t xml:space="preserve">However, an individual’s habitus is determined by their </w:t>
      </w:r>
      <w:r w:rsidRPr="004E053C">
        <w:rPr>
          <w:rFonts w:cstheme="majorHAnsi"/>
          <w:color w:val="000000"/>
          <w:sz w:val="22"/>
          <w:szCs w:val="22"/>
          <w:lang w:val="en-GB"/>
        </w:rPr>
        <w:t xml:space="preserve">relative position within the social field, which has an inherently hierarchical structure. Within any given social field, agents hold different positions and these relative positions are determined by their individual endowments of capital and power as well as by their relationship to other positions </w:t>
      </w:r>
      <w:r w:rsidR="006F4498" w:rsidRPr="004E053C">
        <w:rPr>
          <w:rFonts w:cstheme="majorHAnsi"/>
          <w:color w:val="000000"/>
          <w:sz w:val="22"/>
          <w:szCs w:val="22"/>
          <w:lang w:val="en-GB"/>
        </w:rPr>
        <w:fldChar w:fldCharType="begin" w:fldLock="1"/>
      </w:r>
      <w:r w:rsidR="006F4498" w:rsidRPr="004E053C">
        <w:rPr>
          <w:rFonts w:cstheme="majorHAnsi"/>
          <w:color w:val="000000"/>
          <w:sz w:val="22"/>
          <w:szCs w:val="22"/>
          <w:lang w:val="en-GB"/>
        </w:rPr>
        <w:instrText>ADDIN CSL_CITATION {"citationItems":[{"id":"ITEM-1","itemData":{"author":[{"dropping-particle":"","family":"Bourdieu","given":"Pierre","non-dropping-particle":"","parse-names":false,"suffix":""},{"dropping-particle":"","family":"Wacquant","given":"Loic","non-dropping-particle":"","parse-names":false,"suffix":""}],"id":"ITEM-1","issued":{"date-parts":[["1992"]]},"publisher":"University of Chicago Press","publisher-place":"Chicago","title":"An Invitation to Reflexive Sociology","type":"book"},"uris":["http://www.mendeley.com/documents/?uuid=c1429f32-90a2-3b41-90c4-9a470864a959"]}],"mendeley":{"formattedCitation":"(Bourdieu &amp; Wacquant, 1992)","plainTextFormattedCitation":"(Bourdieu &amp; Wacquant, 1992)","previouslyFormattedCitation":"(Bourdieu &amp; Wacquant, 1992)"},"properties":{"noteIndex":0},"schema":"https://github.com/citation-style-language/schema/raw/master/csl-citation.json"}</w:instrText>
      </w:r>
      <w:r w:rsidR="006F4498" w:rsidRPr="004E053C">
        <w:rPr>
          <w:rFonts w:cstheme="majorHAnsi"/>
          <w:color w:val="000000"/>
          <w:sz w:val="22"/>
          <w:szCs w:val="22"/>
          <w:lang w:val="en-GB"/>
        </w:rPr>
        <w:fldChar w:fldCharType="separate"/>
      </w:r>
      <w:r w:rsidR="006F4498" w:rsidRPr="004E053C">
        <w:rPr>
          <w:rFonts w:cstheme="majorHAnsi"/>
          <w:noProof/>
          <w:color w:val="000000"/>
          <w:sz w:val="22"/>
          <w:szCs w:val="22"/>
          <w:lang w:val="en-GB"/>
        </w:rPr>
        <w:t>(Bourdieu &amp; Wacquant, 1992)</w:t>
      </w:r>
      <w:r w:rsidR="006F4498" w:rsidRPr="004E053C">
        <w:rPr>
          <w:rFonts w:cstheme="majorHAnsi"/>
          <w:color w:val="000000"/>
          <w:sz w:val="22"/>
          <w:szCs w:val="22"/>
          <w:lang w:val="en-GB"/>
        </w:rPr>
        <w:fldChar w:fldCharType="end"/>
      </w:r>
      <w:r w:rsidRPr="004E053C">
        <w:rPr>
          <w:rFonts w:cstheme="majorHAnsi"/>
          <w:color w:val="000000"/>
          <w:sz w:val="22"/>
          <w:szCs w:val="22"/>
          <w:lang w:val="en-GB"/>
        </w:rPr>
        <w:t xml:space="preserve">. These relationships imply both elements of subordination and </w:t>
      </w:r>
      <w:r w:rsidRPr="004E053C">
        <w:rPr>
          <w:rFonts w:cstheme="majorHAnsi"/>
          <w:color w:val="000000"/>
          <w:sz w:val="22"/>
          <w:szCs w:val="22"/>
          <w:lang w:val="en-GB"/>
        </w:rPr>
        <w:lastRenderedPageBreak/>
        <w:t xml:space="preserve">domination, which determines </w:t>
      </w:r>
      <w:r w:rsidR="006F4498" w:rsidRPr="004E053C">
        <w:rPr>
          <w:rFonts w:cstheme="majorHAnsi"/>
          <w:color w:val="000000"/>
          <w:sz w:val="22"/>
          <w:szCs w:val="22"/>
          <w:lang w:val="en-GB"/>
        </w:rPr>
        <w:t xml:space="preserve">access to profits and resources. </w:t>
      </w:r>
      <w:r w:rsidRPr="004E053C">
        <w:rPr>
          <w:rFonts w:cstheme="majorHAnsi"/>
          <w:sz w:val="22"/>
          <w:szCs w:val="22"/>
          <w:lang w:val="en-GB"/>
        </w:rPr>
        <w:t xml:space="preserve">Within social fields therefore, agents struggle to occupy a particular position </w:t>
      </w:r>
      <w:r w:rsidR="006F4498" w:rsidRPr="004E053C">
        <w:rPr>
          <w:rFonts w:cstheme="majorHAnsi"/>
          <w:sz w:val="22"/>
          <w:szCs w:val="22"/>
          <w:lang w:val="en-GB"/>
        </w:rPr>
        <w:fldChar w:fldCharType="begin" w:fldLock="1"/>
      </w:r>
      <w:r w:rsidR="00B67ED4" w:rsidRPr="004E053C">
        <w:rPr>
          <w:rFonts w:cstheme="majorHAnsi"/>
          <w:sz w:val="22"/>
          <w:szCs w:val="22"/>
          <w:lang w:val="en-GB"/>
        </w:rPr>
        <w:instrText>ADDIN CSL_CITATION {"citationItems":[{"id":"ITEM-1","itemData":{"author":[{"dropping-particle":"","family":"Bourdieu","given":"Pierre","non-dropping-particle":"","parse-names":false,"suffix":""},{"dropping-particle":"","family":"Wacquant","given":"Loic","non-dropping-particle":"","parse-names":false,"suffix":""}],"id":"ITEM-1","issued":{"date-parts":[["1992"]]},"publisher":"University of Chicago Press","publisher-place":"Chicago","title":"An Invitation to Reflexive Sociology","type":"book"},"uris":["http://www.mendeley.com/documents/?uuid=c1429f32-90a2-3b41-90c4-9a470864a959"]}],"mendeley":{"formattedCitation":"(Bourdieu &amp; Wacquant, 1992)","manualFormatting":"(Ibid.)","plainTextFormattedCitation":"(Bourdieu &amp; Wacquant, 1992)","previouslyFormattedCitation":"(Bourdieu &amp; Wacquant, 1992)"},"properties":{"noteIndex":0},"schema":"https://github.com/citation-style-language/schema/raw/master/csl-citation.json"}</w:instrText>
      </w:r>
      <w:r w:rsidR="006F4498" w:rsidRPr="004E053C">
        <w:rPr>
          <w:rFonts w:cstheme="majorHAnsi"/>
          <w:sz w:val="22"/>
          <w:szCs w:val="22"/>
          <w:lang w:val="en-GB"/>
        </w:rPr>
        <w:fldChar w:fldCharType="separate"/>
      </w:r>
      <w:r w:rsidR="004A3EF1" w:rsidRPr="004E053C">
        <w:rPr>
          <w:rFonts w:cstheme="majorHAnsi"/>
          <w:noProof/>
          <w:sz w:val="22"/>
          <w:szCs w:val="22"/>
          <w:lang w:val="en-GB"/>
        </w:rPr>
        <w:t>(Ibid</w:t>
      </w:r>
      <w:r w:rsidR="00EC4FAE" w:rsidRPr="004E053C">
        <w:rPr>
          <w:rFonts w:cstheme="majorHAnsi"/>
          <w:noProof/>
          <w:sz w:val="22"/>
          <w:szCs w:val="22"/>
          <w:lang w:val="en-GB"/>
        </w:rPr>
        <w:t>.</w:t>
      </w:r>
      <w:r w:rsidR="006F4498" w:rsidRPr="004E053C">
        <w:rPr>
          <w:rFonts w:cstheme="majorHAnsi"/>
          <w:noProof/>
          <w:sz w:val="22"/>
          <w:szCs w:val="22"/>
          <w:lang w:val="en-GB"/>
        </w:rPr>
        <w:t>)</w:t>
      </w:r>
      <w:r w:rsidR="006F4498"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sz w:val="22"/>
          <w:szCs w:val="22"/>
          <w:lang w:val="en-GB"/>
        </w:rPr>
        <w:t xml:space="preserve">In ASM for example, we find that miners struggle over access to gold deposits (economic capital) and are often dependent on social networks (social capital). There are also clear hierarchies of power in relation to the ownership of concessions. </w:t>
      </w:r>
      <w:r w:rsidR="002077F0" w:rsidRPr="004E053C">
        <w:rPr>
          <w:rFonts w:cstheme="majorHAnsi"/>
          <w:sz w:val="22"/>
          <w:szCs w:val="22"/>
          <w:lang w:val="en-GB"/>
        </w:rPr>
        <w:t xml:space="preserve">Over time, </w:t>
      </w:r>
      <w:r w:rsidRPr="004E053C">
        <w:rPr>
          <w:rFonts w:cstheme="majorHAnsi"/>
          <w:sz w:val="22"/>
          <w:szCs w:val="22"/>
          <w:lang w:val="en-GB"/>
        </w:rPr>
        <w:t xml:space="preserve">an individual’s habitus adapts to reflect new unstable conditions </w:t>
      </w:r>
      <w:r w:rsidR="00C642B1"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Bruijn","given":"ME","non-dropping-particle":"De","parse-names":false,"suffix":""},{"dropping-particle":"","family":"Dijk","given":"H","non-dropping-particle":"van","parse-names":false,"suffix":""}],"id":"ITEM-1","issued":{"date-parts":[["2003"]]},"publisher":"African Studies Centre","publisher-place":"Leiden","title":"Pathways and Habitus: A Framework for the Analysis of Decision-making in High Risk Environments","type":"book"},"uris":["http://www.mendeley.com/documents/?uuid=5d98bca6-71aa-4428-85ce-5fade12abd2f","http://www.mendeley.com/documents/?uuid=63be5934-6b22-4599-a33b-19f2fda8c3cf"]}],"mendeley":{"formattedCitation":"(De Bruijn &amp; van Dijk, 2003)","plainTextFormattedCitation":"(De Bruijn &amp; van Dijk, 2003)","previouslyFormattedCitation":"(De Bruijn &amp; van Dijk, 2003)"},"properties":{"noteIndex":0},"schema":"https://github.com/citation-style-language/schema/raw/master/csl-citation.json"}</w:instrText>
      </w:r>
      <w:r w:rsidR="00C642B1" w:rsidRPr="004E053C">
        <w:rPr>
          <w:rFonts w:cstheme="majorHAnsi"/>
          <w:sz w:val="22"/>
          <w:szCs w:val="22"/>
          <w:lang w:val="en-GB"/>
        </w:rPr>
        <w:fldChar w:fldCharType="separate"/>
      </w:r>
      <w:r w:rsidR="00C642B1" w:rsidRPr="004E053C">
        <w:rPr>
          <w:rFonts w:cstheme="majorHAnsi"/>
          <w:noProof/>
          <w:sz w:val="22"/>
          <w:szCs w:val="22"/>
          <w:lang w:val="en-GB"/>
        </w:rPr>
        <w:t>(De Bruijn &amp; van Dijk, 2003)</w:t>
      </w:r>
      <w:r w:rsidR="00C642B1" w:rsidRPr="004E053C">
        <w:rPr>
          <w:rFonts w:cstheme="majorHAnsi"/>
          <w:sz w:val="22"/>
          <w:szCs w:val="22"/>
          <w:lang w:val="en-GB"/>
        </w:rPr>
        <w:fldChar w:fldCharType="end"/>
      </w:r>
      <w:r w:rsidRPr="004E053C">
        <w:rPr>
          <w:rFonts w:cstheme="majorHAnsi"/>
          <w:sz w:val="22"/>
          <w:szCs w:val="22"/>
          <w:lang w:val="en-GB"/>
        </w:rPr>
        <w:t xml:space="preserve"> and life trajectories can result in actors changing social position </w:t>
      </w:r>
      <w:r w:rsidR="00C642B1"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Haan","given":"Leo","non-dropping-particle":"De","parse-names":false,"suffix":""},{"dropping-particle":"","family":"Zoomers","given":"Annelies","non-dropping-particle":"","parse-names":false,"suffix":""}],"container-title":"Development and Change","id":"ITEM-1","issue":"1","issued":{"date-parts":[["2005"]]},"page":"27-47","title":"Exploring the frontier of livelihoods research","type":"article-journal","volume":"36"},"uris":["http://www.mendeley.com/documents/?uuid=4fb7feee-443e-4bb5-8bef-76e0d2672510"]}],"mendeley":{"formattedCitation":"(De Haan &amp; Zoomers, 2005)","plainTextFormattedCitation":"(De Haan &amp; Zoomers, 2005)","previouslyFormattedCitation":"(De Haan &amp; Zoomers, 2005)"},"properties":{"noteIndex":0},"schema":"https://github.com/citation-style-language/schema/raw/master/csl-citation.json"}</w:instrText>
      </w:r>
      <w:r w:rsidR="00C642B1" w:rsidRPr="004E053C">
        <w:rPr>
          <w:rFonts w:cstheme="majorHAnsi"/>
          <w:sz w:val="22"/>
          <w:szCs w:val="22"/>
          <w:lang w:val="en-GB"/>
        </w:rPr>
        <w:fldChar w:fldCharType="separate"/>
      </w:r>
      <w:r w:rsidR="00C642B1" w:rsidRPr="004E053C">
        <w:rPr>
          <w:rFonts w:cstheme="majorHAnsi"/>
          <w:noProof/>
          <w:sz w:val="22"/>
          <w:szCs w:val="22"/>
          <w:lang w:val="en-GB"/>
        </w:rPr>
        <w:t>(De Haan &amp; Zoomers, 2005)</w:t>
      </w:r>
      <w:r w:rsidR="00C642B1" w:rsidRPr="004E053C">
        <w:rPr>
          <w:rFonts w:cstheme="majorHAnsi"/>
          <w:sz w:val="22"/>
          <w:szCs w:val="22"/>
          <w:lang w:val="en-GB"/>
        </w:rPr>
        <w:fldChar w:fldCharType="end"/>
      </w:r>
      <w:r w:rsidRPr="004E053C">
        <w:rPr>
          <w:rFonts w:cstheme="majorHAnsi"/>
          <w:sz w:val="22"/>
          <w:szCs w:val="22"/>
          <w:lang w:val="en-GB"/>
        </w:rPr>
        <w:t xml:space="preserve">. For example, as noted in the previous chapter, Fisher </w:t>
      </w:r>
      <w:r w:rsidR="00C642B1"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{"citationItems":[{"id":"ITEM-1","itemData":{"abstract":"This article discusses the character of mineral resource governance at the margins of the state in Tanzania and the way artisanal gold miners are incorporated into mineral sector transformation. The landscape of mineral resource exploitation has changed dramatically over the past 20 years: processes of economic liberalisation have heralded massive foreign investment in large-scale gold mining, while also stimulating artisanal activities. Against this background, the article shows how artisanal gold miners are affected by contradictory processes: some have become integrated with state institutions and legal processes, while others, the large majority, are either further excluded or incorporated in ways that exacerbate insecurity and exploitation, underpinned by socio-economic inequalities. These processes are compounded by the actions of large-scale and medium-scale gold mining companies and by poor local governance. It is open to debate whether this will bring improved integration and welfare for artisanal mining communities or new forms of exclusion, although evidence suggests the latter.","author":[{"dropping-particle":"","family":"Fisher","given":"Eleanor","non-dropping-particle":"","parse-names":false,"suffix":""}],"container-title":"Development Southern Africa","id":"ITEM-1","issue":"2","issued":{"date-parts":[["2008"]]},"page":"199-213","title":"Artisanal gold mining at the margins of mineral resource governance: a case from Tanzania","type":"article-journal","volume":"25"},"uris":["http://www.mendeley.com/documents/?uuid=d69ff845-1a60-35d1-a9fa-13b7239fa210"]}],"mendeley":{"formattedCitation":"(Fisher, 2008)","manualFormatting":"(2008)","plainTextFormattedCitation":"(Fisher, 2008)","previouslyFormattedCitation":"(Fisher, 2008)"},"properties":{"noteIndex":0},"schema":"https://github.com/citation-style-language/schema/raw/master/csl-citation.json"}</w:instrText>
      </w:r>
      <w:r w:rsidR="00C642B1" w:rsidRPr="004E053C">
        <w:rPr>
          <w:rFonts w:cstheme="majorHAnsi"/>
          <w:sz w:val="22"/>
          <w:szCs w:val="22"/>
          <w:lang w:val="en-GB"/>
        </w:rPr>
        <w:fldChar w:fldCharType="separate"/>
      </w:r>
      <w:r w:rsidR="00C642B1" w:rsidRPr="004E053C">
        <w:rPr>
          <w:rFonts w:cstheme="majorHAnsi"/>
          <w:noProof/>
          <w:sz w:val="22"/>
          <w:szCs w:val="22"/>
          <w:lang w:val="en-GB"/>
        </w:rPr>
        <w:t>(2008)</w:t>
      </w:r>
      <w:r w:rsidR="00C642B1" w:rsidRPr="004E053C">
        <w:rPr>
          <w:rFonts w:cstheme="majorHAnsi"/>
          <w:sz w:val="22"/>
          <w:szCs w:val="22"/>
          <w:lang w:val="en-GB"/>
        </w:rPr>
        <w:fldChar w:fldCharType="end"/>
      </w:r>
      <w:r w:rsidRPr="004E053C">
        <w:rPr>
          <w:rFonts w:cstheme="majorHAnsi"/>
          <w:sz w:val="22"/>
          <w:szCs w:val="22"/>
          <w:lang w:val="en-GB"/>
        </w:rPr>
        <w:t xml:space="preserve"> has shown how ASM operatives may gain wealth through illicit means by choosing to subve</w:t>
      </w:r>
      <w:r w:rsidR="00F16371" w:rsidRPr="004E053C">
        <w:rPr>
          <w:rFonts w:cstheme="majorHAnsi"/>
          <w:sz w:val="22"/>
          <w:szCs w:val="22"/>
          <w:lang w:val="en-GB"/>
        </w:rPr>
        <w:t>rt social norms. In chapter 6</w:t>
      </w:r>
      <w:r w:rsidRPr="004E053C">
        <w:rPr>
          <w:rFonts w:cstheme="majorHAnsi"/>
          <w:sz w:val="22"/>
          <w:szCs w:val="22"/>
          <w:lang w:val="en-GB"/>
        </w:rPr>
        <w:t xml:space="preserve"> I will elaborate further on divergent ASM livelihood traject</w:t>
      </w:r>
      <w:r w:rsidR="00F16371" w:rsidRPr="004E053C">
        <w:rPr>
          <w:rFonts w:cstheme="majorHAnsi"/>
          <w:sz w:val="22"/>
          <w:szCs w:val="22"/>
          <w:lang w:val="en-GB"/>
        </w:rPr>
        <w:t>ories, and then in chapter 8</w:t>
      </w:r>
      <w:r w:rsidRPr="004E053C">
        <w:rPr>
          <w:rFonts w:cstheme="majorHAnsi"/>
          <w:sz w:val="22"/>
          <w:szCs w:val="22"/>
          <w:lang w:val="en-GB"/>
        </w:rPr>
        <w:t xml:space="preserve"> show how variations in habitus can also lead to tensions. </w:t>
      </w:r>
    </w:p>
    <w:p w14:paraId="4B8665C4" w14:textId="77777777" w:rsidR="004A3EF1" w:rsidRPr="004E053C" w:rsidRDefault="004A3EF1" w:rsidP="004E053C">
      <w:pPr>
        <w:spacing w:line="360" w:lineRule="auto"/>
        <w:contextualSpacing/>
        <w:jc w:val="both"/>
        <w:rPr>
          <w:rFonts w:cstheme="majorHAnsi"/>
          <w:color w:val="000000"/>
          <w:sz w:val="22"/>
          <w:szCs w:val="22"/>
          <w:lang w:val="en-GB"/>
        </w:rPr>
      </w:pPr>
    </w:p>
    <w:p w14:paraId="6693D1C8" w14:textId="675421D2" w:rsidR="00FE47C4" w:rsidRPr="004E053C" w:rsidRDefault="00FE47C4" w:rsidP="004E053C">
      <w:pPr>
        <w:spacing w:line="360" w:lineRule="auto"/>
        <w:jc w:val="both"/>
        <w:rPr>
          <w:rFonts w:cstheme="majorHAnsi"/>
          <w:sz w:val="22"/>
          <w:szCs w:val="22"/>
          <w:lang w:val="en-GB"/>
        </w:rPr>
      </w:pPr>
      <w:r w:rsidRPr="004E053C">
        <w:rPr>
          <w:rFonts w:cstheme="majorHAnsi"/>
          <w:color w:val="000000"/>
          <w:sz w:val="22"/>
          <w:szCs w:val="22"/>
          <w:lang w:val="en-GB"/>
        </w:rPr>
        <w:t xml:space="preserve">To summarise, a Bourdieusian understanding of livelihoods has two key features that make it useful for </w:t>
      </w:r>
      <w:r w:rsidR="00C66190" w:rsidRPr="004E053C">
        <w:rPr>
          <w:rFonts w:cstheme="majorHAnsi"/>
          <w:color w:val="000000"/>
          <w:sz w:val="22"/>
          <w:szCs w:val="22"/>
          <w:lang w:val="en-GB"/>
        </w:rPr>
        <w:t>analysing</w:t>
      </w:r>
      <w:r w:rsidR="00EA7F83" w:rsidRPr="004E053C">
        <w:rPr>
          <w:rFonts w:cstheme="majorHAnsi"/>
          <w:color w:val="000000"/>
          <w:sz w:val="22"/>
          <w:szCs w:val="22"/>
          <w:lang w:val="en-GB"/>
        </w:rPr>
        <w:t xml:space="preserve"> ASM</w:t>
      </w:r>
      <w:r w:rsidRPr="004E053C">
        <w:rPr>
          <w:rFonts w:cstheme="majorHAnsi"/>
          <w:color w:val="000000"/>
          <w:sz w:val="22"/>
          <w:szCs w:val="22"/>
          <w:lang w:val="en-GB"/>
        </w:rPr>
        <w:t xml:space="preserve">. Firstly, it allows for an understanding that livelihood practices always reflect the position of the agent within the hierarchical social field </w:t>
      </w:r>
      <w:r w:rsidR="00C642B1" w:rsidRPr="004E053C">
        <w:rPr>
          <w:rFonts w:cstheme="majorHAnsi"/>
          <w:color w:val="000000"/>
          <w:sz w:val="22"/>
          <w:szCs w:val="22"/>
          <w:lang w:val="en-GB"/>
        </w:rPr>
        <w:fldChar w:fldCharType="begin" w:fldLock="1"/>
      </w:r>
      <w:r w:rsidR="007A757C" w:rsidRPr="004E053C">
        <w:rPr>
          <w:rFonts w:cstheme="majorHAnsi"/>
          <w:color w:val="000000"/>
          <w:sz w:val="22"/>
          <w:szCs w:val="22"/>
          <w:lang w:val="en-GB"/>
        </w:rPr>
        <w:instrText>ADDIN CSL_CITATION {"citationItems":[{"id":"ITEM-1","itemData":{"author":[{"dropping-particle":"","family":"Etzold","given":"Benjamin","non-dropping-particle":"","parse-names":false,"suffix":""}],"chapter-number":"3","container-title":"Livelihoods and Development: New Perspectives","editor":[{"dropping-particle":"","family":"Leo de Haan","given":"","non-dropping-particle":"","parse-names":false,"suffix":""}],"id":"ITEM-1","issued":{"date-parts":[["2017"]]},"page":"44-68","publisher":"Brill","publisher-place":"Leiden","title":"Mobility,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studies","type":"chapter"},"uris":["http://www.mendeley.com/documents/?uuid=8669327d-3056-4ab8-9bc0-8022e5d3152f"]}],"mendeley":{"formattedCitation":"(Etzold, 2017)","plainTextFormattedCitation":"(Etzold, 2017)","previouslyFormattedCitation":"(Etzold, 2017)"},"properties":{"noteIndex":0},"schema":"https://github.com/citation-style-language/schema/raw/master/csl-citation.json"}</w:instrText>
      </w:r>
      <w:r w:rsidR="00C642B1" w:rsidRPr="004E053C">
        <w:rPr>
          <w:rFonts w:cstheme="majorHAnsi"/>
          <w:color w:val="000000"/>
          <w:sz w:val="22"/>
          <w:szCs w:val="22"/>
          <w:lang w:val="en-GB"/>
        </w:rPr>
        <w:fldChar w:fldCharType="separate"/>
      </w:r>
      <w:r w:rsidR="00C642B1" w:rsidRPr="004E053C">
        <w:rPr>
          <w:rFonts w:cstheme="majorHAnsi"/>
          <w:noProof/>
          <w:color w:val="000000"/>
          <w:sz w:val="22"/>
          <w:szCs w:val="22"/>
          <w:lang w:val="en-GB"/>
        </w:rPr>
        <w:t>(Etzold, 2017)</w:t>
      </w:r>
      <w:r w:rsidR="00C642B1" w:rsidRPr="004E053C">
        <w:rPr>
          <w:rFonts w:cstheme="majorHAnsi"/>
          <w:color w:val="000000"/>
          <w:sz w:val="22"/>
          <w:szCs w:val="22"/>
          <w:lang w:val="en-GB"/>
        </w:rPr>
        <w:fldChar w:fldCharType="end"/>
      </w:r>
      <w:r w:rsidRPr="004E053C">
        <w:rPr>
          <w:rFonts w:cstheme="majorHAnsi"/>
          <w:color w:val="000000"/>
          <w:sz w:val="22"/>
          <w:szCs w:val="22"/>
          <w:lang w:val="en-GB"/>
        </w:rPr>
        <w:t xml:space="preserve">, which provides scope for considering how ASM livelihood practices are shaped by the elite and/or local and regional government. Effectively, politics and power is not seen merely as context, but as ‘a focus of analysis in and of itself’ </w:t>
      </w:r>
      <w:r w:rsidR="005850CA" w:rsidRPr="004E053C">
        <w:rPr>
          <w:rFonts w:cstheme="majorHAnsi"/>
          <w:color w:val="000000"/>
          <w:sz w:val="22"/>
          <w:szCs w:val="22"/>
          <w:lang w:val="en-GB"/>
        </w:rPr>
        <w:fldChar w:fldCharType="begin" w:fldLock="1"/>
      </w:r>
      <w:r w:rsidR="00F2183E" w:rsidRPr="004E053C">
        <w:rPr>
          <w:rFonts w:cstheme="majorHAnsi"/>
          <w:color w:val="000000"/>
          <w:sz w:val="22"/>
          <w:szCs w:val="22"/>
          <w:lang w:val="en-GB"/>
        </w:rPr>
        <w:instrText>ADDIN CSL_CITATION {"citationItems":[{"id":"ITEM-1","itemData":{"author":[{"dropping-particle":"","family":"Scoones","given":"I","non-dropping-particle":"","parse-names":false,"suffix":""}],"container-title":"Journal of Peasant Studies","id":"ITEM-1","issue":"1","issued":{"date-parts":[["2009"]]},"page":"171-196","title":"Livelihoods perspectives and rural development","type":"article-journal","volume":"36"},"uris":["http://www.mendeley.com/documents/?uuid=a513a7ea-5f07-494a-9af9-1a158a11c2b7","http://www.mendeley.com/documents/?uuid=766974b3-ebbe-4f62-8516-a7052e05e3f7"]}],"mendeley":{"formattedCitation":"(Scoones, 2009)","manualFormatting":"(Scoones, 2009, p.185)","plainTextFormattedCitation":"(Scoones, 2009)","previouslyFormattedCitation":"(Scoones, 2009)"},"properties":{"noteIndex":0},"schema":"https://github.com/citation-style-language/schema/raw/master/csl-citation.json"}</w:instrText>
      </w:r>
      <w:r w:rsidR="005850CA" w:rsidRPr="004E053C">
        <w:rPr>
          <w:rFonts w:cstheme="majorHAnsi"/>
          <w:color w:val="000000"/>
          <w:sz w:val="22"/>
          <w:szCs w:val="22"/>
          <w:lang w:val="en-GB"/>
        </w:rPr>
        <w:fldChar w:fldCharType="separate"/>
      </w:r>
      <w:r w:rsidR="005850CA" w:rsidRPr="004E053C">
        <w:rPr>
          <w:rFonts w:cstheme="majorHAnsi"/>
          <w:noProof/>
          <w:color w:val="000000"/>
          <w:sz w:val="22"/>
          <w:szCs w:val="22"/>
          <w:lang w:val="en-GB"/>
        </w:rPr>
        <w:t>(Scoones, 2009, p.185)</w:t>
      </w:r>
      <w:r w:rsidR="005850CA" w:rsidRPr="004E053C">
        <w:rPr>
          <w:rFonts w:cstheme="majorHAnsi"/>
          <w:color w:val="000000"/>
          <w:sz w:val="22"/>
          <w:szCs w:val="22"/>
          <w:lang w:val="en-GB"/>
        </w:rPr>
        <w:fldChar w:fldCharType="end"/>
      </w:r>
      <w:r w:rsidRPr="004E053C">
        <w:rPr>
          <w:rFonts w:cstheme="majorHAnsi"/>
          <w:color w:val="000000"/>
          <w:sz w:val="22"/>
          <w:szCs w:val="22"/>
          <w:lang w:val="en-GB"/>
        </w:rPr>
        <w:t xml:space="preserve">. Secondly, it draws attention </w:t>
      </w:r>
      <w:r w:rsidRPr="004E053C">
        <w:rPr>
          <w:rFonts w:cstheme="majorHAnsi"/>
          <w:sz w:val="22"/>
          <w:szCs w:val="22"/>
          <w:lang w:val="en-GB"/>
        </w:rPr>
        <w:t xml:space="preserve">to the fragmented nature of social and spatial livelihood trajectories </w:t>
      </w:r>
      <w:r w:rsidR="005850CA"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Haan","given":"Leo","non-dropping-particle":"De","parse-names":false,"suffix":""},{"dropping-particle":"","family":"Zoomers","given":"Annelies","non-dropping-particle":"","parse-names":false,"suffix":""}],"container-title":"Development and Change","id":"ITEM-1","issue":"1","issued":{"date-parts":[["2005"]]},"page":"27-47","title":"Exploring the frontier of livelihoods research","type":"article-journal","volume":"36"},"uris":["http://www.mendeley.com/documents/?uuid=4fb7feee-443e-4bb5-8bef-76e0d2672510"]},{"id":"ITEM-2","itemData":{"author":[{"dropping-particle":"","family":"Etzold","given":"Benjamin","non-dropping-particle":"","parse-names":false,"suffix":""}],"chapter-number":"3","container-title":"Livelihoods and Development: New Perspectives","editor":[{"dropping-particle":"","family":"Leo de Haan","given":"","non-dropping-particle":"","parse-names":false,"suffix":""}],"id":"ITEM-2","issued":{"date-parts":[["2017"]]},"page":"44-68","publisher":"Brill","publisher-place":"Leiden","title":"Mobility,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studies","type":"chapter"},"uris":["http://www.mendeley.com/documents/?uuid=8669327d-3056-4ab8-9bc0-8022e5d3152f"]}],"mendeley":{"formattedCitation":"(De Haan &amp; Zoomers, 2005; Etzold, 2017)","plainTextFormattedCitation":"(De Haan &amp; Zoomers, 2005; Etzold, 2017)","previouslyFormattedCitation":"(De Haan &amp; Zoomers, 2005; Etzold, 2017)"},"properties":{"noteIndex":0},"schema":"https://github.com/citation-style-language/schema/raw/master/csl-citation.json"}</w:instrText>
      </w:r>
      <w:r w:rsidR="005850CA" w:rsidRPr="004E053C">
        <w:rPr>
          <w:rFonts w:cstheme="majorHAnsi"/>
          <w:sz w:val="22"/>
          <w:szCs w:val="22"/>
          <w:lang w:val="en-GB"/>
        </w:rPr>
        <w:fldChar w:fldCharType="separate"/>
      </w:r>
      <w:r w:rsidR="005850CA" w:rsidRPr="004E053C">
        <w:rPr>
          <w:rFonts w:cstheme="majorHAnsi"/>
          <w:noProof/>
          <w:sz w:val="22"/>
          <w:szCs w:val="22"/>
          <w:lang w:val="en-GB"/>
        </w:rPr>
        <w:t>(De Haan &amp; Zoomers, 2005; Etzold, 2017)</w:t>
      </w:r>
      <w:r w:rsidR="005850CA" w:rsidRPr="004E053C">
        <w:rPr>
          <w:rFonts w:cstheme="majorHAnsi"/>
          <w:sz w:val="22"/>
          <w:szCs w:val="22"/>
          <w:lang w:val="en-GB"/>
        </w:rPr>
        <w:fldChar w:fldCharType="end"/>
      </w:r>
      <w:r w:rsidRPr="004E053C">
        <w:rPr>
          <w:rFonts w:cstheme="majorHAnsi"/>
          <w:sz w:val="22"/>
          <w:szCs w:val="22"/>
          <w:lang w:val="en-GB"/>
        </w:rPr>
        <w:t xml:space="preserve">. This is important, as ASM livelihoods are not homogenous and yet the literature thus far </w:t>
      </w:r>
      <w:r w:rsidR="008300B6" w:rsidRPr="004E053C">
        <w:rPr>
          <w:rFonts w:cstheme="majorHAnsi"/>
          <w:sz w:val="22"/>
          <w:szCs w:val="22"/>
          <w:lang w:val="en-GB"/>
        </w:rPr>
        <w:t>has little to say about how their trajectories</w:t>
      </w:r>
      <w:r w:rsidRPr="004E053C">
        <w:rPr>
          <w:rFonts w:cstheme="majorHAnsi"/>
          <w:sz w:val="22"/>
          <w:szCs w:val="22"/>
          <w:lang w:val="en-GB"/>
        </w:rPr>
        <w:t xml:space="preserve"> are divergent. As these are both key questions arising from gaps in the literature, a conceptualisation of livelihood as a social practice that occurs within a social field provides the necessary grounding for a thorough analysis. </w:t>
      </w:r>
      <w:r w:rsidR="008300B6" w:rsidRPr="004E053C">
        <w:rPr>
          <w:rFonts w:cstheme="majorHAnsi"/>
          <w:sz w:val="22"/>
          <w:szCs w:val="22"/>
          <w:lang w:val="en-GB"/>
        </w:rPr>
        <w:t>B</w:t>
      </w:r>
      <w:r w:rsidRPr="004E053C">
        <w:rPr>
          <w:rFonts w:cstheme="majorHAnsi"/>
          <w:sz w:val="22"/>
          <w:szCs w:val="22"/>
          <w:lang w:val="en-GB"/>
        </w:rPr>
        <w:t xml:space="preserve">efore discussing this in detail in the following sections I will explain how traditional approaches to understanding migration are not applicable to the ASM sector. </w:t>
      </w:r>
    </w:p>
    <w:p w14:paraId="4FE3E0B0" w14:textId="77777777" w:rsidR="00FE47C4" w:rsidRPr="004E053C" w:rsidRDefault="00FE47C4" w:rsidP="004E053C">
      <w:pPr>
        <w:spacing w:line="360" w:lineRule="auto"/>
        <w:jc w:val="both"/>
        <w:rPr>
          <w:rFonts w:cstheme="majorHAnsi"/>
          <w:sz w:val="22"/>
          <w:szCs w:val="22"/>
          <w:lang w:val="en-GB"/>
        </w:rPr>
      </w:pPr>
    </w:p>
    <w:p w14:paraId="742FA384" w14:textId="4F2A7C76" w:rsidR="00FE47C4" w:rsidRPr="004E053C" w:rsidRDefault="00EA7F83" w:rsidP="004E053C">
      <w:pPr>
        <w:pStyle w:val="Heading3"/>
        <w:rPr>
          <w:rFonts w:asciiTheme="minorHAnsi" w:hAnsiTheme="minorHAnsi"/>
          <w:lang w:eastAsia="zh-CN"/>
        </w:rPr>
      </w:pPr>
      <w:r w:rsidRPr="004E053C">
        <w:rPr>
          <w:rFonts w:asciiTheme="minorHAnsi" w:hAnsiTheme="minorHAnsi"/>
          <w:lang w:eastAsia="zh-CN"/>
        </w:rPr>
        <w:t>4</w:t>
      </w:r>
      <w:r w:rsidR="00FE47C4" w:rsidRPr="004E053C">
        <w:rPr>
          <w:rFonts w:asciiTheme="minorHAnsi" w:hAnsiTheme="minorHAnsi"/>
          <w:lang w:eastAsia="zh-CN"/>
        </w:rPr>
        <w:t>.2.2. Migration as a livelihood strategy</w:t>
      </w:r>
    </w:p>
    <w:p w14:paraId="62A0E827" w14:textId="77777777" w:rsidR="00FE47C4" w:rsidRPr="004E053C" w:rsidRDefault="00FE47C4" w:rsidP="004E053C">
      <w:pPr>
        <w:spacing w:line="360" w:lineRule="auto"/>
        <w:jc w:val="both"/>
        <w:rPr>
          <w:rFonts w:cstheme="majorHAnsi"/>
          <w:lang w:val="en-GB" w:eastAsia="zh-CN"/>
        </w:rPr>
      </w:pPr>
    </w:p>
    <w:p w14:paraId="51F6FAE8" w14:textId="12243E77"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For many years livelihoods were treated as if they were localised, partly as a result of a focus on the household as a spatially bounded entity </w:t>
      </w:r>
      <w:r w:rsidR="005850CA" w:rsidRPr="004E053C">
        <w:rPr>
          <w:rFonts w:cstheme="majorHAnsi"/>
          <w:sz w:val="22"/>
          <w:szCs w:val="22"/>
          <w:lang w:val="en-GB" w:eastAsia="zh-CN"/>
        </w:rPr>
        <w:fldChar w:fldCharType="begin" w:fldLock="1"/>
      </w:r>
      <w:r w:rsidR="005D0B08">
        <w:rPr>
          <w:rFonts w:cstheme="majorHAnsi"/>
          <w:sz w:val="22"/>
          <w:szCs w:val="22"/>
          <w:lang w:val="en-GB" w:eastAsia="zh-CN"/>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id":"ITEM-2","itemData":{"author":[{"dropping-particle":"","family":"Steinbrink","given":"Malte","non-dropping-particle":"","parse-names":false,"suffix":""}],"container-title":"Etude de la Population Africaine/African Population Studies","id":"ITEM-2","issued":{"date-parts":[["2009"]]},"page":"219-252","title":"Urbanisation, poverty and translocality: insights from South Africa","type":"article-journal","volume":"23"},"uris":["http://www.mendeley.com/documents/?uuid=73471f27-74d4-4cda-9d28-bfa63481d3fb"]}],"mendeley":{"formattedCitation":"(B Lohnert &amp; Steinbrink, 2005; Steinbrink, 2009)","manualFormatting":"(Lohnert &amp; Steinbrink, 2005; Steinbrink, 2009)","plainTextFormattedCitation":"(B Lohnert &amp; Steinbrink, 2005; Steinbrink, 2009)","previouslyFormattedCitation":"(B Lohnert &amp; Steinbrink, 2005; Steinbrink, 2009)"},"properties":{"noteIndex":0},"schema":"https://github.com/citation-style-language/schema/raw/master/csl-citation.json"}</w:instrText>
      </w:r>
      <w:r w:rsidR="005850CA" w:rsidRPr="004E053C">
        <w:rPr>
          <w:rFonts w:cstheme="majorHAnsi"/>
          <w:sz w:val="22"/>
          <w:szCs w:val="22"/>
          <w:lang w:val="en-GB" w:eastAsia="zh-CN"/>
        </w:rPr>
        <w:fldChar w:fldCharType="separate"/>
      </w:r>
      <w:r w:rsidR="005850CA" w:rsidRPr="004E053C">
        <w:rPr>
          <w:rFonts w:cstheme="majorHAnsi"/>
          <w:noProof/>
          <w:sz w:val="22"/>
          <w:szCs w:val="22"/>
          <w:lang w:val="en-GB" w:eastAsia="zh-CN"/>
        </w:rPr>
        <w:t>(Lohnert &amp; Steinbrink, 2005; Steinbrink, 2009)</w:t>
      </w:r>
      <w:r w:rsidR="005850CA" w:rsidRPr="004E053C">
        <w:rPr>
          <w:rFonts w:cstheme="majorHAnsi"/>
          <w:sz w:val="22"/>
          <w:szCs w:val="22"/>
          <w:lang w:val="en-GB" w:eastAsia="zh-CN"/>
        </w:rPr>
        <w:fldChar w:fldCharType="end"/>
      </w:r>
      <w:r w:rsidR="005850CA" w:rsidRPr="004E053C">
        <w:rPr>
          <w:rFonts w:cstheme="majorHAnsi"/>
          <w:sz w:val="22"/>
          <w:szCs w:val="22"/>
          <w:lang w:val="en-GB" w:eastAsia="zh-CN"/>
        </w:rPr>
        <w:t>.</w:t>
      </w:r>
      <w:r w:rsidRPr="004E053C">
        <w:rPr>
          <w:rFonts w:cstheme="majorHAnsi"/>
          <w:sz w:val="22"/>
          <w:szCs w:val="22"/>
          <w:lang w:val="en-GB" w:eastAsia="zh-CN"/>
        </w:rPr>
        <w:t xml:space="preserve"> In recent years, there has been much literature that has focused on the role of migration in livelihood strategies. Many researchers have looked into the various push and pull factors that lead to migration </w:t>
      </w:r>
      <w:r w:rsidR="005850CA" w:rsidRPr="004E053C">
        <w:rPr>
          <w:rFonts w:cstheme="majorHAnsi"/>
          <w:sz w:val="22"/>
          <w:szCs w:val="22"/>
          <w:lang w:val="en-GB" w:eastAsia="zh-CN"/>
        </w:rPr>
        <w:fldChar w:fldCharType="begin" w:fldLock="1"/>
      </w:r>
      <w:r w:rsidR="005D0B08">
        <w:rPr>
          <w:rFonts w:cstheme="majorHAnsi"/>
          <w:sz w:val="22"/>
          <w:szCs w:val="22"/>
          <w:lang w:val="en-GB" w:eastAsia="zh-CN"/>
        </w:rPr>
        <w:instrText>ADDIN CSL_CITATION {"citationItems":[{"id":"ITEM-1","itemData":{"author":[{"dropping-particle":"","family":"Glick Schiller","given":"Nina","non-dropping-particle":"","parse-names":false,"suffix":""},{"dropping-particle":"","family":"Basch","given":"Linda","non-dropping-particle":"","parse-names":false,"suffix":""},{"dropping-particle":"","family":"Blanc-Szanton","given":"Cristina","non-dropping-particle":"","parse-names":false,"suffix":""}],"container-title":"Towards a Transnational Perspective on Migration: Race, Class, Ethnicity, and Nationalism Reconsidered","editor":[{"dropping-particle":"","family":"Glick Schiller","given":"Nina","non-dropping-particle":"","parse-names":false,"suffix":""},{"dropping-particle":"","family":"Basch","given":"Linda","non-dropping-particle":"","parse-names":false,"suffix":""},{"dropping-particle":"","family":"Blanc-Szanton","given":"Cristina","non-dropping-particle":"","parse-names":false,"suffix":""}],"id":"ITEM-1","issued":{"date-parts":[["1992"]]},"page":"1-24","publisher":"New York Academy of Sciences","publisher-place":"New York, NY","title":"Transnationalism: A new analytic framework for understanding migration","type":"chapter"},"uris":["http://www.mendeley.com/documents/?uuid=08c261fc-66b0-4e2d-977b-14375080c79f"]},{"id":"ITEM-2","itemData":{"author":[{"dropping-particle":"","family":"Olwig","given":"F.K","non-dropping-particle":"","parse-names":false,"suffix":""},{"dropping-particle":"","family":"Sørensen","given":"Ninna Nyberg","non-dropping-particle":"","parse-names":false,"suffix":""}],"chapter-number":"Introducti","container-title":"Work and Migration: Life and Livelihoods in a Globalizing World","editor":[{"dropping-particle":"","family":"Olwig","given":"F.K","non-dropping-particle":"","parse-names":false,"suffix":""},{"dropping-particle":"","family":"Sorensen","given":"N.N","non-dropping-particle":"","parse-names":false,"suffix":""}],"id":"ITEM-2","issued":{"date-parts":[["2002"]]},"page":"1-19","publisher":"Routledge","publisher-place":"London, UK","title":"Mobile livelihoods: making a living in the world","type":"chapter"},"uris":["http://www.mendeley.com/documents/?uuid=17d3b3f6-2cfc-4b26-8c34-b459edb1d851"]}],"mendeley":{"formattedCitation":"(Glick Schiller, Basch, &amp; Blanc-Szanton, 1992; F. . Olwig &amp; Sørensen, 2002)","manualFormatting":"(Glick Schiller et al, 1992; Olwig &amp; Sorensen, 2002)","plainTextFormattedCitation":"(Glick Schiller, Basch, &amp; Blanc-Szanton, 1992; F. . Olwig &amp; Sørensen, 2002)","previouslyFormattedCitation":"(Glick Schiller, Basch, &amp; Blanc-Szanton, 1992; F. . Olwig &amp; Sørensen, 2002)"},"properties":{"noteIndex":0},"schema":"https://github.com/citation-style-language/schema/raw/master/csl-citation.json"}</w:instrText>
      </w:r>
      <w:r w:rsidR="005850CA" w:rsidRPr="004E053C">
        <w:rPr>
          <w:rFonts w:cstheme="majorHAnsi"/>
          <w:sz w:val="22"/>
          <w:szCs w:val="22"/>
          <w:lang w:val="en-GB" w:eastAsia="zh-CN"/>
        </w:rPr>
        <w:fldChar w:fldCharType="separate"/>
      </w:r>
      <w:r w:rsidR="005850CA" w:rsidRPr="004E053C">
        <w:rPr>
          <w:rFonts w:cstheme="majorHAnsi"/>
          <w:noProof/>
          <w:sz w:val="22"/>
          <w:szCs w:val="22"/>
          <w:lang w:val="en-GB" w:eastAsia="zh-CN"/>
        </w:rPr>
        <w:t xml:space="preserve">(Glick Schiller et al, 1992; </w:t>
      </w:r>
      <w:r w:rsidR="00AE3ED3" w:rsidRPr="004E053C">
        <w:rPr>
          <w:rFonts w:cstheme="majorHAnsi"/>
          <w:noProof/>
          <w:sz w:val="22"/>
          <w:szCs w:val="22"/>
          <w:lang w:val="en-GB" w:eastAsia="zh-CN"/>
        </w:rPr>
        <w:t>Olwig &amp; Sorensen, 2002</w:t>
      </w:r>
      <w:r w:rsidR="005850CA" w:rsidRPr="004E053C">
        <w:rPr>
          <w:rFonts w:cstheme="majorHAnsi"/>
          <w:noProof/>
          <w:sz w:val="22"/>
          <w:szCs w:val="22"/>
          <w:lang w:val="en-GB" w:eastAsia="zh-CN"/>
        </w:rPr>
        <w:t>)</w:t>
      </w:r>
      <w:r w:rsidR="005850CA" w:rsidRPr="004E053C">
        <w:rPr>
          <w:rFonts w:cstheme="majorHAnsi"/>
          <w:sz w:val="22"/>
          <w:szCs w:val="22"/>
          <w:lang w:val="en-GB" w:eastAsia="zh-CN"/>
        </w:rPr>
        <w:fldChar w:fldCharType="end"/>
      </w:r>
      <w:r w:rsidRPr="004E053C">
        <w:rPr>
          <w:rFonts w:cstheme="majorHAnsi"/>
          <w:sz w:val="22"/>
          <w:szCs w:val="22"/>
          <w:lang w:val="en-GB" w:eastAsia="zh-CN"/>
        </w:rPr>
        <w:t>. Thus</w:t>
      </w:r>
      <w:r w:rsidR="005850CA" w:rsidRPr="004E053C">
        <w:rPr>
          <w:rFonts w:cstheme="majorHAnsi"/>
          <w:sz w:val="22"/>
          <w:szCs w:val="22"/>
          <w:lang w:val="en-GB" w:eastAsia="zh-CN"/>
        </w:rPr>
        <w:t>,</w:t>
      </w:r>
      <w:r w:rsidRPr="004E053C">
        <w:rPr>
          <w:rFonts w:cstheme="majorHAnsi"/>
          <w:sz w:val="22"/>
          <w:szCs w:val="22"/>
          <w:lang w:val="en-GB" w:eastAsia="zh-CN"/>
        </w:rPr>
        <w:t xml:space="preserve"> migration has been viewed as a coping mechanism through which to </w:t>
      </w:r>
      <w:r w:rsidR="002A79E3" w:rsidRPr="004E053C">
        <w:rPr>
          <w:rFonts w:cstheme="majorHAnsi"/>
          <w:sz w:val="22"/>
          <w:szCs w:val="22"/>
          <w:lang w:val="en-GB" w:eastAsia="zh-CN"/>
        </w:rPr>
        <w:t>deal with</w:t>
      </w:r>
      <w:r w:rsidR="002077F0" w:rsidRPr="004E053C">
        <w:rPr>
          <w:rFonts w:cstheme="majorHAnsi"/>
          <w:sz w:val="22"/>
          <w:szCs w:val="22"/>
          <w:lang w:val="en-GB" w:eastAsia="zh-CN"/>
        </w:rPr>
        <w:t xml:space="preserve"> </w:t>
      </w:r>
      <w:r w:rsidR="002A79E3" w:rsidRPr="004E053C">
        <w:rPr>
          <w:rFonts w:cstheme="majorHAnsi"/>
          <w:sz w:val="22"/>
          <w:szCs w:val="22"/>
          <w:lang w:val="en-GB" w:eastAsia="zh-CN"/>
        </w:rPr>
        <w:t xml:space="preserve">poverty, </w:t>
      </w:r>
      <w:r w:rsidRPr="004E053C">
        <w:rPr>
          <w:rFonts w:cstheme="majorHAnsi"/>
          <w:sz w:val="22"/>
          <w:szCs w:val="22"/>
          <w:lang w:val="en-GB" w:eastAsia="zh-CN"/>
        </w:rPr>
        <w:t xml:space="preserve">shocks </w:t>
      </w:r>
      <w:r w:rsidR="008300B6" w:rsidRPr="004E053C">
        <w:rPr>
          <w:rFonts w:cstheme="majorHAnsi"/>
          <w:sz w:val="22"/>
          <w:szCs w:val="22"/>
          <w:lang w:val="en-GB" w:eastAsia="zh-CN"/>
        </w:rPr>
        <w:t>and vulnerability</w:t>
      </w:r>
      <w:r w:rsidR="002A79E3" w:rsidRPr="004E053C">
        <w:rPr>
          <w:rFonts w:cstheme="majorHAnsi"/>
          <w:sz w:val="22"/>
          <w:szCs w:val="22"/>
          <w:lang w:val="en-GB" w:eastAsia="zh-CN"/>
        </w:rPr>
        <w:t xml:space="preserve"> </w:t>
      </w:r>
      <w:r w:rsidR="002A79E3" w:rsidRPr="004E053C">
        <w:rPr>
          <w:rFonts w:cstheme="majorHAnsi"/>
          <w:sz w:val="22"/>
          <w:szCs w:val="22"/>
          <w:lang w:val="en-GB" w:eastAsia="zh-CN"/>
        </w:rPr>
        <w:fldChar w:fldCharType="begin" w:fldLock="1"/>
      </w:r>
      <w:r w:rsidR="00A65956" w:rsidRPr="004E053C">
        <w:rPr>
          <w:rFonts w:cstheme="majorHAnsi"/>
          <w:sz w:val="22"/>
          <w:szCs w:val="22"/>
          <w:lang w:val="en-GB" w:eastAsia="zh-CN"/>
        </w:rPr>
        <w:instrText>ADDIN CSL_CITATION {"citationItems":[{"id":"ITEM-1","itemData":{"author":[{"dropping-particle":"","family":"Adger","given":"W. Neil","non-dropping-particle":"","parse-names":false,"suffix":""}],"container-title":"Global Environmental Change","id":"ITEM-1","issue":"3","issued":{"date-parts":[["2006"]]},"page":"268-281","title":"Vulnerability","type":"article-journal","volume":"16"},"uris":["http://www.mendeley.com/documents/?uuid=39bd90b5-e9f0-4b25-b164-ceec0b7bcbad"]},{"id":"ITEM-2","itemData":{"abstract":"Based on qualitative fieldwork, this study analyses reasons and outcomes of fishers’ migration in Bangladesh. The results show that fishers’ livelihoods are characterised by a series of vulnerabilities and endemic poverty contributing to their migration decisions. However, fishers also migrate pro-actively to enhance their capacities and explore opportunities. The outcomes of migration are highly diverging: while for poorer fishers, migration is a way of coping with shocks, better resourced fishers can use it for asset accumulation. The importance of migration for their livelihoods and emerging networks across space generate forms of translocal households that coordinate their activities over long distances.","author":[{"dropping-particle":"","family":"Islam","given":"Mohammad Mahmudul","non-dropping-particle":"","parse-names":false,"suffix":""},{"dropping-particle":"","family":"Herbeck","given":"Johannes","non-dropping-particle":"","parse-names":false,"suffix":""}],"container-title":"The Journal of Development Studies","id":"ITEM-2","issue":"6","issued":{"date-parts":[["2013"]]},"page":"1-14","title":"Migration and translocal livelihoods of coastal small-scale fishers in Bangladesh","type":"article-journal","volume":"49"},"uris":["http://www.mendeley.com/documents/?uuid=2af1f3d3-bc4c-48dd-90fe-c5e4a832bdf9"]},{"id":"ITEM-3","itemData":{"author":[{"dropping-particle":"","family":"Schöfberger","given":"Irene","non-dropping-particle":"","parse-names":false,"suffix":""}],"container-title":"Geographica Helvetica","id":"ITEM-3","issued":{"date-parts":[["2017"]]},"page":"145–155","title":"How do places of origin influence access to mobility in the global age? An analysis of the influence of vulnerability and structural constraints on Senegalese translocal livelihood strategies","type":"article-journal","volume":"72"},"uris":["http://www.mendeley.com/documents/?uuid=417e9e61-3fe2-4096-bac6-b88eb801f39c"]},{"id":"ITEM-4","itemData":{"author":[{"dropping-particle":"","family":"Warner","given":"K","non-dropping-particle":"","parse-names":false,"suffix":""},{"dropping-particle":"","family":"Ehrhart","given":"Charles","non-dropping-particle":"","parse-names":false,"suffix":""},{"dropping-particle":"de","family":"Sherbinin","given":"Alex","non-dropping-particle":"","parse-names":false,"suffix":""},{"dropping-particle":"","family":"Adamo","given":"Susana","non-dropping-particle":"","parse-names":false,"suffix":""},{"dropping-particle":"","family":"Chai-Onn","given":"Tricia","non-dropping-particle":"","parse-names":false,"suffix":""}],"id":"ITEM-4","issued":{"date-parts":[["2009"]]},"publisher-place":"Chatelaie, Switzerland","title":"In Search of Shelter: Mapping the Effects of Climte Chage on Human Migration and Displacement","type":"report"},"uris":["http://www.mendeley.com/documents/?uuid=85fe41b7-5993-4f60-8260-a95557026631"]},{"id":"ITEM-5","itemData":{"author":[{"dropping-particle":"","family":"Henry","given":"S","non-dropping-particle":"","parse-names":false,"suffix":""},{"dropping-particle":"","family":"Boyle","given":"PJ","non-dropping-particle":"","parse-names":false,"suffix":""},{"dropping-particle":"","family":"Lambin","given":"EF","non-dropping-particle":"","parse-names":false,"suffix":""}],"container-title":"Applied Geography","id":"ITEM-5","issue":"04","issued":{"date-parts":[["2003"]]},"page":"115-136","title":"Modelling inter-provincial migration in Burkina Faso, West Africa: the role of socio-demographic and environmental factors","type":"article-journal","volume":"23"},"uris":["http://www.mendeley.com/documents/?uuid=49e5a517-1201-4415-8bef-fa26923090f9"]},{"id":"ITEM-6","itemData":{"ISBN":"9781843698081","abstract":"This paper argues that migration is better defined as an adaptive response to socio-economic, cultural, political and environmental transformations, in most instances closely linked to the need to diversify income sources and reduce dependency on natural resources.","author":[{"dropping-particle":"","family":"Tacoli","given":"Cecilia","non-dropping-particle":"","parse-names":false,"suffix":""}],"collection-title":"Human Settlements","container-title":"Rural-Urban Interactions and Livelihood Strategies","id":"ITEM-6","issue":"28","issued":{"date-parts":[["2011"]]},"number":"28","publisher-place":"London","title":"Not only climate change: mobility, vulnerability and socio-economic transformations in environmentally fragile areas of Bolivia, Senegal and Tanzania","type":"report"},"uris":["http://www.mendeley.com/documents/?uuid=bbbef388-7509-3b55-999d-253f5d79bb63"]}],"mendeley":{"formattedCitation":"(Adger, 2006; Henry, Boyle, &amp; Lambin, 2003; Islam &amp; Herbeck, 2013; Schöfberger, 2017; Cecilia Tacoli, 2011; Warner, Ehrhart, Sherbinin, Adamo, &amp; Chai-Onn, 2009)","manualFormatting":"(Adger, 2006; Henry, Boyle &amp; Lambin, 2003; Islam &amp; Herbeck, 2013; Schöfberger, 2017; Tacoli, 2011; Warner et al., 2009)","plainTextFormattedCitation":"(Adger, 2006; Henry, Boyle, &amp; Lambin, 2003; Islam &amp; Herbeck, 2013; Schöfberger, 2017; Cecilia Tacoli, 2011; Warner, Ehrhart, Sherbinin, Adamo, &amp; Chai-Onn, 2009)","previouslyFormattedCitation":"(Adger, 2006; Henry, Boyle, &amp; Lambin, 2003; Islam &amp; Herbeck, 2013; Schöfberger, 2017; Cecilia Tacoli, 2011; Warner, Ehrhart, Sherbinin, Adamo, &amp; Chai-Onn, 2009)"},"properties":{"noteIndex":0},"schema":"https://github.com/citation-style-language/schema/raw/master/csl-citation.json"}</w:instrText>
      </w:r>
      <w:r w:rsidR="002A79E3" w:rsidRPr="004E053C">
        <w:rPr>
          <w:rFonts w:cstheme="majorHAnsi"/>
          <w:sz w:val="22"/>
          <w:szCs w:val="22"/>
          <w:lang w:val="en-GB" w:eastAsia="zh-CN"/>
        </w:rPr>
        <w:fldChar w:fldCharType="separate"/>
      </w:r>
      <w:r w:rsidR="002A79E3" w:rsidRPr="004E053C">
        <w:rPr>
          <w:rFonts w:cstheme="majorHAnsi"/>
          <w:noProof/>
          <w:sz w:val="22"/>
          <w:szCs w:val="22"/>
          <w:lang w:val="en-GB" w:eastAsia="zh-CN"/>
        </w:rPr>
        <w:t>(Adger, 2006; Henry, Boyle &amp; Lambin, 2003; Islam &amp; Herbeck, 2013; Schöfberger, 2017; Tacoli, 2011; Warner et al., 2009)</w:t>
      </w:r>
      <w:r w:rsidR="002A79E3" w:rsidRPr="004E053C">
        <w:rPr>
          <w:rFonts w:cstheme="majorHAnsi"/>
          <w:sz w:val="22"/>
          <w:szCs w:val="22"/>
          <w:lang w:val="en-GB" w:eastAsia="zh-CN"/>
        </w:rPr>
        <w:fldChar w:fldCharType="end"/>
      </w:r>
      <w:r w:rsidR="008300B6" w:rsidRPr="004E053C">
        <w:rPr>
          <w:rFonts w:cstheme="majorHAnsi"/>
          <w:sz w:val="22"/>
          <w:szCs w:val="22"/>
          <w:lang w:val="en-GB" w:eastAsia="zh-CN"/>
        </w:rPr>
        <w:t xml:space="preserve"> </w:t>
      </w:r>
      <w:r w:rsidRPr="004E053C">
        <w:rPr>
          <w:rFonts w:cstheme="majorHAnsi"/>
          <w:sz w:val="22"/>
          <w:szCs w:val="22"/>
          <w:lang w:val="en-GB" w:eastAsia="zh-CN"/>
        </w:rPr>
        <w:lastRenderedPageBreak/>
        <w:t xml:space="preserve">or as an accumulation strategy that provides opportunity to diversify </w:t>
      </w:r>
      <w:r w:rsidR="0002336F"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{"citationItems":[{"id":"ITEM-1","itemData":{"abstract":"Based on qualitative fieldwork, this study analyses reasons and outcomes of fishers’ migration in Bangladesh. The results show that fishers’ livelihoods are characterised by a series of vulnerabilities and endemic poverty contributing to their migration decisions. However, fishers also migrate pro-actively to enhance their capacities and explore opportunities. The outcomes of migration are highly diverging: while for poorer fishers, migration is a way of coping with shocks, better resourced fishers can use it for asset accumulation. The importance of migration for their livelihoods and emerging networks across space generate forms of translocal households that coordinate their activities over long distances.","author":[{"dropping-particle":"","family":"Islam","given":"Mohammad Mahmudul","non-dropping-particle":"","parse-names":false,"suffix":""},{"dropping-particle":"","family":"Herbeck","given":"Johannes","non-dropping-particle":"","parse-names":false,"suffix":""}],"container-title":"The Journal of Development Studies","id":"ITEM-1","issue":"6","issued":{"date-parts":[["2013"]]},"page":"1-14","title":"Migration and translocal livelihoods of coastal small-scale fishers in Bangladesh","type":"article-journal","volume":"49"},"uris":["http://www.mendeley.com/documents/?uuid=2af1f3d3-bc4c-48dd-90fe-c5e4a832bdf9"]}],"mendeley":{"formattedCitation":"(Islam &amp; Herbeck, 2013)","plainTextFormattedCitation":"(Islam &amp; Herbeck, 2013)","previouslyFormattedCitation":"(Islam &amp; Herbeck, 2013)"},"properties":{"noteIndex":0},"schema":"https://github.com/citation-style-language/schema/raw/master/csl-citation.json"}</w:instrText>
      </w:r>
      <w:r w:rsidR="0002336F" w:rsidRPr="004E053C">
        <w:rPr>
          <w:rFonts w:cstheme="majorHAnsi"/>
          <w:sz w:val="22"/>
          <w:szCs w:val="22"/>
          <w:lang w:val="en-GB" w:eastAsia="zh-CN"/>
        </w:rPr>
        <w:fldChar w:fldCharType="separate"/>
      </w:r>
      <w:r w:rsidR="0002336F" w:rsidRPr="004E053C">
        <w:rPr>
          <w:rFonts w:cstheme="majorHAnsi"/>
          <w:noProof/>
          <w:sz w:val="22"/>
          <w:szCs w:val="22"/>
          <w:lang w:val="en-GB" w:eastAsia="zh-CN"/>
        </w:rPr>
        <w:t>(Islam &amp; Herbeck, 2013)</w:t>
      </w:r>
      <w:r w:rsidR="0002336F" w:rsidRPr="004E053C">
        <w:rPr>
          <w:rFonts w:cstheme="majorHAnsi"/>
          <w:sz w:val="22"/>
          <w:szCs w:val="22"/>
          <w:lang w:val="en-GB" w:eastAsia="zh-CN"/>
        </w:rPr>
        <w:fldChar w:fldCharType="end"/>
      </w:r>
      <w:r w:rsidRPr="004E053C">
        <w:rPr>
          <w:rFonts w:cstheme="majorHAnsi"/>
          <w:sz w:val="22"/>
          <w:szCs w:val="22"/>
          <w:lang w:val="en-GB" w:eastAsia="zh-CN"/>
        </w:rPr>
        <w:t xml:space="preserve">. What is known is that mobile populations are the norm in human history, not the exception, but also that it is often not the truly poor that migrate </w:t>
      </w:r>
      <w:r w:rsidR="0002336F"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{"citationItems":[{"id":"ITEM-1","itemData":{"author":[{"dropping-particle":"","family":"Ellis","given":"Frank","non-dropping-particle":"","parse-names":false,"suffix":""}],"id":"ITEM-1","issued":{"date-parts":[["2003"]]},"number-of-pages":"21","publisher-place":"London, UK","title":"A livelihoods Approach to Migration and Poverty Reduction","type":"report"},"uris":["http://www.mendeley.com/documents/?uuid=892c69ea-8863-47f6-bdfc-c529056562ec"]},{"id":"ITEM-2","itemData":{"abstract":"Based on qualitative fieldwork, this study analyses reasons and outcomes of fishers’ migration in Bangladesh. The results show that fishers’ livelihoods are characterised by a series of vulnerabilities and endemic poverty contributing to their migration decisions. However, fishers also migrate pro-actively to enhance their capacities and explore opportunities. The outcomes of migration are highly diverging: while for poorer fishers, migration is a way of coping with shocks, better resourced fishers can use it for asset accumulation. The importance of migration for their livelihoods and emerging networks across space generate forms of translocal households that coordinate their activities over long distances.","author":[{"dropping-particle":"","family":"Islam","given":"Mohammad Mahmudul","non-dropping-particle":"","parse-names":false,"suffix":""},{"dropping-particle":"","family":"Herbeck","given":"Johannes","non-dropping-particle":"","parse-names":false,"suffix":""}],"container-title":"The Journal of Development Studies","id":"ITEM-2","issue":"6","issued":{"date-parts":[["2013"]]},"page":"1-14","title":"Migration and translocal livelihoods of coastal small-scale fishers in Bangladesh","type":"article-journal","volume":"49"},"uris":["http://www.mendeley.com/documents/?uuid=2af1f3d3-bc4c-48dd-90fe-c5e4a832bdf9"]},{"id":"ITEM-3","itemData":{"author":[{"dropping-particle":"","family":"Sørensen","given":"N","non-dropping-particle":"","parse-names":false,"suffix":""}],"container-title":"Work and Migration: Life and Livelihoods in a Globalizing World","editor":[{"dropping-particle":"","family":"Olwig","given":"K.F","non-dropping-particle":"","parse-names":false,"suffix":""},{"dropping-particle":"","family":"Sorensen","given":"N.N","non-dropping-particle":"","parse-names":false,"suffix":""}],"id":"ITEM-3","issued":{"date-parts":[["2002"]]},"page":"23-44","publisher":"Routledge","publisher-place":"London, UK","title":"Representing the local: mobile livelihood practices in the Peruvian Central Sierra","type":"chapter"},"uris":["http://www.mendeley.com/documents/?uuid=da5c8a60-7323-4b01-846e-4af88ae79834"]},{"id":"ITEM-4","itemData":{"author":[{"dropping-particle":"","family":"Takenaka","given":"Ayumi","non-dropping-particle":"","parse-names":false,"suffix":""},{"dropping-particle":"","family":"Pren","given":"Karen A","non-dropping-particle":"","parse-names":false,"suffix":""}],"container-title":"Latin American Perspectives","id":"ITEM-4","issue":"5","issued":{"date-parts":[["2010"]]},"page":"29-49","title":"Leaving to get ahead: assessing the relationship between mobility and inequality in Peru","type":"article-journal","volume":"37"},"uris":["http://www.mendeley.com/documents/?uuid=507192d7-72a9-4ed4-840b-0bfe0aab6da0"]}],"mendeley":{"formattedCitation":"(Ellis, 2003; Islam &amp; Herbeck, 2013; Sørensen, 2002; Takenaka &amp; Pren, 2010)","plainTextFormattedCitation":"(Ellis, 2003; Islam &amp; Herbeck, 2013; Sørensen, 2002; Takenaka &amp; Pren, 2010)","previouslyFormattedCitation":"(Ellis, 2003; Islam &amp; Herbeck, 2013; Sørensen, 2002; Takenaka &amp; Pren, 2010)"},"properties":{"noteIndex":0},"schema":"https://github.com/citation-style-language/schema/raw/master/csl-citation.json"}</w:instrText>
      </w:r>
      <w:r w:rsidR="0002336F" w:rsidRPr="004E053C">
        <w:rPr>
          <w:rFonts w:cstheme="majorHAnsi"/>
          <w:sz w:val="22"/>
          <w:szCs w:val="22"/>
          <w:lang w:val="en-GB" w:eastAsia="zh-CN"/>
        </w:rPr>
        <w:fldChar w:fldCharType="separate"/>
      </w:r>
      <w:r w:rsidR="00061F17" w:rsidRPr="004E053C">
        <w:rPr>
          <w:rFonts w:cstheme="majorHAnsi"/>
          <w:noProof/>
          <w:sz w:val="22"/>
          <w:szCs w:val="22"/>
          <w:lang w:val="en-GB" w:eastAsia="zh-CN"/>
        </w:rPr>
        <w:t>(Ellis, 2003; Islam &amp; Herbeck, 2013; Sørensen, 2002; Takenaka &amp; Pren, 2010)</w:t>
      </w:r>
      <w:r w:rsidR="0002336F" w:rsidRPr="004E053C">
        <w:rPr>
          <w:rFonts w:cstheme="majorHAnsi"/>
          <w:sz w:val="22"/>
          <w:szCs w:val="22"/>
          <w:lang w:val="en-GB" w:eastAsia="zh-CN"/>
        </w:rPr>
        <w:fldChar w:fldCharType="end"/>
      </w:r>
      <w:r w:rsidRPr="004E053C">
        <w:rPr>
          <w:rFonts w:cstheme="majorHAnsi"/>
          <w:sz w:val="22"/>
          <w:szCs w:val="22"/>
          <w:lang w:val="en-GB" w:eastAsia="zh-CN"/>
        </w:rPr>
        <w:t xml:space="preserve">. This is particularly interesting when applied to ASM, as </w:t>
      </w:r>
      <w:r w:rsidR="008300B6" w:rsidRPr="004E053C">
        <w:rPr>
          <w:rFonts w:cstheme="majorHAnsi"/>
          <w:sz w:val="22"/>
          <w:szCs w:val="22"/>
          <w:lang w:val="en-GB" w:eastAsia="zh-CN"/>
        </w:rPr>
        <w:t xml:space="preserve">previously the entire sector was often </w:t>
      </w:r>
      <w:r w:rsidRPr="004E053C">
        <w:rPr>
          <w:rFonts w:cstheme="majorHAnsi"/>
          <w:sz w:val="22"/>
          <w:szCs w:val="22"/>
          <w:lang w:val="en-GB" w:eastAsia="zh-CN"/>
        </w:rPr>
        <w:t xml:space="preserve">considered to be poverty driven </w:t>
      </w:r>
      <w:r w:rsidR="0002336F"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{"citationItems":[{"id":"ITEM-1","itemData":{"abstract":"This review reflects critically on why, despite its growing economic importance, artisanal and small-scale (ASM) - low-tech, labour-intensive mineral extraction and processing - occupies such a peripheral position on the economic development agenda of sub-Saharan Africa. A poor understanding of the sector's role in the region's liberalized economies has certainly contributed to this oversight; as has the strong influence, at the policymaking level, of unfounded ideas and generalizations about the sector's activities. After providing a brief overview of ASM in sub-Saharan Africa, the paper explores why the sector has yet to make a mark on the region's local economic development agenda and feature prominently in its poverty alleviation strategies. © 2014 Elsevier Ltd.","author":[{"dropping-particle":"","family":"Hilson","given":"G","non-dropping-particle":"","parse-names":false,"suffix":""},{"dropping-particle":"","family":"McQuilken","given":"James","non-dropping-particle":"","parse-names":false,"suffix":""}],"container-title":"Extractive Industries and Society","id":"ITEM-1","issue":"1","issued":{"date-parts":[["2014"]]},"page":"104-118","publisher":"Elsevier Ltd","title":"Four decades of support for artisanal and small-scale mining in sub-Saharan Africa: A critical review","type":"article-journal","volume":"1"},"uris":["http://www.mendeley.com/documents/?uuid=4f1e22db-6dff-45db-9d1f-97fdbb7e9487"]},{"id":"ITEM-2","itemData":{"author":[{"dropping-particle":"","family":"Hentschel","given":"Thomas","non-dropping-particle":"","parse-names":false,"suffix":""},{"dropping-particle":"","family":"Hruschka","given":"Felix","non-dropping-particle":"","parse-names":false,"suffix":""},{"dropping-particle":"","family":"Priester","given":"Michael","non-dropping-particle":"","parse-names":false,"suffix":""}],"id":"ITEM-2","issued":{"date-parts":[["2002"]]},"publisher-place":"London","title":"Global Report on Artisanal and Small-Scale Mining","type":"report"},"uris":["http://www.mendeley.com/documents/?uuid=e0135a32-651f-3a94-9bc5-5c79c798e40e"]},{"id":"ITEM-3","itemData":{"abstract":"This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Policy","id":"ITEM-3","issue":"1-2","issued":{"date-parts":[["2009"]]},"page":"51-56","title":"Artisanal and small-scale mining as an extralegal economy: De Soto and the redefinition of 'formalization'","type":"article-journal","volume":"34"},"uris":["http://www.mendeley.com/documents/?uuid=0cd7f80e-58cc-4421-9a78-f30864db4d69"]},{"id":"ITEM-4","itemData":{"abstract":"This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-4","issue":"6","issued":{"date-parts":[["2007"]]},"page":"1304-1321","title":"Contaminated identities: mercury and marginalization in Ghana's artisanal mining sector","type":"article-journal","volume":"38"},"uris":["http://www.mendeley.com/documents/?uuid=bb6c3eb8-5f3a-408f-89eb-506be52b9a46"]},{"id":"ITEM-5","itemData":{"abstract":"This paper argues that artisanal mining communities are somewhat bound to their operations, and helps explain why formalisation, alternative livelihood projects and military intervention-the traditional strategies employed by governments to tackle illegal mining-have proved ineffective. Findings from recent research carried out in Noyem (Eastern Region of Ghana) are used to illustrate why illegal artisanal mining is such a deeply rooted activity in sub-Saharan Africa. The analysis provides four explanations in support of this: a heavy involvement of traditional leaders in operations; the mindsets of many operators toward alternative income-earning activities; the numerous and diverse range of employment opportunities provided by the sector; and the level of investment in operations. © 2007 Elsevier Ltd. All rights reserved.","author":[{"dropping-particle":"","family":"Banchirigah","given":"Sadia Mohammed","non-dropping-particle":"","parse-names":false,"suffix":""}],"container-title":"Resources Policy","id":"ITEM-5","issue":"1","issued":{"date-parts":[["2008"]]},"page":"29-38","title":"Challenges with eradicating illegal mining in Ghana: a perspective from the grassroots","type":"article-journal","volume":"33"},"uris":["http://www.mendeley.com/documents/?uuid=2da23185-b489-444d-82dd-fb3c99389883"]},{"id":"ITEM-6","itemData":{"abstract":"Much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Policy","id":"ITEM-6","issue":"1-2","issued":{"date-parts":[["2009"]]},"page":"24-31","title":"Recognizing and nurturing artisanal mining as a viable livelihood","type":"article-journal","volume":"34"},"uris":["http://www.mendeley.com/documents/?uuid=5831bb71-6055-493f-9a5a-64dcd06bad59"]},{"id":"ITEM-7","itemData":{"abstract":"This article explores the contribution that artisanal and small-scale mining (ASM) makes to poverty reduction in Tanzania, drawing on findings from research on gold and diamond mining in Mwanza Region. The evidence suggests that people working in mining or related services are less likely to be in poverty than those with other occupations. However, the picture is complex; while mining income can help reduce poverty and provide a buffer from livelihood shocks, people's inability, to obtain a formal mineral claim or to effectively exploit their claims, contributes to insecurity. This is reinforced by a context in which ASM is peripheral to large-scale mining interests, is only gradually being addressed within national poverty reduction policies, and is segregated from district-level planning. © 2009 Elsevier Ltd. All rights reserved.","author":[{"dropping-particle":"","family":"Fisher","given":"Eleanor","non-dropping-particle":"","parse-names":false,"suffix":""},{"dropping-particle":"","family":"Mwaipopo","given":"Rosemarie","non-dropping-particle":"","parse-names":false,"suffix":""},{"dropping-particle":"","family":"Mutagwaba","given":"Wilson","non-dropping-particle":"","parse-names":false,"suffix":""},{"dropping-particle":"","family":"Nyange","given":"David","non-dropping-particle":"","parse-names":false,"suffix":""},{"dropping-particle":"","family":"Yaron","given":"Gil","non-dropping-particle":"","parse-names":false,"suffix":""}],"container-title":"Resources Policy","id":"ITEM-7","issue":"1-2","issued":{"date-parts":[["2009"]]},"page":"32-38","title":"'The ladder that sends us to wealth': artisanal mining and poverty reduction in Tanzania","type":"article-journal","volume":"34"},"uris":["http://www.mendeley.com/documents/?uuid=483936ae-6fbd-4a7e-973d-31df00c70bf3"]},{"id":"ITEM-8","itemData":{"abstract":"This article is one of three synthesis reports resulting from an integrated assessment (IA) of artisanal and small-scale gold mining (ASGM) in Ghana. Given the complexities that involve multiple drivers and diverse disciplines influencing ASGM, an IA framework was used to analyze economic, social, health, and environmental data and to co-develop evidence-based responses in collaboration with pertinent stakeholders. We look at both micro- and macro-economic processes surrounding ASGM, including causes, challenges, and consequences. At the micro-level, social and economic evidence suggests that the principal reasons whereby most people engage in ASGM involve “push” factors aimed at meeting livelihood goals. ASGM provides an important source of income for both proximate and distant communities, representing a means of survival for impoverished farmers as well as an engine for small business growth. However, miners and their families often end up in a “poverty trap” of low productivity and indebtedness, which reduce even further their economic options. At a macro level, Ghana’s ASGM activities contribute significantly to the national economy even though they are sometimes operating illegally and at a disadvantage compared to large-scale industrial mining companies. Nevertheless, complex issues of land tenure, social stability, mining regulation and taxation, and environmental degradation undermine the viability and sustainability of ASGM as a livelihood strategy. Although more research is needed to understand these complex relationships, we point to key findings and insights from social science and economics research that can guide policies and actions aimed to address the unique challenges of ASGM in Ghana and elsewhere.","author":[{"dropping-particle":"","family":"Wilson","given":"Mark L.","non-dropping-particle":"","parse-names":false,"suffix":""},{"dropping-particle":"","family":"Renne","given":"Elisha","non-dropping-particle":"","parse-names":false,"suffix":""},{"dropping-particle":"","family":"Roncoli","given":"Carla","non-dropping-particle":"","parse-names":false,"suffix":""},{"dropping-particle":"","family":"Agyei-Baffour","given":"Peter","non-dropping-particle":"","parse-names":false,"suffix":""},{"dropping-particle":"","family":"Tenkorang","given":"Emmanuel Yamoah","non-dropping-particle":"","parse-names":false,"suffix":""}],"container-title":"International Journal of Environmental Research and Public Health","id":"ITEM-8","issue":"7","issued":{"date-parts":[["2015"]]},"page":"8133–8156","title":"Integrated Assessment of Artisanal and Small-Scale gold mining in Ghana – Part 3: Social Sciences and Economics","type":"article-journal","volume":"27"},"uris":["http://www.mendeley.com/documents/?uuid=1bc895b5-8895-4a70-8044-6ee95aceb669"]}],"mendeley":{"formattedCitation":"(Banchirigah, 2008; Fisher et al., 2009; Hentschel et al., 2002; G Hilson &amp; McQuilken, 2014; Siegel &amp; Veiga, 2009; Tschakert, 2009; Tschakert &amp; Singha, 2007; Wilson et al., 2015)","manualFormatting":"(Banchirigah, 2008; Fisher et al, 2009; Hentschel et al., 2002; Hilson &amp; McQuilken, 2014; Siegel &amp; Veiga, 2009; Tschakert, 2009; Tschakert &amp; Singha, 2007; Wilson et al, 2015)","plainTextFormattedCitation":"(Banchirigah, 2008; Fisher et al., 2009; Hentschel et al., 2002; G Hilson &amp; McQuilken, 2014; Siegel &amp; Veiga, 2009; Tschakert, 2009; Tschakert &amp; Singha, 2007; Wilson et al., 2015)","previouslyFormattedCitation":"(Banchirigah, 2008; Fisher et al., 2009; Hentschel et al., 2002; G Hilson &amp; McQuilken, 2014; Siegel &amp; Veiga, 2009; Tschakert, 2009; Tschakert &amp; Singha, 2007; Wilson et al., 2015)"},"properties":{"noteIndex":0},"schema":"https://github.com/citation-style-language/schema/raw/master/csl-citation.json"}</w:instrText>
      </w:r>
      <w:r w:rsidR="0002336F" w:rsidRPr="004E053C">
        <w:rPr>
          <w:rFonts w:cstheme="majorHAnsi"/>
          <w:sz w:val="22"/>
          <w:szCs w:val="22"/>
          <w:lang w:val="en-GB"/>
        </w:rPr>
        <w:fldChar w:fldCharType="separate"/>
      </w:r>
      <w:r w:rsidR="0002336F" w:rsidRPr="004E053C">
        <w:rPr>
          <w:rFonts w:cstheme="majorHAnsi"/>
          <w:noProof/>
          <w:sz w:val="22"/>
          <w:szCs w:val="22"/>
          <w:lang w:val="en-GB"/>
        </w:rPr>
        <w:t>(Banchirigah, 2008; Fisher et al, 2009; Hentschel et al., 2002; Hilson &amp; McQuilken, 2014; Siegel &amp; Veiga, 2009; Tschakert, 2009; Tschakert &amp; Singha, 2007; Wilson et al, 2015)</w:t>
      </w:r>
      <w:r w:rsidR="0002336F" w:rsidRPr="004E053C">
        <w:rPr>
          <w:rFonts w:cstheme="majorHAnsi"/>
          <w:sz w:val="22"/>
          <w:szCs w:val="22"/>
          <w:lang w:val="en-GB"/>
        </w:rPr>
        <w:fldChar w:fldCharType="end"/>
      </w:r>
      <w:r w:rsidRPr="004E053C">
        <w:rPr>
          <w:rFonts w:cstheme="majorHAnsi"/>
          <w:sz w:val="22"/>
          <w:szCs w:val="22"/>
          <w:lang w:val="en-GB" w:eastAsia="zh-CN"/>
        </w:rPr>
        <w:t xml:space="preserve">. </w:t>
      </w:r>
    </w:p>
    <w:p w14:paraId="2770EAD5" w14:textId="77777777" w:rsidR="00ED3EA5" w:rsidRPr="004E053C" w:rsidRDefault="00ED3EA5" w:rsidP="004E053C">
      <w:pPr>
        <w:spacing w:line="360" w:lineRule="auto"/>
        <w:jc w:val="both"/>
        <w:rPr>
          <w:rFonts w:cstheme="majorHAnsi"/>
          <w:sz w:val="22"/>
          <w:szCs w:val="22"/>
          <w:lang w:val="en-GB" w:eastAsia="zh-CN"/>
        </w:rPr>
      </w:pPr>
    </w:p>
    <w:p w14:paraId="0B046EDA" w14:textId="64CBA1A7" w:rsidR="00FE47C4" w:rsidRPr="004E053C" w:rsidRDefault="00FE47C4"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Migration theories have traditionally focused on linear rural-urban patterns of migration, resulting in mass urbanisation and a Western-style industrial modernity </w:t>
      </w:r>
      <w:r w:rsidR="0002336F"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{"citationItems":[{"id":"ITEM-1","itemData":{"author":[{"dropping-particle":"","family":"Germani","given":"G.","non-dropping-particle":"","parse-names":false,"suffix":""}],"id":"ITEM-1","issued":{"date-parts":[["1969"]]},"publisher":"Paidos","publisher-place":"Buenos Aires","title":"Sociologia de la Modernizacion","type":"book"},"uris":["http://www.mendeley.com/documents/?uuid=d59da37e-ccf7-4f34-8aa7-b73ffcd71922"]},{"id":"ITEM-2","itemData":{"author":[{"dropping-particle":"","family":"Ferguson","given":"James","non-dropping-particle":"","parse-names":false,"suffix":""}],"id":"ITEM-2","issued":{"date-parts":[["1999"]]},"number-of-pages":"348","publisher":"University of California Press","title":"Expectations of Modernity: Myths and Meanings of Urban Life on the Zambian Copperbelt","type":"book"},"uris":["http://www.mendeley.com/documents/?uuid=b47dfa2f-73ef-453b-a1f7-80721fc71d42"]},{"id":"ITEM-3","itemData":{"author":[{"dropping-particle":"","family":"Delgado-Wise","given":"Raúl","non-dropping-particle":"","parse-names":false,"suffix":""}],"container-title":"Annual Review of Sociology","id":"ITEM-3","issued":{"date-parts":[["2014"]]},"page":"643-663","title":"A critical overview of migration and development: the Latin American challenge","type":"article-journal","volume":"40"},"uris":["http://www.mendeley.com/documents/?uuid=847d3ec1-ab7f-4589-a5f6-bb0d28c8e818"]}],"mendeley":{"formattedCitation":"(Delgado-Wise, 2014; Ferguson, 1999; Germani, 1969)","plainTextFormattedCitation":"(Delgado-Wise, 2014; Ferguson, 1999; Germani, 1969)","previouslyFormattedCitation":"(Delgado-Wise, 2014; Ferguson, 1999; Germani, 1969)"},"properties":{"noteIndex":0},"schema":"https://github.com/citation-style-language/schema/raw/master/csl-citation.json"}</w:instrText>
      </w:r>
      <w:r w:rsidR="0002336F" w:rsidRPr="004E053C">
        <w:rPr>
          <w:rFonts w:eastAsia="Times New Roman" w:cstheme="majorHAnsi"/>
          <w:sz w:val="22"/>
          <w:szCs w:val="22"/>
          <w:lang w:val="en-GB"/>
        </w:rPr>
        <w:fldChar w:fldCharType="separate"/>
      </w:r>
      <w:r w:rsidR="0002336F" w:rsidRPr="004E053C">
        <w:rPr>
          <w:rFonts w:eastAsia="Times New Roman" w:cstheme="majorHAnsi"/>
          <w:noProof/>
          <w:sz w:val="22"/>
          <w:szCs w:val="22"/>
          <w:lang w:val="en-GB"/>
        </w:rPr>
        <w:t>(Delgado-Wise, 2014; Ferguson, 1999; Germani, 1969)</w:t>
      </w:r>
      <w:r w:rsidR="0002336F"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but these failed to grasp the complexities of migration patterns. Even when theorists have </w:t>
      </w:r>
      <w:r w:rsidRPr="004E053C">
        <w:rPr>
          <w:rFonts w:cstheme="majorHAnsi"/>
          <w:sz w:val="22"/>
          <w:szCs w:val="22"/>
          <w:lang w:val="en-GB"/>
        </w:rPr>
        <w:t xml:space="preserve">viewed rural-urban migration as a symptom of a global system of exploitation </w:t>
      </w:r>
      <w:r w:rsidR="00C31DF2"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Potter","given":"R","non-dropping-particle":"","parse-names":false,"suffix":""},{"dropping-particle":"","family":"Unwin","given":"T","non-dropping-particle":"","parse-names":false,"suffix":""}],"id":"ITEM-1","issued":{"date-parts":[["1989"]]},"publisher":"Routledge","publisher-place":"London, UK","title":"The Geography of Urban-Rural Interaction in Developing Countries","type":"book"},"uris":["http://www.mendeley.com/documents/?uuid=77dc55a0-d6a1-4988-b488-7315b0fe51a7","http://www.mendeley.com/documents/?uuid=1a1e5172-29eb-4f16-baf6-c7afc80d51cd"]}],"mendeley":{"formattedCitation":"(Potter &amp; Unwin, 1989)","plainTextFormattedCitation":"(Potter &amp; Unwin, 1989)","previouslyFormattedCitation":"(Potter &amp; Unwin, 1989)"},"properties":{"noteIndex":0},"schema":"https://github.com/citation-style-language/schema/raw/master/csl-citation.json"}</w:instrText>
      </w:r>
      <w:r w:rsidR="00C31DF2" w:rsidRPr="004E053C">
        <w:rPr>
          <w:rFonts w:cstheme="majorHAnsi"/>
          <w:sz w:val="22"/>
          <w:szCs w:val="22"/>
          <w:lang w:val="en-GB"/>
        </w:rPr>
        <w:fldChar w:fldCharType="separate"/>
      </w:r>
      <w:r w:rsidR="00C31DF2" w:rsidRPr="004E053C">
        <w:rPr>
          <w:rFonts w:cstheme="majorHAnsi"/>
          <w:noProof/>
          <w:sz w:val="22"/>
          <w:szCs w:val="22"/>
          <w:lang w:val="en-GB"/>
        </w:rPr>
        <w:t>(Potter &amp; Unwin, 1989)</w:t>
      </w:r>
      <w:r w:rsidR="00C31DF2" w:rsidRPr="004E053C">
        <w:rPr>
          <w:rFonts w:cstheme="majorHAnsi"/>
          <w:sz w:val="22"/>
          <w:szCs w:val="22"/>
          <w:lang w:val="en-GB"/>
        </w:rPr>
        <w:fldChar w:fldCharType="end"/>
      </w:r>
      <w:r w:rsidRPr="004E053C">
        <w:rPr>
          <w:rFonts w:cstheme="majorHAnsi"/>
          <w:sz w:val="22"/>
          <w:szCs w:val="22"/>
          <w:lang w:val="en-GB"/>
        </w:rPr>
        <w:t xml:space="preserve">, this still generated an understanding of migration as linear, even if the results for the poor migrants were not likely to be positive. Such theories struggle to acknowledge that rural migrants do not constitute the majority of the urban poor </w:t>
      </w:r>
      <w:r w:rsidR="00C31DF2"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Montgomery","given":"M","non-dropping-particle":"","parse-names":false,"suffix":""},{"dropping-particle":"","family":"Stren","given":"R","non-dropping-particle":"","parse-names":false,"suffix":""},{"dropping-particle":"","family":"Cohen","given":"B","non-dropping-particle":"","parse-names":false,"suffix":""},{"dropping-particle":"","family":"Reed","given":"H","non-dropping-particle":"","parse-names":false,"suffix":""}],"id":"ITEM-1","issued":{"date-parts":[["2004"]]},"publisher":"Earthscan","publisher-place":"London, UK","title":"Cities Transformed: Demographic Change and its Implications in the Developing World","type":"book"},"uris":["http://www.mendeley.com/documents/?uuid=8653b0e7-f307-4e4b-b09f-3428f044e298","http://www.mendeley.com/documents/?uuid=c05ed20e-4c9e-4b1d-9ff7-99cb320ad9a3"]}],"mendeley":{"formattedCitation":"(Montgomery, Stren, Cohen, &amp; Reed, 2004)","manualFormatting":"(Montgomery et al, 2004)","plainTextFormattedCitation":"(Montgomery, Stren, Cohen, &amp; Reed, 2004)","previouslyFormattedCitation":"(Montgomery, Stren, Cohen, &amp; Reed, 2004)"},"properties":{"noteIndex":0},"schema":"https://github.com/citation-style-language/schema/raw/master/csl-citation.json"}</w:instrText>
      </w:r>
      <w:r w:rsidR="00C31DF2" w:rsidRPr="004E053C">
        <w:rPr>
          <w:rFonts w:cstheme="majorHAnsi"/>
          <w:sz w:val="22"/>
          <w:szCs w:val="22"/>
          <w:lang w:val="en-GB"/>
        </w:rPr>
        <w:fldChar w:fldCharType="separate"/>
      </w:r>
      <w:r w:rsidR="00C31DF2" w:rsidRPr="004E053C">
        <w:rPr>
          <w:rFonts w:cstheme="majorHAnsi"/>
          <w:noProof/>
          <w:sz w:val="22"/>
          <w:szCs w:val="22"/>
          <w:lang w:val="en-GB"/>
        </w:rPr>
        <w:t>(Montgomery et al, 2004)</w:t>
      </w:r>
      <w:r w:rsidR="00C31DF2" w:rsidRPr="004E053C">
        <w:rPr>
          <w:rFonts w:cstheme="majorHAnsi"/>
          <w:sz w:val="22"/>
          <w:szCs w:val="22"/>
          <w:lang w:val="en-GB"/>
        </w:rPr>
        <w:fldChar w:fldCharType="end"/>
      </w:r>
      <w:r w:rsidRPr="004E053C">
        <w:rPr>
          <w:rFonts w:cstheme="majorHAnsi"/>
          <w:sz w:val="22"/>
          <w:szCs w:val="22"/>
          <w:lang w:val="en-GB"/>
        </w:rPr>
        <w:t>, and neither are they the only residents of low-income</w:t>
      </w:r>
      <w:r w:rsidR="00A14D78" w:rsidRPr="004E053C">
        <w:rPr>
          <w:rFonts w:cstheme="majorHAnsi"/>
          <w:sz w:val="22"/>
          <w:szCs w:val="22"/>
          <w:lang w:val="en-GB"/>
        </w:rPr>
        <w:t xml:space="preserve"> informal settlements </w:t>
      </w:r>
      <w:r w:rsidR="00A14D78"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Tacoli","given":"C","non-dropping-particle":"","parse-names":false,"suffix":""},{"dropping-particle":"","family":"McGranahan","given":"G","non-dropping-particle":"","parse-names":false,"suffix":""},{"dropping-particle":"","family":"Satterthwaite","given":"D","non-dropping-particle":"","parse-names":false,"suffix":""}],"container-title":"The New Global Frontier: Urbanization, Poverty and Environment in the 21st Century","editor":[{"dropping-particle":"","family":"Martine","given":"G","non-dropping-particle":"","parse-names":false,"suffix":""},{"dropping-particle":"","family":"McGranahan","given":"G","non-dropping-particle":"","parse-names":false,"suffix":""},{"dropping-particle":"","family":"Montgomery","given":"M","non-dropping-particle":"","parse-names":false,"suffix":""},{"dropping-particle":"","family":"Fernandez-Castilla","given":"R","non-dropping-particle":"","parse-names":false,"suffix":""}],"id":"ITEM-1","issued":{"date-parts":[["2008"]]},"page":"37-53","publisher":"Earthscan","publisher-place":"London, UK","title":"Urbanization, poverty and ineqaulity: is rural-urban migration a poverty problem or part of the solution?","type":"chapter"},"uris":["http://www.mendeley.com/documents/?uuid=a24975cc-c70f-4e32-b3d8-67c86638a649","http://www.mendeley.com/documents/?uuid=1b72d075-8f6d-4942-8c7d-4eb1913496d3"]}],"mendeley":{"formattedCitation":"(C Tacoli, McGranahan, &amp; Satterthwaite, 2008)","manualFormatting":"(Tacoli et al, 2008)","plainTextFormattedCitation":"(C Tacoli, McGranahan, &amp; Satterthwaite, 2008)","previouslyFormattedCitation":"(C Tacoli, McGranahan, &amp; Satterthwaite, 2008)"},"properties":{"noteIndex":0},"schema":"https://github.com/citation-style-language/schema/raw/master/csl-citation.json"}</w:instrText>
      </w:r>
      <w:r w:rsidR="00A14D78" w:rsidRPr="004E053C">
        <w:rPr>
          <w:rFonts w:cstheme="majorHAnsi"/>
          <w:sz w:val="22"/>
          <w:szCs w:val="22"/>
          <w:lang w:val="en-GB"/>
        </w:rPr>
        <w:fldChar w:fldCharType="separate"/>
      </w:r>
      <w:r w:rsidR="00A14D78" w:rsidRPr="004E053C">
        <w:rPr>
          <w:rFonts w:cstheme="majorHAnsi"/>
          <w:noProof/>
          <w:sz w:val="22"/>
          <w:szCs w:val="22"/>
          <w:lang w:val="en-GB"/>
        </w:rPr>
        <w:t>(Tacoli et al, 2008)</w:t>
      </w:r>
      <w:r w:rsidR="00A14D78" w:rsidRPr="004E053C">
        <w:rPr>
          <w:rFonts w:cstheme="majorHAnsi"/>
          <w:sz w:val="22"/>
          <w:szCs w:val="22"/>
          <w:lang w:val="en-GB"/>
        </w:rPr>
        <w:fldChar w:fldCharType="end"/>
      </w:r>
      <w:r w:rsidRPr="004E053C">
        <w:rPr>
          <w:rFonts w:cstheme="majorHAnsi"/>
          <w:sz w:val="22"/>
          <w:szCs w:val="22"/>
          <w:lang w:val="en-GB"/>
        </w:rPr>
        <w:t xml:space="preserve">. A key problem in the weakness of such models is that they rely on the dualistic spatial classifications of rural v urban when the reality is far more complex </w:t>
      </w:r>
      <w:r w:rsidR="00A14D78"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{"citationItems":[{"id":"ITEM-1","itemData":{"author":[{"dropping-particle":"","family":"Ferguson","given":"James","non-dropping-particle":"","parse-names":false,"suffix":""}],"id":"ITEM-1","issued":{"date-parts":[["1999"]]},"number-of-pages":"348","publisher":"University of California Press","title":"Expectations of Modernity: Myths and Meanings of Urban Life on the Zambian Copperbelt","type":"book"},"uris":["http://www.mendeley.com/documents/?uuid=b47dfa2f-73ef-453b-a1f7-80721fc71d42"]},{"id":"ITEM-2","itemData":{"author":[{"dropping-particle":"","family":"Brickell","given":"K.","non-dropping-particle":"","parse-names":false,"suffix":""},{"dropping-particle":"","family":"Datta","given":"A","non-dropping-particle":"","parse-names":false,"suffix":""}],"chapter-number":"1","container-title":"Translocal Geographies: Spaces, Places, Connectionsspaces, places, connections","id":"ITEM-2","issued":{"date-parts":[["2011"]]},"page":"3-22","publisher":"Ashgate Publishing Limited","publisher-place":"Farnham, UK","title":"Introduction: Translocal Geographies","type":"chapter"},"uris":["http://www.mendeley.com/documents/?uuid=e9d80bd7-1584-4fca-bf4f-f5d58e788945"]},{"id":"ITEM-3","itemData":{"abstract":"Based on qualitative fieldwork, this study analyses reasons and outcomes of fishers’ migration in Bangladesh. The results show that fishers’ livelihoods are characterised by a series of vulnerabilities and endemic poverty contributing to their migration decisions. However, fishers also migrate pro-actively to enhance their capacities and explore opportunities. The outcomes of migration are highly diverging: while for poorer fishers, migration is a way of coping with shocks, better resourced fishers can use it for asset accumulation. The importance of migration for their livelihoods and emerging networks across space generate forms of translocal households that coordinate their activities over long distances.","author":[{"dropping-particle":"","family":"Islam","given":"Mohammad Mahmudul","non-dropping-particle":"","parse-names":false,"suffix":""},{"dropping-particle":"","family":"Herbeck","given":"Johannes","non-dropping-particle":"","parse-names":false,"suffix":""}],"container-title":"The Journal of Development Studies","id":"ITEM-3","issue":"6","issued":{"date-parts":[["2013"]]},"page":"1-14","title":"Migration and translocal livelihoods of coastal small-scale fishers in Bangladesh","type":"article-journal","volume":"49"},"uris":["http://www.mendeley.com/documents/?uuid=2af1f3d3-bc4c-48dd-90fe-c5e4a832bdf9"]},{"id":"ITEM-4","itemData":{"author":[{"dropping-particle":"","family":"Dame","given":"Juliane","non-dropping-particle":"","parse-names":false,"suffix":""}],"container-title":"Mountain Research and Development","id":"ITEM-4","issue":"4","issued":{"date-parts":[["2018"]]},"page":"310-322","title":"Food security and translocal livelihoods in high mountains: evidence from Ladakh, India","type":"article-journal","volume":"38"},"uris":["http://www.mendeley.com/documents/?uuid=21449462-c93a-4648-b2fd-9ecb269caeb2"]}],"mendeley":{"formattedCitation":"(K. Brickell &amp; Datta, 2011; Dame, 2018; Ferguson, 1999; Islam &amp; Herbeck, 2013)","manualFormatting":"(Brickell &amp; Datta, 2011; Dame, 2018; Ferguson, 1999; Islam &amp; Herbeck, 2013)","plainTextFormattedCitation":"(K. Brickell &amp; Datta, 2011; Dame, 2018; Ferguson, 1999; Islam &amp; Herbeck, 2013)","previouslyFormattedCitation":"(K. Brickell &amp; Datta, 2011; Dame, 2018; Ferguson, 1999; Islam &amp; Herbeck, 2013)"},"properties":{"noteIndex":0},"schema":"https://github.com/citation-style-language/schema/raw/master/csl-citation.json"}</w:instrText>
      </w:r>
      <w:r w:rsidR="00A14D78" w:rsidRPr="004E053C">
        <w:rPr>
          <w:rFonts w:cstheme="majorHAnsi"/>
          <w:sz w:val="22"/>
          <w:szCs w:val="22"/>
          <w:lang w:val="en-GB"/>
        </w:rPr>
        <w:fldChar w:fldCharType="separate"/>
      </w:r>
      <w:r w:rsidR="00170378" w:rsidRPr="004E053C">
        <w:rPr>
          <w:rFonts w:cstheme="majorHAnsi"/>
          <w:noProof/>
          <w:sz w:val="22"/>
          <w:szCs w:val="22"/>
          <w:lang w:val="en-GB"/>
        </w:rPr>
        <w:t>(</w:t>
      </w:r>
      <w:r w:rsidR="00061F17" w:rsidRPr="004E053C">
        <w:rPr>
          <w:rFonts w:cstheme="majorHAnsi"/>
          <w:noProof/>
          <w:sz w:val="22"/>
          <w:szCs w:val="22"/>
          <w:lang w:val="en-GB"/>
        </w:rPr>
        <w:t>Brickell &amp; Datta, 2011; Dame, 2018; Ferguson, 1999; Islam &amp; Herbeck, 2013)</w:t>
      </w:r>
      <w:r w:rsidR="00A14D78" w:rsidRPr="004E053C">
        <w:rPr>
          <w:rFonts w:cstheme="majorHAnsi"/>
          <w:sz w:val="22"/>
          <w:szCs w:val="22"/>
          <w:lang w:val="en-GB"/>
        </w:rPr>
        <w:fldChar w:fldCharType="end"/>
      </w:r>
      <w:r w:rsidRPr="004E053C">
        <w:rPr>
          <w:rFonts w:cstheme="majorHAnsi"/>
          <w:sz w:val="22"/>
          <w:szCs w:val="22"/>
          <w:lang w:val="en-GB"/>
        </w:rPr>
        <w:t xml:space="preserve">. The realities of seasonal, temporary and circular patterns of migration are not considered </w:t>
      </w:r>
      <w:r w:rsidR="00A14D7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{"citationItems":[{"id":"ITEM-1","itemData":{"author":[{"dropping-particle":"","family":"Ellis","given":"Frank","non-dropping-particle":"","parse-names":false,"suffix":""}],"id":"ITEM-1","issued":{"date-parts":[["2003"]]},"number-of-pages":"21","publisher-place":"London, UK","title":"A livelihoods Approach to Migration and Poverty Reduction","type":"report"},"uris":["http://www.mendeley.com/documents/?uuid=892c69ea-8863-47f6-bdfc-c529056562ec"]},{"id":"ITEM-2","itemData":{"author":[{"dropping-particle":"","family":"Steinbrink","given":"Malte","non-dropping-particle":"","parse-names":false,"suffix":""}],"container-title":"Etude de la Population Africaine/African Population Studies","id":"ITEM-2","issued":{"date-parts":[["2009"]]},"page":"219-252","title":"Urbanisation, poverty and translocality: insights from South Africa","type":"article-journal","volume":"23"},"uris":["http://www.mendeley.com/documents/?uuid=73471f27-74d4-4cda-9d28-bfa63481d3fb"]}],"mendeley":{"formattedCitation":"(Ellis, 2003; Steinbrink, 2009)","plainTextFormattedCitation":"(Ellis, 2003; Steinbrink, 2009)","previouslyFormattedCitation":"(Ellis, 2003; Steinbrink, 2009)"},"properties":{"noteIndex":0},"schema":"https://github.com/citation-style-language/schema/raw/master/csl-citation.json"}</w:instrText>
      </w:r>
      <w:r w:rsidR="00A14D78" w:rsidRPr="004E053C">
        <w:rPr>
          <w:rFonts w:cstheme="majorHAnsi"/>
          <w:sz w:val="22"/>
          <w:szCs w:val="22"/>
          <w:lang w:val="en-GB"/>
        </w:rPr>
        <w:fldChar w:fldCharType="separate"/>
      </w:r>
      <w:r w:rsidR="00676E34" w:rsidRPr="004E053C">
        <w:rPr>
          <w:rFonts w:cstheme="majorHAnsi"/>
          <w:noProof/>
          <w:sz w:val="22"/>
          <w:szCs w:val="22"/>
          <w:lang w:val="en-GB"/>
        </w:rPr>
        <w:t>(Ellis, 2003; Steinbrink, 2009)</w:t>
      </w:r>
      <w:r w:rsidR="00A14D78" w:rsidRPr="004E053C">
        <w:rPr>
          <w:rFonts w:cstheme="majorHAnsi"/>
          <w:sz w:val="22"/>
          <w:szCs w:val="22"/>
          <w:lang w:val="en-GB"/>
        </w:rPr>
        <w:fldChar w:fldCharType="end"/>
      </w:r>
      <w:r w:rsidRPr="004E053C">
        <w:rPr>
          <w:rFonts w:cstheme="majorHAnsi"/>
          <w:sz w:val="22"/>
          <w:szCs w:val="22"/>
          <w:lang w:val="en-GB"/>
        </w:rPr>
        <w:t>, despite their implications for household and community relationships and place-attachment.</w:t>
      </w:r>
    </w:p>
    <w:p w14:paraId="441D4922" w14:textId="77777777" w:rsidR="00FE47C4" w:rsidRPr="004E053C" w:rsidRDefault="00FE47C4" w:rsidP="004E053C">
      <w:pPr>
        <w:spacing w:line="360" w:lineRule="auto"/>
        <w:jc w:val="both"/>
        <w:rPr>
          <w:rFonts w:cstheme="majorHAnsi"/>
          <w:sz w:val="22"/>
          <w:szCs w:val="22"/>
          <w:lang w:val="en-GB"/>
        </w:rPr>
      </w:pPr>
    </w:p>
    <w:p w14:paraId="328B7013" w14:textId="0CFE1409"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In Peru, contemporary rural communities are situated within regional, national or global contexts that effectively blur the conventional dichotomies of rural-urban, traditional-modern or peasant-non-peasant on which earlier studies of migration have built </w:t>
      </w:r>
      <w:r w:rsidR="00A14D7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{"citationItems":[{"id":"ITEM-1","itemData":{"author":[{"dropping-particle":"","family":"Sørensen","given":"N","non-dropping-particle":"","parse-names":false,"suffix":""}],"container-title":"Work and Migration: Life and Livelihoods in a Globalizing World","editor":[{"dropping-particle":"","family":"Olwig","given":"K.F","non-dropping-particle":"","parse-names":false,"suffix":""},{"dropping-particle":"","family":"Sorensen","given":"N.N","non-dropping-particle":"","parse-names":false,"suffix":""}],"id":"ITEM-1","issued":{"date-parts":[["2002"]]},"page":"23-44","publisher":"Routledge","publisher-place":"London, UK","title":"Representing the local: mobile livelihood practices in the Peruvian Central Sierra","type":"chapter"},"uris":["http://www.mendeley.com/documents/?uuid=da5c8a60-7323-4b01-846e-4af88ae79834"]}],"mendeley":{"formattedCitation":"(Sørensen, 2002)","manualFormatting":"(Sorensen, 2002)","plainTextFormattedCitation":"(Sørensen, 2002)","previouslyFormattedCitation":"(Sørensen, 2002)"},"properties":{"noteIndex":0},"schema":"https://github.com/citation-style-language/schema/raw/master/csl-citation.json"}</w:instrText>
      </w:r>
      <w:r w:rsidR="00A14D78" w:rsidRPr="004E053C">
        <w:rPr>
          <w:rFonts w:cstheme="majorHAnsi"/>
          <w:sz w:val="22"/>
          <w:szCs w:val="22"/>
          <w:lang w:val="en-GB"/>
        </w:rPr>
        <w:fldChar w:fldCharType="separate"/>
      </w:r>
      <w:r w:rsidR="00AE3ED3" w:rsidRPr="004E053C">
        <w:rPr>
          <w:rFonts w:cstheme="majorHAnsi"/>
          <w:noProof/>
          <w:sz w:val="22"/>
          <w:szCs w:val="22"/>
          <w:lang w:val="en-GB"/>
        </w:rPr>
        <w:t>(Sorensen, 2002</w:t>
      </w:r>
      <w:r w:rsidR="00A14D78" w:rsidRPr="004E053C">
        <w:rPr>
          <w:rFonts w:cstheme="majorHAnsi"/>
          <w:noProof/>
          <w:sz w:val="22"/>
          <w:szCs w:val="22"/>
          <w:lang w:val="en-GB"/>
        </w:rPr>
        <w:t>)</w:t>
      </w:r>
      <w:r w:rsidR="00A14D78" w:rsidRPr="004E053C">
        <w:rPr>
          <w:rFonts w:cstheme="majorHAnsi"/>
          <w:sz w:val="22"/>
          <w:szCs w:val="22"/>
          <w:lang w:val="en-GB"/>
        </w:rPr>
        <w:fldChar w:fldCharType="end"/>
      </w:r>
      <w:r w:rsidRPr="004E053C">
        <w:rPr>
          <w:rFonts w:cstheme="majorHAnsi"/>
          <w:sz w:val="22"/>
          <w:szCs w:val="22"/>
          <w:lang w:val="en-GB"/>
        </w:rPr>
        <w:t>. Seasonal migration has always been a common livelihood diversification and risk management strategy in the Andes</w:t>
      </w:r>
      <w:r w:rsidR="00A14D78" w:rsidRPr="004E053C">
        <w:rPr>
          <w:rFonts w:cstheme="majorHAnsi"/>
          <w:sz w:val="22"/>
          <w:szCs w:val="22"/>
          <w:lang w:val="en-GB"/>
        </w:rPr>
        <w:t xml:space="preserve"> </w:t>
      </w:r>
      <w:r w:rsidR="00A14D78"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{"citationItems":[{"id":"ITEM-1","itemData":{"author":[{"dropping-particle":"","family":"Mallon","given":"FA","non-dropping-particle":"","parse-names":false,"suffix":""}],"id":"ITEM-1","issued":{"date-parts":[["1983"]]},"publisher":"Princeton University Press","publisher-place":"Princeton, NJ:","title":"The Defense of Community in Peru's Central Highlands: Peasant Struggle and Capitalist Transition, 1860-1940","type":"book"},"uris":["http://www.mendeley.com/documents/?uuid=158eef71-69e9-4e66-bf7e-7b594956c270","http://www.mendeley.com/documents/?uuid=d7fb52ed-0f77-45ab-b888-8a3cfca8e6af"]}],"mendeley":{"formattedCitation":"(Mallon, 1983)","plainTextFormattedCitation":"(Mallon, 1983)","previouslyFormattedCitation":"(Mallon, 1983)"},"properties":{"noteIndex":0},"schema":"https://github.com/citation-style-language/schema/raw/master/csl-citation.json"}</w:instrText>
      </w:r>
      <w:r w:rsidR="00A14D78" w:rsidRPr="004E053C">
        <w:rPr>
          <w:rFonts w:cstheme="majorHAnsi"/>
          <w:sz w:val="22"/>
          <w:szCs w:val="22"/>
          <w:lang w:val="en-GB"/>
        </w:rPr>
        <w:fldChar w:fldCharType="separate"/>
      </w:r>
      <w:r w:rsidR="00A14D78" w:rsidRPr="004E053C">
        <w:rPr>
          <w:rFonts w:cstheme="majorHAnsi"/>
          <w:noProof/>
          <w:sz w:val="22"/>
          <w:szCs w:val="22"/>
          <w:lang w:val="en-GB"/>
        </w:rPr>
        <w:t>(Mallon, 1983)</w:t>
      </w:r>
      <w:r w:rsidR="00A14D78" w:rsidRPr="004E053C">
        <w:rPr>
          <w:rFonts w:cstheme="majorHAnsi"/>
          <w:sz w:val="22"/>
          <w:szCs w:val="22"/>
          <w:lang w:val="en-GB"/>
        </w:rPr>
        <w:fldChar w:fldCharType="end"/>
      </w:r>
      <w:r w:rsidRPr="004E053C">
        <w:rPr>
          <w:rFonts w:cstheme="majorHAnsi"/>
          <w:sz w:val="22"/>
          <w:szCs w:val="22"/>
          <w:lang w:val="en-GB"/>
        </w:rPr>
        <w:t>, with temporary migration to the coast, the jungle, the mines and elsewhere providing the extra-agricultural income with which to maintain life in the village</w:t>
      </w:r>
      <w:r w:rsidR="007324D5" w:rsidRPr="004E053C">
        <w:rPr>
          <w:rFonts w:cstheme="majorHAnsi"/>
          <w:sz w:val="22"/>
          <w:szCs w:val="22"/>
          <w:lang w:val="en-GB"/>
        </w:rPr>
        <w:t xml:space="preserve"> </w:t>
      </w:r>
      <w:r w:rsidR="007324D5"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{"citationItems":[{"id":"ITEM-1","itemData":{"author":[{"dropping-particle":"","family":"Favre","given":"Henri","non-dropping-particle":"","parse-names":false,"suffix":""}],"container-title":"Land and Labour in Latin America: Essays on the Development of Agrarian Capitalism in the Nineteenth and Twentieth Centuries","editor":[{"dropping-particle":"","family":"Duncan","given":"K","non-dropping-particle":"","parse-names":false,"suffix":""},{"dropping-particle":"","family":"Rutledge","given":"I","non-dropping-particle":"","parse-names":false,"suffix":""}],"id":"ITEM-1","issued":{"date-parts":[["1977"]]},"page":"253-267","publisher":"Cambridge University Press","publisher-place":"Cambridge","title":"The dynamics of Indian peasant society and migration to coastal plantations in Central Peru","type":"chapter"},"uris":["http://www.mendeley.com/documents/?uuid=06153eab-ba33-4fe8-af56-92ad71485b24"]}],"mendeley":{"formattedCitation":"(Favre, 1977)","plainTextFormattedCitation":"(Favre, 1977)","previouslyFormattedCitation":"(Favre, 1977)"},"properties":{"noteIndex":0},"schema":"https://github.com/citation-style-language/schema/raw/master/csl-citation.json"}</w:instrText>
      </w:r>
      <w:r w:rsidR="007324D5" w:rsidRPr="004E053C">
        <w:rPr>
          <w:rFonts w:cstheme="majorHAnsi"/>
          <w:sz w:val="22"/>
          <w:szCs w:val="22"/>
          <w:lang w:val="en-GB"/>
        </w:rPr>
        <w:fldChar w:fldCharType="separate"/>
      </w:r>
      <w:r w:rsidR="007324D5" w:rsidRPr="004E053C">
        <w:rPr>
          <w:rFonts w:cstheme="majorHAnsi"/>
          <w:noProof/>
          <w:sz w:val="22"/>
          <w:szCs w:val="22"/>
          <w:lang w:val="en-GB"/>
        </w:rPr>
        <w:t>(Favre, 1977)</w:t>
      </w:r>
      <w:r w:rsidR="007324D5" w:rsidRPr="004E053C">
        <w:rPr>
          <w:rFonts w:cstheme="majorHAnsi"/>
          <w:sz w:val="22"/>
          <w:szCs w:val="22"/>
          <w:lang w:val="en-GB"/>
        </w:rPr>
        <w:fldChar w:fldCharType="end"/>
      </w:r>
      <w:r w:rsidR="007324D5" w:rsidRPr="004E053C">
        <w:rPr>
          <w:rFonts w:cstheme="majorHAnsi"/>
          <w:sz w:val="22"/>
          <w:szCs w:val="22"/>
          <w:lang w:val="en-GB"/>
        </w:rPr>
        <w:t xml:space="preserve">. </w:t>
      </w:r>
      <w:r w:rsidRPr="004E053C">
        <w:rPr>
          <w:rFonts w:cstheme="majorHAnsi"/>
          <w:sz w:val="22"/>
          <w:szCs w:val="22"/>
          <w:lang w:val="en-GB"/>
        </w:rPr>
        <w:t xml:space="preserve">Furthermore, discrimination in urban centres often means that migrants from the Andes are not able to exploit opportunities fully </w:t>
      </w:r>
      <w:r w:rsidR="00AE3ED3"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{"citationItems":[{"id":"ITEM-1","itemData":{"author":[{"dropping-particle":"","family":"Sørensen","given":"N","non-dropping-particle":"","parse-names":false,"suffix":""}],"container-title":"Work and Migration: Life and Livelihoods in a Globalizing World","editor":[{"dropping-particle":"","family":"Olwig","given":"K.F","non-dropping-particle":"","parse-names":false,"suffix":""},{"dropping-particle":"","family":"Sorensen","given":"N.N","non-dropping-particle":"","parse-names":false,"suffix":""}],"id":"ITEM-1","issued":{"date-parts":[["2002"]]},"page":"23-44","publisher":"Routledge","publisher-place":"London, UK","title":"Representing the local: mobile livelihood practices in the Peruvian Central Sierra","type":"chapter"},"uris":["http://www.mendeley.com/documents/?uuid=da5c8a60-7323-4b01-846e-4af88ae79834"]},{"id":"ITEM-2","itemData":{"author":[{"dropping-particle":"","family":"Skeldon","given":"Roger","non-dropping-particle":"","parse-names":false,"suffix":""}],"container-title":"Geographical Review","id":"ITEM-2","issued":{"date-parts":[["1977"]]},"page":"394-411","title":"The evolution of migration patterns during urbanization in Peru","type":"article-journal","volume":"67"},"uris":["http://www.mendeley.com/documents/?uuid=0ac79a8f-4bc0-407b-aacd-ddc1a82638fa","http://www.mendeley.com/documents/?uuid=667cc1d3-a1fe-42db-a4dd-c8a18196360b"]},{"id":"ITEM-3","itemData":{"author":[{"dropping-particle":"","family":"Takenaka","given":"Ayumi","non-dropping-particle":"","parse-names":false,"suffix":""},{"dropping-particle":"","family":"Pren","given":"Karen A","non-dropping-particle":"","parse-names":false,"suffix":""}],"container-title":"Latin American Perspectives","id":"ITEM-3","issue":"5","issued":{"date-parts":[["2010"]]},"page":"29-49","title":"Leaving to get ahead: assessing the relationship between mobility and inequality in Peru","type":"article-journal","volume":"37"},"uris":["http://www.mendeley.com/documents/?uuid=507192d7-72a9-4ed4-840b-0bfe0aab6da0"]}],"mendeley":{"formattedCitation":"(Skeldon, 1977; Sørensen, 2002; Takenaka &amp; Pren, 2010)","plainTextFormattedCitation":"(Skeldon, 1977; Sørensen, 2002; Takenaka &amp; Pren, 2010)","previouslyFormattedCitation":"(Skeldon, 1977; Sørensen, 2002; Takenaka &amp; Pren, 2010)"},"properties":{"noteIndex":0},"schema":"https://github.com/citation-style-language/schema/raw/master/csl-citation.json"}</w:instrText>
      </w:r>
      <w:r w:rsidR="00AE3ED3" w:rsidRPr="004E053C">
        <w:rPr>
          <w:rFonts w:cstheme="majorHAnsi"/>
          <w:sz w:val="22"/>
          <w:szCs w:val="22"/>
          <w:lang w:val="en-GB"/>
        </w:rPr>
        <w:fldChar w:fldCharType="separate"/>
      </w:r>
      <w:r w:rsidR="00061F17" w:rsidRPr="004E053C">
        <w:rPr>
          <w:rFonts w:cstheme="majorHAnsi"/>
          <w:noProof/>
          <w:sz w:val="22"/>
          <w:szCs w:val="22"/>
          <w:lang w:val="en-GB"/>
        </w:rPr>
        <w:t>(Skeldon, 1977; Sørensen, 2002; Takenaka &amp; Pren, 2010)</w:t>
      </w:r>
      <w:r w:rsidR="00AE3ED3" w:rsidRPr="004E053C">
        <w:rPr>
          <w:rFonts w:cstheme="majorHAnsi"/>
          <w:sz w:val="22"/>
          <w:szCs w:val="22"/>
          <w:lang w:val="en-GB"/>
        </w:rPr>
        <w:fldChar w:fldCharType="end"/>
      </w:r>
      <w:r w:rsidR="00071C60" w:rsidRPr="004E053C">
        <w:rPr>
          <w:rFonts w:cstheme="majorHAnsi"/>
          <w:sz w:val="22"/>
          <w:szCs w:val="22"/>
          <w:lang w:val="en-GB"/>
        </w:rPr>
        <w:t>,</w:t>
      </w:r>
      <w:r w:rsidRPr="004E053C">
        <w:rPr>
          <w:rFonts w:cstheme="majorHAnsi"/>
          <w:sz w:val="22"/>
          <w:szCs w:val="22"/>
          <w:lang w:val="en-GB"/>
        </w:rPr>
        <w:t xml:space="preserve"> meaning many are forced to return home. This is very different </w:t>
      </w:r>
      <w:r w:rsidR="00AE3ED3" w:rsidRPr="004E053C">
        <w:rPr>
          <w:rFonts w:cstheme="majorHAnsi"/>
          <w:sz w:val="22"/>
          <w:szCs w:val="22"/>
          <w:lang w:val="en-GB"/>
        </w:rPr>
        <w:t>from the idea of one-way rural-u</w:t>
      </w:r>
      <w:r w:rsidRPr="004E053C">
        <w:rPr>
          <w:rFonts w:cstheme="majorHAnsi"/>
          <w:sz w:val="22"/>
          <w:szCs w:val="22"/>
          <w:lang w:val="en-GB"/>
        </w:rPr>
        <w:t xml:space="preserve">rban migration following a modernisation paradigm. In terms of ASM in particular, is not only clear that rural-urban migration is an unhelpful conceptualisation, but also the majority of the inhabitants in the migrant destination of Madre de Dios are migrants. I will return to this point later, but it suggests </w:t>
      </w:r>
      <w:r w:rsidRPr="004E053C">
        <w:rPr>
          <w:rFonts w:cstheme="majorHAnsi"/>
          <w:sz w:val="22"/>
          <w:szCs w:val="22"/>
          <w:lang w:val="en-GB"/>
        </w:rPr>
        <w:lastRenderedPageBreak/>
        <w:t xml:space="preserve">that any impact of migration on the destination community is likely to be far higher than the rural-urban model allows. </w:t>
      </w:r>
    </w:p>
    <w:p w14:paraId="2A5750C3" w14:textId="77777777" w:rsidR="00FE47C4" w:rsidRPr="004E053C" w:rsidRDefault="00FE47C4" w:rsidP="004E053C">
      <w:pPr>
        <w:spacing w:line="360" w:lineRule="auto"/>
        <w:jc w:val="both"/>
        <w:rPr>
          <w:rFonts w:cstheme="majorHAnsi"/>
          <w:sz w:val="22"/>
          <w:szCs w:val="22"/>
          <w:lang w:val="en-GB"/>
        </w:rPr>
      </w:pPr>
    </w:p>
    <w:p w14:paraId="72C203BB" w14:textId="60DE8C12" w:rsidR="00FE47C4" w:rsidRPr="004E053C" w:rsidRDefault="00EA7F83" w:rsidP="004E053C">
      <w:pPr>
        <w:pStyle w:val="Heading3"/>
        <w:rPr>
          <w:rFonts w:asciiTheme="minorHAnsi" w:hAnsiTheme="minorHAnsi"/>
        </w:rPr>
      </w:pPr>
      <w:r w:rsidRPr="004E053C">
        <w:rPr>
          <w:rFonts w:asciiTheme="minorHAnsi" w:hAnsiTheme="minorHAnsi"/>
        </w:rPr>
        <w:t>4</w:t>
      </w:r>
      <w:r w:rsidR="004A3EF1" w:rsidRPr="004E053C">
        <w:rPr>
          <w:rFonts w:asciiTheme="minorHAnsi" w:hAnsiTheme="minorHAnsi"/>
        </w:rPr>
        <w:t>.2</w:t>
      </w:r>
      <w:r w:rsidR="00130A52">
        <w:rPr>
          <w:rFonts w:asciiTheme="minorHAnsi" w:hAnsiTheme="minorHAnsi"/>
        </w:rPr>
        <w:t xml:space="preserve">.3. Women and communities ‘left </w:t>
      </w:r>
      <w:r w:rsidR="004A3EF1" w:rsidRPr="004E053C">
        <w:rPr>
          <w:rFonts w:asciiTheme="minorHAnsi" w:hAnsiTheme="minorHAnsi"/>
        </w:rPr>
        <w:t>b</w:t>
      </w:r>
      <w:r w:rsidR="00FE47C4" w:rsidRPr="004E053C">
        <w:rPr>
          <w:rFonts w:asciiTheme="minorHAnsi" w:hAnsiTheme="minorHAnsi"/>
        </w:rPr>
        <w:t>ehind’</w:t>
      </w:r>
    </w:p>
    <w:p w14:paraId="1816144C" w14:textId="77777777" w:rsidR="00FE47C4" w:rsidRPr="004E053C" w:rsidRDefault="00FE47C4" w:rsidP="004E053C">
      <w:pPr>
        <w:spacing w:line="360" w:lineRule="auto"/>
        <w:jc w:val="both"/>
        <w:rPr>
          <w:rFonts w:cstheme="majorHAnsi"/>
          <w:lang w:val="en-GB"/>
        </w:rPr>
      </w:pPr>
    </w:p>
    <w:p w14:paraId="221568B9" w14:textId="77B7F24C"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Within a social field, the relative position of certain agents may render them unable to migrate (Theime, 2008). </w:t>
      </w:r>
      <w:r w:rsidRPr="004E053C">
        <w:rPr>
          <w:rFonts w:cstheme="majorHAnsi"/>
          <w:sz w:val="22"/>
          <w:szCs w:val="22"/>
          <w:lang w:val="en-GB" w:eastAsia="zh-CN"/>
        </w:rPr>
        <w:t xml:space="preserve">Linear models of migration not only fail to explore the politics of this immobility in any meaningful way, but also give the impression that the migrant almost abandons the people that remain in the household and origin community. Feminist geographers have pointed out that while emphasising the circular nature of migration as a livelihood strategy has challenged this image to some extent, men have remained the focus of attention </w:t>
      </w:r>
      <w:r w:rsidR="00D913F9"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{"citationItems":[{"id":"ITEM-1","itemData":{"author":[{"dropping-particle":"","family":"Pessar","given":"P.R","non-dropping-particle":"","parse-names":false,"suffix":""}],"container-title":"American Behavioural Scientist","id":"ITEM-1","issue":"4","issued":{"date-parts":[["1999"]]},"page":"577-600","title":"Engendering migration studies: the case of new immigrants in the United States","type":"article-journal","volume":"42"},"uris":["http://www.mendeley.com/documents/?uuid=8d11d46c-dd79-4ce1-87c6-ddb39a882b74"]},{"id":"ITEM-2","itemData":{"author":[{"dropping-particle":"","family":"Silvey","given":"Rachel","non-dropping-particle":"","parse-names":false,"suffix":""}],"container-title":"The International Migration Review","id":"ITEM-2","issue":"1","issued":{"date-parts":[["1996"]]},"page":"64-81","title":"Geographies of gender and migration: spatializing social difference","type":"article-journal","volume":"40"},"uris":["http://www.mendeley.com/documents/?uuid=d4a41cfd-376d-42d1-a32b-3b2d23598c20"]}],"mendeley":{"formattedCitation":"(Pessar, 1999; Silvey, 1996)","plainTextFormattedCitation":"(Pessar, 1999; Silvey, 1996)","previouslyFormattedCitation":"(Pessar, 1999; Silvey, 1996)"},"properties":{"noteIndex":0},"schema":"https://github.com/citation-style-language/schema/raw/master/csl-citation.json"}</w:instrText>
      </w:r>
      <w:r w:rsidR="00D913F9" w:rsidRPr="004E053C">
        <w:rPr>
          <w:rFonts w:cstheme="majorHAnsi"/>
          <w:sz w:val="22"/>
          <w:szCs w:val="22"/>
          <w:lang w:val="en-GB" w:eastAsia="zh-CN"/>
        </w:rPr>
        <w:fldChar w:fldCharType="separate"/>
      </w:r>
      <w:r w:rsidR="00D913F9" w:rsidRPr="004E053C">
        <w:rPr>
          <w:rFonts w:cstheme="majorHAnsi"/>
          <w:noProof/>
          <w:sz w:val="22"/>
          <w:szCs w:val="22"/>
          <w:lang w:val="en-GB" w:eastAsia="zh-CN"/>
        </w:rPr>
        <w:t>(Pessar, 1999; Silvey, 1996)</w:t>
      </w:r>
      <w:r w:rsidR="00D913F9" w:rsidRPr="004E053C">
        <w:rPr>
          <w:rFonts w:cstheme="majorHAnsi"/>
          <w:sz w:val="22"/>
          <w:szCs w:val="22"/>
          <w:lang w:val="en-GB" w:eastAsia="zh-CN"/>
        </w:rPr>
        <w:fldChar w:fldCharType="end"/>
      </w:r>
      <w:r w:rsidRPr="004E053C">
        <w:rPr>
          <w:rFonts w:cstheme="majorHAnsi"/>
          <w:sz w:val="22"/>
          <w:szCs w:val="22"/>
          <w:lang w:val="en-GB" w:eastAsia="zh-CN"/>
        </w:rPr>
        <w:t xml:space="preserve">. This is due to the gendered nature of mobility, as studies that focus on the experience of the migrant continue to mask the experience of women who remain in the origin community </w:t>
      </w:r>
      <w:r w:rsidR="00D913F9"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{"citationItems":[{"id":"ITEM-1","itemData":{"author":[{"dropping-particle":"","family":"Silvey","given":"Rachel","non-dropping-particle":"","parse-names":false,"suffix":""}],"container-title":"The International Migration Review","id":"ITEM-1","issue":"1","issued":{"date-parts":[["1996"]]},"page":"64-81","title":"Geographies of gender and migration: spatializing social difference","type":"article-journal","volume":"40"},"uris":["http://www.mendeley.com/documents/?uuid=d4a41cfd-376d-42d1-a32b-3b2d23598c20"]}],"mendeley":{"formattedCitation":"(Silvey, 1996)","plainTextFormattedCitation":"(Silvey, 1996)","previouslyFormattedCitation":"(Silvey, 1996)"},"properties":{"noteIndex":0},"schema":"https://github.com/citation-style-language/schema/raw/master/csl-citation.json"}</w:instrText>
      </w:r>
      <w:r w:rsidR="00D913F9" w:rsidRPr="004E053C">
        <w:rPr>
          <w:rFonts w:cstheme="majorHAnsi"/>
          <w:sz w:val="22"/>
          <w:szCs w:val="22"/>
          <w:lang w:val="en-GB" w:eastAsia="zh-CN"/>
        </w:rPr>
        <w:fldChar w:fldCharType="separate"/>
      </w:r>
      <w:r w:rsidR="00D913F9" w:rsidRPr="004E053C">
        <w:rPr>
          <w:rFonts w:cstheme="majorHAnsi"/>
          <w:noProof/>
          <w:sz w:val="22"/>
          <w:szCs w:val="22"/>
          <w:lang w:val="en-GB" w:eastAsia="zh-CN"/>
        </w:rPr>
        <w:t>(Silvey, 1996)</w:t>
      </w:r>
      <w:r w:rsidR="00D913F9" w:rsidRPr="004E053C">
        <w:rPr>
          <w:rFonts w:cstheme="majorHAnsi"/>
          <w:sz w:val="22"/>
          <w:szCs w:val="22"/>
          <w:lang w:val="en-GB" w:eastAsia="zh-CN"/>
        </w:rPr>
        <w:fldChar w:fldCharType="end"/>
      </w:r>
      <w:r w:rsidRPr="004E053C">
        <w:rPr>
          <w:rFonts w:cstheme="majorHAnsi"/>
          <w:sz w:val="22"/>
          <w:szCs w:val="22"/>
          <w:lang w:val="en-GB" w:eastAsia="zh-CN"/>
        </w:rPr>
        <w:t xml:space="preserve">. This is perhaps unsurprising, given that that socioeconomic research on women is often limited to stereotypically female roles in the family and biological reproduction </w:t>
      </w:r>
      <w:r w:rsidR="00D913F9" w:rsidRPr="004E053C">
        <w:rPr>
          <w:rFonts w:cstheme="majorHAnsi"/>
          <w:sz w:val="22"/>
          <w:szCs w:val="22"/>
          <w:lang w:val="en-GB" w:eastAsia="zh-CN"/>
        </w:rPr>
        <w:fldChar w:fldCharType="begin" w:fldLock="1"/>
      </w:r>
      <w:r w:rsidR="00D913F9" w:rsidRPr="004E053C">
        <w:rPr>
          <w:rFonts w:cstheme="majorHAnsi"/>
          <w:sz w:val="22"/>
          <w:szCs w:val="22"/>
          <w:lang w:val="en-GB" w:eastAsia="zh-CN"/>
        </w:rPr>
        <w:instrText>ADDIN CSL_CITATION {"citationItems":[{"id":"ITEM-1","itemData":{"author":[{"dropping-particle":"","family":"Nash","given":"J","non-dropping-particle":"","parse-names":false,"suffix":""}],"container-title":"Women and change in Latin America","id":"ITEM-1","issued":{"date-parts":[["1986"]]},"page":"3-21","publisher":"Bergin and Garvey","publisher-place":"South Hadley, MA","title":"A decade of research on women in Latin America","type":"chapter"},"uris":["http://www.mendeley.com/documents/?uuid=0f663bf3-3532-442b-804e-c118247a8e57"]}],"mendeley":{"formattedCitation":"(Nash, 1986)","manualFormatting":"(Nash, 1986, p.3)","plainTextFormattedCitation":"(Nash, 1986)","previouslyFormattedCitation":"(Nash, 1986)"},"properties":{"noteIndex":0},"schema":"https://github.com/citation-style-language/schema/raw/master/csl-citation.json"}</w:instrText>
      </w:r>
      <w:r w:rsidR="00D913F9" w:rsidRPr="004E053C">
        <w:rPr>
          <w:rFonts w:cstheme="majorHAnsi"/>
          <w:sz w:val="22"/>
          <w:szCs w:val="22"/>
          <w:lang w:val="en-GB" w:eastAsia="zh-CN"/>
        </w:rPr>
        <w:fldChar w:fldCharType="separate"/>
      </w:r>
      <w:r w:rsidR="00D913F9" w:rsidRPr="004E053C">
        <w:rPr>
          <w:rFonts w:cstheme="majorHAnsi"/>
          <w:noProof/>
          <w:sz w:val="22"/>
          <w:szCs w:val="22"/>
          <w:lang w:val="en-GB" w:eastAsia="zh-CN"/>
        </w:rPr>
        <w:t>(Nash, 1986, p.3)</w:t>
      </w:r>
      <w:r w:rsidR="00D913F9" w:rsidRPr="004E053C">
        <w:rPr>
          <w:rFonts w:cstheme="majorHAnsi"/>
          <w:sz w:val="22"/>
          <w:szCs w:val="22"/>
          <w:lang w:val="en-GB" w:eastAsia="zh-CN"/>
        </w:rPr>
        <w:fldChar w:fldCharType="end"/>
      </w:r>
      <w:r w:rsidR="002A79E3" w:rsidRPr="004E053C">
        <w:rPr>
          <w:rFonts w:cstheme="majorHAnsi"/>
          <w:sz w:val="22"/>
          <w:szCs w:val="22"/>
          <w:lang w:val="en-GB" w:eastAsia="zh-CN"/>
        </w:rPr>
        <w:t>, and not i</w:t>
      </w:r>
      <w:r w:rsidRPr="004E053C">
        <w:rPr>
          <w:rFonts w:cstheme="majorHAnsi"/>
          <w:sz w:val="22"/>
          <w:szCs w:val="22"/>
          <w:lang w:val="en-GB" w:eastAsia="zh-CN"/>
        </w:rPr>
        <w:t xml:space="preserve">n traditionally male pursuits such as migration. Even in cases where the household has been taken as the unit of analysis, which took decisions and acted in a unified manner, the contributions and experiences of women in migration processes risk being overlooked due to the power relations that guide such decisions </w:t>
      </w:r>
      <w:r w:rsidR="00D913F9"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Willis","given":"Katie","non-dropping-particle":"","parse-names":false,"suffix":""},{"dropping-particle":"","family":"Yeoh","given":"Brenda","non-dropping-particle":"","parse-names":false,"suffix":""}],"container-title":"Geoforum","id":"ITEM-1","issue":"4","issued":{"date-parts":[["2002"]]},"page":"553-565","title":"Gendering transnational communities: a comparison of Singaporean and British migrants in China","type":"article-journal","volume":"33"},"uris":["http://www.mendeley.com/documents/?uuid=4469e2f8-8e31-411f-99f0-478711ee0bb9"]},{"id":"ITEM-2","itemData":{"author":[{"dropping-particle":"","family":"Lawson","given":"V","non-dropping-particle":"","parse-names":false,"suffix":""}],"container-title":"Progress in Human Geography","id":"ITEM-2","issue":"1","issued":{"date-parts":[["1998"]]},"page":"32-53","title":"Hierarchical households and gendered migration: a research agenda","type":"article-journal","volume":"22"},"uris":["http://www.mendeley.com/documents/?uuid=f02d7508-253b-44c6-9a69-3758e22d4506"]},{"id":"ITEM-3","itemData":{"author":[{"dropping-particle":"","family":"Silvey","given":"Rachel","non-dropping-particle":"","parse-names":false,"suffix":""}],"container-title":"The International Migration Review","id":"ITEM-3","issue":"1","issued":{"date-parts":[["1996"]]},"page":"64-81","title":"Geographies of gender and migration: spatializing social difference","type":"article-journal","volume":"40"},"uris":["http://www.mendeley.com/documents/?uuid=d4a41cfd-376d-42d1-a32b-3b2d23598c20"]}],"mendeley":{"formattedCitation":"(Lawson, 1998; Silvey, 1996; Willis &amp; Yeoh, 2002)","plainTextFormattedCitation":"(Lawson, 1998; Silvey, 1996; Willis &amp; Yeoh, 2002)","previouslyFormattedCitation":"(Lawson, 1998; Silvey, 1996; Willis &amp; Yeoh, 2002)"},"properties":{"noteIndex":0},"schema":"https://github.com/citation-style-language/schema/raw/master/csl-citation.json"}</w:instrText>
      </w:r>
      <w:r w:rsidR="00D913F9" w:rsidRPr="004E053C">
        <w:rPr>
          <w:rFonts w:cstheme="majorHAnsi"/>
          <w:sz w:val="22"/>
          <w:szCs w:val="22"/>
          <w:lang w:val="en-GB" w:eastAsia="zh-CN"/>
        </w:rPr>
        <w:fldChar w:fldCharType="separate"/>
      </w:r>
      <w:r w:rsidR="00D913F9" w:rsidRPr="004E053C">
        <w:rPr>
          <w:rFonts w:cstheme="majorHAnsi"/>
          <w:noProof/>
          <w:sz w:val="22"/>
          <w:szCs w:val="22"/>
          <w:lang w:val="en-GB" w:eastAsia="zh-CN"/>
        </w:rPr>
        <w:t>(Lawson, 1998; Silvey, 1996; Willis &amp; Yeoh, 2002)</w:t>
      </w:r>
      <w:r w:rsidR="00D913F9" w:rsidRPr="004E053C">
        <w:rPr>
          <w:rFonts w:cstheme="majorHAnsi"/>
          <w:sz w:val="22"/>
          <w:szCs w:val="22"/>
          <w:lang w:val="en-GB" w:eastAsia="zh-CN"/>
        </w:rPr>
        <w:fldChar w:fldCharType="end"/>
      </w:r>
      <w:r w:rsidRPr="004E053C">
        <w:rPr>
          <w:rFonts w:cstheme="majorHAnsi"/>
          <w:sz w:val="22"/>
          <w:szCs w:val="22"/>
          <w:lang w:val="en-GB" w:eastAsia="zh-CN"/>
        </w:rPr>
        <w:t>.</w:t>
      </w:r>
      <w:r w:rsidR="00D913F9" w:rsidRPr="004E053C">
        <w:rPr>
          <w:rFonts w:cstheme="majorHAnsi"/>
          <w:sz w:val="22"/>
          <w:szCs w:val="22"/>
          <w:lang w:val="en-GB" w:eastAsia="zh-CN"/>
        </w:rPr>
        <w:t xml:space="preserve"> </w:t>
      </w:r>
    </w:p>
    <w:p w14:paraId="2A5F5521" w14:textId="77777777" w:rsidR="00FE47C4" w:rsidRPr="004E053C" w:rsidRDefault="00FE47C4" w:rsidP="004E053C">
      <w:pPr>
        <w:spacing w:line="360" w:lineRule="auto"/>
        <w:jc w:val="both"/>
        <w:rPr>
          <w:rFonts w:cstheme="majorHAnsi"/>
          <w:sz w:val="22"/>
          <w:szCs w:val="22"/>
          <w:lang w:val="en-GB"/>
        </w:rPr>
      </w:pPr>
    </w:p>
    <w:p w14:paraId="3F82A2D1" w14:textId="1D5095DB" w:rsidR="00FE47C4" w:rsidRPr="004E053C" w:rsidRDefault="00D8316E" w:rsidP="004E053C">
      <w:pPr>
        <w:spacing w:line="360" w:lineRule="auto"/>
        <w:jc w:val="both"/>
        <w:rPr>
          <w:rFonts w:cstheme="majorHAnsi"/>
          <w:sz w:val="22"/>
          <w:szCs w:val="22"/>
          <w:lang w:val="en-GB"/>
        </w:rPr>
      </w:pPr>
      <w:r w:rsidRPr="004E053C">
        <w:rPr>
          <w:rFonts w:cstheme="majorHAnsi"/>
          <w:sz w:val="22"/>
          <w:szCs w:val="22"/>
          <w:lang w:val="en-GB"/>
        </w:rPr>
        <w:t>Ensuring that these</w:t>
      </w:r>
      <w:r w:rsidR="00FE47C4" w:rsidRPr="004E053C">
        <w:rPr>
          <w:rFonts w:cstheme="majorHAnsi"/>
          <w:sz w:val="22"/>
          <w:szCs w:val="22"/>
          <w:lang w:val="en-GB"/>
        </w:rPr>
        <w:t xml:space="preserve"> left-behind household members and communities </w:t>
      </w:r>
      <w:r w:rsidRPr="004E053C">
        <w:rPr>
          <w:rFonts w:cstheme="majorHAnsi"/>
          <w:sz w:val="22"/>
          <w:szCs w:val="22"/>
          <w:lang w:val="en-GB"/>
        </w:rPr>
        <w:t xml:space="preserve">are included </w:t>
      </w:r>
      <w:r w:rsidR="00FE47C4" w:rsidRPr="004E053C">
        <w:rPr>
          <w:rFonts w:cstheme="majorHAnsi"/>
          <w:sz w:val="22"/>
          <w:szCs w:val="22"/>
          <w:lang w:val="en-GB"/>
        </w:rPr>
        <w:t>in the analysis of migration</w:t>
      </w:r>
      <w:r w:rsidRPr="004E053C">
        <w:rPr>
          <w:rFonts w:cstheme="majorHAnsi"/>
          <w:sz w:val="22"/>
          <w:szCs w:val="22"/>
          <w:lang w:val="en-GB"/>
        </w:rPr>
        <w:t xml:space="preserve"> is crucial</w:t>
      </w:r>
      <w:r w:rsidR="00FE47C4" w:rsidRPr="004E053C">
        <w:rPr>
          <w:rFonts w:cstheme="majorHAnsi"/>
          <w:sz w:val="22"/>
          <w:szCs w:val="22"/>
          <w:lang w:val="en-GB"/>
        </w:rPr>
        <w:t xml:space="preserve"> because the overwhelming majority of migrants, both temporary and permanent, keep up an active orientation towards home </w:t>
      </w:r>
      <w:r w:rsidR="00D913F9"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context","type":"article-journal","volume":"87"},"uris":["http://www.mendeley.com/documents/?uuid=7cce9b74-a4c7-4bac-9677-fb4af5167fab"]}],"mendeley":{"formattedCitation":"(B Lohnert &amp; Steinbrink, 2005)","manualFormatting":"(Lohnert &amp; Steinbrink, 2005)","plainTextFormattedCitation":"(B Lohnert &amp; Steinbrink, 2005)","previouslyFormattedCitation":"(B Lohnert &amp; Steinbrink, 2005)"},"properties":{"noteIndex":0},"schema":"https://github.com/citation-style-language/schema/raw/master/csl-citation.json"}</w:instrText>
      </w:r>
      <w:r w:rsidR="00D913F9" w:rsidRPr="004E053C">
        <w:rPr>
          <w:rFonts w:cstheme="majorHAnsi"/>
          <w:sz w:val="22"/>
          <w:szCs w:val="22"/>
          <w:lang w:val="en-GB"/>
        </w:rPr>
        <w:fldChar w:fldCharType="separate"/>
      </w:r>
      <w:r w:rsidR="00981A15" w:rsidRPr="004E053C">
        <w:rPr>
          <w:rFonts w:cstheme="majorHAnsi"/>
          <w:noProof/>
          <w:sz w:val="22"/>
          <w:szCs w:val="22"/>
          <w:lang w:val="en-GB"/>
        </w:rPr>
        <w:t>(</w:t>
      </w:r>
      <w:r w:rsidR="00D913F9" w:rsidRPr="004E053C">
        <w:rPr>
          <w:rFonts w:cstheme="majorHAnsi"/>
          <w:noProof/>
          <w:sz w:val="22"/>
          <w:szCs w:val="22"/>
          <w:lang w:val="en-GB"/>
        </w:rPr>
        <w:t>Lohnert &amp; Steinbrink, 2005)</w:t>
      </w:r>
      <w:r w:rsidR="00D913F9" w:rsidRPr="004E053C">
        <w:rPr>
          <w:rFonts w:cstheme="majorHAnsi"/>
          <w:sz w:val="22"/>
          <w:szCs w:val="22"/>
          <w:lang w:val="en-GB"/>
        </w:rPr>
        <w:fldChar w:fldCharType="end"/>
      </w:r>
      <w:r w:rsidR="00FE47C4" w:rsidRPr="004E053C">
        <w:rPr>
          <w:rFonts w:cstheme="majorHAnsi"/>
          <w:sz w:val="22"/>
          <w:szCs w:val="22"/>
          <w:lang w:val="en-GB"/>
        </w:rPr>
        <w:t xml:space="preserve">. As migrants remain </w:t>
      </w:r>
      <w:r w:rsidR="00FE47C4" w:rsidRPr="004E053C">
        <w:rPr>
          <w:rFonts w:cstheme="majorHAnsi"/>
          <w:color w:val="211E1E"/>
          <w:sz w:val="22"/>
          <w:szCs w:val="22"/>
          <w:lang w:val="en-GB"/>
        </w:rPr>
        <w:t>connected with the immobile populations and place-based features, such a</w:t>
      </w:r>
      <w:r w:rsidR="002077F0" w:rsidRPr="004E053C">
        <w:rPr>
          <w:rFonts w:cstheme="majorHAnsi"/>
          <w:color w:val="211E1E"/>
          <w:sz w:val="22"/>
          <w:szCs w:val="22"/>
          <w:lang w:val="en-GB"/>
        </w:rPr>
        <w:t xml:space="preserve">s rural family homes, livestock, </w:t>
      </w:r>
      <w:r w:rsidR="00FE47C4" w:rsidRPr="004E053C">
        <w:rPr>
          <w:rFonts w:cstheme="majorHAnsi"/>
          <w:color w:val="211E1E"/>
          <w:sz w:val="22"/>
          <w:szCs w:val="22"/>
          <w:lang w:val="en-GB"/>
        </w:rPr>
        <w:t xml:space="preserve">tombstones and ancestral spirits </w:t>
      </w:r>
      <w:r w:rsidR="00FE47C4" w:rsidRPr="004E053C">
        <w:rPr>
          <w:rFonts w:cstheme="majorHAnsi"/>
          <w:color w:val="211E1E"/>
          <w:sz w:val="22"/>
          <w:szCs w:val="22"/>
          <w:lang w:val="en-GB"/>
        </w:rPr>
        <w:fldChar w:fldCharType="begin" w:fldLock="1"/>
      </w:r>
      <w:r w:rsidR="002F0CEA">
        <w:rPr>
          <w:rFonts w:cstheme="majorHAnsi"/>
          <w:color w:val="211E1E"/>
          <w:sz w:val="22"/>
          <w:szCs w:val="22"/>
          <w:lang w:val="en-GB"/>
        </w:rPr>
        <w:instrText>ADDIN CSL_CITATION {"citationItems":[{"id":"ITEM-1","itemData":{"abstract":"Internal labour migration from rural areas to urban centres has been and remains one of the 27 dominant patterns of migration in South Africa. Based on data from ethnographic field 28 research, this paper explores the mobility patterns and translocal relations of miners in the 29 Northern Cape province of South Africa. By considering the tension between mobility and 30 locality in a historical and political perspective, the concept of translocality helps to explain 31 why miners try to expand their action space and, at the same time, why they are embedded in 32 certain places. Thus, a translocal perspective enhances the interpretation of the spatio- 33 34 temporal transformations in South Africa’s mining communities and beyond, as it sheds light on the agency of mine workers, superseding merely structuralist explanations.","author":[{"dropping-particle":"","family":"Naumann","given":"Christiane","non-dropping-particle":"","parse-names":false,"suffix":""},{"dropping-particle":"","family":"Greiner","given":"Clemens","non-dropping-particle":"","parse-names":false,"suffix":""}],"container-title":"Mobilities","id":"ITEM-1","issue":"6","issued":{"date-parts":[["2016"]]},"page":"875-889","title":"The translocal villagers: mining, mobility and stratification in post-apartheid South Africa","type":"article-journal","volume":"12"},"uris":["http://www.mendeley.com/documents/?uuid=efd020e8-1405-4b78-9c2d-6334bc35448d"]}],"mendeley":{"formattedCitation":"(Naumann &amp; Greiner, 2016)","plainTextFormattedCitation":"(Naumann &amp; Greiner, 2016)","previouslyFormattedCitation":"(Naumann &amp; Greiner, 2016)"},"properties":{"noteIndex":0},"schema":"https://github.com/citation-style-language/schema/raw/master/csl-citation.json"}</w:instrText>
      </w:r>
      <w:r w:rsidR="00FE47C4" w:rsidRPr="004E053C">
        <w:rPr>
          <w:rFonts w:cstheme="majorHAnsi"/>
          <w:color w:val="211E1E"/>
          <w:sz w:val="22"/>
          <w:szCs w:val="22"/>
          <w:lang w:val="en-GB"/>
        </w:rPr>
        <w:fldChar w:fldCharType="separate"/>
      </w:r>
      <w:r w:rsidR="00FE47C4" w:rsidRPr="004E053C">
        <w:rPr>
          <w:rFonts w:cstheme="majorHAnsi"/>
          <w:noProof/>
          <w:color w:val="211E1E"/>
          <w:sz w:val="22"/>
          <w:szCs w:val="22"/>
          <w:lang w:val="en-GB"/>
        </w:rPr>
        <w:t>(Naumann &amp; Greiner, 2016)</w:t>
      </w:r>
      <w:r w:rsidR="00FE47C4" w:rsidRPr="004E053C">
        <w:rPr>
          <w:rFonts w:cstheme="majorHAnsi"/>
          <w:color w:val="211E1E"/>
          <w:sz w:val="22"/>
          <w:szCs w:val="22"/>
          <w:lang w:val="en-GB"/>
        </w:rPr>
        <w:fldChar w:fldCharType="end"/>
      </w:r>
      <w:r w:rsidR="00FE47C4" w:rsidRPr="004E053C">
        <w:rPr>
          <w:rFonts w:cstheme="majorHAnsi"/>
          <w:color w:val="211E1E"/>
          <w:sz w:val="22"/>
          <w:szCs w:val="22"/>
          <w:lang w:val="en-GB"/>
        </w:rPr>
        <w:t xml:space="preserve">, there is a clear need for these to be included in a deepening understanding of migrant livelihoods. </w:t>
      </w:r>
      <w:r w:rsidR="00FE47C4" w:rsidRPr="004E053C">
        <w:rPr>
          <w:rFonts w:cstheme="majorHAnsi"/>
          <w:sz w:val="22"/>
          <w:szCs w:val="22"/>
          <w:lang w:val="en-GB"/>
        </w:rPr>
        <w:t xml:space="preserve">These connections are most widely understood to occur through remittances </w:t>
      </w:r>
      <w:r w:rsidR="000063EC" w:rsidRPr="004E053C">
        <w:rPr>
          <w:rFonts w:cstheme="majorHAnsi"/>
          <w:sz w:val="22"/>
          <w:szCs w:val="22"/>
          <w:lang w:val="en-GB"/>
        </w:rPr>
        <w:fldChar w:fldCharType="begin" w:fldLock="1"/>
      </w:r>
      <w:r w:rsidR="00680892" w:rsidRPr="004E053C">
        <w:rPr>
          <w:rFonts w:cstheme="majorHAnsi"/>
          <w:sz w:val="22"/>
          <w:szCs w:val="22"/>
          <w:lang w:val="en-GB"/>
        </w:rPr>
        <w:instrText>ADDIN CSL_CITATION {"citationItems":[{"id":"ITEM-1","itemData":{"author":[{"dropping-particle":"","family":"Mines","given":"R","non-dropping-particle":"","parse-names":false,"suffix":""},{"dropping-particle":"","family":"Janvry","given":"A","non-dropping-particle":"de","parse-names":false,"suffix":""}],"container-title":"American Journal of Agricutlural Economics","id":"ITEM-1","issue":"3","issued":{"date-parts":[["1982"]]},"page":"444-454","title":"Migration to the United States and Mexican rural development: a case study","type":"article-journal","volume":"64"},"uris":["http://www.mendeley.com/documents/?uuid=0b26a9be-2b95-4457-8ff0-cab43429f5ba","http://www.mendeley.com/documents/?uuid=2ef9a1b2-7717-4658-b8f4-4032bc1c5b58"]},{"id":"ITEM-2","itemData":{"author":[{"dropping-particle":"","family":"Durand","given":"Jorge","non-dropping-particle":"","parse-names":false,"suffix":""},{"dropping-particle":"","family":"Kandel","given":"William","non-dropping-particle":"","parse-names":false,"suffix":""},{"dropping-particle":"","family":"Parrado","given":"Emilio A","non-dropping-particle":"","parse-names":false,"suffix":""},{"dropping-particle":"","family":"Massey","given":"Douglas","non-dropping-particle":"","parse-names":false,"suffix":""}],"container-title":"Demography","id":"ITEM-2","issue":"2","issued":{"date-parts":[["1996"]]},"page":"249-264","title":"International migration and development in Mexican sending communities","type":"article-journal","volume":"33"},"uris":["http://www.mendeley.com/documents/?uuid=75506e56-de94-452f-a302-bef91825e41b","http://www.mendeley.com/documents/?uuid=dcc2f0a8-f00a-420a-9a10-5b32b35ab1aa"]},{"id":"ITEM-3","itemData":{"author":[{"dropping-particle":"","family":"Taylor","given":"J Edward","non-dropping-particle":"","parse-names":false,"suffix":""},{"dropping-particle":"","family":"Arango","given":"Joaquin","non-dropping-particle":"","parse-names":false,"suffix":""},{"dropping-particle":"","family":"Hugo","given":"Graeme","non-dropping-particle":"","parse-names":false,"suffix":""},{"dropping-particle":"","family":"Kouaouci","given":"Ali","non-dropping-particle":"","parse-names":false,"suffix":""},{"dropping-particle":"","family":"Massey","given":"Douglas S","non-dropping-particle":"","parse-names":false,"suffix":""},{"dropping-particle":"","family":"Pellegrino","given":"Adela","non-dropping-particle":"","parse-names":false,"suffix":""}],"container-title":"Population Index","id":"ITEM-3","issue":"3","issued":{"date-parts":[["1996"]]},"page":"397-418","title":"International migration and community development","type":"article-journal","volume":"62"},"uris":["http://www.mendeley.com/documents/?uuid=801f466b-d4bd-4b14-908f-89e0901f1f19","http://www.mendeley.com/documents/?uuid=26c3fb25-4c12-45ed-b269-de4cba6e8d4f"]},{"id":"ITEM-4","itemData":{"author":[{"dropping-particle":"","family":"Stark","given":"O","non-dropping-particle":"","parse-names":false,"suffix":""},{"dropping-particle":"","family":"Levhari","given":"D","non-dropping-particle":"","parse-names":false,"suffix":""}],"container-title":"Economic Development and Cultural Change","id":"ITEM-4","issue":"1","issued":{"date-parts":[["1982"]]},"page":"191-196","title":"On migration and risk in LDCs","type":"article-journal","volume":"31"},"uris":["http://www.mendeley.com/documents/?uuid=dce6757c-00ea-405e-9e0b-84ade2d8c24a","http://www.mendeley.com/documents/?uuid=2bcc6693-2653-41dd-b416-4aa985192bee"]}],"mendeley":{"formattedCitation":"(Durand, Kandel, Parrado, &amp; Massey, 1996; Mines &amp; de Janvry, 1982; O. Stark &amp; Levhari, 1982; J. E. Taylor et al., 1996)","manualFormatting":"(Durand et al, 1996; Mines &amp; de Janvry, 1982; Stark &amp; Levhari, 1982; Taylor et al., 1996)","plainTextFormattedCitation":"(Durand, Kandel, Parrado, &amp; Massey, 1996; Mines &amp; de Janvry, 1982; O. Stark &amp; Levhari, 1982; J. E. Taylor et al., 1996)","previouslyFormattedCitation":"(Durand, Kandel, Parrado, &amp; Massey, 1996; Mines &amp; de Janvry, 1982; O. Stark &amp; Levhari, 1982; J. E. Taylor et al., 1996)"},"properties":{"noteIndex":0},"schema":"https://github.com/citation-style-language/schema/raw/master/csl-citation.json"}</w:instrText>
      </w:r>
      <w:r w:rsidR="000063EC" w:rsidRPr="004E053C">
        <w:rPr>
          <w:rFonts w:cstheme="majorHAnsi"/>
          <w:sz w:val="22"/>
          <w:szCs w:val="22"/>
          <w:lang w:val="en-GB"/>
        </w:rPr>
        <w:fldChar w:fldCharType="separate"/>
      </w:r>
      <w:r w:rsidR="000063EC" w:rsidRPr="004E053C">
        <w:rPr>
          <w:rFonts w:cstheme="majorHAnsi"/>
          <w:noProof/>
          <w:sz w:val="22"/>
          <w:szCs w:val="22"/>
          <w:lang w:val="en-GB"/>
        </w:rPr>
        <w:t>(Durand et al, 1996; Mines &amp; de Janvry, 1982; Stark &amp; Levhari, 1982; Taylor et al., 1996)</w:t>
      </w:r>
      <w:r w:rsidR="000063EC" w:rsidRPr="004E053C">
        <w:rPr>
          <w:rFonts w:cstheme="majorHAnsi"/>
          <w:sz w:val="22"/>
          <w:szCs w:val="22"/>
          <w:lang w:val="en-GB"/>
        </w:rPr>
        <w:fldChar w:fldCharType="end"/>
      </w:r>
      <w:r w:rsidR="00FE47C4" w:rsidRPr="004E053C">
        <w:rPr>
          <w:rFonts w:cstheme="majorHAnsi"/>
          <w:sz w:val="22"/>
          <w:szCs w:val="22"/>
          <w:lang w:val="en-GB"/>
        </w:rPr>
        <w:t xml:space="preserve">, but there are a plethora of other obstacles, antagonisms and connections that migrant families deal with </w:t>
      </w:r>
      <w:r w:rsidR="00C6316A" w:rsidRPr="004E053C">
        <w:rPr>
          <w:rFonts w:cstheme="majorHAnsi"/>
          <w:sz w:val="22"/>
          <w:szCs w:val="22"/>
          <w:lang w:val="en-GB"/>
        </w:rPr>
        <w:fldChar w:fldCharType="begin" w:fldLock="1"/>
      </w:r>
      <w:r w:rsidR="008E3918" w:rsidRPr="004E053C">
        <w:rPr>
          <w:rFonts w:cstheme="majorHAnsi"/>
          <w:sz w:val="22"/>
          <w:szCs w:val="22"/>
          <w:lang w:val="en-GB"/>
        </w:rPr>
        <w:instrText>ADDIN CSL_CITATION {"citationItems":[{"id":"ITEM-1","itemData":{"author":[{"dropping-particle":"","family":"Clifford","given":"James","non-dropping-particle":"","parse-names":false,"suffix":""}],"container-title":"Cultural Anthropology","id":"ITEM-1","issue":"3","issued":{"date-parts":[["1994"]]},"page":"302-338","title":"Diasporas","type":"article-journal","volume":"9"},"uris":["http://www.mendeley.com/documents/?uuid=ebd0b9e4-d289-4afd-9a3b-fb62649f8ae5"]},{"id":"ITEM-2","itemData":{"author":[{"dropping-particle":"","family":"Castillo","given":"Gerardo","non-dropping-particle":"","parse-names":false,"suffix":""},{"dropping-particle":"","family":"Brereton","given":"David","non-dropping-particle":"","parse-names":false,"suffix":""}],"container-title":"Sustainable Development","id":"ITEM-2","issue":"5","issued":{"date-parts":[["2018"]]},"page":"461-470","title":"Large-scale mining, spatial mobility, place-making and development in the Peruvian Andes","type":"article-journal","volume":"26"},"uris":["http://www.mendeley.com/documents/?uuid=ced5d047-aca0-4c39-9403-97a0378650dd"]}],"mendeley":{"formattedCitation":"(Castillo &amp; Brereton, 2018; Clifford, 1994)","manualFormatting":"(Castillo &amp; Brereton, 2018; Clifford, 1994)","plainTextFormattedCitation":"(Castillo &amp; Brereton, 2018; Clifford, 1994)","previouslyFormattedCitation":"(Castillo &amp; Brereton, 2018; Clifford, 1994)"},"properties":{"noteIndex":0},"schema":"https://github.com/citation-style-language/schema/raw/master/csl-citation.json"}</w:instrText>
      </w:r>
      <w:r w:rsidR="00C6316A" w:rsidRPr="004E053C">
        <w:rPr>
          <w:rFonts w:cstheme="majorHAnsi"/>
          <w:sz w:val="22"/>
          <w:szCs w:val="22"/>
          <w:lang w:val="en-GB"/>
        </w:rPr>
        <w:fldChar w:fldCharType="separate"/>
      </w:r>
      <w:r w:rsidR="00C6316A" w:rsidRPr="004E053C">
        <w:rPr>
          <w:rFonts w:cstheme="majorHAnsi"/>
          <w:noProof/>
          <w:sz w:val="22"/>
          <w:szCs w:val="22"/>
          <w:lang w:val="en-GB"/>
        </w:rPr>
        <w:t>(Castillo &amp; Brereton, 2018; Clifford, 1994)</w:t>
      </w:r>
      <w:r w:rsidR="00C6316A" w:rsidRPr="004E053C">
        <w:rPr>
          <w:rFonts w:cstheme="majorHAnsi"/>
          <w:sz w:val="22"/>
          <w:szCs w:val="22"/>
          <w:lang w:val="en-GB"/>
        </w:rPr>
        <w:fldChar w:fldCharType="end"/>
      </w:r>
      <w:r w:rsidR="00FE47C4" w:rsidRPr="004E053C">
        <w:rPr>
          <w:rFonts w:cstheme="majorHAnsi"/>
          <w:sz w:val="22"/>
          <w:szCs w:val="22"/>
          <w:lang w:val="en-GB"/>
        </w:rPr>
        <w:t xml:space="preserve"> which need to be better understood. In recent years, maintaining contact with home, despite the sometimes vast distance between locations, has become far easier with advancements in transportation and communication </w:t>
      </w:r>
      <w:r w:rsidR="00172A42" w:rsidRPr="004E053C">
        <w:rPr>
          <w:rFonts w:cstheme="majorHAnsi"/>
          <w:sz w:val="22"/>
          <w:szCs w:val="22"/>
          <w:lang w:val="en-GB"/>
        </w:rPr>
        <w:fldChar w:fldCharType="begin" w:fldLock="1"/>
      </w:r>
      <w:r w:rsidR="00B10B6B" w:rsidRPr="004E053C">
        <w:rPr>
          <w:rFonts w:cstheme="majorHAnsi"/>
          <w:sz w:val="22"/>
          <w:szCs w:val="22"/>
          <w:lang w:val="en-GB"/>
        </w:rPr>
        <w:instrText>ADDIN CSL_CITATION {"citationItems":[{"id":"ITEM-1","itemData":{"abstract":"Sociological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Sociology","id":"ITEM-1","issued":{"date-parts":[["2000"]]},"page":"463-496","title":"A space for place in sociology","type":"article-journal","volume":"26"},"uris":["http://www.mendeley.com/documents/?uuid=40055a61-4bab-46a9-a28c-e073dfac7680"]},{"id":"ITEM-2","itemData":{"author":[{"dropping-particle":"","family":"Theije","given":"Marjo","non-dropping-particle":"De","parse-names":false,"suffix":""},{"dropping-particle":"","family":"Bal","given":"Ellen","non-dropping-particle":"","parse-names":false,"suffix":""}],"chapter-number":"4","container-title":"A World of Insecurity: Anthropological Perspectives on Human Security","editor":[{"dropping-particle":"","family":"Eriksen","given":"Thomas Hylland","non-dropping-particle":"","parse-names":false,"suffix":""},{"dropping-particle":"","family":"Bal","given":"Ellen","non-dropping-particle":"","parse-names":false,"suffix":""},{"dropping-particle":"","family":"Salemink","given":"Oscar","non-dropping-particle":"","parse-names":false,"suffix":""}],"id":"ITEM-2","issued":{"date-parts":[["2010"]]},"page":"66-88","publisher":"Pluto Press","publisher-place":"London, UK","title":"Flexible migrants. Brazilian gold miners and their quest for human security in Surinam","type":"chapter"},"uris":["http://www.mendeley.com/documents/?uuid=a0fe66b5-a57d-46fa-a5b9-03db4e85f100"]}],"mendeley":{"formattedCitation":"(De Theije &amp; Bal, 2010; Gieryn, 2000)","plainTextFormattedCitation":"(De Theije &amp; Bal, 2010; Gieryn, 2000)","previouslyFormattedCitation":"(De Theije &amp; Bal, 2010; Gieryn, 2000)"},"properties":{"noteIndex":0},"schema":"https://github.com/citation-style-language/schema/raw/master/csl-citation.json"}</w:instrText>
      </w:r>
      <w:r w:rsidR="00172A42" w:rsidRPr="004E053C">
        <w:rPr>
          <w:rFonts w:cstheme="majorHAnsi"/>
          <w:sz w:val="22"/>
          <w:szCs w:val="22"/>
          <w:lang w:val="en-GB"/>
        </w:rPr>
        <w:fldChar w:fldCharType="separate"/>
      </w:r>
      <w:r w:rsidR="00172A42" w:rsidRPr="004E053C">
        <w:rPr>
          <w:rFonts w:cstheme="majorHAnsi"/>
          <w:noProof/>
          <w:sz w:val="22"/>
          <w:szCs w:val="22"/>
          <w:lang w:val="en-GB"/>
        </w:rPr>
        <w:t>(De Theije &amp; Bal, 2010; Gieryn, 2000)</w:t>
      </w:r>
      <w:r w:rsidR="00172A42" w:rsidRPr="004E053C">
        <w:rPr>
          <w:rFonts w:cstheme="majorHAnsi"/>
          <w:sz w:val="22"/>
          <w:szCs w:val="22"/>
          <w:lang w:val="en-GB"/>
        </w:rPr>
        <w:fldChar w:fldCharType="end"/>
      </w:r>
      <w:r w:rsidR="00172A42" w:rsidRPr="004E053C">
        <w:rPr>
          <w:rFonts w:cstheme="majorHAnsi"/>
          <w:sz w:val="22"/>
          <w:szCs w:val="22"/>
          <w:lang w:val="en-GB"/>
        </w:rPr>
        <w:t>.</w:t>
      </w:r>
      <w:r w:rsidR="00FE47C4" w:rsidRPr="004E053C">
        <w:rPr>
          <w:rFonts w:cstheme="majorHAnsi"/>
          <w:color w:val="211E1E"/>
          <w:sz w:val="22"/>
          <w:szCs w:val="22"/>
          <w:lang w:val="en-GB"/>
        </w:rPr>
        <w:t xml:space="preserve"> </w:t>
      </w:r>
      <w:r w:rsidR="00FE47C4" w:rsidRPr="004E053C">
        <w:rPr>
          <w:rFonts w:cstheme="majorHAnsi"/>
          <w:sz w:val="22"/>
          <w:szCs w:val="22"/>
          <w:lang w:val="en-GB"/>
        </w:rPr>
        <w:t>It is the continued connection with one</w:t>
      </w:r>
      <w:r w:rsidR="00172A42" w:rsidRPr="004E053C">
        <w:rPr>
          <w:rFonts w:cstheme="majorHAnsi"/>
          <w:sz w:val="22"/>
          <w:szCs w:val="22"/>
          <w:lang w:val="en-GB"/>
        </w:rPr>
        <w:t>’</w:t>
      </w:r>
      <w:r w:rsidR="00FE47C4" w:rsidRPr="004E053C">
        <w:rPr>
          <w:rFonts w:cstheme="majorHAnsi"/>
          <w:sz w:val="22"/>
          <w:szCs w:val="22"/>
          <w:lang w:val="en-GB"/>
        </w:rPr>
        <w:t>s homeland that enables migration to work as a livelihood strategy, yet these are poorly understood through traditional interpretations of migration.</w:t>
      </w:r>
      <w:r w:rsidR="002A79E3" w:rsidRPr="004E053C">
        <w:rPr>
          <w:rFonts w:cstheme="majorHAnsi"/>
          <w:sz w:val="22"/>
          <w:szCs w:val="22"/>
          <w:lang w:val="en-GB"/>
        </w:rPr>
        <w:t xml:space="preserve"> </w:t>
      </w:r>
      <w:r w:rsidR="00FE47C4" w:rsidRPr="004E053C">
        <w:rPr>
          <w:rFonts w:cstheme="majorHAnsi"/>
          <w:color w:val="000000"/>
          <w:sz w:val="22"/>
          <w:szCs w:val="22"/>
          <w:lang w:val="en-GB"/>
        </w:rPr>
        <w:t xml:space="preserve">The next section will </w:t>
      </w:r>
      <w:r w:rsidR="00FE47C4" w:rsidRPr="004E053C">
        <w:rPr>
          <w:rFonts w:cstheme="majorHAnsi"/>
          <w:color w:val="000000"/>
          <w:sz w:val="22"/>
          <w:szCs w:val="22"/>
          <w:lang w:val="en-GB"/>
        </w:rPr>
        <w:lastRenderedPageBreak/>
        <w:t>introduc</w:t>
      </w:r>
      <w:r w:rsidR="002A79E3" w:rsidRPr="004E053C">
        <w:rPr>
          <w:rFonts w:cstheme="majorHAnsi"/>
          <w:color w:val="000000"/>
          <w:sz w:val="22"/>
          <w:szCs w:val="22"/>
          <w:lang w:val="en-GB"/>
        </w:rPr>
        <w:t xml:space="preserve">e the concept of translocality </w:t>
      </w:r>
      <w:r w:rsidR="00FE47C4" w:rsidRPr="004E053C">
        <w:rPr>
          <w:rFonts w:cstheme="majorHAnsi"/>
          <w:color w:val="000000"/>
          <w:sz w:val="22"/>
          <w:szCs w:val="22"/>
          <w:lang w:val="en-GB"/>
        </w:rPr>
        <w:t xml:space="preserve">and highlight </w:t>
      </w:r>
      <w:r w:rsidR="00470E26" w:rsidRPr="004E053C">
        <w:rPr>
          <w:rFonts w:cstheme="majorHAnsi"/>
          <w:color w:val="000000"/>
          <w:sz w:val="22"/>
          <w:szCs w:val="22"/>
          <w:lang w:val="en-GB"/>
        </w:rPr>
        <w:t xml:space="preserve">how </w:t>
      </w:r>
      <w:r w:rsidR="002A79E3" w:rsidRPr="004E053C">
        <w:rPr>
          <w:rFonts w:cstheme="majorHAnsi"/>
          <w:color w:val="000000"/>
          <w:sz w:val="22"/>
          <w:szCs w:val="22"/>
          <w:lang w:val="en-GB"/>
        </w:rPr>
        <w:t>it can</w:t>
      </w:r>
      <w:r w:rsidR="00470E26" w:rsidRPr="004E053C">
        <w:rPr>
          <w:rFonts w:cstheme="majorHAnsi"/>
          <w:color w:val="000000"/>
          <w:sz w:val="22"/>
          <w:szCs w:val="22"/>
          <w:lang w:val="en-GB"/>
        </w:rPr>
        <w:t xml:space="preserve"> form the basis for a theoretical </w:t>
      </w:r>
      <w:r w:rsidR="00BB121E" w:rsidRPr="004E053C">
        <w:rPr>
          <w:rFonts w:cstheme="majorHAnsi"/>
          <w:color w:val="000000"/>
          <w:sz w:val="22"/>
          <w:szCs w:val="22"/>
          <w:lang w:val="en-GB"/>
        </w:rPr>
        <w:t>understand</w:t>
      </w:r>
      <w:r w:rsidR="00470E26" w:rsidRPr="004E053C">
        <w:rPr>
          <w:rFonts w:cstheme="majorHAnsi"/>
          <w:color w:val="000000"/>
          <w:sz w:val="22"/>
          <w:szCs w:val="22"/>
          <w:lang w:val="en-GB"/>
        </w:rPr>
        <w:t xml:space="preserve">ing of </w:t>
      </w:r>
      <w:r w:rsidR="00FE47C4" w:rsidRPr="004E053C">
        <w:rPr>
          <w:rFonts w:cstheme="majorHAnsi"/>
          <w:color w:val="000000"/>
          <w:sz w:val="22"/>
          <w:szCs w:val="22"/>
          <w:lang w:val="en-GB"/>
        </w:rPr>
        <w:t>ASM</w:t>
      </w:r>
      <w:r w:rsidR="00470E26" w:rsidRPr="004E053C">
        <w:rPr>
          <w:rFonts w:cstheme="majorHAnsi"/>
          <w:color w:val="000000"/>
          <w:sz w:val="22"/>
          <w:szCs w:val="22"/>
          <w:lang w:val="en-GB"/>
        </w:rPr>
        <w:t xml:space="preserve"> communities</w:t>
      </w:r>
      <w:r w:rsidR="00FE47C4" w:rsidRPr="004E053C">
        <w:rPr>
          <w:rFonts w:cstheme="majorHAnsi"/>
          <w:color w:val="000000"/>
          <w:sz w:val="22"/>
          <w:szCs w:val="22"/>
          <w:lang w:val="en-GB"/>
        </w:rPr>
        <w:t xml:space="preserve">. </w:t>
      </w:r>
    </w:p>
    <w:p w14:paraId="11AD0159" w14:textId="77777777" w:rsidR="00FE47C4" w:rsidRPr="004E053C" w:rsidRDefault="00FE47C4" w:rsidP="004E053C">
      <w:pPr>
        <w:spacing w:line="360" w:lineRule="auto"/>
        <w:jc w:val="both"/>
        <w:rPr>
          <w:rFonts w:cstheme="majorHAnsi"/>
          <w:sz w:val="22"/>
          <w:szCs w:val="22"/>
          <w:lang w:val="en-GB"/>
        </w:rPr>
      </w:pPr>
    </w:p>
    <w:p w14:paraId="35196982" w14:textId="42430922" w:rsidR="00FE47C4" w:rsidRPr="004E053C" w:rsidRDefault="00EA7F83" w:rsidP="004E053C">
      <w:pPr>
        <w:pStyle w:val="Heading2"/>
        <w:spacing w:before="0" w:line="360" w:lineRule="auto"/>
        <w:jc w:val="both"/>
        <w:rPr>
          <w:rFonts w:cstheme="majorHAnsi"/>
          <w:lang w:val="en-GB" w:eastAsia="zh-CN"/>
        </w:rPr>
      </w:pPr>
      <w:bookmarkStart w:id="47" w:name="_Toc33293093"/>
      <w:r w:rsidRPr="004E053C">
        <w:rPr>
          <w:rFonts w:cstheme="majorHAnsi"/>
          <w:lang w:val="en-GB" w:eastAsia="zh-CN"/>
        </w:rPr>
        <w:t>4</w:t>
      </w:r>
      <w:r w:rsidR="00FE47C4" w:rsidRPr="004E053C">
        <w:rPr>
          <w:rFonts w:cstheme="majorHAnsi"/>
          <w:lang w:val="en-GB" w:eastAsia="zh-CN"/>
        </w:rPr>
        <w:t>.3. Translocality</w:t>
      </w:r>
      <w:bookmarkEnd w:id="47"/>
    </w:p>
    <w:p w14:paraId="2AF16038" w14:textId="77777777" w:rsidR="00FE47C4" w:rsidRPr="004E053C" w:rsidRDefault="00FE47C4" w:rsidP="004E053C">
      <w:pPr>
        <w:spacing w:line="360" w:lineRule="auto"/>
        <w:jc w:val="both"/>
        <w:rPr>
          <w:rFonts w:cstheme="majorHAnsi"/>
          <w:lang w:val="en-GB" w:eastAsia="zh-CN"/>
        </w:rPr>
      </w:pPr>
    </w:p>
    <w:p w14:paraId="0904FC78" w14:textId="5BE7ABEC" w:rsidR="00FE47C4" w:rsidRPr="004E053C" w:rsidRDefault="00FE47C4" w:rsidP="004E053C">
      <w:pPr>
        <w:pStyle w:val="NoSpacing"/>
        <w:spacing w:line="360" w:lineRule="auto"/>
        <w:jc w:val="both"/>
        <w:rPr>
          <w:rFonts w:cstheme="majorHAnsi"/>
          <w:bCs/>
          <w:sz w:val="22"/>
          <w:szCs w:val="22"/>
          <w:lang w:val="en-GB"/>
        </w:rPr>
      </w:pPr>
      <w:r w:rsidRPr="004E053C">
        <w:rPr>
          <w:rFonts w:cstheme="majorHAnsi"/>
          <w:sz w:val="22"/>
          <w:szCs w:val="22"/>
          <w:lang w:val="en-GB" w:eastAsia="zh-CN"/>
        </w:rPr>
        <w:t xml:space="preserve">Appadurai </w:t>
      </w:r>
      <w:r w:rsidR="00B10B6B" w:rsidRPr="004E053C">
        <w:rPr>
          <w:rFonts w:cstheme="majorHAnsi"/>
          <w:sz w:val="22"/>
          <w:szCs w:val="22"/>
          <w:lang w:val="en-GB" w:eastAsia="zh-CN"/>
        </w:rPr>
        <w:fldChar w:fldCharType="begin" w:fldLock="1"/>
      </w:r>
      <w:r w:rsidR="00F2183E" w:rsidRPr="004E053C">
        <w:rPr>
          <w:rFonts w:cstheme="majorHAnsi"/>
          <w:sz w:val="22"/>
          <w:szCs w:val="22"/>
          <w:lang w:val="en-GB" w:eastAsia="zh-CN"/>
        </w:rPr>
        <w:instrText>ADDIN CSL_CITATION {"citationItems":[{"id":"ITEM-1","itemData":{"author":[{"dropping-particle":"","family":"Appadurai","given":"Arjun","non-dropping-particle":"","parse-names":false,"suffix":""}],"id":"ITEM-1","issued":{"date-parts":[["1996"]]},"publisher":"University of Minnesota Press","publisher-place":"Minneapolis, MN","title":"Modernity at Large: Cultural Dimensions of Globalisation","type":"book"},"uris":["http://www.mendeley.com/documents/?uuid=c4efa86a-886f-4b5b-b7e0-b9aa83e93f95","http://www.mendeley.com/documents/?uuid=125f5a1c-faf4-4145-9f5c-7b8bc853f973"]}],"mendeley":{"formattedCitation":"(Appadurai, 1996)","manualFormatting":"(1996)","plainTextFormattedCitation":"(Appadurai, 1996)","previouslyFormattedCitation":"(Appadurai, 1996)"},"properties":{"noteIndex":0},"schema":"https://github.com/citation-style-language/schema/raw/master/csl-citation.json"}</w:instrText>
      </w:r>
      <w:r w:rsidR="00B10B6B" w:rsidRPr="004E053C">
        <w:rPr>
          <w:rFonts w:cstheme="majorHAnsi"/>
          <w:sz w:val="22"/>
          <w:szCs w:val="22"/>
          <w:lang w:val="en-GB" w:eastAsia="zh-CN"/>
        </w:rPr>
        <w:fldChar w:fldCharType="separate"/>
      </w:r>
      <w:r w:rsidR="00B10B6B" w:rsidRPr="004E053C">
        <w:rPr>
          <w:rFonts w:cstheme="majorHAnsi"/>
          <w:noProof/>
          <w:sz w:val="22"/>
          <w:szCs w:val="22"/>
          <w:lang w:val="en-GB" w:eastAsia="zh-CN"/>
        </w:rPr>
        <w:t>(1996)</w:t>
      </w:r>
      <w:r w:rsidR="00B10B6B" w:rsidRPr="004E053C">
        <w:rPr>
          <w:rFonts w:cstheme="majorHAnsi"/>
          <w:sz w:val="22"/>
          <w:szCs w:val="22"/>
          <w:lang w:val="en-GB" w:eastAsia="zh-CN"/>
        </w:rPr>
        <w:fldChar w:fldCharType="end"/>
      </w:r>
      <w:r w:rsidRPr="004E053C">
        <w:rPr>
          <w:rFonts w:cstheme="majorHAnsi"/>
          <w:sz w:val="22"/>
          <w:szCs w:val="22"/>
          <w:lang w:val="en-GB" w:eastAsia="zh-CN"/>
        </w:rPr>
        <w:t xml:space="preserve"> first coined the term translocality to refer to the embeddedness of people in more than one place and society and how the communities they inhabit become extended by their migration </w:t>
      </w:r>
      <w:r w:rsidR="002B14A3"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uthor":[{"dropping-particle":"","family":"Conradson","given":"David","non-dropping-particle":"","parse-names":false,"suffix":""},{"dropping-particle":"","family":"Mckay","given":"Deirdre","non-dropping-particle":"","parse-names":false,"suffix":""}],"container-title":"Mobilities","id":"ITEM-1","issue":"2","issued":{"date-parts":[["2007"]]},"page":"167-174","title":"Translocal subjectivities: mobility, connection, emotion","type":"article-journal","volume":"2"},"uris":["http://www.mendeley.com/documents/?uuid=0815ca70-6691-47cc-a6d2-228c076552d2"]},{"id":"ITEM-2","itemData":{"author":[{"dropping-particle":"","family":"Peth","given":"Simon Alexander","non-dropping-particle":"","parse-names":false,"suffix":""},{"dropping-particle":"","family":"Birtel","given":"Serge","non-dropping-particle":"","parse-names":false,"suffix":""}],"chapter-number":"6","container-title":"Environment, Migration and Adaptation - Evidence and Politics of Climate Change in Bangladesh","editor":[{"dropping-particle":"","family":"Etzold","given":"Benjamin","non-dropping-particle":"","parse-names":false,"suffix":""},{"dropping-particle":"","family":"Mallick","given":"Bishawjit","non-dropping-particle":"","parse-names":false,"suffix":""}],"id":"ITEM-2","issued":{"date-parts":[["2014"]]},"page":"99-118","publisher":"AHDPH","publisher-place":"Dhaka","title":"Translocal Livelihoods and Labor Migration in Bangladesh: migration Decisions in the context of multiple insecurities and a changing environment","type":"chapter"},"uris":["http://www.mendeley.com/documents/?uuid=6ba67ff4-6fbe-4bf7-b386-db00bcda86b3"]}],"mendeley":{"formattedCitation":"(Conradson &amp; Mckay, 2007; Peth &amp; Birtel, 2014)","plainTextFormattedCitation":"(Conradson &amp; Mckay, 2007; Peth &amp; Birtel, 2014)","previouslyFormattedCitation":"(Conradson &amp; Mckay, 2007; Peth &amp; Birtel, 2014)"},"properties":{"noteIndex":0},"schema":"https://github.com/citation-style-language/schema/raw/master/csl-citation.json"}</w:instrText>
      </w:r>
      <w:r w:rsidR="002B14A3" w:rsidRPr="004E053C">
        <w:rPr>
          <w:rFonts w:cstheme="majorHAnsi"/>
          <w:sz w:val="22"/>
          <w:szCs w:val="22"/>
          <w:lang w:val="en-GB" w:eastAsia="zh-CN"/>
        </w:rPr>
        <w:fldChar w:fldCharType="separate"/>
      </w:r>
      <w:r w:rsidR="002B14A3" w:rsidRPr="004E053C">
        <w:rPr>
          <w:rFonts w:cstheme="majorHAnsi"/>
          <w:noProof/>
          <w:sz w:val="22"/>
          <w:szCs w:val="22"/>
          <w:lang w:val="en-GB" w:eastAsia="zh-CN"/>
        </w:rPr>
        <w:t>(Conradson &amp; Mckay, 2007; Peth &amp; Birtel, 2014)</w:t>
      </w:r>
      <w:r w:rsidR="002B14A3" w:rsidRPr="004E053C">
        <w:rPr>
          <w:rFonts w:cstheme="majorHAnsi"/>
          <w:sz w:val="22"/>
          <w:szCs w:val="22"/>
          <w:lang w:val="en-GB" w:eastAsia="zh-CN"/>
        </w:rPr>
        <w:fldChar w:fldCharType="end"/>
      </w:r>
      <w:r w:rsidR="002B14A3" w:rsidRPr="004E053C">
        <w:rPr>
          <w:rFonts w:cstheme="majorHAnsi"/>
          <w:sz w:val="22"/>
          <w:szCs w:val="22"/>
          <w:lang w:val="en-GB" w:eastAsia="zh-CN"/>
        </w:rPr>
        <w:t>.</w:t>
      </w:r>
      <w:r w:rsidRPr="004E053C">
        <w:rPr>
          <w:rFonts w:cstheme="majorHAnsi"/>
          <w:sz w:val="22"/>
          <w:szCs w:val="22"/>
          <w:lang w:val="en-GB" w:eastAsia="zh-CN"/>
        </w:rPr>
        <w:t xml:space="preserve"> Initially theorists applied this term specifically to transnational migration, but more recently, the focus on the nation state as the key unit of ‘belonging’ was removed </w:t>
      </w:r>
      <w:r w:rsidR="001706FC" w:rsidRPr="004E053C">
        <w:rPr>
          <w:rFonts w:cstheme="majorHAnsi"/>
          <w:sz w:val="22"/>
          <w:szCs w:val="22"/>
          <w:lang w:val="en-GB" w:eastAsia="zh-CN"/>
        </w:rPr>
        <w:fldChar w:fldCharType="begin" w:fldLock="1"/>
      </w:r>
      <w:r w:rsidR="008E3918" w:rsidRPr="004E053C">
        <w:rPr>
          <w:rFonts w:cstheme="majorHAnsi"/>
          <w:sz w:val="22"/>
          <w:szCs w:val="22"/>
          <w:lang w:val="en-GB" w:eastAsia="zh-CN"/>
        </w:rPr>
        <w:instrText>ADDIN CSL_CITATION {"citationItems":[{"id":"ITEM-1","itemData":{"author":[{"dropping-particle":"","family":"Glick Schiller","given":"Nina","non-dropping-particle":"","parse-names":false,"suffix":""}],"id":"ITEM-1","issued":{"date-parts":[["2007"]]},"number":"33","title":"Beyond the nation-state and its unit of analysis: towards a new research agenda for migration studies.","type":"report"},"uris":["http://www.mendeley.com/documents/?uuid=ae86834f-78b5-4e71-b0da-c551108d9b6a"]}],"mendeley":{"formattedCitation":"(Glick Schiller, 2007)","plainTextFormattedCitation":"(Glick Schiller, 2007)","previouslyFormattedCitation":"(Glick Schiller, 2007)"},"properties":{"noteIndex":0},"schema":"https://github.com/citation-style-language/schema/raw/master/csl-citation.json"}</w:instrText>
      </w:r>
      <w:r w:rsidR="001706FC" w:rsidRPr="004E053C">
        <w:rPr>
          <w:rFonts w:cstheme="majorHAnsi"/>
          <w:sz w:val="22"/>
          <w:szCs w:val="22"/>
          <w:lang w:val="en-GB" w:eastAsia="zh-CN"/>
        </w:rPr>
        <w:fldChar w:fldCharType="separate"/>
      </w:r>
      <w:r w:rsidR="001706FC" w:rsidRPr="004E053C">
        <w:rPr>
          <w:rFonts w:cstheme="majorHAnsi"/>
          <w:noProof/>
          <w:sz w:val="22"/>
          <w:szCs w:val="22"/>
          <w:lang w:val="en-GB" w:eastAsia="zh-CN"/>
        </w:rPr>
        <w:t>(Glick Schiller, 2007)</w:t>
      </w:r>
      <w:r w:rsidR="001706FC" w:rsidRPr="004E053C">
        <w:rPr>
          <w:rFonts w:cstheme="majorHAnsi"/>
          <w:sz w:val="22"/>
          <w:szCs w:val="22"/>
          <w:lang w:val="en-GB" w:eastAsia="zh-CN"/>
        </w:rPr>
        <w:fldChar w:fldCharType="end"/>
      </w:r>
      <w:r w:rsidR="001706FC" w:rsidRPr="004E053C">
        <w:rPr>
          <w:rFonts w:cstheme="majorHAnsi"/>
          <w:sz w:val="22"/>
          <w:szCs w:val="22"/>
          <w:lang w:val="en-GB" w:eastAsia="zh-CN"/>
        </w:rPr>
        <w:t>.</w:t>
      </w:r>
      <w:r w:rsidRPr="004E053C">
        <w:rPr>
          <w:rFonts w:cstheme="majorHAnsi"/>
          <w:sz w:val="22"/>
          <w:szCs w:val="22"/>
          <w:lang w:val="en-GB" w:eastAsia="zh-CN"/>
        </w:rPr>
        <w:t xml:space="preserve"> While transnational approaches initiated the shift towards an investigation of the positioning of migrants in both their origin and their destination country and of the social networks stretching be</w:t>
      </w:r>
      <w:r w:rsidR="002B14A3" w:rsidRPr="004E053C">
        <w:rPr>
          <w:rFonts w:cstheme="majorHAnsi"/>
          <w:sz w:val="22"/>
          <w:szCs w:val="22"/>
          <w:lang w:val="en-GB" w:eastAsia="zh-CN"/>
        </w:rPr>
        <w:t>tween the two</w:t>
      </w:r>
      <w:r w:rsidRPr="004E053C">
        <w:rPr>
          <w:rFonts w:cstheme="majorHAnsi"/>
          <w:sz w:val="22"/>
          <w:szCs w:val="22"/>
          <w:lang w:val="en-GB" w:eastAsia="zh-CN"/>
        </w:rPr>
        <w:t>, translocal studies improve on this by allowing a focus of migration within national borders and an inclusion of more than two places</w:t>
      </w:r>
      <w:r w:rsidRPr="004E053C">
        <w:rPr>
          <w:rFonts w:cstheme="majorHAnsi"/>
          <w:color w:val="000000"/>
          <w:sz w:val="22"/>
          <w:szCs w:val="22"/>
          <w:lang w:val="en-GB" w:eastAsia="zh-CN"/>
        </w:rPr>
        <w:t xml:space="preserve"> </w:t>
      </w:r>
      <w:r w:rsidR="002B14A3" w:rsidRPr="004E053C">
        <w:rPr>
          <w:rFonts w:cstheme="majorHAnsi"/>
          <w:color w:val="000000"/>
          <w:sz w:val="22"/>
          <w:szCs w:val="22"/>
          <w:lang w:val="en-GB" w:eastAsia="zh-CN"/>
        </w:rPr>
        <w:fldChar w:fldCharType="begin" w:fldLock="1"/>
      </w:r>
      <w:r w:rsidR="002B14A3" w:rsidRPr="004E053C">
        <w:rPr>
          <w:rFonts w:cstheme="majorHAnsi"/>
          <w:color w:val="000000"/>
          <w:sz w:val="22"/>
          <w:szCs w:val="22"/>
          <w:lang w:val="en-GB" w:eastAsia="zh-CN"/>
        </w:rPr>
        <w:instrText>ADDIN CSL_CITATION {"citationItems":[{"id":"ITEM-1","itemData":{"author":[{"dropping-particle":"","family":"Schöfberger","given":"Irene","non-dropping-particle":"","parse-names":false,"suffix":""}],"container-title":"Geographica Helvetica","id":"ITEM-1","issued":{"date-parts":[["2017"]]},"page":"145–155","title":"How do places of origin influence access to mobility in the global age? An analysis of the influence of vulnerability and structural constraints on Senegalese translocal livelihood strategies","type":"article-journal","volume":"72"},"uris":["http://www.mendeley.com/documents/?uuid=417e9e61-3fe2-4096-bac6-b88eb801f39c"]}],"mendeley":{"formattedCitation":"(Schöfberger, 2017)","plainTextFormattedCitation":"(Schöfberger, 2017)","previouslyFormattedCitation":"(Schöfberger, 2017)"},"properties":{"noteIndex":0},"schema":"https://github.com/citation-style-language/schema/raw/master/csl-citation.json"}</w:instrText>
      </w:r>
      <w:r w:rsidR="002B14A3" w:rsidRPr="004E053C">
        <w:rPr>
          <w:rFonts w:cstheme="majorHAnsi"/>
          <w:color w:val="000000"/>
          <w:sz w:val="22"/>
          <w:szCs w:val="22"/>
          <w:lang w:val="en-GB" w:eastAsia="zh-CN"/>
        </w:rPr>
        <w:fldChar w:fldCharType="separate"/>
      </w:r>
      <w:r w:rsidR="002B14A3" w:rsidRPr="004E053C">
        <w:rPr>
          <w:rFonts w:cstheme="majorHAnsi"/>
          <w:noProof/>
          <w:color w:val="000000"/>
          <w:sz w:val="22"/>
          <w:szCs w:val="22"/>
          <w:lang w:val="en-GB" w:eastAsia="zh-CN"/>
        </w:rPr>
        <w:t>(Schöfberger, 2017)</w:t>
      </w:r>
      <w:r w:rsidR="002B14A3" w:rsidRPr="004E053C">
        <w:rPr>
          <w:rFonts w:cstheme="majorHAnsi"/>
          <w:color w:val="000000"/>
          <w:sz w:val="22"/>
          <w:szCs w:val="22"/>
          <w:lang w:val="en-GB" w:eastAsia="zh-CN"/>
        </w:rPr>
        <w:fldChar w:fldCharType="end"/>
      </w:r>
      <w:r w:rsidRPr="004E053C">
        <w:rPr>
          <w:rFonts w:cstheme="majorHAnsi"/>
          <w:sz w:val="22"/>
          <w:szCs w:val="22"/>
          <w:lang w:val="en-GB" w:eastAsia="zh-CN"/>
        </w:rPr>
        <w:t>. The concept has already been applied directly to livelihoods, and it is recognised that the migration patterns and interrelations that constitute translocality are generally created as a result of mobile livelihoods. Translocality thus provides a different lens through which to view livelihoods, but is particularly useful for ASM due to the sector’s high mobility. To my knowledge, Werthmann</w:t>
      </w:r>
      <w:r w:rsidR="002B14A3" w:rsidRPr="004E053C">
        <w:rPr>
          <w:rFonts w:cstheme="majorHAnsi"/>
          <w:sz w:val="22"/>
          <w:szCs w:val="22"/>
          <w:lang w:val="en-GB" w:eastAsia="zh-CN"/>
        </w:rPr>
        <w:t xml:space="preserve"> </w:t>
      </w:r>
      <w:r w:rsidRPr="004E053C">
        <w:rPr>
          <w:rFonts w:cstheme="majorHAnsi"/>
          <w:bCs/>
          <w:sz w:val="22"/>
          <w:szCs w:val="22"/>
          <w:lang w:val="en-GB"/>
        </w:rPr>
        <w:t xml:space="preserve">has been the only author to refer to the ‘poly-ethnic, multi-national, fluctuating and extremely mobile’ ASM community in terms of translocality </w:t>
      </w:r>
      <w:r w:rsidR="002B14A3" w:rsidRPr="004E053C">
        <w:rPr>
          <w:rFonts w:cstheme="majorHAnsi"/>
          <w:bCs/>
          <w:sz w:val="22"/>
          <w:szCs w:val="22"/>
          <w:lang w:val="en-GB"/>
        </w:rPr>
        <w:fldChar w:fldCharType="begin" w:fldLock="1"/>
      </w:r>
      <w:r w:rsidR="0004146F" w:rsidRPr="004E053C">
        <w:rPr>
          <w:rFonts w:cstheme="maj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 p.129)","plainTextFormattedCitation":"(Werthmann, 2010)","previouslyFormattedCitation":"(Werthmann, 2010)"},"properties":{"noteIndex":0},"schema":"https://github.com/citation-style-language/schema/raw/master/csl-citation.json"}</w:instrText>
      </w:r>
      <w:r w:rsidR="002B14A3" w:rsidRPr="004E053C">
        <w:rPr>
          <w:rFonts w:cstheme="majorHAnsi"/>
          <w:bCs/>
          <w:sz w:val="22"/>
          <w:szCs w:val="22"/>
          <w:lang w:val="en-GB"/>
        </w:rPr>
        <w:fldChar w:fldCharType="separate"/>
      </w:r>
      <w:r w:rsidR="002B14A3" w:rsidRPr="004E053C">
        <w:rPr>
          <w:rFonts w:cstheme="majorHAnsi"/>
          <w:bCs/>
          <w:noProof/>
          <w:sz w:val="22"/>
          <w:szCs w:val="22"/>
          <w:lang w:val="en-GB"/>
        </w:rPr>
        <w:t>(2010, p.129)</w:t>
      </w:r>
      <w:r w:rsidR="002B14A3" w:rsidRPr="004E053C">
        <w:rPr>
          <w:rFonts w:cstheme="majorHAnsi"/>
          <w:bCs/>
          <w:sz w:val="22"/>
          <w:szCs w:val="22"/>
          <w:lang w:val="en-GB"/>
        </w:rPr>
        <w:fldChar w:fldCharType="end"/>
      </w:r>
      <w:r w:rsidRPr="004E053C">
        <w:rPr>
          <w:rFonts w:cstheme="majorHAnsi"/>
          <w:bCs/>
          <w:sz w:val="22"/>
          <w:szCs w:val="22"/>
          <w:lang w:val="en-GB"/>
        </w:rPr>
        <w:t>, but she has focused exclusively on connections between mine sites, rather than conceptualising the translocal space as incorporating origin communities.</w:t>
      </w:r>
    </w:p>
    <w:p w14:paraId="1F563CF2" w14:textId="77777777" w:rsidR="00FE47C4" w:rsidRPr="004E053C" w:rsidRDefault="00FE47C4" w:rsidP="004E053C">
      <w:pPr>
        <w:pStyle w:val="NoSpacing"/>
        <w:spacing w:line="360" w:lineRule="auto"/>
        <w:jc w:val="both"/>
        <w:rPr>
          <w:rFonts w:cstheme="majorHAnsi"/>
          <w:bCs/>
          <w:sz w:val="22"/>
          <w:szCs w:val="22"/>
          <w:lang w:val="en-GB"/>
        </w:rPr>
      </w:pPr>
    </w:p>
    <w:p w14:paraId="4A6CCFFA" w14:textId="25952F5F" w:rsidR="00FE47C4" w:rsidRPr="004E053C" w:rsidRDefault="00BB121E" w:rsidP="004E053C">
      <w:pPr>
        <w:spacing w:line="360" w:lineRule="auto"/>
        <w:contextualSpacing/>
        <w:jc w:val="both"/>
        <w:rPr>
          <w:rFonts w:cstheme="majorHAnsi"/>
          <w:sz w:val="22"/>
          <w:szCs w:val="22"/>
          <w:lang w:val="en-GB" w:eastAsia="zh-CN"/>
        </w:rPr>
      </w:pPr>
      <w:r w:rsidRPr="004E053C">
        <w:rPr>
          <w:rFonts w:cstheme="majorHAnsi"/>
          <w:sz w:val="22"/>
          <w:szCs w:val="22"/>
          <w:lang w:val="en-GB" w:eastAsia="zh-CN"/>
        </w:rPr>
        <w:t>In my analysis of ASM I employ a</w:t>
      </w:r>
      <w:r w:rsidR="00FE47C4" w:rsidRPr="004E053C">
        <w:rPr>
          <w:rFonts w:cstheme="majorHAnsi"/>
          <w:sz w:val="22"/>
          <w:szCs w:val="22"/>
          <w:lang w:val="en-GB" w:eastAsia="zh-CN"/>
        </w:rPr>
        <w:t xml:space="preserve"> definition of translocality similar to Peth and Birtel, who referred to a ‘variety of open and non-linear processes, which produce close interrelations between different places and people’ </w:t>
      </w:r>
      <w:r w:rsidR="002B14A3"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{"citationItems":[{"id":"ITEM-1","itemData":{"author":[{"dropping-particle":"","family":"Peth","given":"Simon Alexander","non-dropping-particle":"","parse-names":false,"suffix":""},{"dropping-particle":"","family":"Birtel","given":"Serge","non-dropping-particle":"","parse-names":false,"suffix":""}],"chapter-number":"6","container-title":"Environment, Migration and Adaptation - Evidence and Politics of Climate Change in Bangladesh","editor":[{"dropping-particle":"","family":"Etzold","given":"Benjamin","non-dropping-particle":"","parse-names":false,"suffix":""},{"dropping-particle":"","family":"Mallick","given":"Bishawjit","non-dropping-particle":"","parse-names":false,"suffix":""}],"id":"ITEM-1","issued":{"date-parts":[["2014"]]},"page":"99-118","publisher":"AHDPH","publisher-place":"Dhaka","title":"Translocal Livelihoods and Labor Migration in Bangladesh: migration Decisions in the context of multiple insecurities and a changing environment","type":"chapter"},"uris":["http://www.mendeley.com/documents/?uuid=6ba67ff4-6fbe-4bf7-b386-db00bcda86b3"]}],"mendeley":{"formattedCitation":"(Peth &amp; Birtel, 2014)","manualFormatting":"(Peth &amp; Birtel, 2014, p.16)","plainTextFormattedCitation":"(Peth &amp; Birtel, 2014)","previouslyFormattedCitation":"(Peth &amp; Birtel, 2014)"},"properties":{"noteIndex":0},"schema":"https://github.com/citation-style-language/schema/raw/master/csl-citation.json"}</w:instrText>
      </w:r>
      <w:r w:rsidR="002B14A3" w:rsidRPr="004E053C">
        <w:rPr>
          <w:rFonts w:cstheme="majorHAnsi"/>
          <w:sz w:val="22"/>
          <w:szCs w:val="22"/>
          <w:lang w:val="en-GB" w:eastAsia="zh-CN"/>
        </w:rPr>
        <w:fldChar w:fldCharType="separate"/>
      </w:r>
      <w:r w:rsidR="002B14A3" w:rsidRPr="004E053C">
        <w:rPr>
          <w:rFonts w:cstheme="majorHAnsi"/>
          <w:noProof/>
          <w:sz w:val="22"/>
          <w:szCs w:val="22"/>
          <w:lang w:val="en-GB" w:eastAsia="zh-CN"/>
        </w:rPr>
        <w:t>(Peth &amp; Birtel, 2014, p.16)</w:t>
      </w:r>
      <w:r w:rsidR="002B14A3" w:rsidRPr="004E053C">
        <w:rPr>
          <w:rFonts w:cstheme="majorHAnsi"/>
          <w:sz w:val="22"/>
          <w:szCs w:val="22"/>
          <w:lang w:val="en-GB" w:eastAsia="zh-CN"/>
        </w:rPr>
        <w:fldChar w:fldCharType="end"/>
      </w:r>
      <w:r w:rsidR="00FE47C4" w:rsidRPr="004E053C">
        <w:rPr>
          <w:rFonts w:cstheme="majorHAnsi"/>
          <w:sz w:val="22"/>
          <w:szCs w:val="22"/>
          <w:lang w:val="en-GB" w:eastAsia="zh-CN"/>
        </w:rPr>
        <w:t>. The conceptualisation of translocal livelihoods builds on Bourdieu and utilises his notion of the social field as a way of understanding the translocal community that is formed through h</w:t>
      </w:r>
      <w:r w:rsidR="00560EC8" w:rsidRPr="004E053C">
        <w:rPr>
          <w:rFonts w:cstheme="majorHAnsi"/>
          <w:sz w:val="22"/>
          <w:szCs w:val="22"/>
          <w:lang w:val="en-GB" w:eastAsia="zh-CN"/>
        </w:rPr>
        <w:t>ighly mobile livelihoods. Bork-Huf</w:t>
      </w:r>
      <w:r w:rsidR="00FE47C4" w:rsidRPr="004E053C">
        <w:rPr>
          <w:rFonts w:cstheme="majorHAnsi"/>
          <w:sz w:val="22"/>
          <w:szCs w:val="22"/>
          <w:lang w:val="en-GB" w:eastAsia="zh-CN"/>
        </w:rPr>
        <w:t xml:space="preserve">fler </w:t>
      </w:r>
      <w:r w:rsidR="00560EC8"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{"citationItems":[{"id":"ITEM-1","itemData":{"author":[{"dropping-particle":"","family":"Bork‐Hüffer","given":"Tabea","non-dropping-particle":"","parse-names":false,"suffix":""}],"container-title":"Population, Space and Place","id":"ITEM-1","issue":"2","issued":{"date-parts":[["2016"]]},"page":"124-127","title":"Migrants’ agency and the making of transient urban spaces","type":"article-journal","volume":"22"},"uris":["http://www.mendeley.com/documents/?uuid=8fb70f86-c69d-4f25-891d-63a6508ec959"]}],"mendeley":{"formattedCitation":"(Bork‐Hüffer, 2016)","manualFormatting":"(2016)","plainTextFormattedCitation":"(Bork‐Hüffer, 2016)","previouslyFormattedCitation":"(Bork‐Hüffer, 2016)"},"properties":{"noteIndex":0},"schema":"https://github.com/citation-style-language/schema/raw/master/csl-citation.json"}</w:instrText>
      </w:r>
      <w:r w:rsidR="00560EC8" w:rsidRPr="004E053C">
        <w:rPr>
          <w:rFonts w:cstheme="majorHAnsi"/>
          <w:sz w:val="22"/>
          <w:szCs w:val="22"/>
          <w:lang w:val="en-GB" w:eastAsia="zh-CN"/>
        </w:rPr>
        <w:fldChar w:fldCharType="separate"/>
      </w:r>
      <w:r w:rsidR="00560EC8" w:rsidRPr="004E053C">
        <w:rPr>
          <w:rFonts w:cstheme="majorHAnsi"/>
          <w:noProof/>
          <w:sz w:val="22"/>
          <w:szCs w:val="22"/>
          <w:lang w:val="en-GB" w:eastAsia="zh-CN"/>
        </w:rPr>
        <w:t>(2016)</w:t>
      </w:r>
      <w:r w:rsidR="00560EC8" w:rsidRPr="004E053C">
        <w:rPr>
          <w:rFonts w:cstheme="majorHAnsi"/>
          <w:sz w:val="22"/>
          <w:szCs w:val="22"/>
          <w:lang w:val="en-GB" w:eastAsia="zh-CN"/>
        </w:rPr>
        <w:fldChar w:fldCharType="end"/>
      </w:r>
      <w:r w:rsidR="00FE47C4" w:rsidRPr="004E053C">
        <w:rPr>
          <w:rFonts w:cstheme="majorHAnsi"/>
          <w:sz w:val="22"/>
          <w:szCs w:val="22"/>
          <w:lang w:val="en-GB" w:eastAsia="zh-CN"/>
        </w:rPr>
        <w:t xml:space="preserve"> and Peth et al </w:t>
      </w:r>
      <w:r w:rsidR="00560EC8" w:rsidRPr="004E053C">
        <w:rPr>
          <w:rFonts w:cstheme="majorHAnsi"/>
          <w:sz w:val="22"/>
          <w:szCs w:val="22"/>
          <w:lang w:val="en-GB" w:eastAsia="zh-CN"/>
        </w:rPr>
        <w:fldChar w:fldCharType="begin" w:fldLock="1"/>
      </w:r>
      <w:r w:rsidR="00560EC8" w:rsidRPr="004E053C">
        <w:rPr>
          <w:rFonts w:cstheme="majorHAnsi"/>
          <w:sz w:val="22"/>
          <w:szCs w:val="22"/>
          <w:lang w:val="en-GB" w:eastAsia="zh-CN"/>
        </w:rPr>
        <w:instrText>ADDIN CSL_CITATION {"citationItems":[{"id":"ITEM-1","itemData":{"author":[{"dropping-particle":"","family":"Peth","given":"Simon Alexander","non-dropping-particle":"","parse-names":false,"suffix":""},{"dropping-particle":"","family":"Sterly","given":"Harald","non-dropping-particle":"","parse-names":false,"suffix":""},{"dropping-particle":"","family":"Sakdapolrak","given":"Patrick","non-dropping-particle":"","parse-names":false,"suffix":""}],"container-title":"Mobilities","id":"ITEM-1","issue":"4","issued":{"date-parts":[["2018"]]},"page":"455-472","title":"Between the village and the global city: the production and decay of translocal spaces of Thai migrant workers in Singapore","type":"article-journal","volume":"13"},"uris":["http://www.mendeley.com/documents/?uuid=29f764b9-eec0-45ac-b9c3-9941072db745"]}],"mendeley":{"formattedCitation":"(Peth, Sterly, &amp; Sakdapolrak, 2018)","manualFormatting":"(2018)","plainTextFormattedCitation":"(Peth, Sterly, &amp; Sakdapolrak, 2018)","previouslyFormattedCitation":"(Peth, Sterly, &amp; Sakdapolrak, 2018)"},"properties":{"noteIndex":0},"schema":"https://github.com/citation-style-language/schema/raw/master/csl-citation.json"}</w:instrText>
      </w:r>
      <w:r w:rsidR="00560EC8" w:rsidRPr="004E053C">
        <w:rPr>
          <w:rFonts w:cstheme="majorHAnsi"/>
          <w:sz w:val="22"/>
          <w:szCs w:val="22"/>
          <w:lang w:val="en-GB" w:eastAsia="zh-CN"/>
        </w:rPr>
        <w:fldChar w:fldCharType="separate"/>
      </w:r>
      <w:r w:rsidR="00560EC8" w:rsidRPr="004E053C">
        <w:rPr>
          <w:rFonts w:cstheme="majorHAnsi"/>
          <w:noProof/>
          <w:sz w:val="22"/>
          <w:szCs w:val="22"/>
          <w:lang w:val="en-GB" w:eastAsia="zh-CN"/>
        </w:rPr>
        <w:t>(2018)</w:t>
      </w:r>
      <w:r w:rsidR="00560EC8" w:rsidRPr="004E053C">
        <w:rPr>
          <w:rFonts w:cstheme="majorHAnsi"/>
          <w:sz w:val="22"/>
          <w:szCs w:val="22"/>
          <w:lang w:val="en-GB" w:eastAsia="zh-CN"/>
        </w:rPr>
        <w:fldChar w:fldCharType="end"/>
      </w:r>
      <w:r w:rsidR="00FE47C4" w:rsidRPr="004E053C">
        <w:rPr>
          <w:rFonts w:cstheme="majorHAnsi"/>
          <w:sz w:val="22"/>
          <w:szCs w:val="22"/>
          <w:lang w:val="en-GB" w:eastAsia="zh-CN"/>
        </w:rPr>
        <w:t xml:space="preserve"> have previously conceptualised a translocal community, i.e. that community which stretches between an origin and a host location, as an individual social field. Although social fields are multi-layered and connected, they are also distinct from each other. However, this conceptualisation seems too simplistic for use here, as the patterns of migration in ASM are not neatly arranged from A to B and all the individuals from one origin community do not consistently travel to work in the exact same destination. </w:t>
      </w:r>
      <w:r w:rsidRPr="004E053C">
        <w:rPr>
          <w:rFonts w:cstheme="majorHAnsi"/>
          <w:sz w:val="22"/>
          <w:szCs w:val="22"/>
          <w:lang w:val="en-GB" w:eastAsia="zh-CN"/>
        </w:rPr>
        <w:t>Instead,</w:t>
      </w:r>
      <w:r w:rsidR="00FE47C4" w:rsidRPr="004E053C">
        <w:rPr>
          <w:rFonts w:cstheme="majorHAnsi"/>
          <w:sz w:val="22"/>
          <w:szCs w:val="22"/>
          <w:lang w:val="en-GB" w:eastAsia="zh-CN"/>
        </w:rPr>
        <w:t xml:space="preserve"> due to the focus on a shared livelihood, the entire ASM community is seen as a</w:t>
      </w:r>
      <w:r w:rsidR="007B4C06" w:rsidRPr="004E053C">
        <w:rPr>
          <w:rFonts w:cstheme="majorHAnsi"/>
          <w:sz w:val="22"/>
          <w:szCs w:val="22"/>
          <w:lang w:val="en-GB" w:eastAsia="zh-CN"/>
        </w:rPr>
        <w:t xml:space="preserve"> </w:t>
      </w:r>
      <w:r w:rsidR="00FE47C4" w:rsidRPr="004E053C">
        <w:rPr>
          <w:rFonts w:cstheme="majorHAnsi"/>
          <w:sz w:val="22"/>
          <w:szCs w:val="22"/>
          <w:lang w:val="en-GB" w:eastAsia="zh-CN"/>
        </w:rPr>
        <w:t xml:space="preserve">translocal social field. All actors operating within ASM’s social field are subject to the </w:t>
      </w:r>
      <w:r w:rsidR="00FE47C4" w:rsidRPr="004E053C">
        <w:rPr>
          <w:rFonts w:cstheme="majorHAnsi"/>
          <w:sz w:val="22"/>
          <w:szCs w:val="22"/>
          <w:lang w:val="en-GB" w:eastAsia="zh-CN"/>
        </w:rPr>
        <w:lastRenderedPageBreak/>
        <w:t xml:space="preserve">same internal logics and external pressures, even if their relative positions may produce different outcomes. For example, it has been noted that although miners are often transient, they often adopt shared norms that transcend the boundaries of single mining camps and have common knowledge about the expected regulations and cooperation </w:t>
      </w:r>
      <w:r w:rsidR="00560EC8"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{"citationItems":[{"id":"ITEM-1","itemData":{"author":[{"dropping-particle":"","family":"Douglass","given":"William A","non-dropping-particle":"","parse-names":false,"suffix":""}],"chapter-number":"6","container-title":"Social Approaches to an Industrial Past: the Archaeology and Anthropology of Mining","editor":[{"dropping-particle":"","family":"Knapp","given":"A Bernard","non-dropping-particle":"","parse-names":false,"suffix":""},{"dropping-particle":"","family":"Pigott","given":"Vincent C","non-dropping-particle":"","parse-names":false,"suffix":""},{"dropping-particle":"","family":"Herbert","given":"Eugenia W","non-dropping-particle":"","parse-names":false,"suffix":""}],"id":"ITEM-1","issued":{"date-parts":[["1998"]]},"page":"306","publisher":"Routledge","publisher-place":"London","title":"The mining camp as community","type":"chapter"},"uris":["http://www.mendeley.com/documents/?uuid=07b5ce99-1245-3853-bb3e-ff08970ecf93"]},{"id":"ITEM-2","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-2","issued":{"date-parts":[["2010"]]},"page":"111-132","publisher":"Brill","publisher-place":"Leiden","title":"Following the hills: gold mining camps as heterotopias","type":"chapter"},"uris":["http://www.mendeley.com/documents/?uuid=83603393-cc44-4264-a8c3-b78d02289a5a"]}],"mendeley":{"formattedCitation":"(Douglass, 1998; Werthmann, 2010)","plainTextFormattedCitation":"(Douglass, 1998; Werthmann, 2010)","previouslyFormattedCitation":"(Douglass, 1998; Werthmann, 2010)"},"properties":{"noteIndex":0},"schema":"https://github.com/citation-style-language/schema/raw/master/csl-citation.json"}</w:instrText>
      </w:r>
      <w:r w:rsidR="00560EC8" w:rsidRPr="004E053C">
        <w:rPr>
          <w:rFonts w:cstheme="majorHAnsi"/>
          <w:sz w:val="22"/>
          <w:szCs w:val="22"/>
          <w:lang w:val="en-GB" w:eastAsia="zh-CN"/>
        </w:rPr>
        <w:fldChar w:fldCharType="separate"/>
      </w:r>
      <w:r w:rsidR="00560EC8" w:rsidRPr="004E053C">
        <w:rPr>
          <w:rFonts w:cstheme="majorHAnsi"/>
          <w:noProof/>
          <w:sz w:val="22"/>
          <w:szCs w:val="22"/>
          <w:lang w:val="en-GB" w:eastAsia="zh-CN"/>
        </w:rPr>
        <w:t>(Douglass, 1998; Werthmann, 2010)</w:t>
      </w:r>
      <w:r w:rsidR="00560EC8" w:rsidRPr="004E053C">
        <w:rPr>
          <w:rFonts w:cstheme="majorHAnsi"/>
          <w:sz w:val="22"/>
          <w:szCs w:val="22"/>
          <w:lang w:val="en-GB" w:eastAsia="zh-CN"/>
        </w:rPr>
        <w:fldChar w:fldCharType="end"/>
      </w:r>
      <w:r w:rsidR="00FE47C4" w:rsidRPr="004E053C">
        <w:rPr>
          <w:rFonts w:cstheme="majorHAnsi"/>
          <w:sz w:val="22"/>
          <w:szCs w:val="22"/>
          <w:lang w:val="en-GB" w:eastAsia="zh-CN"/>
        </w:rPr>
        <w:t xml:space="preserve">. Thus, as </w:t>
      </w:r>
      <w:r w:rsidR="00071C60" w:rsidRPr="004E053C">
        <w:rPr>
          <w:rFonts w:cstheme="majorHAnsi"/>
          <w:sz w:val="22"/>
          <w:szCs w:val="22"/>
          <w:lang w:val="en-GB"/>
        </w:rPr>
        <w:t xml:space="preserve">Kelly and Lusis </w:t>
      </w:r>
      <w:r w:rsidR="00071C60" w:rsidRPr="004E053C">
        <w:rPr>
          <w:rFonts w:cstheme="majorHAnsi"/>
          <w:sz w:val="22"/>
          <w:szCs w:val="22"/>
          <w:lang w:val="en-GB"/>
        </w:rPr>
        <w:fldChar w:fldCharType="begin" w:fldLock="1"/>
      </w:r>
      <w:r w:rsidR="00071C60" w:rsidRPr="004E053C">
        <w:rPr>
          <w:rFonts w:cstheme="majorHAnsi"/>
          <w:sz w:val="22"/>
          <w:szCs w:val="22"/>
          <w:lang w:val="en-GB"/>
        </w:rPr>
        <w:instrText>ADDIN CSL_CITATION {"citationItems":[{"id":"ITEM-1","itemData":{"abstract":"The experiences and decisions of migrants frequently confound scholarly expectations. In particular, the transnational linkages maintained by migrants transcend the social scales at which they are often assumed to live, and the spaces in which their integration or assimilation is usually studied—the neighbourhood, the urban labour market, the national society. Studies of transnationalism have shown that immigrants maintain multistranded connections to their places of origin and that these continue to influence the lifeworlds both of migrants and of those they leave behind significantly. In this paper we suggest that these multistranded connections—incorporating social, cultural, and economic ties—can be usefully considered using Pierre Bourdieu's notion of the habitus as a heuristic framework for integrating the various dimensions of transmigrants' lives. Drawing on interviews in Canada and the Philippines, we demonstrate the ways in which economic, social, and cultural capital are accumulated, exchanged, converted, valued, and devalued in a transnational habitus.","author":[{"dropping-particle":"","family":"Kelly","given":"Philip","non-dropping-particle":"","parse-names":false,"suffix":""},{"dropping-particle":"","family":"Lusis","given":"Tom","non-dropping-particle":"","parse-names":false,"suffix":""}],"container-title":"Environment and Planning A: Economy and Space","id":"ITEM-1","issue":"5","issued":{"date-parts":[["2006"]]},"page":"831-847","title":"Migration and the transnational habitus: Evidence from Canada and the Philippines","type":"article-journal","volume":"38"},"uris":["http://www.mendeley.com/documents/?uuid=4e803673-37a3-3367-a952-1593d11a4578"]}],"mendeley":{"formattedCitation":"(P. Kelly &amp; Lusis, 2006)","manualFormatting":"(2006)","plainTextFormattedCitation":"(P. Kelly &amp; Lusis, 2006)","previouslyFormattedCitation":"(P. Kelly &amp; Lusis, 2006)"},"properties":{"noteIndex":0},"schema":"https://github.com/citation-style-language/schema/raw/master/csl-citation.json"}</w:instrText>
      </w:r>
      <w:r w:rsidR="00071C60" w:rsidRPr="004E053C">
        <w:rPr>
          <w:rFonts w:cstheme="majorHAnsi"/>
          <w:sz w:val="22"/>
          <w:szCs w:val="22"/>
          <w:lang w:val="en-GB"/>
        </w:rPr>
        <w:fldChar w:fldCharType="separate"/>
      </w:r>
      <w:r w:rsidR="00071C60" w:rsidRPr="004E053C">
        <w:rPr>
          <w:rFonts w:cstheme="majorHAnsi"/>
          <w:noProof/>
          <w:sz w:val="22"/>
          <w:szCs w:val="22"/>
          <w:lang w:val="en-GB"/>
        </w:rPr>
        <w:t>(2006)</w:t>
      </w:r>
      <w:r w:rsidR="00071C60" w:rsidRPr="004E053C">
        <w:rPr>
          <w:rFonts w:cstheme="majorHAnsi"/>
          <w:sz w:val="22"/>
          <w:szCs w:val="22"/>
          <w:lang w:val="en-GB"/>
        </w:rPr>
        <w:fldChar w:fldCharType="end"/>
      </w:r>
      <w:r w:rsidR="00FE47C4" w:rsidRPr="004E053C">
        <w:rPr>
          <w:rFonts w:cstheme="majorHAnsi"/>
          <w:sz w:val="22"/>
          <w:szCs w:val="22"/>
          <w:lang w:val="en-GB"/>
        </w:rPr>
        <w:t xml:space="preserve"> have shown elsewhere, habitus can exist at a translocal scale and are not confined to particular places. F</w:t>
      </w:r>
      <w:r w:rsidR="007B4C06" w:rsidRPr="004E053C">
        <w:rPr>
          <w:rFonts w:cstheme="majorHAnsi"/>
          <w:sz w:val="22"/>
          <w:szCs w:val="22"/>
          <w:lang w:val="en-GB" w:eastAsia="zh-CN"/>
        </w:rPr>
        <w:t xml:space="preserve">urthermore, Werthmann </w:t>
      </w:r>
      <w:r w:rsidR="007B4C06"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007B4C06" w:rsidRPr="004E053C">
        <w:rPr>
          <w:rFonts w:cstheme="majorHAnsi"/>
          <w:sz w:val="22"/>
          <w:szCs w:val="22"/>
          <w:lang w:val="en-GB" w:eastAsia="zh-CN"/>
        </w:rPr>
        <w:fldChar w:fldCharType="separate"/>
      </w:r>
      <w:r w:rsidR="007B4C06" w:rsidRPr="004E053C">
        <w:rPr>
          <w:rFonts w:cstheme="majorHAnsi"/>
          <w:noProof/>
          <w:sz w:val="22"/>
          <w:szCs w:val="22"/>
          <w:lang w:val="en-GB" w:eastAsia="zh-CN"/>
        </w:rPr>
        <w:t>(2010)</w:t>
      </w:r>
      <w:r w:rsidR="007B4C06" w:rsidRPr="004E053C">
        <w:rPr>
          <w:rFonts w:cstheme="majorHAnsi"/>
          <w:sz w:val="22"/>
          <w:szCs w:val="22"/>
          <w:lang w:val="en-GB" w:eastAsia="zh-CN"/>
        </w:rPr>
        <w:fldChar w:fldCharType="end"/>
      </w:r>
      <w:r w:rsidR="00FE47C4" w:rsidRPr="004E053C">
        <w:rPr>
          <w:rFonts w:cstheme="majorHAnsi"/>
          <w:sz w:val="22"/>
          <w:szCs w:val="22"/>
          <w:lang w:val="en-GB" w:eastAsia="zh-CN"/>
        </w:rPr>
        <w:t xml:space="preserve"> pointed out that the temporary inhabitants of any one camp have often known each other for years, as they have worked together before elsewhere, highlighting the spider web of connections that form the social field of ASM, or as Douglass </w:t>
      </w:r>
      <w:r w:rsidR="007B4C06"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{"citationItems":[{"id":"ITEM-1","itemData":{"author":[{"dropping-particle":"","family":"Douglass","given":"William A","non-dropping-particle":"","parse-names":false,"suffix":""}],"chapter-number":"6","container-title":"Social Approaches to an Industrial Past: the Archaeology and Anthropology of Mining","editor":[{"dropping-particle":"","family":"Knapp","given":"A Bernard","non-dropping-particle":"","parse-names":false,"suffix":""},{"dropping-particle":"","family":"Pigott","given":"Vincent C","non-dropping-particle":"","parse-names":false,"suffix":""},{"dropping-particle":"","family":"Herbert","given":"Eugenia W","non-dropping-particle":"","parse-names":false,"suffix":""}],"id":"ITEM-1","issued":{"date-parts":[["1998"]]},"page":"306","publisher":"Routledge","publisher-place":"London","title":"The mining camp as community","type":"chapter"},"uris":["http://www.mendeley.com/documents/?uuid=07b5ce99-1245-3853-bb3e-ff08970ecf93"]}],"mendeley":{"formattedCitation":"(Douglass, 1998)","manualFormatting":"(1998)","plainTextFormattedCitation":"(Douglass, 1998)","previouslyFormattedCitation":"(Douglass, 1998)"},"properties":{"noteIndex":0},"schema":"https://github.com/citation-style-language/schema/raw/master/csl-citation.json"}</w:instrText>
      </w:r>
      <w:r w:rsidR="007B4C06" w:rsidRPr="004E053C">
        <w:rPr>
          <w:rFonts w:cstheme="majorHAnsi"/>
          <w:sz w:val="22"/>
          <w:szCs w:val="22"/>
          <w:lang w:val="en-GB" w:eastAsia="zh-CN"/>
        </w:rPr>
        <w:fldChar w:fldCharType="separate"/>
      </w:r>
      <w:r w:rsidR="007B4C06" w:rsidRPr="004E053C">
        <w:rPr>
          <w:rFonts w:cstheme="majorHAnsi"/>
          <w:noProof/>
          <w:sz w:val="22"/>
          <w:szCs w:val="22"/>
          <w:lang w:val="en-GB" w:eastAsia="zh-CN"/>
        </w:rPr>
        <w:t>(1998)</w:t>
      </w:r>
      <w:r w:rsidR="007B4C06" w:rsidRPr="004E053C">
        <w:rPr>
          <w:rFonts w:cstheme="majorHAnsi"/>
          <w:sz w:val="22"/>
          <w:szCs w:val="22"/>
          <w:lang w:val="en-GB" w:eastAsia="zh-CN"/>
        </w:rPr>
        <w:fldChar w:fldCharType="end"/>
      </w:r>
      <w:r w:rsidR="00FE47C4" w:rsidRPr="004E053C">
        <w:rPr>
          <w:rFonts w:cstheme="majorHAnsi"/>
          <w:sz w:val="22"/>
          <w:szCs w:val="22"/>
          <w:lang w:val="en-GB" w:eastAsia="zh-CN"/>
        </w:rPr>
        <w:t xml:space="preserve"> termed it, a focus without a locus. </w:t>
      </w:r>
    </w:p>
    <w:p w14:paraId="31EDB071" w14:textId="77777777" w:rsidR="00ED3EA5" w:rsidRPr="004E053C" w:rsidRDefault="00ED3EA5" w:rsidP="004E053C">
      <w:pPr>
        <w:spacing w:line="360" w:lineRule="auto"/>
        <w:contextualSpacing/>
        <w:jc w:val="both"/>
        <w:rPr>
          <w:rFonts w:cstheme="majorHAnsi"/>
          <w:color w:val="FF0000"/>
          <w:sz w:val="22"/>
          <w:szCs w:val="22"/>
          <w:highlight w:val="yellow"/>
          <w:lang w:val="en-GB"/>
        </w:rPr>
      </w:pPr>
    </w:p>
    <w:p w14:paraId="4B738F46" w14:textId="59FC3FE4" w:rsidR="00FE47C4" w:rsidRPr="004E053C" w:rsidRDefault="00FE47C4" w:rsidP="004E053C">
      <w:pPr>
        <w:pStyle w:val="NoSpacing"/>
        <w:spacing w:line="360" w:lineRule="auto"/>
        <w:jc w:val="both"/>
        <w:rPr>
          <w:rFonts w:cstheme="majorHAnsi"/>
          <w:sz w:val="22"/>
          <w:szCs w:val="22"/>
          <w:lang w:val="en-GB" w:eastAsia="zh-CN"/>
        </w:rPr>
      </w:pPr>
      <w:r w:rsidRPr="004E053C">
        <w:rPr>
          <w:rFonts w:cstheme="majorHAnsi"/>
          <w:sz w:val="22"/>
          <w:szCs w:val="22"/>
          <w:lang w:val="en-GB" w:eastAsia="zh-CN"/>
        </w:rPr>
        <w:t xml:space="preserve">This section will first provide an overview of translocal livelihoods, highlighting how livelihood systems are not locally bound, and then go on to discuss how such livelihoods contribute to the creation of the translocal ASM community. It explains that such a translocal livelihoods approach is useful for incorporating left-behind populations and for integrating more complex patterns of migration into analysis. It also emphasises the important interconnections that exist between locations and how these interconnections are not only crucial to the success of translocal livelihood strategies but also shape the places they connect. I then go on to highlight the weaknesses of previous </w:t>
      </w:r>
      <w:r w:rsidR="00B929CD" w:rsidRPr="004E053C">
        <w:rPr>
          <w:rFonts w:cstheme="majorHAnsi"/>
          <w:sz w:val="22"/>
          <w:szCs w:val="22"/>
          <w:lang w:val="en-GB" w:eastAsia="zh-CN"/>
        </w:rPr>
        <w:t>theoretical understandings of translocal livelihoods</w:t>
      </w:r>
      <w:r w:rsidRPr="004E053C">
        <w:rPr>
          <w:rFonts w:cstheme="majorHAnsi"/>
          <w:sz w:val="22"/>
          <w:szCs w:val="22"/>
          <w:lang w:val="en-GB" w:eastAsia="zh-CN"/>
        </w:rPr>
        <w:t xml:space="preserve">, explaining that </w:t>
      </w:r>
      <w:r w:rsidR="00B929CD" w:rsidRPr="004E053C">
        <w:rPr>
          <w:rFonts w:cstheme="majorHAnsi"/>
          <w:sz w:val="22"/>
          <w:szCs w:val="22"/>
          <w:lang w:val="en-GB" w:eastAsia="zh-CN"/>
        </w:rPr>
        <w:t>there is a lack of consideration of the t</w:t>
      </w:r>
      <w:r w:rsidRPr="004E053C">
        <w:rPr>
          <w:rFonts w:cstheme="majorHAnsi"/>
          <w:sz w:val="22"/>
          <w:szCs w:val="22"/>
          <w:lang w:val="en-GB" w:eastAsia="zh-CN"/>
        </w:rPr>
        <w:t>emporal nature of translocality and that studies thus far have still tended to focus on rural-urban migration. The latter part of section three then introduces the concept of translocal communities, discussing in more detail how locations are changed by their translocality. It introduces a definition of the translocal ASM community as a social field that incorporates multiple origin and destination communities rather than two places connected through linear A to B migration</w:t>
      </w:r>
      <w:r w:rsidRPr="004E053C">
        <w:rPr>
          <w:rFonts w:cstheme="majorHAnsi"/>
          <w:color w:val="FF0000"/>
          <w:sz w:val="22"/>
          <w:szCs w:val="22"/>
          <w:lang w:val="en-GB" w:eastAsia="zh-CN"/>
        </w:rPr>
        <w:t xml:space="preserve">. </w:t>
      </w:r>
      <w:r w:rsidRPr="004E053C">
        <w:rPr>
          <w:rFonts w:cstheme="majorHAnsi"/>
          <w:sz w:val="22"/>
          <w:szCs w:val="22"/>
          <w:lang w:val="en-GB" w:eastAsia="zh-CN"/>
        </w:rPr>
        <w:t>I then go on to consider how migrants within a translocal community are embedded within different locations simultaneously and what this means for their interactions with others.</w:t>
      </w:r>
      <w:r w:rsidR="00860D09" w:rsidRPr="004E053C">
        <w:rPr>
          <w:rFonts w:cstheme="majorHAnsi"/>
          <w:sz w:val="22"/>
          <w:szCs w:val="22"/>
          <w:lang w:val="en-GB" w:eastAsia="zh-CN"/>
        </w:rPr>
        <w:t xml:space="preserve"> The section concludes with an adaptation of Carling’s </w:t>
      </w:r>
      <w:r w:rsidR="00B12F90" w:rsidRPr="004E053C">
        <w:rPr>
          <w:rFonts w:cstheme="majorHAnsi"/>
          <w:sz w:val="22"/>
          <w:szCs w:val="22"/>
          <w:lang w:val="en-GB" w:eastAsia="zh-CN"/>
        </w:rPr>
        <w:fldChar w:fldCharType="begin" w:fldLock="1"/>
      </w:r>
      <w:r w:rsidR="00D7211F">
        <w:rPr>
          <w:rFonts w:cstheme="majorHAnsi"/>
          <w:sz w:val="22"/>
          <w:szCs w:val="22"/>
          <w:lang w:val="en-GB" w:eastAsia="zh-CN"/>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transnationalism","type":"article-journal","volume":"31"},"uris":["http://www.mendeley.com/documents/?uuid=4e9502bd-03d1-49f4-adda-36bcff515ccc"]}],"mendeley":{"formattedCitation":"(Carling, 2008)","manualFormatting":"(2008)","plainTextFormattedCitation":"(Carling, 2008)","previouslyFormattedCitation":"(Carling, 2008)"},"properties":{"noteIndex":0},"schema":"https://github.com/citation-style-language/schema/raw/master/csl-citation.json"}</w:instrText>
      </w:r>
      <w:r w:rsidR="00B12F90" w:rsidRPr="004E053C">
        <w:rPr>
          <w:rFonts w:cstheme="majorHAnsi"/>
          <w:sz w:val="22"/>
          <w:szCs w:val="22"/>
          <w:lang w:val="en-GB" w:eastAsia="zh-CN"/>
        </w:rPr>
        <w:fldChar w:fldCharType="separate"/>
      </w:r>
      <w:r w:rsidR="00B12F90" w:rsidRPr="004E053C">
        <w:rPr>
          <w:rFonts w:cstheme="majorHAnsi"/>
          <w:noProof/>
          <w:sz w:val="22"/>
          <w:szCs w:val="22"/>
          <w:lang w:val="en-GB" w:eastAsia="zh-CN"/>
        </w:rPr>
        <w:t>(2008)</w:t>
      </w:r>
      <w:r w:rsidR="00B12F90" w:rsidRPr="004E053C">
        <w:rPr>
          <w:rFonts w:cstheme="majorHAnsi"/>
          <w:sz w:val="22"/>
          <w:szCs w:val="22"/>
          <w:lang w:val="en-GB" w:eastAsia="zh-CN"/>
        </w:rPr>
        <w:fldChar w:fldCharType="end"/>
      </w:r>
      <w:r w:rsidR="00B12F90" w:rsidRPr="004E053C">
        <w:rPr>
          <w:rFonts w:cstheme="majorHAnsi"/>
          <w:sz w:val="22"/>
          <w:szCs w:val="22"/>
          <w:lang w:val="en-GB" w:eastAsia="zh-CN"/>
        </w:rPr>
        <w:t xml:space="preserve"> </w:t>
      </w:r>
      <w:r w:rsidR="00860D09" w:rsidRPr="004E053C">
        <w:rPr>
          <w:rFonts w:cstheme="majorHAnsi"/>
          <w:sz w:val="22"/>
          <w:szCs w:val="22"/>
          <w:lang w:val="en-GB" w:eastAsia="zh-CN"/>
        </w:rPr>
        <w:t xml:space="preserve">model of the transnational social field, which can be used to conceptualise the ASM community. </w:t>
      </w:r>
    </w:p>
    <w:p w14:paraId="2B4C4806" w14:textId="77777777" w:rsidR="00FE47C4" w:rsidRPr="004E053C" w:rsidRDefault="00FE47C4" w:rsidP="004E053C">
      <w:pPr>
        <w:pStyle w:val="NoSpacing"/>
        <w:spacing w:line="360" w:lineRule="auto"/>
        <w:jc w:val="both"/>
        <w:rPr>
          <w:rFonts w:cstheme="majorHAnsi"/>
          <w:lang w:val="en-GB" w:eastAsia="zh-CN"/>
        </w:rPr>
      </w:pPr>
    </w:p>
    <w:p w14:paraId="7DCA6554" w14:textId="13896245" w:rsidR="00FE47C4" w:rsidRPr="004E053C" w:rsidRDefault="00EA7F83" w:rsidP="004E053C">
      <w:pPr>
        <w:pStyle w:val="Heading3"/>
        <w:rPr>
          <w:rFonts w:asciiTheme="minorHAnsi" w:hAnsiTheme="minorHAnsi"/>
          <w:lang w:eastAsia="zh-CN"/>
        </w:rPr>
      </w:pPr>
      <w:r w:rsidRPr="004E053C">
        <w:rPr>
          <w:rFonts w:asciiTheme="minorHAnsi" w:hAnsiTheme="minorHAnsi"/>
          <w:lang w:eastAsia="zh-CN"/>
        </w:rPr>
        <w:t>4</w:t>
      </w:r>
      <w:r w:rsidR="004A3EF1" w:rsidRPr="004E053C">
        <w:rPr>
          <w:rFonts w:asciiTheme="minorHAnsi" w:hAnsiTheme="minorHAnsi"/>
          <w:lang w:eastAsia="zh-CN"/>
        </w:rPr>
        <w:t>.3.1 Translocal l</w:t>
      </w:r>
      <w:r w:rsidR="00FE47C4" w:rsidRPr="004E053C">
        <w:rPr>
          <w:rFonts w:asciiTheme="minorHAnsi" w:hAnsiTheme="minorHAnsi"/>
          <w:lang w:eastAsia="zh-CN"/>
        </w:rPr>
        <w:t>ivelihoods</w:t>
      </w:r>
    </w:p>
    <w:p w14:paraId="188B9B1B" w14:textId="77777777" w:rsidR="00B929CD" w:rsidRPr="004E053C" w:rsidRDefault="00B929CD" w:rsidP="004E053C">
      <w:pPr>
        <w:jc w:val="both"/>
      </w:pPr>
    </w:p>
    <w:p w14:paraId="589E30DD" w14:textId="6D75AC75"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The concept of translocality has been applied to numerous phenomena, including space, communities, social capital and relations, infrastructure investment and even decision-making </w:t>
      </w:r>
      <w:r w:rsidR="007B4C06"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{"citationItems":[{"id":"ITEM-1","itemData":{"author":[{"dropping-particle":"","family":"Peth","given":"Simon Alexander","non-dropping-particle":"","parse-names":false,"suffix":""},{"dropping-particle":"","family":"Birtel","given":"Serge","non-dropping-particle":"","parse-names":false,"suffix":""}],"chapter-number":"6","container-title":"Environment, Migration and Adaptation - Evidence and Politics of Climate Change in Bangladesh","editor":[{"dropping-particle":"","family":"Etzold","given":"Benjamin","non-dropping-particle":"","parse-names":false,"suffix":""},{"dropping-particle":"","family":"Mallick","given":"Bishawjit","non-dropping-particle":"","parse-names":false,"suffix":""}],"id":"ITEM-1","issued":{"date-parts":[["2014"]]},"page":"99-118","publisher":"AHDPH","publisher-place":"Dhaka","title":"Translocal Livelihoods and Labor Migration in Bangladesh: migration Decisions in the context of multiple insecurities and a changing environment","type":"chapter"},"uris":["http://www.mendeley.com/documents/?uuid=6ba67ff4-6fbe-4bf7-b386-db00bcda86b3"]}],"mendeley":{"formattedCitation":"(Peth &amp; Birtel, 2014)","plainTextFormattedCitation":"(Peth &amp; Birtel, 2014)","previouslyFormattedCitation":"(Peth &amp; Birtel, 2014)"},"properties":{"noteIndex":0},"schema":"https://github.com/citation-style-language/schema/raw/master/csl-citation.json"}</w:instrText>
      </w:r>
      <w:r w:rsidR="007B4C06" w:rsidRPr="004E053C">
        <w:rPr>
          <w:rFonts w:cstheme="majorHAnsi"/>
          <w:sz w:val="22"/>
          <w:szCs w:val="22"/>
          <w:lang w:val="en-GB" w:eastAsia="zh-CN"/>
        </w:rPr>
        <w:fldChar w:fldCharType="separate"/>
      </w:r>
      <w:r w:rsidR="007B4C06" w:rsidRPr="004E053C">
        <w:rPr>
          <w:rFonts w:cstheme="majorHAnsi"/>
          <w:noProof/>
          <w:sz w:val="22"/>
          <w:szCs w:val="22"/>
          <w:lang w:val="en-GB" w:eastAsia="zh-CN"/>
        </w:rPr>
        <w:t>(Peth &amp; Birtel, 2014)</w:t>
      </w:r>
      <w:r w:rsidR="007B4C06" w:rsidRPr="004E053C">
        <w:rPr>
          <w:rFonts w:cstheme="majorHAnsi"/>
          <w:sz w:val="22"/>
          <w:szCs w:val="22"/>
          <w:lang w:val="en-GB" w:eastAsia="zh-CN"/>
        </w:rPr>
        <w:fldChar w:fldCharType="end"/>
      </w:r>
      <w:r w:rsidRPr="004E053C">
        <w:rPr>
          <w:rFonts w:cstheme="majorHAnsi"/>
          <w:sz w:val="22"/>
          <w:szCs w:val="22"/>
          <w:lang w:val="en-GB" w:eastAsia="zh-CN"/>
        </w:rPr>
        <w:t xml:space="preserve">. A key aspect of translocality is that the movement of people links multiple localities together and in the majority of cases, these people are migrating to work, hence necessitating a focus on translocal livelihoods. As highlighted in chapter two, ASM livelihoods in particular are highly </w:t>
      </w:r>
      <w:r w:rsidRPr="004E053C">
        <w:rPr>
          <w:rFonts w:cstheme="majorHAnsi"/>
          <w:sz w:val="22"/>
          <w:szCs w:val="22"/>
          <w:lang w:val="en-GB" w:eastAsia="zh-CN"/>
        </w:rPr>
        <w:lastRenderedPageBreak/>
        <w:t xml:space="preserve">mobile, which has two implications for analysis. Firstly, the migration patterns cannot be viewed as linear, meaning that the traditional models discussed above are not useful. Secondly, the livelihood system cannot be assumed to be locally bound, which requires a change in perspective </w:t>
      </w:r>
      <w:r w:rsidR="007B4C06"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{"citationItems":[{"id":"ITEM-1","itemData":{"author":[{"dropping-particle":"","family":"Steinbrink","given":"Malte","non-dropping-particle":"","parse-names":false,"suffix":""}],"container-title":"Social Networks: Potential and Constraints. Indications from South Africa","editor":[{"dropping-particle":"","family":"Lohnert","given":"Beate","non-dropping-particle":"","parse-names":false,"suffix":""}],"id":"ITEM-1","issued":{"date-parts":[["2007"]]},"page":"73-113","publisher":"Verlag für Entwicklungspolitik","publisher-place":"Saarbrücken","title":"Exploring the role of migrants’ networks in the context of translocal livelihoods in South Africa","type":"chapter"},"uris":["http://www.mendeley.com/documents/?uuid=a2e6755a-4d01-46c3-907b-0ca21b40bd37"]},{"id":"ITEM-2","itemData":{"author":[{"dropping-particle":"","family":"Steinbrink","given":"Malte","non-dropping-particle":"","parse-names":false,"suffix":""}],"container-title":"Etude de la Population Africaine/African Population Studies","id":"ITEM-2","issued":{"date-parts":[["2009"]]},"page":"219-252","title":"Urbanisation, poverty and translocality: insights from South Africa","type":"article-journal","volume":"23"},"uris":["http://www.mendeley.com/documents/?uuid=73471f27-74d4-4cda-9d28-bfa63481d3fb"]}],"mendeley":{"formattedCitation":"(Steinbrink, 2007, 2009)","plainTextFormattedCitation":"(Steinbrink, 2007, 2009)","previouslyFormattedCitation":"(Steinbrink, 2007, 2009)"},"properties":{"noteIndex":0},"schema":"https://github.com/citation-style-language/schema/raw/master/csl-citation.json"}</w:instrText>
      </w:r>
      <w:r w:rsidR="007B4C06" w:rsidRPr="004E053C">
        <w:rPr>
          <w:rFonts w:cstheme="majorHAnsi"/>
          <w:sz w:val="22"/>
          <w:szCs w:val="22"/>
          <w:lang w:val="en-GB" w:eastAsia="zh-CN"/>
        </w:rPr>
        <w:fldChar w:fldCharType="separate"/>
      </w:r>
      <w:r w:rsidR="007B4C06" w:rsidRPr="004E053C">
        <w:rPr>
          <w:rFonts w:cstheme="majorHAnsi"/>
          <w:noProof/>
          <w:sz w:val="22"/>
          <w:szCs w:val="22"/>
          <w:lang w:val="en-GB" w:eastAsia="zh-CN"/>
        </w:rPr>
        <w:t>(Steinbrink, 2007, 2009)</w:t>
      </w:r>
      <w:r w:rsidR="007B4C06" w:rsidRPr="004E053C">
        <w:rPr>
          <w:rFonts w:cstheme="majorHAnsi"/>
          <w:sz w:val="22"/>
          <w:szCs w:val="22"/>
          <w:lang w:val="en-GB" w:eastAsia="zh-CN"/>
        </w:rPr>
        <w:fldChar w:fldCharType="end"/>
      </w:r>
      <w:r w:rsidRPr="004E053C">
        <w:rPr>
          <w:rFonts w:cstheme="majorHAnsi"/>
          <w:sz w:val="22"/>
          <w:szCs w:val="22"/>
          <w:lang w:val="en-GB" w:eastAsia="zh-CN"/>
        </w:rPr>
        <w:t xml:space="preserve">. This section will elaborate further on these two points. </w:t>
      </w:r>
    </w:p>
    <w:p w14:paraId="73D0C5C2" w14:textId="77777777" w:rsidR="001E6F34" w:rsidRPr="004E053C" w:rsidRDefault="001E6F34" w:rsidP="004E053C">
      <w:pPr>
        <w:spacing w:line="360" w:lineRule="auto"/>
        <w:jc w:val="both"/>
        <w:rPr>
          <w:rFonts w:cstheme="majorHAnsi"/>
          <w:sz w:val="22"/>
          <w:szCs w:val="22"/>
          <w:lang w:val="en-GB" w:eastAsia="zh-CN"/>
        </w:rPr>
      </w:pPr>
    </w:p>
    <w:p w14:paraId="47C5771C" w14:textId="5D07BDE2"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Traditionally, livelihood systems have been looked at within a specific locality, partly because the analysis tends to be on spatially-determined units of analysis such as ‘household’ and ‘the community’ that are defined primarily as a product of proximity </w:t>
      </w:r>
      <w:r w:rsidR="007B4C06"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id":"ITEM-2","itemData":{"author":[{"dropping-particle":"","family":"Steinbrink","given":"Malte","non-dropping-particle":"","parse-names":false,"suffix":""}],"container-title":"Etude de la Population Africaine/African Population Studies","id":"ITEM-2","issued":{"date-parts":[["2009"]]},"page":"219-252","title":"Urbanisation, poverty and translocality: insights from South Africa","type":"article-journal","volume":"23"},"uris":["http://www.mendeley.com/documents/?uuid=73471f27-74d4-4cda-9d28-bfa63481d3fb"]}],"mendeley":{"formattedCitation":"(B Lohnert &amp; Steinbrink, 2005; Steinbrink, 2009)","manualFormatting":"(Lohnert &amp; Steinbrink, 2005; Steinbrink, 2009)","plainTextFormattedCitation":"(B Lohnert &amp; Steinbrink, 2005; Steinbrink, 2009)","previouslyFormattedCitation":"(B Lohnert &amp; Steinbrink, 2005; Steinbrink, 2009)"},"properties":{"noteIndex":0},"schema":"https://github.com/citation-style-language/schema/raw/master/csl-citation.json"}</w:instrText>
      </w:r>
      <w:r w:rsidR="007B4C06" w:rsidRPr="004E053C">
        <w:rPr>
          <w:rFonts w:cstheme="majorHAnsi"/>
          <w:sz w:val="22"/>
          <w:szCs w:val="22"/>
          <w:lang w:val="en-GB"/>
        </w:rPr>
        <w:fldChar w:fldCharType="separate"/>
      </w:r>
      <w:r w:rsidR="007B4C06" w:rsidRPr="004E053C">
        <w:rPr>
          <w:rFonts w:cstheme="majorHAnsi"/>
          <w:noProof/>
          <w:sz w:val="22"/>
          <w:szCs w:val="22"/>
          <w:lang w:val="en-GB"/>
        </w:rPr>
        <w:t>(Lohnert &amp; Steinbrink, 2005; Steinbrink, 2009)</w:t>
      </w:r>
      <w:r w:rsidR="007B4C06" w:rsidRPr="004E053C">
        <w:rPr>
          <w:rFonts w:cstheme="majorHAnsi"/>
          <w:sz w:val="22"/>
          <w:szCs w:val="22"/>
          <w:lang w:val="en-GB"/>
        </w:rPr>
        <w:fldChar w:fldCharType="end"/>
      </w:r>
      <w:r w:rsidRPr="004E053C">
        <w:rPr>
          <w:rFonts w:cstheme="majorHAnsi"/>
          <w:sz w:val="22"/>
          <w:szCs w:val="22"/>
          <w:lang w:val="en-GB"/>
        </w:rPr>
        <w:t xml:space="preserve">. However, </w:t>
      </w:r>
      <w:r w:rsidR="00F16371" w:rsidRPr="004E053C">
        <w:rPr>
          <w:rFonts w:cstheme="majorHAnsi"/>
          <w:sz w:val="22"/>
          <w:szCs w:val="22"/>
          <w:lang w:val="en-GB"/>
        </w:rPr>
        <w:t>as has been shown in chapter 2</w:t>
      </w:r>
      <w:r w:rsidRPr="004E053C">
        <w:rPr>
          <w:rFonts w:cstheme="majorHAnsi"/>
          <w:sz w:val="22"/>
          <w:szCs w:val="22"/>
          <w:lang w:val="en-GB"/>
        </w:rPr>
        <w:t xml:space="preserve"> in relation to ASM, livelihoods are not locally bound </w:t>
      </w:r>
      <w:r w:rsidRPr="004E053C">
        <w:rPr>
          <w:rFonts w:cstheme="majorHAnsi"/>
          <w:color w:val="211E1E"/>
          <w:sz w:val="22"/>
          <w:szCs w:val="22"/>
          <w:lang w:val="en-GB"/>
        </w:rPr>
        <w:t>and</w:t>
      </w:r>
      <w:r w:rsidRPr="004E053C">
        <w:rPr>
          <w:rFonts w:cstheme="majorHAnsi"/>
          <w:sz w:val="22"/>
          <w:szCs w:val="22"/>
          <w:lang w:val="en-GB"/>
        </w:rPr>
        <w:t xml:space="preserve"> are often multi-local, or multi-sited </w:t>
      </w:r>
      <w:r w:rsidR="007B4C06" w:rsidRPr="004E053C">
        <w:rPr>
          <w:rFonts w:cstheme="majorHAnsi"/>
          <w:sz w:val="22"/>
          <w:szCs w:val="22"/>
          <w:lang w:val="en-GB"/>
        </w:rPr>
        <w:fldChar w:fldCharType="begin" w:fldLock="1"/>
      </w:r>
      <w:r w:rsidR="00EB10C1" w:rsidRPr="004E053C">
        <w:rPr>
          <w:rFonts w:cstheme="majorHAnsi"/>
          <w:sz w:val="22"/>
          <w:szCs w:val="22"/>
          <w:lang w:val="en-GB"/>
        </w:rPr>
        <w:instrText>ADDIN CSL_CITATION {"citationItems":[{"id":"ITEM-1","itemData":{"author":[{"dropping-particle":"","family":"Long","given":"N","non-dropping-particle":"","parse-names":false,"suffix":""}],"container-title":"Migration and Development Within and Across Borders: Research and Policy Perspectives on Internal and International Migration","editor":[{"dropping-particle":"","family":"DeWind","given":"J","non-dropping-particle":"","parse-names":false,"suffix":""},{"dropping-particle":"","family":"Holdaway","given":"J.","non-dropping-particle":"","parse-names":false,"suffix":""}],"id":"ITEM-1","issued":{"date-parts":[["2008"]]},"page":"37-68","publisher":"International Organization for Migration","publisher-place":"Geneva/New York","title":"Translocal livelihoods, networks of family and community, and remmitances in Central Peru","type":"chapter"},"uris":["http://www.mendeley.com/documents/?uuid=74e4505d-80c8-44a1-bc39-ef72c7b77d58"]},{"id":"ITEM-2","itemData":{"author":[{"dropping-particle":"","family":"Thieme","given":"Susan","non-dropping-particle":"","parse-names":false,"suffix":""}],"container-title":"Mobilities","id":"ITEM-2","issue":"1","issued":{"date-parts":[["2008"]]},"page":"51-71","title":"Sustaining Livelihoods in Multi-local Settings: Possible Theoretical Linkages between Transnational Migration and Livelihood Studies","type":"article-journal","volume":"3"},"uris":["http://www.mendeley.com/documents/?uuid=f4a0aaa3-869f-4f87-9ad8-87699576ad9c"]}],"mendeley":{"formattedCitation":"(N Long, 2008; Susan Thieme, 2008)","manualFormatting":"(Long, 2008; Thieme, 2008)","plainTextFormattedCitation":"(N Long, 2008; Susan Thieme, 2008)","previouslyFormattedCitation":"(N Long, 2008; Susan Thieme, 2008)"},"properties":{"noteIndex":0},"schema":"https://github.com/citation-style-language/schema/raw/master/csl-citation.json"}</w:instrText>
      </w:r>
      <w:r w:rsidR="007B4C06" w:rsidRPr="004E053C">
        <w:rPr>
          <w:rFonts w:cstheme="majorHAnsi"/>
          <w:sz w:val="22"/>
          <w:szCs w:val="22"/>
          <w:lang w:val="en-GB"/>
        </w:rPr>
        <w:fldChar w:fldCharType="separate"/>
      </w:r>
      <w:r w:rsidR="007B4C06" w:rsidRPr="004E053C">
        <w:rPr>
          <w:rFonts w:cstheme="majorHAnsi"/>
          <w:noProof/>
          <w:sz w:val="22"/>
          <w:szCs w:val="22"/>
          <w:lang w:val="en-GB"/>
        </w:rPr>
        <w:t>(Long, 2008; Thieme, 2008)</w:t>
      </w:r>
      <w:r w:rsidR="007B4C06" w:rsidRPr="004E053C">
        <w:rPr>
          <w:rFonts w:cstheme="majorHAnsi"/>
          <w:sz w:val="22"/>
          <w:szCs w:val="22"/>
          <w:lang w:val="en-GB"/>
        </w:rPr>
        <w:fldChar w:fldCharType="end"/>
      </w:r>
      <w:r w:rsidRPr="004E053C">
        <w:rPr>
          <w:rFonts w:cstheme="majorHAnsi"/>
          <w:sz w:val="22"/>
          <w:szCs w:val="22"/>
          <w:lang w:val="en-GB"/>
        </w:rPr>
        <w:t xml:space="preserve">. Several theorists have shown that a growing </w:t>
      </w:r>
      <w:r w:rsidRPr="004E053C">
        <w:rPr>
          <w:rFonts w:cstheme="majorHAnsi"/>
          <w:color w:val="211E1E"/>
          <w:sz w:val="22"/>
          <w:szCs w:val="22"/>
          <w:lang w:val="en-GB"/>
        </w:rPr>
        <w:t xml:space="preserve">proportion of the population in developing countries organises their livelihoods across a spatial divide, adopting oscillating patterns of migration </w:t>
      </w:r>
      <w:r w:rsidR="007B4C06" w:rsidRPr="004E053C">
        <w:rPr>
          <w:rFonts w:cstheme="majorHAnsi"/>
          <w:color w:val="211E1E"/>
          <w:sz w:val="22"/>
          <w:szCs w:val="22"/>
          <w:lang w:val="en-GB"/>
        </w:rPr>
        <w:fldChar w:fldCharType="begin" w:fldLock="1"/>
      </w:r>
      <w:r w:rsidR="005D0B08">
        <w:rPr>
          <w:rFonts w:cstheme="majorHAnsi"/>
          <w:color w:val="211E1E"/>
          <w:sz w:val="22"/>
          <w:szCs w:val="22"/>
          <w:lang w:val="en-GB"/>
        </w:rPr>
        <w:instrText>ADDIN CSL_CITATION {"citationItems":[{"id":"ITEM-1","itemData":{"author":[{"dropping-particle":"","family":"Ellis","given":"Frank","non-dropping-particle":"","parse-names":false,"suffix":""}],"id":"ITEM-1","issued":{"date-parts":[["2003"]]},"number-of-pages":"21","publisher-place":"London, UK","title":"A livelihoods Approach to Migration and Poverty Reduction","type":"report"},"uris":["http://www.mendeley.com/documents/?uuid=892c69ea-8863-47f6-bdfc-c529056562ec"]},{"id":"ITEM-2","itemData":{"abstract":"The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Journal","id":"ITEM-2","issue":"2","issued":{"date-parts":[["2005"]]},"page":"95-103","title":"Rural and urban livelihoods: a translocal perspective in a South African context","type":"article-journal","volume":"87"},"uris":["http://www.mendeley.com/documents/?uuid=7cce9b74-a4c7-4bac-9677-fb4af5167fab"]},{"id":"ITEM-3","itemData":{"author":[{"dropping-particle":"","family":"Steinbrink","given":"Malte","non-dropping-particle":"","parse-names":false,"suffix":""}],"container-title":"Etude de la Population Africaine/African Population Studies","id":"ITEM-3","issued":{"date-parts":[["2009"]]},"page":"219-252","title":"Urbanisation, poverty and translocality: insights from South Africa","type":"article-journal","volume":"23"},"uris":["http://www.mendeley.com/documents/?uuid=73471f27-74d4-4cda-9d28-bfa63481d3fb"]}],"mendeley":{"formattedCitation":"(Ellis, 2003; B Lohnert &amp; Steinbrink, 2005; Steinbrink, 2009)","manualFormatting":"(Ellis, 2003; Lohnert &amp; Steinbrink, 2005; Steinbrink, 2009)","plainTextFormattedCitation":"(Ellis, 2003; B Lohnert &amp; Steinbrink, 2005; Steinbrink, 2009)","previouslyFormattedCitation":"(Ellis, 2003; B Lohnert &amp; Steinbrink, 2005; Steinbrink, 2009)"},"properties":{"noteIndex":0},"schema":"https://github.com/citation-style-language/schema/raw/master/csl-citation.json"}</w:instrText>
      </w:r>
      <w:r w:rsidR="007B4C06" w:rsidRPr="004E053C">
        <w:rPr>
          <w:rFonts w:cstheme="majorHAnsi"/>
          <w:color w:val="211E1E"/>
          <w:sz w:val="22"/>
          <w:szCs w:val="22"/>
          <w:lang w:val="en-GB"/>
        </w:rPr>
        <w:fldChar w:fldCharType="separate"/>
      </w:r>
      <w:r w:rsidR="007B4C06" w:rsidRPr="004E053C">
        <w:rPr>
          <w:rFonts w:cstheme="majorHAnsi"/>
          <w:noProof/>
          <w:color w:val="211E1E"/>
          <w:sz w:val="22"/>
          <w:szCs w:val="22"/>
          <w:lang w:val="en-GB"/>
        </w:rPr>
        <w:t>(Ellis, 2003; Lohnert &amp; Steinbrink, 2005; Steinbrink, 2009)</w:t>
      </w:r>
      <w:r w:rsidR="007B4C06" w:rsidRPr="004E053C">
        <w:rPr>
          <w:rFonts w:cstheme="majorHAnsi"/>
          <w:color w:val="211E1E"/>
          <w:sz w:val="22"/>
          <w:szCs w:val="22"/>
          <w:lang w:val="en-GB"/>
        </w:rPr>
        <w:fldChar w:fldCharType="end"/>
      </w:r>
      <w:r w:rsidRPr="004E053C">
        <w:rPr>
          <w:rFonts w:cstheme="majorHAnsi"/>
          <w:color w:val="211E1E"/>
          <w:sz w:val="22"/>
          <w:szCs w:val="22"/>
          <w:lang w:val="en-GB"/>
        </w:rPr>
        <w:t>. This necessitates a translocal approach to livelihoods, because focusing on either origin or destination community ignores the proportion of people who continue to be embedded in mult</w:t>
      </w:r>
      <w:r w:rsidR="00AE3ED3" w:rsidRPr="004E053C">
        <w:rPr>
          <w:rFonts w:cstheme="majorHAnsi"/>
          <w:color w:val="211E1E"/>
          <w:sz w:val="22"/>
          <w:szCs w:val="22"/>
          <w:lang w:val="en-GB"/>
        </w:rPr>
        <w:t xml:space="preserve">iple contexts </w:t>
      </w:r>
      <w:r w:rsidR="007B4C06" w:rsidRPr="004E053C">
        <w:rPr>
          <w:rFonts w:cstheme="majorHAnsi"/>
          <w:color w:val="211E1E"/>
          <w:sz w:val="22"/>
          <w:szCs w:val="22"/>
          <w:lang w:val="en-GB"/>
        </w:rPr>
        <w:fldChar w:fldCharType="begin" w:fldLock="1"/>
      </w:r>
      <w:r w:rsidR="0004146F" w:rsidRPr="004E053C">
        <w:rPr>
          <w:rFonts w:cstheme="majorHAnsi"/>
          <w:color w:val="211E1E"/>
          <w:sz w:val="22"/>
          <w:szCs w:val="22"/>
          <w:lang w:val="en-GB"/>
        </w:rPr>
        <w:instrText>ADDIN CSL_CITATION {"citationItems":[{"id":"ITEM-1","itemData":{"author":[{"dropping-particle":"","family":"Steinbrink","given":"Malte","non-dropping-particle":"","parse-names":false,"suffix":""}],"container-title":"Etude de la Population Africaine/African Population Studies","id":"ITEM-1","issued":{"date-parts":[["2009"]]},"page":"219-252","title":"Urbanisation, poverty and translocality: insights from South Africa","type":"article-journal","volume":"23"},"uris":["http://www.mendeley.com/documents/?uuid=73471f27-74d4-4cda-9d28-bfa63481d3fb"]}],"mendeley":{"formattedCitation":"(Steinbrink, 2009)","plainTextFormattedCitation":"(Steinbrink, 2009)","previouslyFormattedCitation":"(Steinbrink, 2009)"},"properties":{"noteIndex":0},"schema":"https://github.com/citation-style-language/schema/raw/master/csl-citation.json"}</w:instrText>
      </w:r>
      <w:r w:rsidR="007B4C06" w:rsidRPr="004E053C">
        <w:rPr>
          <w:rFonts w:cstheme="majorHAnsi"/>
          <w:color w:val="211E1E"/>
          <w:sz w:val="22"/>
          <w:szCs w:val="22"/>
          <w:lang w:val="en-GB"/>
        </w:rPr>
        <w:fldChar w:fldCharType="separate"/>
      </w:r>
      <w:r w:rsidR="007B4C06" w:rsidRPr="004E053C">
        <w:rPr>
          <w:rFonts w:cstheme="majorHAnsi"/>
          <w:noProof/>
          <w:color w:val="211E1E"/>
          <w:sz w:val="22"/>
          <w:szCs w:val="22"/>
          <w:lang w:val="en-GB"/>
        </w:rPr>
        <w:t>(Steinbrink, 2009)</w:t>
      </w:r>
      <w:r w:rsidR="007B4C06" w:rsidRPr="004E053C">
        <w:rPr>
          <w:rFonts w:cstheme="majorHAnsi"/>
          <w:color w:val="211E1E"/>
          <w:sz w:val="22"/>
          <w:szCs w:val="22"/>
          <w:lang w:val="en-GB"/>
        </w:rPr>
        <w:fldChar w:fldCharType="end"/>
      </w:r>
      <w:r w:rsidRPr="004E053C">
        <w:rPr>
          <w:rFonts w:cstheme="majorHAnsi"/>
          <w:color w:val="211E1E"/>
          <w:sz w:val="22"/>
          <w:szCs w:val="22"/>
          <w:lang w:val="en-GB"/>
        </w:rPr>
        <w:t xml:space="preserve">. </w:t>
      </w:r>
      <w:r w:rsidRPr="004E053C">
        <w:rPr>
          <w:rFonts w:cstheme="majorHAnsi"/>
          <w:sz w:val="22"/>
          <w:szCs w:val="22"/>
          <w:lang w:val="en-GB"/>
        </w:rPr>
        <w:t xml:space="preserve">The concept of translocal livelihoods </w:t>
      </w:r>
      <w:r w:rsidR="005B5F62" w:rsidRPr="004E053C">
        <w:rPr>
          <w:rFonts w:cstheme="majorHAnsi"/>
          <w:sz w:val="22"/>
          <w:szCs w:val="22"/>
          <w:lang w:val="en-GB"/>
        </w:rPr>
        <w:t>allows a move away from the linea</w:t>
      </w:r>
      <w:r w:rsidRPr="004E053C">
        <w:rPr>
          <w:rFonts w:cstheme="majorHAnsi"/>
          <w:sz w:val="22"/>
          <w:szCs w:val="22"/>
          <w:lang w:val="en-GB"/>
        </w:rPr>
        <w:t xml:space="preserve">r, ‘modernist’ conceptualisations of migration </w:t>
      </w:r>
      <w:r w:rsidR="007B4C06"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{"citationItems":[{"id":"ITEM-1","itemData":{"abstract":"Based on qualitative fieldwork, this study analyses reasons and outcomes of fishers’ migration in Bangladesh. The results show that fishers’ livelihoods are characterised by a series of vulnerabilities and endemic poverty contributing to their migration decisions. However, fishers also migrate pro-actively to enhance their capacities and explore opportunities. The outcomes of migration are highly diverging: while for poorer fishers, migration is a way of coping with shocks, better resourced fishers can use it for asset accumulation. The importance of migration for their livelihoods and emerging networks across space generate forms of translocal households that coordinate their activities over long distances.","author":[{"dropping-particle":"","family":"Islam","given":"Mohammad Mahmudul","non-dropping-particle":"","parse-names":false,"suffix":""},{"dropping-particle":"","family":"Herbeck","given":"Johannes","non-dropping-particle":"","parse-names":false,"suffix":""}],"container-title":"The Journal of Development Studies","id":"ITEM-1","issue":"6","issued":{"date-parts":[["2013"]]},"page":"1-14","title":"Migration and translocal livelihoods of coastal small-scale fishers in Bangladesh","type":"article-journal","volume":"49"},"uris":["http://www.mendeley.com/documents/?uuid=2af1f3d3-bc4c-48dd-90fe-c5e4a832bdf9"]}],"mendeley":{"formattedCitation":"(Islam &amp; Herbeck, 2013)","plainTextFormattedCitation":"(Islam &amp; Herbeck, 2013)","previouslyFormattedCitation":"(Islam &amp; Herbeck, 2013)"},"properties":{"noteIndex":0},"schema":"https://github.com/citation-style-language/schema/raw/master/csl-citation.json"}</w:instrText>
      </w:r>
      <w:r w:rsidR="007B4C06" w:rsidRPr="004E053C">
        <w:rPr>
          <w:rFonts w:cstheme="majorHAnsi"/>
          <w:sz w:val="22"/>
          <w:szCs w:val="22"/>
          <w:lang w:val="en-GB"/>
        </w:rPr>
        <w:fldChar w:fldCharType="separate"/>
      </w:r>
      <w:r w:rsidR="007B4C06" w:rsidRPr="004E053C">
        <w:rPr>
          <w:rFonts w:cstheme="majorHAnsi"/>
          <w:noProof/>
          <w:sz w:val="22"/>
          <w:szCs w:val="22"/>
          <w:lang w:val="en-GB"/>
        </w:rPr>
        <w:t>(Islam &amp; Herbeck, 2013)</w:t>
      </w:r>
      <w:r w:rsidR="007B4C06" w:rsidRPr="004E053C">
        <w:rPr>
          <w:rFonts w:cstheme="majorHAnsi"/>
          <w:sz w:val="22"/>
          <w:szCs w:val="22"/>
          <w:lang w:val="en-GB"/>
        </w:rPr>
        <w:fldChar w:fldCharType="end"/>
      </w:r>
      <w:r w:rsidRPr="004E053C">
        <w:rPr>
          <w:rFonts w:cstheme="majorHAnsi"/>
          <w:sz w:val="22"/>
          <w:szCs w:val="22"/>
          <w:lang w:val="en-GB"/>
        </w:rPr>
        <w:t xml:space="preserve"> and instead enables both rural and urban to be seen as one complex system </w:t>
      </w:r>
      <w:r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context","type":"article-journal","volume":"87"},"uris":["http://www.mendeley.com/documents/?uuid=7cce9b74-a4c7-4bac-9677-fb4af5167fab"]}],"mendeley":{"formattedCitation":"(B Lohnert &amp; Steinbrink, 2005)","manualFormatting":"(Lohnert &amp; Steinbrink, 2005)","plainTextFormattedCitation":"(B Lohnert &amp; Steinbrink, 2005)","previouslyFormattedCitation":"(B Lohnert &amp; Steinbrink, 2005)"},"properties":{"noteIndex":0},"schema":"https://github.com/citation-style-language/schema/raw/master/csl-citation.json"}</w:instrText>
      </w:r>
      <w:r w:rsidRPr="004E053C">
        <w:rPr>
          <w:rFonts w:cstheme="majorHAnsi"/>
          <w:sz w:val="22"/>
          <w:szCs w:val="22"/>
          <w:lang w:val="en-GB"/>
        </w:rPr>
        <w:fldChar w:fldCharType="separate"/>
      </w:r>
      <w:r w:rsidR="007B4C06" w:rsidRPr="004E053C">
        <w:rPr>
          <w:rFonts w:cstheme="majorHAnsi"/>
          <w:noProof/>
          <w:sz w:val="22"/>
          <w:szCs w:val="22"/>
          <w:lang w:val="en-GB"/>
        </w:rPr>
        <w:t>(</w:t>
      </w:r>
      <w:r w:rsidR="00560EC8" w:rsidRPr="004E053C">
        <w:rPr>
          <w:rFonts w:cstheme="majorHAnsi"/>
          <w:noProof/>
          <w:sz w:val="22"/>
          <w:szCs w:val="22"/>
          <w:lang w:val="en-GB"/>
        </w:rPr>
        <w:t>Lohnert &amp; Steinbrink, 2005)</w:t>
      </w:r>
      <w:r w:rsidRPr="004E053C">
        <w:rPr>
          <w:rFonts w:cstheme="majorHAnsi"/>
          <w:sz w:val="22"/>
          <w:szCs w:val="22"/>
          <w:lang w:val="en-GB"/>
        </w:rPr>
        <w:fldChar w:fldCharType="end"/>
      </w:r>
      <w:r w:rsidRPr="004E053C">
        <w:rPr>
          <w:rFonts w:cstheme="majorHAnsi"/>
          <w:sz w:val="22"/>
          <w:szCs w:val="22"/>
          <w:lang w:val="en-GB"/>
        </w:rPr>
        <w:t xml:space="preserve">. </w:t>
      </w:r>
    </w:p>
    <w:p w14:paraId="7D774B6E" w14:textId="77777777" w:rsidR="00FE47C4" w:rsidRPr="004E053C" w:rsidRDefault="00FE47C4" w:rsidP="004E053C">
      <w:pPr>
        <w:spacing w:line="360" w:lineRule="auto"/>
        <w:jc w:val="both"/>
        <w:rPr>
          <w:rFonts w:cstheme="majorHAnsi"/>
          <w:sz w:val="22"/>
          <w:szCs w:val="22"/>
          <w:lang w:val="en-GB"/>
        </w:rPr>
      </w:pPr>
    </w:p>
    <w:p w14:paraId="6495A821" w14:textId="6EED4252"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In order for a translocal analysis to hold, an allowance for the translocalisation of households </w:t>
      </w:r>
      <w:r w:rsidR="007B4C06" w:rsidRPr="004E053C">
        <w:rPr>
          <w:rFonts w:cstheme="majorHAnsi"/>
          <w:sz w:val="22"/>
          <w:szCs w:val="22"/>
          <w:lang w:val="en-GB"/>
        </w:rPr>
        <w:fldChar w:fldCharType="begin" w:fldLock="1"/>
      </w:r>
      <w:r w:rsidR="007B4C06" w:rsidRPr="004E053C">
        <w:rPr>
          <w:rFonts w:cstheme="majorHAnsi"/>
          <w:sz w:val="22"/>
          <w:szCs w:val="22"/>
          <w:lang w:val="en-GB"/>
        </w:rPr>
        <w:instrText>ADDIN CSL_CITATION {"citationItems":[{"id":"ITEM-1","itemData":{"author":[{"dropping-particle":"","family":"Schöfberger","given":"Irene","non-dropping-particle":"","parse-names":false,"suffix":""}],"container-title":"Geographica Helvetica","id":"ITEM-1","issued":{"date-parts":[["2017"]]},"page":"145–155","title":"How do places of origin influence access to mobility in the global age? An analysis of the influence of vulnerability and structural constraints on Senegalese translocal livelihood strategies","type":"article-journal","volume":"72"},"uris":["http://www.mendeley.com/documents/?uuid=417e9e61-3fe2-4096-bac6-b88eb801f39c"]}],"mendeley":{"formattedCitation":"(Schöfberger, 2017)","plainTextFormattedCitation":"(Schöfberger, 2017)","previouslyFormattedCitation":"(Schöfberger, 2017)"},"properties":{"noteIndex":0},"schema":"https://github.com/citation-style-language/schema/raw/master/csl-citation.json"}</w:instrText>
      </w:r>
      <w:r w:rsidR="007B4C06" w:rsidRPr="004E053C">
        <w:rPr>
          <w:rFonts w:cstheme="majorHAnsi"/>
          <w:sz w:val="22"/>
          <w:szCs w:val="22"/>
          <w:lang w:val="en-GB"/>
        </w:rPr>
        <w:fldChar w:fldCharType="separate"/>
      </w:r>
      <w:r w:rsidR="007B4C06" w:rsidRPr="004E053C">
        <w:rPr>
          <w:rFonts w:cstheme="majorHAnsi"/>
          <w:noProof/>
          <w:sz w:val="22"/>
          <w:szCs w:val="22"/>
          <w:lang w:val="en-GB"/>
        </w:rPr>
        <w:t>(Schöfberger, 2017)</w:t>
      </w:r>
      <w:r w:rsidR="007B4C06" w:rsidRPr="004E053C">
        <w:rPr>
          <w:rFonts w:cstheme="majorHAnsi"/>
          <w:sz w:val="22"/>
          <w:szCs w:val="22"/>
          <w:lang w:val="en-GB"/>
        </w:rPr>
        <w:fldChar w:fldCharType="end"/>
      </w:r>
      <w:r w:rsidRPr="004E053C">
        <w:rPr>
          <w:rFonts w:cstheme="majorHAnsi"/>
          <w:sz w:val="22"/>
          <w:szCs w:val="22"/>
          <w:lang w:val="en-GB"/>
        </w:rPr>
        <w:t xml:space="preserve"> must be incorporated into </w:t>
      </w:r>
      <w:r w:rsidR="00B64EA9" w:rsidRPr="004E053C">
        <w:rPr>
          <w:rFonts w:cstheme="majorHAnsi"/>
          <w:sz w:val="22"/>
          <w:szCs w:val="22"/>
          <w:lang w:val="en-GB"/>
        </w:rPr>
        <w:t>an understanding of translocality</w:t>
      </w:r>
      <w:r w:rsidRPr="004E053C">
        <w:rPr>
          <w:rFonts w:cstheme="majorHAnsi"/>
          <w:sz w:val="22"/>
          <w:szCs w:val="22"/>
          <w:lang w:val="en-GB"/>
        </w:rPr>
        <w:t xml:space="preserve">. A translocal household is defined as consisting of members who coordinate their consumption, reproduction and resource-use activities on a long-term basis, yet who are not necessarily cohabiting </w:t>
      </w:r>
      <w:r w:rsidR="007B4C06"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id":"ITEM-2","itemData":{"author":[{"dropping-particle":"","family":"Steinbrink","given":"Malte","non-dropping-particle":"","parse-names":false,"suffix":""}],"container-title":"Etude de la Population Africaine/African Population Studies","id":"ITEM-2","issued":{"date-parts":[["2009"]]},"page":"219-252","title":"Urbanisation, poverty and translocality: insights from South Africa","type":"article-journal","volume":"23"},"uris":["http://www.mendeley.com/documents/?uuid=73471f27-74d4-4cda-9d28-bfa63481d3fb"]},{"id":"ITEM-3","itemData":{"author":[{"dropping-particle":"","family":"Schöfberger","given":"Irene","non-dropping-particle":"","parse-names":false,"suffix":""}],"container-title":"Geographica Helvetica","id":"ITEM-3","issued":{"date-parts":[["2017"]]},"page":"145–155","title":"How do places of origin influence access to mobility in the global age? An analysis of the influence of vulnerability and structural constraints on Senegalese translocal livelihood strategies","type":"article-journal","volume":"72"},"uris":["http://www.mendeley.com/documents/?uuid=417e9e61-3fe2-4096-bac6-b88eb801f39c"]}],"mendeley":{"formattedCitation":"(B Lohnert &amp; Steinbrink, 2005; Schöfberger, 2017; Steinbrink, 2009)","manualFormatting":"(Lohnert &amp; Steinbrink, 2005; Schöfberger, 2017; Steinbrink, 2009)","plainTextFormattedCitation":"(B Lohnert &amp; Steinbrink, 2005; Schöfberger, 2017; Steinbrink, 2009)","previouslyFormattedCitation":"(B Lohnert &amp; Steinbrink, 2005; Schöfberger, 2017; Steinbrink, 2009)"},"properties":{"noteIndex":0},"schema":"https://github.com/citation-style-language/schema/raw/master/csl-citation.json"}</w:instrText>
      </w:r>
      <w:r w:rsidR="007B4C06" w:rsidRPr="004E053C">
        <w:rPr>
          <w:rFonts w:cstheme="majorHAnsi"/>
          <w:sz w:val="22"/>
          <w:szCs w:val="22"/>
          <w:lang w:val="en-GB"/>
        </w:rPr>
        <w:fldChar w:fldCharType="separate"/>
      </w:r>
      <w:r w:rsidR="003B3208" w:rsidRPr="004E053C">
        <w:rPr>
          <w:rFonts w:cstheme="majorHAnsi"/>
          <w:noProof/>
          <w:sz w:val="22"/>
          <w:szCs w:val="22"/>
          <w:lang w:val="en-GB"/>
        </w:rPr>
        <w:t>(</w:t>
      </w:r>
      <w:r w:rsidR="007B4C06" w:rsidRPr="004E053C">
        <w:rPr>
          <w:rFonts w:cstheme="majorHAnsi"/>
          <w:noProof/>
          <w:sz w:val="22"/>
          <w:szCs w:val="22"/>
          <w:lang w:val="en-GB"/>
        </w:rPr>
        <w:t>Lohnert &amp; Steinbrink, 2005; Schöfberger, 2017; Steinbrink, 2009)</w:t>
      </w:r>
      <w:r w:rsidR="007B4C06" w:rsidRPr="004E053C">
        <w:rPr>
          <w:rFonts w:cstheme="majorHAnsi"/>
          <w:sz w:val="22"/>
          <w:szCs w:val="22"/>
          <w:lang w:val="en-GB"/>
        </w:rPr>
        <w:fldChar w:fldCharType="end"/>
      </w:r>
      <w:r w:rsidRPr="004E053C">
        <w:rPr>
          <w:rFonts w:cstheme="majorHAnsi"/>
          <w:sz w:val="22"/>
          <w:szCs w:val="22"/>
          <w:lang w:val="en-GB"/>
        </w:rPr>
        <w:t xml:space="preserve">. This is important because, as Tan and Yeoh </w:t>
      </w:r>
      <w:r w:rsidR="003B3208" w:rsidRPr="004E053C">
        <w:rPr>
          <w:rFonts w:cstheme="majorHAnsi"/>
          <w:sz w:val="22"/>
          <w:szCs w:val="22"/>
          <w:lang w:val="en-GB"/>
        </w:rPr>
        <w:fldChar w:fldCharType="begin" w:fldLock="1"/>
      </w:r>
      <w:r w:rsidR="003B3208" w:rsidRPr="004E053C">
        <w:rPr>
          <w:rFonts w:cstheme="majorHAnsi"/>
          <w:sz w:val="22"/>
          <w:szCs w:val="22"/>
          <w:lang w:val="en-GB"/>
        </w:rPr>
        <w:instrText>ADDIN CSL_CITATION {"citationItems":[{"id":"ITEM-1","itemData":{"author":[{"dropping-particle":"","family":"Tan","given":"Brian A.L","non-dropping-particle":"","parse-names":false,"suffix":""},{"dropping-particle":"","family":"Yeoh","given":"Brenda S.A","non-dropping-particle":"","parse-names":false,"suffix":""}],"chapter-number":"2","container-title":"Translocal Geographies: Spaces, Places, Connections","editor":[{"dropping-particle":"","family":"Brickell","given":"Katherine","non-dropping-particle":"","parse-names":false,"suffix":""},{"dropping-particle":"","family":"Datta","given":"Ayona","non-dropping-particle":"","parse-names":false,"suffix":""}],"id":"ITEM-1","issued":{"date-parts":[["2011"]]},"page":"23-38","publisher":"Ashgate Publishing Limited","publisher-place":"Farnham, UK","title":"Translocal family relations amongst the Lahu in Northern Thailand","type":"chapter"},"uris":["http://www.mendeley.com/documents/?uuid=32e0b18f-d172-4762-8d26-d8c1223f4bf7"]}],"mendeley":{"formattedCitation":"(Tan &amp; Yeoh, 2011)","manualFormatting":"(2011)","plainTextFormattedCitation":"(Tan &amp; Yeoh, 2011)","previouslyFormattedCitation":"(Tan &amp; Yeoh, 2011)"},"properties":{"noteIndex":0},"schema":"https://github.com/citation-style-language/schema/raw/master/csl-citation.json"}</w:instrText>
      </w:r>
      <w:r w:rsidR="003B3208" w:rsidRPr="004E053C">
        <w:rPr>
          <w:rFonts w:cstheme="majorHAnsi"/>
          <w:sz w:val="22"/>
          <w:szCs w:val="22"/>
          <w:lang w:val="en-GB"/>
        </w:rPr>
        <w:fldChar w:fldCharType="separate"/>
      </w:r>
      <w:r w:rsidR="003B3208" w:rsidRPr="004E053C">
        <w:rPr>
          <w:rFonts w:cstheme="majorHAnsi"/>
          <w:noProof/>
          <w:sz w:val="22"/>
          <w:szCs w:val="22"/>
          <w:lang w:val="en-GB"/>
        </w:rPr>
        <w:t>(2011)</w:t>
      </w:r>
      <w:r w:rsidR="003B3208" w:rsidRPr="004E053C">
        <w:rPr>
          <w:rFonts w:cstheme="majorHAnsi"/>
          <w:sz w:val="22"/>
          <w:szCs w:val="22"/>
          <w:lang w:val="en-GB"/>
        </w:rPr>
        <w:fldChar w:fldCharType="end"/>
      </w:r>
      <w:r w:rsidRPr="004E053C">
        <w:rPr>
          <w:rFonts w:cstheme="majorHAnsi"/>
          <w:sz w:val="22"/>
          <w:szCs w:val="22"/>
          <w:lang w:val="en-GB"/>
        </w:rPr>
        <w:t xml:space="preserve"> have pointed out, the strategies household members adopt to mediate distance and maintain household relationships are equally significan</w:t>
      </w:r>
      <w:r w:rsidR="00130A52">
        <w:rPr>
          <w:rFonts w:cstheme="majorHAnsi"/>
          <w:sz w:val="22"/>
          <w:szCs w:val="22"/>
          <w:lang w:val="en-GB"/>
        </w:rPr>
        <w:t xml:space="preserve">t to those ‘left </w:t>
      </w:r>
      <w:r w:rsidRPr="004E053C">
        <w:rPr>
          <w:rFonts w:cstheme="majorHAnsi"/>
          <w:sz w:val="22"/>
          <w:szCs w:val="22"/>
          <w:lang w:val="en-GB"/>
        </w:rPr>
        <w:t xml:space="preserve">behind’ as well as ‘on-the-move’. Focusing on translocality within the household highlights how immobile household members </w:t>
      </w:r>
      <w:r w:rsidR="002077F0" w:rsidRPr="004E053C">
        <w:rPr>
          <w:rFonts w:cstheme="majorHAnsi"/>
          <w:sz w:val="22"/>
          <w:szCs w:val="22"/>
          <w:lang w:val="en-GB"/>
        </w:rPr>
        <w:t xml:space="preserve">still experience translocality and </w:t>
      </w:r>
      <w:r w:rsidRPr="004E053C">
        <w:rPr>
          <w:rFonts w:cstheme="majorHAnsi"/>
          <w:sz w:val="22"/>
          <w:szCs w:val="22"/>
          <w:lang w:val="en-GB"/>
        </w:rPr>
        <w:t xml:space="preserve">is likely to bring women more firmly into the analysis. This understanding of women’s roles is crucial, as successful mobility and translocal strategies depend very much upon if and how female household members participate in the maintenance of the livelihood and household </w:t>
      </w:r>
      <w:r w:rsidR="003B320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{"citationItems":[{"id":"ITEM-1","itemData":{"abstract":"Based on qualitative fieldwork, this study analyses reasons and outcomes of fishers’ migration in Bangladesh. The results show that fishers’ livelihoods are characterised by a series of vulnerabilities and endemic poverty contributing to their migration decisions. However, fishers also migrate pro-actively to enhance their capacities and explore opportunities. The outcomes of migration are highly diverging: while for poorer fishers, migration is a way of coping with shocks, better resourced fishers can use it for asset accumulation. The importance of migration for their livelihoods and emerging networks across space generate forms of translocal households that coordinate their activities over long distances.","author":[{"dropping-particle":"","family":"Islam","given":"Mohammad Mahmudul","non-dropping-particle":"","parse-names":false,"suffix":""},{"dropping-particle":"","family":"Herbeck","given":"Johannes","non-dropping-particle":"","parse-names":false,"suffix":""}],"container-title":"The Journal of Development Studies","id":"ITEM-1","issue":"6","issued":{"date-parts":[["2013"]]},"page":"1-14","title":"Migration and translocal livelihoods of coastal small-scale fishers in Bangladesh","type":"article-journal","volume":"49"},"uris":["http://www.mendeley.com/documents/?uuid=2af1f3d3-bc4c-48dd-90fe-c5e4a832bdf9"]}],"mendeley":{"formattedCitation":"(Islam &amp; Herbeck, 2013)","plainTextFormattedCitation":"(Islam &amp; Herbeck, 2013)","previouslyFormattedCitation":"(Islam &amp; Herbeck, 2013)"},"properties":{"noteIndex":0},"schema":"https://github.com/citation-style-language/schema/raw/master/csl-citation.json"}</w:instrText>
      </w:r>
      <w:r w:rsidR="003B3208" w:rsidRPr="004E053C">
        <w:rPr>
          <w:rFonts w:cstheme="majorHAnsi"/>
          <w:sz w:val="22"/>
          <w:szCs w:val="22"/>
          <w:lang w:val="en-GB"/>
        </w:rPr>
        <w:fldChar w:fldCharType="separate"/>
      </w:r>
      <w:r w:rsidR="003B3208" w:rsidRPr="004E053C">
        <w:rPr>
          <w:rFonts w:cstheme="majorHAnsi"/>
          <w:noProof/>
          <w:sz w:val="22"/>
          <w:szCs w:val="22"/>
          <w:lang w:val="en-GB"/>
        </w:rPr>
        <w:t>(Islam &amp; Herbeck, 2013)</w:t>
      </w:r>
      <w:r w:rsidR="003B3208" w:rsidRPr="004E053C">
        <w:rPr>
          <w:rFonts w:cstheme="majorHAnsi"/>
          <w:sz w:val="22"/>
          <w:szCs w:val="22"/>
          <w:lang w:val="en-GB"/>
        </w:rPr>
        <w:fldChar w:fldCharType="end"/>
      </w:r>
      <w:r w:rsidRPr="004E053C">
        <w:rPr>
          <w:rFonts w:cstheme="majorHAnsi"/>
          <w:sz w:val="22"/>
          <w:szCs w:val="22"/>
          <w:lang w:val="en-GB"/>
        </w:rPr>
        <w:t xml:space="preserve">. Referring back to Bourdieu’s notion of capital, Thieme and Siegmann </w:t>
      </w:r>
      <w:r w:rsidR="003B320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Thieme","given":"S","non-dropping-particle":"","parse-names":false,"suffix":""},{"dropping-particle":"","family":"Siegmann","given":"K.A","non-dropping-particle":"","parse-names":false,"suffix":""}],"container-title":"Current Sociology","id":"ITEM-1","issue":"5","issued":{"date-parts":[["2010"]]},"page":"715-737","title":"Coping on Women’s Backs Social Capital–Vulnerability Links through a Gender Lens","type":"article-journal","volume":"58"},"uris":["http://www.mendeley.com/documents/?uuid=947f544f-86c6-39f2-a6b9-f3aca119bb66"]}],"mendeley":{"formattedCitation":"(S Thieme &amp; Siegmann, 2010)","manualFormatting":"(2010)","plainTextFormattedCitation":"(S Thieme &amp; Siegmann, 2010)","previouslyFormattedCitation":"(S Thieme &amp; Siegmann, 2010)"},"properties":{"noteIndex":0},"schema":"https://github.com/citation-style-language/schema/raw/master/csl-citation.json"}</w:instrText>
      </w:r>
      <w:r w:rsidR="003B3208" w:rsidRPr="004E053C">
        <w:rPr>
          <w:rFonts w:cstheme="majorHAnsi"/>
          <w:sz w:val="22"/>
          <w:szCs w:val="22"/>
          <w:lang w:val="en-GB"/>
        </w:rPr>
        <w:fldChar w:fldCharType="separate"/>
      </w:r>
      <w:r w:rsidR="003B3208" w:rsidRPr="004E053C">
        <w:rPr>
          <w:rFonts w:cstheme="majorHAnsi"/>
          <w:noProof/>
          <w:sz w:val="22"/>
          <w:szCs w:val="22"/>
          <w:lang w:val="en-GB"/>
        </w:rPr>
        <w:t>(2010)</w:t>
      </w:r>
      <w:r w:rsidR="003B3208" w:rsidRPr="004E053C">
        <w:rPr>
          <w:rFonts w:cstheme="majorHAnsi"/>
          <w:sz w:val="22"/>
          <w:szCs w:val="22"/>
          <w:lang w:val="en-GB"/>
        </w:rPr>
        <w:fldChar w:fldCharType="end"/>
      </w:r>
      <w:r w:rsidRPr="004E053C">
        <w:rPr>
          <w:rFonts w:cstheme="majorHAnsi"/>
          <w:sz w:val="22"/>
          <w:szCs w:val="22"/>
          <w:lang w:val="en-GB"/>
        </w:rPr>
        <w:t xml:space="preserve"> noted that women’s expected contributions to a household’s social capital or their inclusion in social networks are often higher than </w:t>
      </w:r>
      <w:r w:rsidR="00D3785B" w:rsidRPr="004E053C">
        <w:rPr>
          <w:rFonts w:cstheme="majorHAnsi"/>
          <w:sz w:val="22"/>
          <w:szCs w:val="22"/>
          <w:lang w:val="en-GB"/>
        </w:rPr>
        <w:t>men’s</w:t>
      </w:r>
      <w:r w:rsidRPr="004E053C">
        <w:rPr>
          <w:rFonts w:cstheme="majorHAnsi"/>
          <w:sz w:val="22"/>
          <w:szCs w:val="22"/>
          <w:lang w:val="en-GB"/>
        </w:rPr>
        <w:t xml:space="preserve">, even though they may not derive any personal benefit from these relations. A good example of this may be women’s behaviour being directly linked to their husband’s honour, such as through the maintenance of </w:t>
      </w:r>
      <w:r w:rsidRPr="004E053C">
        <w:rPr>
          <w:rFonts w:cstheme="majorHAnsi"/>
          <w:i/>
          <w:iCs/>
          <w:sz w:val="22"/>
          <w:szCs w:val="22"/>
          <w:lang w:val="en-GB"/>
        </w:rPr>
        <w:t>purdah</w:t>
      </w:r>
      <w:r w:rsidRPr="004E053C">
        <w:rPr>
          <w:rFonts w:cstheme="majorHAnsi"/>
          <w:sz w:val="22"/>
          <w:szCs w:val="22"/>
          <w:lang w:val="en-GB"/>
        </w:rPr>
        <w:t xml:space="preserve"> in some </w:t>
      </w:r>
      <w:r w:rsidRPr="004E053C">
        <w:rPr>
          <w:rFonts w:cstheme="majorHAnsi"/>
          <w:sz w:val="22"/>
          <w:szCs w:val="22"/>
          <w:lang w:val="en-GB"/>
        </w:rPr>
        <w:lastRenderedPageBreak/>
        <w:t xml:space="preserve">cultures </w:t>
      </w:r>
      <w:r w:rsidR="003B320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Thieme","given":"S","non-dropping-particle":"","parse-names":false,"suffix":""},{"dropping-particle":"","family":"Siegmann","given":"K.A","non-dropping-particle":"","parse-names":false,"suffix":""}],"container-title":"Current Sociology","id":"ITEM-1","issue":"5","issued":{"date-parts":[["2010"]]},"page":"715-737","title":"Coping on Women’s Backs Social Capital–Vulnerability Links through a Gender Lens","type":"article-journal","volume":"58"},"uris":["http://www.mendeley.com/documents/?uuid=947f544f-86c6-39f2-a6b9-f3aca119bb66"]}],"mendeley":{"formattedCitation":"(S Thieme &amp; Siegmann, 2010)","manualFormatting":"(Ibid.)","plainTextFormattedCitation":"(S Thieme &amp; Siegmann, 2010)","previouslyFormattedCitation":"(S Thieme &amp; Siegmann, 2010)"},"properties":{"noteIndex":0},"schema":"https://github.com/citation-style-language/schema/raw/master/csl-citation.json"}</w:instrText>
      </w:r>
      <w:r w:rsidR="003B3208" w:rsidRPr="004E053C">
        <w:rPr>
          <w:rFonts w:cstheme="majorHAnsi"/>
          <w:sz w:val="22"/>
          <w:szCs w:val="22"/>
          <w:lang w:val="en-GB"/>
        </w:rPr>
        <w:fldChar w:fldCharType="separate"/>
      </w:r>
      <w:r w:rsidR="00170378" w:rsidRPr="004E053C">
        <w:rPr>
          <w:rFonts w:cstheme="majorHAnsi"/>
          <w:noProof/>
          <w:sz w:val="22"/>
          <w:szCs w:val="22"/>
          <w:lang w:val="en-GB"/>
        </w:rPr>
        <w:t>(Ibid</w:t>
      </w:r>
      <w:r w:rsidR="00EC4FAE" w:rsidRPr="004E053C">
        <w:rPr>
          <w:rFonts w:cstheme="majorHAnsi"/>
          <w:noProof/>
          <w:sz w:val="22"/>
          <w:szCs w:val="22"/>
          <w:lang w:val="en-GB"/>
        </w:rPr>
        <w:t>.</w:t>
      </w:r>
      <w:r w:rsidR="003B3208" w:rsidRPr="004E053C">
        <w:rPr>
          <w:rFonts w:cstheme="majorHAnsi"/>
          <w:noProof/>
          <w:sz w:val="22"/>
          <w:szCs w:val="22"/>
          <w:lang w:val="en-GB"/>
        </w:rPr>
        <w:t>)</w:t>
      </w:r>
      <w:r w:rsidR="003B3208" w:rsidRPr="004E053C">
        <w:rPr>
          <w:rFonts w:cstheme="majorHAnsi"/>
          <w:sz w:val="22"/>
          <w:szCs w:val="22"/>
          <w:lang w:val="en-GB"/>
        </w:rPr>
        <w:fldChar w:fldCharType="end"/>
      </w:r>
      <w:r w:rsidRPr="004E053C">
        <w:rPr>
          <w:rFonts w:cstheme="majorHAnsi"/>
          <w:sz w:val="22"/>
          <w:szCs w:val="22"/>
          <w:lang w:val="en-GB"/>
        </w:rPr>
        <w:t>,</w:t>
      </w:r>
      <w:r w:rsidR="00F16371" w:rsidRPr="004E053C">
        <w:rPr>
          <w:rFonts w:cstheme="majorHAnsi"/>
          <w:sz w:val="22"/>
          <w:szCs w:val="22"/>
          <w:lang w:val="en-GB"/>
        </w:rPr>
        <w:t xml:space="preserve"> but as I will show in chapter 7</w:t>
      </w:r>
      <w:r w:rsidRPr="004E053C">
        <w:rPr>
          <w:rFonts w:cstheme="majorHAnsi"/>
          <w:sz w:val="22"/>
          <w:szCs w:val="22"/>
          <w:lang w:val="en-GB"/>
        </w:rPr>
        <w:t xml:space="preserve">, such contributions are also of crucial importance in migratory livelihoods. To my knowledge, this is not something that has been considered in detail within the ASM literature. Furthermore, the conceptualisation of translocal livelihoods used here also extends to cover scenarios where the migrant is a woman </w:t>
      </w:r>
      <w:r w:rsidR="003B3208" w:rsidRPr="004E053C">
        <w:rPr>
          <w:rFonts w:cstheme="majorHAnsi"/>
          <w:sz w:val="22"/>
          <w:szCs w:val="22"/>
          <w:lang w:val="en-GB"/>
        </w:rPr>
        <w:fldChar w:fldCharType="begin" w:fldLock="1"/>
      </w:r>
      <w:r w:rsidR="003B3208" w:rsidRPr="004E053C">
        <w:rPr>
          <w:rFonts w:cstheme="majorHAnsi"/>
          <w:sz w:val="22"/>
          <w:szCs w:val="22"/>
          <w:lang w:val="en-GB"/>
        </w:rPr>
        <w:instrText>ADDIN CSL_CITATION {"citationItems":[{"id":"ITEM-1","itemData":{"author":[{"dropping-particle":"","family":"Pinnawala","given":"Mallika","non-dropping-particle":"","parse-names":false,"suffix":""}],"container-title":"Gender, Technology and Development","id":"ITEM-1","issue":"3","issued":{"date-parts":[["2008"]]},"page":"439-459","title":"Engaging in trans-local management of households","type":"article-journal","volume":"12"},"uris":["http://www.mendeley.com/documents/?uuid=f1f552da-6c38-4c43-8971-fd6b05f62a91"]}],"mendeley":{"formattedCitation":"(Pinnawala, 2008)","plainTextFormattedCitation":"(Pinnawala, 2008)","previouslyFormattedCitation":"(Pinnawala, 2008)"},"properties":{"noteIndex":0},"schema":"https://github.com/citation-style-language/schema/raw/master/csl-citation.json"}</w:instrText>
      </w:r>
      <w:r w:rsidR="003B3208" w:rsidRPr="004E053C">
        <w:rPr>
          <w:rFonts w:cstheme="majorHAnsi"/>
          <w:sz w:val="22"/>
          <w:szCs w:val="22"/>
          <w:lang w:val="en-GB"/>
        </w:rPr>
        <w:fldChar w:fldCharType="separate"/>
      </w:r>
      <w:r w:rsidR="003B3208" w:rsidRPr="004E053C">
        <w:rPr>
          <w:rFonts w:cstheme="majorHAnsi"/>
          <w:noProof/>
          <w:sz w:val="22"/>
          <w:szCs w:val="22"/>
          <w:lang w:val="en-GB"/>
        </w:rPr>
        <w:t>(Pinnawala, 2008)</w:t>
      </w:r>
      <w:r w:rsidR="003B3208" w:rsidRPr="004E053C">
        <w:rPr>
          <w:rFonts w:cstheme="majorHAnsi"/>
          <w:sz w:val="22"/>
          <w:szCs w:val="22"/>
          <w:lang w:val="en-GB"/>
        </w:rPr>
        <w:fldChar w:fldCharType="end"/>
      </w:r>
      <w:r w:rsidRPr="004E053C">
        <w:rPr>
          <w:rFonts w:cstheme="majorHAnsi"/>
          <w:sz w:val="22"/>
          <w:szCs w:val="22"/>
          <w:lang w:val="en-GB"/>
        </w:rPr>
        <w:t xml:space="preserve">. </w:t>
      </w:r>
    </w:p>
    <w:p w14:paraId="5C5FECDA" w14:textId="77777777" w:rsidR="00FE47C4" w:rsidRPr="004E053C" w:rsidRDefault="00FE47C4" w:rsidP="004E053C">
      <w:pPr>
        <w:spacing w:line="360" w:lineRule="auto"/>
        <w:jc w:val="both"/>
        <w:rPr>
          <w:rFonts w:cstheme="majorHAnsi"/>
          <w:sz w:val="22"/>
          <w:szCs w:val="22"/>
          <w:lang w:val="en-GB"/>
        </w:rPr>
      </w:pPr>
    </w:p>
    <w:p w14:paraId="670E527E" w14:textId="2B291CE0"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A key reason for using translocal livelihoods as a basis for analysing ASM in Peru is that it allows a focus on the multidirectional and overlapping networks that are created as a result of the exchange of resources, practices and ideas </w:t>
      </w:r>
      <w:r w:rsidR="003B320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transnationalism.","author":[{"dropping-particle":"","family":"Greiner","given":"Clemens","non-dropping-particle":"","parse-names":false,"suffix":""}],"container-title":"Sociologus","id":"ITEM-1","issue":"2","issued":{"date-parts":[["2010"]]},"page":"131-161","title":"Patterns of translocality: migration, livelihoods and identities in Northwest Namibia","type":"article-journal","volume":"60"},"uris":["http://www.mendeley.com/documents/?uuid=414887f7-c62a-48a7-b7bf-b65a4cc9aa41"]}],"mendeley":{"formattedCitation":"(Greiner, 2010)","plainTextFormattedCitation":"(Greiner, 2010)","previouslyFormattedCitation":"(Greiner, 2010)"},"properties":{"noteIndex":0},"schema":"https://github.com/citation-style-language/schema/raw/master/csl-citation.json"}</w:instrText>
      </w:r>
      <w:r w:rsidR="003B3208" w:rsidRPr="004E053C">
        <w:rPr>
          <w:rFonts w:cstheme="majorHAnsi"/>
          <w:sz w:val="22"/>
          <w:szCs w:val="22"/>
          <w:lang w:val="en-GB"/>
        </w:rPr>
        <w:fldChar w:fldCharType="separate"/>
      </w:r>
      <w:r w:rsidR="003B3208" w:rsidRPr="004E053C">
        <w:rPr>
          <w:rFonts w:cstheme="majorHAnsi"/>
          <w:noProof/>
          <w:sz w:val="22"/>
          <w:szCs w:val="22"/>
          <w:lang w:val="en-GB"/>
        </w:rPr>
        <w:t>(Greiner, 2010)</w:t>
      </w:r>
      <w:r w:rsidR="003B3208" w:rsidRPr="004E053C">
        <w:rPr>
          <w:rFonts w:cstheme="majorHAnsi"/>
          <w:sz w:val="22"/>
          <w:szCs w:val="22"/>
          <w:lang w:val="en-GB"/>
        </w:rPr>
        <w:fldChar w:fldCharType="end"/>
      </w:r>
      <w:r w:rsidRPr="004E053C">
        <w:rPr>
          <w:rFonts w:cstheme="majorHAnsi"/>
          <w:sz w:val="22"/>
          <w:szCs w:val="22"/>
          <w:lang w:val="en-GB"/>
        </w:rPr>
        <w:t xml:space="preserve">. A translocal livelihoods analysis considers the role of external actors in shaping livelihood and community dynamics, recognising the importance of social interrelationships between actors who may not be situated in close proximity to one another </w:t>
      </w:r>
      <w:r w:rsidR="003B3208"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context","type":"article-journal","volume":"87"},"uris":["http://www.mendeley.com/documents/?uuid=7cce9b74-a4c7-4bac-9677-fb4af5167fab"]}],"mendeley":{"formattedCitation":"(B Lohnert &amp; Steinbrink, 2005)","manualFormatting":"(Lohnert &amp; Steinbrink, 2005)","plainTextFormattedCitation":"(B Lohnert &amp; Steinbrink, 2005)","previouslyFormattedCitation":"(B Lohnert &amp; Steinbrink, 2005)"},"properties":{"noteIndex":0},"schema":"https://github.com/citation-style-language/schema/raw/master/csl-citation.json"}</w:instrText>
      </w:r>
      <w:r w:rsidR="003B3208" w:rsidRPr="004E053C">
        <w:rPr>
          <w:rFonts w:cstheme="majorHAnsi"/>
          <w:sz w:val="22"/>
          <w:szCs w:val="22"/>
          <w:lang w:val="en-GB"/>
        </w:rPr>
        <w:fldChar w:fldCharType="separate"/>
      </w:r>
      <w:r w:rsidR="00170378" w:rsidRPr="004E053C">
        <w:rPr>
          <w:rFonts w:cstheme="majorHAnsi"/>
          <w:noProof/>
          <w:sz w:val="22"/>
          <w:szCs w:val="22"/>
          <w:lang w:val="en-GB"/>
        </w:rPr>
        <w:t>(</w:t>
      </w:r>
      <w:r w:rsidR="00061F17" w:rsidRPr="004E053C">
        <w:rPr>
          <w:rFonts w:cstheme="majorHAnsi"/>
          <w:noProof/>
          <w:sz w:val="22"/>
          <w:szCs w:val="22"/>
          <w:lang w:val="en-GB"/>
        </w:rPr>
        <w:t>Lohnert &amp; Steinbrink, 2005)</w:t>
      </w:r>
      <w:r w:rsidR="003B3208" w:rsidRPr="004E053C">
        <w:rPr>
          <w:rFonts w:cstheme="majorHAnsi"/>
          <w:sz w:val="22"/>
          <w:szCs w:val="22"/>
          <w:lang w:val="en-GB"/>
        </w:rPr>
        <w:fldChar w:fldCharType="end"/>
      </w:r>
      <w:r w:rsidRPr="004E053C">
        <w:rPr>
          <w:rFonts w:cstheme="majorHAnsi"/>
          <w:sz w:val="22"/>
          <w:szCs w:val="22"/>
          <w:lang w:val="en-GB"/>
        </w:rPr>
        <w:t>. It can therefore be l</w:t>
      </w:r>
      <w:r w:rsidR="003B3208" w:rsidRPr="004E053C">
        <w:rPr>
          <w:rFonts w:cstheme="majorHAnsi"/>
          <w:sz w:val="22"/>
          <w:szCs w:val="22"/>
          <w:lang w:val="en-GB"/>
        </w:rPr>
        <w:t xml:space="preserve">inked back to Bourdieu’s </w:t>
      </w:r>
      <w:r w:rsidRPr="004E053C">
        <w:rPr>
          <w:rFonts w:cstheme="majorHAnsi"/>
          <w:sz w:val="22"/>
          <w:szCs w:val="22"/>
          <w:lang w:val="en-GB"/>
        </w:rPr>
        <w:t xml:space="preserve">theorisation of the ways in which power relations shape social practices. Much work on translocal livelihoods has focused on the coping strategies of households who find themselves operating on a translocal scale, in particular the ways they draw on social networks or support each other through remittances </w:t>
      </w:r>
      <w:r w:rsidR="003B3208"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uthor":[{"dropping-particle":"","family":"Brickell","given":"K.","non-dropping-particle":"","parse-names":false,"suffix":""},{"dropping-particle":"","family":"Datta","given":"A","non-dropping-particle":"","parse-names":false,"suffix":""}],"chapter-number":"1","container-title":"Translocal Geographies: Spaces, Places, Connectionsspaces, places, connections","id":"ITEM-1","issued":{"date-parts":[["2011"]]},"page":"3-22","publisher":"Ashgate Publishing Limited","publisher-place":"Farnham, UK","title":"Introduction: Translocal Geographies","type":"chapter"},"uris":["http://www.mendeley.com/documents/?uuid=e9d80bd7-1584-4fca-bf4f-f5d58e788945"]},{"id":"ITEM-2","itemData":{"author":[{"dropping-particle":"","family":"Long","given":"N","non-dropping-particle":"","parse-names":false,"suffix":""}],"container-title":"Migration and Development Within and Across Borders: Research and Policy Perspectives on Internal and International Migration","editor":[{"dropping-particle":"","family":"DeWind","given":"J","non-dropping-particle":"","parse-names":false,"suffix":""},{"dropping-particle":"","family":"Holdaway","given":"J.","non-dropping-particle":"","parse-names":false,"suffix":""}],"id":"ITEM-2","issued":{"date-parts":[["2008"]]},"page":"37-68","publisher":"International Organization for Migration","publisher-place":"Geneva/New York","title":"Translocal livelihoods, networks of family and community, and remmitances in Central Peru","type":"chapter"},"uris":["http://www.mendeley.com/documents/?uuid=74e4505d-80c8-44a1-bc39-ef72c7b77d58"]}],"mendeley":{"formattedCitation":"(K. Brickell &amp; Datta, 2011; N Long, 2008)","manualFormatting":"(Brickell &amp; Datta, 2011; Long, 2008)","plainTextFormattedCitation":"(K. Brickell &amp; Datta, 2011; N Long, 2008)","previouslyFormattedCitation":"(K. Brickell &amp; Datta, 2011; N Long, 2008)"},"properties":{"noteIndex":0},"schema":"https://github.com/citation-style-language/schema/raw/master/csl-citation.json"}</w:instrText>
      </w:r>
      <w:r w:rsidR="003B3208" w:rsidRPr="004E053C">
        <w:rPr>
          <w:rFonts w:cstheme="majorHAnsi"/>
          <w:sz w:val="22"/>
          <w:szCs w:val="22"/>
          <w:lang w:val="en-GB"/>
        </w:rPr>
        <w:fldChar w:fldCharType="separate"/>
      </w:r>
      <w:r w:rsidR="00170378" w:rsidRPr="004E053C">
        <w:rPr>
          <w:rFonts w:cstheme="majorHAnsi"/>
          <w:noProof/>
          <w:sz w:val="22"/>
          <w:szCs w:val="22"/>
          <w:lang w:val="en-GB"/>
        </w:rPr>
        <w:t>(</w:t>
      </w:r>
      <w:r w:rsidR="00061F17" w:rsidRPr="004E053C">
        <w:rPr>
          <w:rFonts w:cstheme="majorHAnsi"/>
          <w:noProof/>
          <w:sz w:val="22"/>
          <w:szCs w:val="22"/>
          <w:lang w:val="en-GB"/>
        </w:rPr>
        <w:t>Brickell &amp; Datta, 2011; Long, 2008)</w:t>
      </w:r>
      <w:r w:rsidR="003B3208" w:rsidRPr="004E053C">
        <w:rPr>
          <w:rFonts w:cstheme="majorHAnsi"/>
          <w:sz w:val="22"/>
          <w:szCs w:val="22"/>
          <w:lang w:val="en-GB"/>
        </w:rPr>
        <w:fldChar w:fldCharType="end"/>
      </w:r>
      <w:r w:rsidRPr="004E053C">
        <w:rPr>
          <w:rFonts w:cstheme="majorHAnsi"/>
          <w:sz w:val="22"/>
          <w:szCs w:val="22"/>
          <w:lang w:val="en-GB"/>
        </w:rPr>
        <w:t xml:space="preserve">. Thus, there is a focus on the immaterial ‘goods’ of everyday life, such as social capital, as well as the alternative capacities for success and wellbeing held by households </w:t>
      </w:r>
      <w:r w:rsidR="003B3208"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Schröder","given":"Philipp","non-dropping-particle":"","parse-names":false,"suffix":""},{"dropping-particle":"","family":"Stephen-Emmrich","given":"Manja","non-dropping-particle":"","parse-names":false,"suffix":""}],"container-title":"Mobilities","id":"ITEM-1","issue":"3","issued":{"date-parts":[["2014"]]},"page":"1-24","title":"The institutionalization of mobility: Wellbeing and social hierarchies in Central Asian translocal livelihoods","type":"article-journal","volume":"11"},"uris":["http://www.mendeley.com/documents/?uuid=4dca37d9-cd4d-47ba-90fc-5e451484d02d","http://www.mendeley.com/documents/?uuid=b4081da4-aee7-49af-80ad-63f53d801a6b"]}],"mendeley":{"formattedCitation":"(Schröder &amp; Stephen-Emmrich, 2014)","plainTextFormattedCitation":"(Schröder &amp; Stephen-Emmrich, 2014)","previouslyFormattedCitation":"(Schröder &amp; Stephen-Emmrich, 2014)"},"properties":{"noteIndex":0},"schema":"https://github.com/citation-style-language/schema/raw/master/csl-citation.json"}</w:instrText>
      </w:r>
      <w:r w:rsidR="003B3208" w:rsidRPr="004E053C">
        <w:rPr>
          <w:rFonts w:cstheme="majorHAnsi"/>
          <w:sz w:val="22"/>
          <w:szCs w:val="22"/>
          <w:lang w:val="en-GB"/>
        </w:rPr>
        <w:fldChar w:fldCharType="separate"/>
      </w:r>
      <w:r w:rsidR="003B3208" w:rsidRPr="004E053C">
        <w:rPr>
          <w:rFonts w:cstheme="majorHAnsi"/>
          <w:noProof/>
          <w:sz w:val="22"/>
          <w:szCs w:val="22"/>
          <w:lang w:val="en-GB"/>
        </w:rPr>
        <w:t>(Schröder &amp; Stephen-Emmrich, 2014)</w:t>
      </w:r>
      <w:r w:rsidR="003B3208" w:rsidRPr="004E053C">
        <w:rPr>
          <w:rFonts w:cstheme="majorHAnsi"/>
          <w:sz w:val="22"/>
          <w:szCs w:val="22"/>
          <w:lang w:val="en-GB"/>
        </w:rPr>
        <w:fldChar w:fldCharType="end"/>
      </w:r>
      <w:r w:rsidRPr="004E053C">
        <w:rPr>
          <w:rFonts w:cstheme="majorHAnsi"/>
          <w:sz w:val="22"/>
          <w:szCs w:val="22"/>
          <w:lang w:val="en-GB"/>
        </w:rPr>
        <w:t xml:space="preserve"> and how that success may be influenced by other actors within the social field.</w:t>
      </w:r>
    </w:p>
    <w:p w14:paraId="2B7F89CF" w14:textId="77777777" w:rsidR="00FE47C4" w:rsidRPr="004E053C" w:rsidRDefault="00FE47C4" w:rsidP="004E053C">
      <w:pPr>
        <w:spacing w:line="360" w:lineRule="auto"/>
        <w:jc w:val="both"/>
        <w:rPr>
          <w:rFonts w:cstheme="majorHAnsi"/>
          <w:sz w:val="22"/>
          <w:szCs w:val="22"/>
          <w:lang w:val="en-GB"/>
        </w:rPr>
      </w:pPr>
    </w:p>
    <w:p w14:paraId="56D6A277" w14:textId="49779656"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I argue that there are two weaknesses with translocal l</w:t>
      </w:r>
      <w:r w:rsidR="00C967FF" w:rsidRPr="004E053C">
        <w:rPr>
          <w:rFonts w:cstheme="majorHAnsi"/>
          <w:sz w:val="22"/>
          <w:szCs w:val="22"/>
          <w:lang w:val="en-GB"/>
        </w:rPr>
        <w:t xml:space="preserve">ivelihoods literature thus far. </w:t>
      </w:r>
      <w:r w:rsidRPr="004E053C">
        <w:rPr>
          <w:rFonts w:cstheme="majorHAnsi"/>
          <w:sz w:val="22"/>
          <w:szCs w:val="22"/>
          <w:lang w:val="en-GB"/>
        </w:rPr>
        <w:t>The first weakness is that, despite acknowledging that spatial patterns of migration are more complex than linear models imply, there is still a focus on rural-urban migration</w:t>
      </w:r>
      <w:r w:rsidRPr="004E053C">
        <w:rPr>
          <w:rFonts w:cstheme="majorHAnsi"/>
          <w:color w:val="211E1E"/>
          <w:sz w:val="22"/>
          <w:szCs w:val="22"/>
          <w:lang w:val="en-GB"/>
        </w:rPr>
        <w:t xml:space="preserve"> </w:t>
      </w:r>
      <w:r w:rsidR="003B3208" w:rsidRPr="004E053C">
        <w:rPr>
          <w:rFonts w:cstheme="majorHAnsi"/>
          <w:color w:val="211E1E"/>
          <w:sz w:val="22"/>
          <w:szCs w:val="22"/>
          <w:lang w:val="en-GB"/>
        </w:rPr>
        <w:fldChar w:fldCharType="begin" w:fldLock="1"/>
      </w:r>
      <w:r w:rsidR="005D0B08">
        <w:rPr>
          <w:rFonts w:cstheme="majorHAnsi"/>
          <w:color w:val="211E1E"/>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id":"ITEM-2","itemData":{"author":[{"dropping-particle":"","family":"Steinbrink","given":"Malte","non-dropping-particle":"","parse-names":false,"suffix":""}],"container-title":"Etude de la Population Africaine/African Population Studies","id":"ITEM-2","issued":{"date-parts":[["2009"]]},"page":"219-252","title":"Urbanisation, poverty and translocality: insights from South Africa","type":"article-journal","volume":"23"},"uris":["http://www.mendeley.com/documents/?uuid=73471f27-74d4-4cda-9d28-bfa63481d3fb"]},{"id":"ITEM-3","itemData":{"author":[{"dropping-particle":"","family":"Benz","given":"Andreas","non-dropping-particle":"","parse-names":false,"suffix":""}],"container-title":"Geographica Helvetica","id":"ITEM-3","issued":{"date-parts":[["2014"]]},"page":"259-270","title":"Mobility, multilocality and translocal development: changing livelihoods in the Karakoram","type":"article-journal","volume":"69"},"uris":["http://www.mendeley.com/documents/?uuid=a8c22e9e-4865-494e-b801-f549845ca7d2"]}],"mendeley":{"formattedCitation":"(Benz, 2014; B Lohnert &amp; Steinbrink, 2005; Steinbrink, 2009)","manualFormatting":"(e.g. Benz, 2014; Lohnert &amp; Steinbrink, 2005; Steinbrink, 2009)","plainTextFormattedCitation":"(Benz, 2014; B Lohnert &amp; Steinbrink, 2005; Steinbrink, 2009)","previouslyFormattedCitation":"(Benz, 2014; B Lohnert &amp; Steinbrink, 2005; Steinbrink, 2009)"},"properties":{"noteIndex":0},"schema":"https://github.com/citation-style-language/schema/raw/master/csl-citation.json"}</w:instrText>
      </w:r>
      <w:r w:rsidR="003B3208" w:rsidRPr="004E053C">
        <w:rPr>
          <w:rFonts w:cstheme="majorHAnsi"/>
          <w:color w:val="211E1E"/>
          <w:sz w:val="22"/>
          <w:szCs w:val="22"/>
          <w:lang w:val="en-GB"/>
        </w:rPr>
        <w:fldChar w:fldCharType="separate"/>
      </w:r>
      <w:r w:rsidR="003B3208" w:rsidRPr="004E053C">
        <w:rPr>
          <w:rFonts w:cstheme="majorHAnsi"/>
          <w:noProof/>
          <w:color w:val="211E1E"/>
          <w:sz w:val="22"/>
          <w:szCs w:val="22"/>
          <w:lang w:val="en-GB"/>
        </w:rPr>
        <w:t>(e.g. Benz, 2014; Lohnert &amp; Steinbrink, 2005; Steinbrink, 2009)</w:t>
      </w:r>
      <w:r w:rsidR="003B3208" w:rsidRPr="004E053C">
        <w:rPr>
          <w:rFonts w:cstheme="majorHAnsi"/>
          <w:color w:val="211E1E"/>
          <w:sz w:val="22"/>
          <w:szCs w:val="22"/>
          <w:lang w:val="en-GB"/>
        </w:rPr>
        <w:fldChar w:fldCharType="end"/>
      </w:r>
      <w:r w:rsidRPr="004E053C">
        <w:rPr>
          <w:rFonts w:cstheme="majorHAnsi"/>
          <w:sz w:val="22"/>
          <w:szCs w:val="22"/>
          <w:lang w:val="en-GB"/>
        </w:rPr>
        <w:t xml:space="preserve">. For example, while Steinbrink highlights the risk of ignoring those people whose mobile livelihood results in them being embedded in multiple social contexts, he still conceptualises these contexts as being split across a rural/urban divide, with oscillating patterns of migration between rural and urban locations </w:t>
      </w:r>
      <w:r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{"citationItems":[{"id":"ITEM-1","itemData":{"author":[{"dropping-particle":"","family":"Steinbrink","given":"Malte","non-dropping-particle":"","parse-names":false,"suffix":""}],"container-title":"Etude de la Population Africaine/African Population Studies","id":"ITEM-1","issued":{"date-parts":[["2009"]]},"page":"219-252","title":"Urbanisation, poverty and translocality: insights from South Africa","type":"article-journal","volume":"23"},"uris":["http://www.mendeley.com/documents/?uuid=73471f27-74d4-4cda-9d28-bfa63481d3fb"]}],"mendeley":{"formattedCitation":"(Steinbrink, 2009)","plainTextFormattedCitation":"(Steinbrink, 2009)","previouslyFormattedCitation":"(Steinbrink,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(Steinbrink, 2009)</w:t>
      </w:r>
      <w:r w:rsidRPr="004E053C">
        <w:rPr>
          <w:rFonts w:cstheme="majorHAnsi"/>
          <w:sz w:val="22"/>
          <w:szCs w:val="22"/>
          <w:lang w:val="en-GB"/>
        </w:rPr>
        <w:fldChar w:fldCharType="end"/>
      </w:r>
      <w:r w:rsidRPr="004E053C">
        <w:rPr>
          <w:rFonts w:cstheme="majorHAnsi"/>
          <w:sz w:val="22"/>
          <w:szCs w:val="22"/>
          <w:lang w:val="en-GB"/>
        </w:rPr>
        <w:t xml:space="preserve">. As this thesis will show with reference to the ASM sector, rural-rural/peri-urban ties are also important. Such links are also important outside of ASM, as de la Cadena </w:t>
      </w:r>
      <w:r w:rsidR="00395DC9"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{"citationItems":[{"id":"ITEM-1","itemData":{"author":[{"dropping-particle":"","family":"la Cadena","given":"Marisol","non-dropping-particle":"de","parse-names":false,"suffix":""}],"container-title":"Shining and Other Paths: War and Society in Peru, 1980-1995","editor":[{"dropping-particle":"","family":"Stern","given":"Steve","non-dropping-particle":"","parse-names":false,"suffix":""}],"id":"ITEM-1","issued":{"date-parts":[["1998"]]},"publisher":"Duke University Press","publisher-place":"Durham and London","title":"From race to class: insurgent intellectuals de provincia in Peru 1910-1970","type":"chapter"},"uris":["http://www.mendeley.com/documents/?uuid=74e53e11-8b10-4330-9113-ce3e09903b01","http://www.mendeley.com/documents/?uuid=e2e54e0e-f6e2-4627-81cc-1b13661dc38b"]}],"mendeley":{"formattedCitation":"(de la Cadena, 1998)","manualFormatting":"(1998)","plainTextFormattedCitation":"(de la Cadena, 1998)","previouslyFormattedCitation":"(de la Cadena, 1998)"},"properties":{"noteIndex":0},"schema":"https://github.com/citation-style-language/schema/raw/master/csl-citation.json"}</w:instrText>
      </w:r>
      <w:r w:rsidR="00395DC9" w:rsidRPr="004E053C">
        <w:rPr>
          <w:rFonts w:cstheme="majorHAnsi"/>
          <w:sz w:val="22"/>
          <w:szCs w:val="22"/>
          <w:lang w:val="en-GB"/>
        </w:rPr>
        <w:fldChar w:fldCharType="separate"/>
      </w:r>
      <w:r w:rsidR="00395DC9" w:rsidRPr="004E053C">
        <w:rPr>
          <w:rFonts w:cstheme="majorHAnsi"/>
          <w:noProof/>
          <w:sz w:val="22"/>
          <w:szCs w:val="22"/>
          <w:lang w:val="en-GB"/>
        </w:rPr>
        <w:t>(1998)</w:t>
      </w:r>
      <w:r w:rsidR="00395DC9" w:rsidRPr="004E053C">
        <w:rPr>
          <w:rFonts w:cstheme="majorHAnsi"/>
          <w:sz w:val="22"/>
          <w:szCs w:val="22"/>
          <w:lang w:val="en-GB"/>
        </w:rPr>
        <w:fldChar w:fldCharType="end"/>
      </w:r>
      <w:r w:rsidRPr="004E053C">
        <w:rPr>
          <w:rFonts w:cstheme="majorHAnsi"/>
          <w:sz w:val="22"/>
          <w:szCs w:val="22"/>
          <w:lang w:val="en-GB"/>
        </w:rPr>
        <w:t xml:space="preserve"> showed that some rural Andean people use money earned from temporary rural-rural migration to establish themselves later in urban </w:t>
      </w:r>
      <w:r w:rsidR="008C68C5" w:rsidRPr="004E053C">
        <w:rPr>
          <w:rFonts w:cstheme="majorHAnsi"/>
          <w:sz w:val="22"/>
          <w:szCs w:val="22"/>
          <w:lang w:val="en-GB"/>
        </w:rPr>
        <w:t>centres</w:t>
      </w:r>
      <w:r w:rsidRPr="004E053C">
        <w:rPr>
          <w:rFonts w:cstheme="majorHAnsi"/>
          <w:sz w:val="22"/>
          <w:szCs w:val="22"/>
          <w:lang w:val="en-GB"/>
        </w:rPr>
        <w:t xml:space="preserve">. </w:t>
      </w:r>
      <w:r w:rsidR="00DB2164" w:rsidRPr="004E053C">
        <w:rPr>
          <w:rFonts w:cstheme="majorHAnsi"/>
          <w:sz w:val="22"/>
          <w:szCs w:val="22"/>
          <w:lang w:val="en-GB"/>
        </w:rPr>
        <w:t>The application of</w:t>
      </w:r>
      <w:r w:rsidR="00860D09" w:rsidRPr="004E053C">
        <w:rPr>
          <w:rFonts w:cstheme="majorHAnsi"/>
          <w:sz w:val="22"/>
          <w:szCs w:val="22"/>
          <w:lang w:val="en-GB"/>
        </w:rPr>
        <w:t xml:space="preserve"> translocal livelihoods</w:t>
      </w:r>
      <w:r w:rsidR="00DB2164" w:rsidRPr="004E053C">
        <w:rPr>
          <w:rFonts w:cstheme="majorHAnsi"/>
          <w:sz w:val="22"/>
          <w:szCs w:val="22"/>
          <w:lang w:val="en-GB"/>
        </w:rPr>
        <w:t xml:space="preserve"> to the case of ASM in Madre de Dios</w:t>
      </w:r>
      <w:r w:rsidR="00C967FF" w:rsidRPr="004E053C">
        <w:rPr>
          <w:rFonts w:cstheme="majorHAnsi"/>
          <w:sz w:val="22"/>
          <w:szCs w:val="22"/>
          <w:lang w:val="en-GB"/>
        </w:rPr>
        <w:t xml:space="preserve"> will highlight the impacts that these migration patterns </w:t>
      </w:r>
      <w:r w:rsidR="00DB2164" w:rsidRPr="004E053C">
        <w:rPr>
          <w:rFonts w:cstheme="majorHAnsi"/>
          <w:sz w:val="22"/>
          <w:szCs w:val="22"/>
          <w:lang w:val="en-GB"/>
        </w:rPr>
        <w:t>can have on</w:t>
      </w:r>
      <w:r w:rsidR="00DE5BB8" w:rsidRPr="004E053C">
        <w:rPr>
          <w:rFonts w:cstheme="majorHAnsi"/>
          <w:sz w:val="22"/>
          <w:szCs w:val="22"/>
          <w:lang w:val="en-GB"/>
        </w:rPr>
        <w:t xml:space="preserve"> rural places</w:t>
      </w:r>
      <w:r w:rsidR="00C967FF" w:rsidRPr="004E053C">
        <w:rPr>
          <w:rFonts w:cstheme="majorHAnsi"/>
          <w:sz w:val="22"/>
          <w:szCs w:val="22"/>
          <w:lang w:val="en-GB"/>
        </w:rPr>
        <w:t xml:space="preserve">. </w:t>
      </w:r>
      <w:r w:rsidR="003E0610" w:rsidRPr="004E053C">
        <w:rPr>
          <w:rFonts w:cstheme="majorHAnsi"/>
          <w:sz w:val="22"/>
          <w:szCs w:val="22"/>
          <w:lang w:val="en-GB"/>
        </w:rPr>
        <w:t>This will also increase our overall understan</w:t>
      </w:r>
      <w:r w:rsidR="00DE5BB8" w:rsidRPr="004E053C">
        <w:rPr>
          <w:rFonts w:cstheme="majorHAnsi"/>
          <w:sz w:val="22"/>
          <w:szCs w:val="22"/>
          <w:lang w:val="en-GB"/>
        </w:rPr>
        <w:t xml:space="preserve">ding of translocal livelihoods and </w:t>
      </w:r>
      <w:r w:rsidR="003E0610" w:rsidRPr="004E053C">
        <w:rPr>
          <w:rFonts w:cstheme="majorHAnsi"/>
          <w:sz w:val="22"/>
          <w:szCs w:val="22"/>
          <w:lang w:val="en-GB"/>
        </w:rPr>
        <w:t xml:space="preserve">highlight the transferability of the concept to rural-rural/peri-urban migration as well as </w:t>
      </w:r>
      <w:r w:rsidR="00DE5BB8" w:rsidRPr="004E053C">
        <w:rPr>
          <w:rFonts w:cstheme="majorHAnsi"/>
          <w:sz w:val="22"/>
          <w:szCs w:val="22"/>
          <w:lang w:val="en-GB"/>
        </w:rPr>
        <w:t>rural-urban</w:t>
      </w:r>
      <w:r w:rsidR="003E0610" w:rsidRPr="004E053C">
        <w:rPr>
          <w:rFonts w:cstheme="majorHAnsi"/>
          <w:sz w:val="22"/>
          <w:szCs w:val="22"/>
          <w:lang w:val="en-GB"/>
        </w:rPr>
        <w:t xml:space="preserve">. </w:t>
      </w:r>
    </w:p>
    <w:p w14:paraId="03238806" w14:textId="77777777" w:rsidR="00FE47C4" w:rsidRPr="004E053C" w:rsidRDefault="00FE47C4" w:rsidP="004E053C">
      <w:pPr>
        <w:spacing w:line="360" w:lineRule="auto"/>
        <w:jc w:val="both"/>
        <w:rPr>
          <w:rFonts w:cstheme="majorHAnsi"/>
          <w:sz w:val="22"/>
          <w:szCs w:val="22"/>
          <w:lang w:val="en-GB"/>
        </w:rPr>
      </w:pPr>
    </w:p>
    <w:p w14:paraId="05260B06" w14:textId="58D0299F"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lastRenderedPageBreak/>
        <w:t xml:space="preserve">The second weakness concerns the temporal nature of livelihoods and the divergence this causes in livelihood trajectories. In general, livelihoods literature has been criticised for failing to adequately recognise temporal dynamics </w:t>
      </w:r>
      <w:r w:rsidR="00395DC9" w:rsidRPr="004E053C">
        <w:rPr>
          <w:rFonts w:cstheme="majorHAnsi"/>
          <w:sz w:val="22"/>
          <w:szCs w:val="22"/>
          <w:lang w:val="en-GB" w:eastAsia="zh-CN"/>
        </w:rPr>
        <w:fldChar w:fldCharType="begin" w:fldLock="1"/>
      </w:r>
      <w:r w:rsidR="00395DC9" w:rsidRPr="004E053C">
        <w:rPr>
          <w:rFonts w:cstheme="majorHAnsi"/>
          <w:sz w:val="22"/>
          <w:szCs w:val="22"/>
          <w:lang w:val="en-GB" w:eastAsia="zh-CN"/>
        </w:rPr>
        <w:instrText>ADDIN CSL_CITATION {"citationItems":[{"id":"ITEM-1","itemData":{"author":[{"dropping-particle":"","family":"Sakdapolrak","given":"P","non-dropping-particle":"","parse-names":false,"suffix":""}],"container-title":"Geographica Helvetica","id":"ITEM-1","issued":{"date-parts":[["2014"]]},"page":"19-28","title":"Livelihoods as social practices: re-energising livelihoods research with Bordieu’s theory of practice","type":"article-journal","volume":"69"},"uris":["http://www.mendeley.com/documents/?uuid=5c558648-6b19-4867-92d5-24033fabb968"]}],"mendeley":{"formattedCitation":"(P Sakdapolrak, 2014)","manualFormatting":"(Sakdapolrak, 2014)","plainTextFormattedCitation":"(P Sakdapolrak, 2014)","previouslyFormattedCitation":"(P Sakdapolrak, 2014)"},"properties":{"noteIndex":0},"schema":"https://github.com/citation-style-language/schema/raw/master/csl-citation.json"}</w:instrText>
      </w:r>
      <w:r w:rsidR="00395DC9" w:rsidRPr="004E053C">
        <w:rPr>
          <w:rFonts w:cstheme="majorHAnsi"/>
          <w:sz w:val="22"/>
          <w:szCs w:val="22"/>
          <w:lang w:val="en-GB" w:eastAsia="zh-CN"/>
        </w:rPr>
        <w:fldChar w:fldCharType="separate"/>
      </w:r>
      <w:r w:rsidR="00395DC9" w:rsidRPr="004E053C">
        <w:rPr>
          <w:rFonts w:cstheme="majorHAnsi"/>
          <w:noProof/>
          <w:sz w:val="22"/>
          <w:szCs w:val="22"/>
          <w:lang w:val="en-GB" w:eastAsia="zh-CN"/>
        </w:rPr>
        <w:t>(Sakdapolrak, 2014)</w:t>
      </w:r>
      <w:r w:rsidR="00395DC9" w:rsidRPr="004E053C">
        <w:rPr>
          <w:rFonts w:cstheme="majorHAnsi"/>
          <w:sz w:val="22"/>
          <w:szCs w:val="22"/>
          <w:lang w:val="en-GB" w:eastAsia="zh-CN"/>
        </w:rPr>
        <w:fldChar w:fldCharType="end"/>
      </w:r>
      <w:r w:rsidRPr="004E053C">
        <w:rPr>
          <w:rFonts w:cstheme="majorHAnsi"/>
          <w:sz w:val="22"/>
          <w:szCs w:val="22"/>
          <w:lang w:val="en-GB" w:eastAsia="zh-CN"/>
        </w:rPr>
        <w:t xml:space="preserve">, yet I argue that a similar problem can be found within the literature on translocal livelihoods, even though the concept does address the spatial elements of livelihoods. Lohnert and Steinbrink </w:t>
      </w:r>
      <w:r w:rsidR="00395DC9" w:rsidRPr="004E053C">
        <w:rPr>
          <w:rFonts w:cstheme="majorHAnsi"/>
          <w:sz w:val="22"/>
          <w:szCs w:val="22"/>
          <w:lang w:val="en-GB" w:eastAsia="zh-CN"/>
        </w:rPr>
        <w:fldChar w:fldCharType="begin" w:fldLock="1"/>
      </w:r>
      <w:r w:rsidR="005D0B08">
        <w:rPr>
          <w:rFonts w:cstheme="majorHAnsi"/>
          <w:sz w:val="22"/>
          <w:szCs w:val="22"/>
          <w:lang w:val="en-GB" w:eastAsia="zh-CN"/>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context","type":"article-journal","volume":"87"},"uris":["http://www.mendeley.com/documents/?uuid=7cce9b74-a4c7-4bac-9677-fb4af5167fab"]}],"mendeley":{"formattedCitation":"(B Lohnert &amp; Steinbrink, 2005)","manualFormatting":"(2005)","plainTextFormattedCitation":"(B Lohnert &amp; Steinbrink, 2005)","previouslyFormattedCitation":"(B Lohnert &amp; Steinbrink, 2005)"},"properties":{"noteIndex":0},"schema":"https://github.com/citation-style-language/schema/raw/master/csl-citation.json"}</w:instrText>
      </w:r>
      <w:r w:rsidR="00395DC9" w:rsidRPr="004E053C">
        <w:rPr>
          <w:rFonts w:cstheme="majorHAnsi"/>
          <w:sz w:val="22"/>
          <w:szCs w:val="22"/>
          <w:lang w:val="en-GB" w:eastAsia="zh-CN"/>
        </w:rPr>
        <w:fldChar w:fldCharType="separate"/>
      </w:r>
      <w:r w:rsidR="00395DC9" w:rsidRPr="004E053C">
        <w:rPr>
          <w:rFonts w:cstheme="majorHAnsi"/>
          <w:noProof/>
          <w:sz w:val="22"/>
          <w:szCs w:val="22"/>
          <w:lang w:val="en-GB" w:eastAsia="zh-CN"/>
        </w:rPr>
        <w:t>(2005)</w:t>
      </w:r>
      <w:r w:rsidR="00395DC9" w:rsidRPr="004E053C">
        <w:rPr>
          <w:rFonts w:cstheme="majorHAnsi"/>
          <w:sz w:val="22"/>
          <w:szCs w:val="22"/>
          <w:lang w:val="en-GB" w:eastAsia="zh-CN"/>
        </w:rPr>
        <w:fldChar w:fldCharType="end"/>
      </w:r>
      <w:r w:rsidRPr="004E053C">
        <w:rPr>
          <w:rFonts w:cstheme="majorHAnsi"/>
          <w:sz w:val="22"/>
          <w:szCs w:val="22"/>
          <w:lang w:val="en-GB" w:eastAsia="zh-CN"/>
        </w:rPr>
        <w:t xml:space="preserve"> have pointed out that the composition of a translocal household can be variable in both space and time, which suggests an element of temporality to these translocal livelihoods, yet this has not been adequately explored. There is for example very limited understanding of the extent to which, in the process of implementing a translocal livelihood, one becomes embedded in one location relative to the other and in particular, how this compares to the experiences of other agents within the social field. This may be because some theorists have argued that typologies that differentiate between temporary and permanent migration may obscure generational relations </w:t>
      </w:r>
      <w:r w:rsidR="00395DC9" w:rsidRPr="004E053C">
        <w:rPr>
          <w:rFonts w:cstheme="majorHAnsi"/>
          <w:sz w:val="22"/>
          <w:szCs w:val="22"/>
          <w:lang w:val="en-GB" w:eastAsia="zh-CN"/>
        </w:rPr>
        <w:fldChar w:fldCharType="begin" w:fldLock="1"/>
      </w:r>
      <w:r w:rsidR="00A65956" w:rsidRPr="004E053C">
        <w:rPr>
          <w:rFonts w:cstheme="majorHAnsi"/>
          <w:sz w:val="22"/>
          <w:szCs w:val="22"/>
          <w:lang w:val="en-GB" w:eastAsia="zh-CN"/>
        </w:rPr>
        <w:instrText>ADDIN CSL_CITATION {"citationItems":[{"id":"ITEM-1","itemData":{"author":[{"dropping-particle":"","family":"Long","given":"N","non-dropping-particle":"","parse-names":false,"suffix":""}],"container-title":"Migration and Development Within and Across Borders: Research and Policy Perspectives on Internal and International Migration","editor":[{"dropping-particle":"","family":"DeWind","given":"J","non-dropping-particle":"","parse-names":false,"suffix":""},{"dropping-particle":"","family":"Holdaway","given":"J.","non-dropping-particle":"","parse-names":false,"suffix":""}],"id":"ITEM-1","issued":{"date-parts":[["2008"]]},"page":"37-68","publisher":"International Organization for Migration","publisher-place":"Geneva/New York","title":"Translocal livelihoods, networks of family and community, and remmitances in Central Peru","type":"chapter"},"uris":["http://www.mendeley.com/documents/?uuid=74e4505d-80c8-44a1-bc39-ef72c7b77d58"]}],"mendeley":{"formattedCitation":"(N Long, 2008)","manualFormatting":"(Long, 2008)","plainTextFormattedCitation":"(N Long, 2008)","previouslyFormattedCitation":"(N Long, 2008)"},"properties":{"noteIndex":0},"schema":"https://github.com/citation-style-language/schema/raw/master/csl-citation.json"}</w:instrText>
      </w:r>
      <w:r w:rsidR="00395DC9" w:rsidRPr="004E053C">
        <w:rPr>
          <w:rFonts w:cstheme="majorHAnsi"/>
          <w:sz w:val="22"/>
          <w:szCs w:val="22"/>
          <w:lang w:val="en-GB" w:eastAsia="zh-CN"/>
        </w:rPr>
        <w:fldChar w:fldCharType="separate"/>
      </w:r>
      <w:r w:rsidR="00DE5BB8" w:rsidRPr="004E053C">
        <w:rPr>
          <w:rFonts w:cstheme="majorHAnsi"/>
          <w:noProof/>
          <w:sz w:val="22"/>
          <w:szCs w:val="22"/>
          <w:lang w:val="en-GB" w:eastAsia="zh-CN"/>
        </w:rPr>
        <w:t>(</w:t>
      </w:r>
      <w:r w:rsidR="00EB10C1" w:rsidRPr="004E053C">
        <w:rPr>
          <w:rFonts w:cstheme="majorHAnsi"/>
          <w:noProof/>
          <w:sz w:val="22"/>
          <w:szCs w:val="22"/>
          <w:lang w:val="en-GB" w:eastAsia="zh-CN"/>
        </w:rPr>
        <w:t>Long, 2008)</w:t>
      </w:r>
      <w:r w:rsidR="00395DC9" w:rsidRPr="004E053C">
        <w:rPr>
          <w:rFonts w:cstheme="majorHAnsi"/>
          <w:sz w:val="22"/>
          <w:szCs w:val="22"/>
          <w:lang w:val="en-GB" w:eastAsia="zh-CN"/>
        </w:rPr>
        <w:fldChar w:fldCharType="end"/>
      </w:r>
      <w:r w:rsidRPr="004E053C">
        <w:rPr>
          <w:rFonts w:cstheme="majorHAnsi"/>
          <w:sz w:val="22"/>
          <w:szCs w:val="22"/>
          <w:lang w:val="en-GB" w:eastAsia="zh-CN"/>
        </w:rPr>
        <w:t xml:space="preserve">. However, overlooking the temporal nature of translocal livelihoods has implications for our understanding of the </w:t>
      </w:r>
      <w:r w:rsidR="00D3785B" w:rsidRPr="004E053C">
        <w:rPr>
          <w:rFonts w:cstheme="majorHAnsi"/>
          <w:sz w:val="22"/>
          <w:szCs w:val="22"/>
          <w:lang w:val="en-GB" w:eastAsia="zh-CN"/>
        </w:rPr>
        <w:t>translocal social</w:t>
      </w:r>
      <w:r w:rsidRPr="004E053C">
        <w:rPr>
          <w:rFonts w:cstheme="majorHAnsi"/>
          <w:sz w:val="22"/>
          <w:szCs w:val="22"/>
          <w:lang w:val="en-GB" w:eastAsia="zh-CN"/>
        </w:rPr>
        <w:t xml:space="preserve"> field of ASM. Within this, is the idea that translocal livelihoods develop along a spectrum, with people unlikely to be rooted in both places to the same extent as anyo</w:t>
      </w:r>
      <w:r w:rsidR="00E459B7" w:rsidRPr="004E053C">
        <w:rPr>
          <w:rFonts w:cstheme="majorHAnsi"/>
          <w:sz w:val="22"/>
          <w:szCs w:val="22"/>
          <w:lang w:val="en-GB" w:eastAsia="zh-CN"/>
        </w:rPr>
        <w:t>ne else, especially over time. T</w:t>
      </w:r>
      <w:r w:rsidRPr="004E053C">
        <w:rPr>
          <w:rFonts w:cstheme="majorHAnsi"/>
          <w:sz w:val="22"/>
          <w:szCs w:val="22"/>
          <w:lang w:val="en-GB" w:eastAsia="zh-CN"/>
        </w:rPr>
        <w:t>hey are however</w:t>
      </w:r>
      <w:r w:rsidR="00395DC9" w:rsidRPr="004E053C">
        <w:rPr>
          <w:rFonts w:cstheme="majorHAnsi"/>
          <w:sz w:val="22"/>
          <w:szCs w:val="22"/>
          <w:lang w:val="en-GB" w:eastAsia="zh-CN"/>
        </w:rPr>
        <w:t>,</w:t>
      </w:r>
      <w:r w:rsidRPr="004E053C">
        <w:rPr>
          <w:rFonts w:cstheme="majorHAnsi"/>
          <w:sz w:val="22"/>
          <w:szCs w:val="22"/>
          <w:lang w:val="en-GB" w:eastAsia="zh-CN"/>
        </w:rPr>
        <w:t xml:space="preserve"> all still part of the </w:t>
      </w:r>
      <w:r w:rsidR="00D3785B" w:rsidRPr="004E053C">
        <w:rPr>
          <w:rFonts w:cstheme="majorHAnsi"/>
          <w:sz w:val="22"/>
          <w:szCs w:val="22"/>
          <w:lang w:val="en-GB" w:eastAsia="zh-CN"/>
        </w:rPr>
        <w:t>translocal social</w:t>
      </w:r>
      <w:r w:rsidRPr="004E053C">
        <w:rPr>
          <w:rFonts w:cstheme="majorHAnsi"/>
          <w:sz w:val="22"/>
          <w:szCs w:val="22"/>
          <w:lang w:val="en-GB" w:eastAsia="zh-CN"/>
        </w:rPr>
        <w:t xml:space="preserve"> field, even if at some future date their own household livelihood loses its translocality. The next section will move on to further elaborate on these ideas.</w:t>
      </w:r>
    </w:p>
    <w:p w14:paraId="5318ABD0" w14:textId="77777777" w:rsidR="00A9346A" w:rsidRPr="004E053C" w:rsidRDefault="00A9346A" w:rsidP="004E053C">
      <w:pPr>
        <w:spacing w:line="360" w:lineRule="auto"/>
        <w:jc w:val="both"/>
        <w:rPr>
          <w:rFonts w:cstheme="majorHAnsi"/>
          <w:sz w:val="22"/>
          <w:szCs w:val="22"/>
          <w:lang w:val="en-GB" w:eastAsia="zh-CN"/>
        </w:rPr>
      </w:pPr>
    </w:p>
    <w:p w14:paraId="1F81AB8B" w14:textId="0614887C" w:rsidR="00FE47C4" w:rsidRPr="004E053C" w:rsidRDefault="00EA7F83" w:rsidP="004E053C">
      <w:pPr>
        <w:pStyle w:val="Heading3"/>
        <w:rPr>
          <w:rFonts w:asciiTheme="minorHAnsi" w:hAnsiTheme="minorHAnsi"/>
          <w:lang w:eastAsia="zh-CN"/>
        </w:rPr>
      </w:pPr>
      <w:r w:rsidRPr="004E053C">
        <w:rPr>
          <w:rFonts w:asciiTheme="minorHAnsi" w:hAnsiTheme="minorHAnsi"/>
          <w:lang w:eastAsia="zh-CN"/>
        </w:rPr>
        <w:t>4</w:t>
      </w:r>
      <w:r w:rsidR="004A3EF1" w:rsidRPr="004E053C">
        <w:rPr>
          <w:rFonts w:asciiTheme="minorHAnsi" w:hAnsiTheme="minorHAnsi"/>
          <w:lang w:eastAsia="zh-CN"/>
        </w:rPr>
        <w:t>.3.2. Translocal c</w:t>
      </w:r>
      <w:r w:rsidR="00FE47C4" w:rsidRPr="004E053C">
        <w:rPr>
          <w:rFonts w:asciiTheme="minorHAnsi" w:hAnsiTheme="minorHAnsi"/>
          <w:lang w:eastAsia="zh-CN"/>
        </w:rPr>
        <w:t xml:space="preserve">ommunities </w:t>
      </w:r>
    </w:p>
    <w:p w14:paraId="4C9EAD1B" w14:textId="77777777" w:rsidR="00FE47C4" w:rsidRPr="004E053C" w:rsidRDefault="00FE47C4" w:rsidP="004E053C">
      <w:pPr>
        <w:spacing w:line="360" w:lineRule="auto"/>
        <w:jc w:val="both"/>
        <w:rPr>
          <w:rFonts w:cstheme="majorHAnsi"/>
          <w:lang w:val="en-GB" w:eastAsia="zh-CN"/>
        </w:rPr>
      </w:pPr>
    </w:p>
    <w:p w14:paraId="7E63C98C" w14:textId="0498D0E4"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In translocal livelihoods such as ASM, people, resources and knowledge are no longer bound within a local domain and are instead embedded in multiple settings and networks </w:t>
      </w:r>
      <w:r w:rsidR="00395DC9" w:rsidRPr="004E053C">
        <w:rPr>
          <w:rFonts w:cstheme="majorHAnsi"/>
          <w:sz w:val="22"/>
          <w:szCs w:val="22"/>
          <w:lang w:val="en-GB" w:eastAsia="zh-CN"/>
        </w:rPr>
        <w:fldChar w:fldCharType="begin" w:fldLock="1"/>
      </w:r>
      <w:r w:rsidR="00A65956" w:rsidRPr="004E053C">
        <w:rPr>
          <w:rFonts w:cstheme="majorHAnsi"/>
          <w:sz w:val="22"/>
          <w:szCs w:val="22"/>
          <w:lang w:val="en-GB" w:eastAsia="zh-CN"/>
        </w:rPr>
        <w:instrText>ADDIN CSL_CITATION {"citationItems":[{"id":"ITEM-1","itemData":{"abstract":"Over the last decade a number of human geographers have advocated relational perspectives on place. These perspectives are currently influential within and beyond geography. In this essay they are subjected to a constructive critique. Three shibboleths of place are identified and scrutinised. Taking the writings of Michael Watts, Doreen Massey and David Harvey as a focus, it is argued that these shibboleths possess important but nonetheless limited value as explanatory and normative tools. Working within the broad parameters of a relational worldview, the essay proposes a more nuanced approach to place than that offered by Watts, Massey and Harvey. The second half of the essay explores this approach in relation to debates about the global indigenous peoples movement. For some indigenous groups, the right to ‘differential geographies’ is synonymous with the right to erect new border controls around places. This is controversial, not least because non-indigenous groups—locally and translocally—can lay equal claim to occupancy of, or at least a stake in, those places. Rather than criticising such arguments for the geographical apartheid that seemingly underpins them, I argue for a more subtle reading of ‘strong’ indigenous claims to territory, cultural artefacts and informational resources. The result is a plea for left-leaning critics to deploy more supple understandings of place that can accommodate the complexities of variegated real world place-projects.","author":[{"dropping-particle":"","family":"Castree","given":"Noel","non-dropping-particle":"","parse-names":false,"suffix":""}],"container-title":"Political Geography","id":"ITEM-1","issue":"2","issued":{"date-parts":[["2004"]]},"page":"pp.133-167","title":"Differential geographies: place, indigenous rights and 'local' resources","type":"article-journal","volume":"23"},"uris":["http://www.mendeley.com/documents/?uuid=6f3c8e50-3b3c-443e-b434-42613038bea5"]},{"id":"ITEM-2","itemData":{"author":[{"dropping-particle":"","family":"Levitt","given":"Peggy","non-dropping-particle":"","parse-names":false,"suffix":""},{"dropping-particle":"","family":"Glick Schiller","given":"Nina","non-dropping-particle":"","parse-names":false,"suffix":""}],"container-title":"International Migration Review","id":"ITEM-2","issue":"3","issued":{"date-parts":[["2004"]]},"page":"1002-1039","title":"Conceptualizing Simultaneity: A Transnational Social Field Perspective on Society","type":"article-journal","volume":"38"},"uris":["http://www.mendeley.com/documents/?uuid=0fba9d75-8d2a-4773-971d-1b23f9a6edea"]},{"id":"ITEM-3","itemData":{"author":[{"dropping-particle":"","family":"Long","given":"N","non-dropping-particle":"","parse-names":false,"suffix":""}],"container-title":"Migration and Development Within and Across Borders: Research and Policy Perspectives on Internal and International Migration","editor":[{"dropping-particle":"","family":"DeWind","given":"J","non-dropping-particle":"","parse-names":false,"suffix":""},{"dropping-particle":"","family":"Holdaway","given":"J.","non-dropping-particle":"","parse-names":false,"suffix":""}],"id":"ITEM-3","issued":{"date-parts":[["2008"]]},"page":"37-68","publisher":"International Organization for Migration","publisher-place":"Geneva/New York","title":"Translocal livelihoods, networks of family and community, and remmitances in Central Peru","type":"chapter"},"uris":["http://www.mendeley.com/documents/?uuid=74e4505d-80c8-44a1-bc39-ef72c7b77d58"]}],"mendeley":{"formattedCitation":"(Castree, 2004; Levitt &amp; Glick Schiller, 2004; N Long, 2008)","manualFormatting":"(Castree, 2004; Levitt &amp; Glick Schiller, 2004; Long, 2008)","plainTextFormattedCitation":"(Castree, 2004; Levitt &amp; Glick Schiller, 2004; N Long, 2008)","previouslyFormattedCitation":"(Castree, 2004; Levitt &amp; Glick Schiller, 2004; N Long, 2008)"},"properties":{"noteIndex":0},"schema":"https://github.com/citation-style-language/schema/raw/master/csl-citation.json"}</w:instrText>
      </w:r>
      <w:r w:rsidR="00395DC9" w:rsidRPr="004E053C">
        <w:rPr>
          <w:rFonts w:cstheme="majorHAnsi"/>
          <w:sz w:val="22"/>
          <w:szCs w:val="22"/>
          <w:lang w:val="en-GB" w:eastAsia="zh-CN"/>
        </w:rPr>
        <w:fldChar w:fldCharType="separate"/>
      </w:r>
      <w:r w:rsidR="00EB10C1" w:rsidRPr="004E053C">
        <w:rPr>
          <w:rFonts w:cstheme="majorHAnsi"/>
          <w:noProof/>
          <w:sz w:val="22"/>
          <w:szCs w:val="22"/>
          <w:lang w:val="en-GB" w:eastAsia="zh-CN"/>
        </w:rPr>
        <w:t>(Castree, 2004; Levitt &amp;</w:t>
      </w:r>
      <w:r w:rsidR="00DE5BB8" w:rsidRPr="004E053C">
        <w:rPr>
          <w:rFonts w:cstheme="majorHAnsi"/>
          <w:noProof/>
          <w:sz w:val="22"/>
          <w:szCs w:val="22"/>
          <w:lang w:val="en-GB" w:eastAsia="zh-CN"/>
        </w:rPr>
        <w:t xml:space="preserve"> Glick Schiller, 2004; </w:t>
      </w:r>
      <w:r w:rsidR="00EB10C1" w:rsidRPr="004E053C">
        <w:rPr>
          <w:rFonts w:cstheme="majorHAnsi"/>
          <w:noProof/>
          <w:sz w:val="22"/>
          <w:szCs w:val="22"/>
          <w:lang w:val="en-GB" w:eastAsia="zh-CN"/>
        </w:rPr>
        <w:t>Long, 2008)</w:t>
      </w:r>
      <w:r w:rsidR="00395DC9" w:rsidRPr="004E053C">
        <w:rPr>
          <w:rFonts w:cstheme="majorHAnsi"/>
          <w:sz w:val="22"/>
          <w:szCs w:val="22"/>
          <w:lang w:val="en-GB" w:eastAsia="zh-CN"/>
        </w:rPr>
        <w:fldChar w:fldCharType="end"/>
      </w:r>
      <w:r w:rsidRPr="004E053C">
        <w:rPr>
          <w:rFonts w:cstheme="majorHAnsi"/>
          <w:sz w:val="22"/>
          <w:szCs w:val="22"/>
          <w:lang w:val="en-GB" w:eastAsia="zh-CN"/>
        </w:rPr>
        <w:t xml:space="preserve">. While it has long been recognised that successful livelihoods are dependent on reciprocity, social institutions such as family and community, and socially embedded practices </w:t>
      </w:r>
      <w:r w:rsidR="00082A5A"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{"citationItems":[{"id":"ITEM-1","itemData":{"author":[{"dropping-particle":"","family":"Ellis","given":"Frank","non-dropping-particle":"","parse-names":false,"suffix":""}],"id":"ITEM-1","issued":{"date-parts":[["2003"]]},"number-of-pages":"21","publisher-place":"London, UK","title":"A livelihoods Approach to Migration and Poverty Reduction","type":"report"},"uris":["http://www.mendeley.com/documents/?uuid=892c69ea-8863-47f6-bdfc-c529056562ec"]},{"id":"ITEM-2","itemData":{"author":[{"dropping-particle":"","family":"Haan","given":"Leo","non-dropping-particle":"De","parse-names":false,"suffix":""},{"dropping-particle":"","family":"Zoomers","given":"Annelies","non-dropping-particle":"","parse-names":false,"suffix":""}],"container-title":"Development and Change","id":"ITEM-2","issue":"1","issued":{"date-parts":[["2005"]]},"page":"27-47","title":"Exploring the frontier of livelihoods research","type":"article-journal","volume":"36"},"uris":["http://www.mendeley.com/documents/?uuid=4fb7feee-443e-4bb5-8bef-76e0d2672510"]},{"id":"ITEM-3","itemData":{"author":[{"dropping-particle":"","family":"Sakdapolrak","given":"P","non-dropping-particle":"","parse-names":false,"suffix":""}],"container-title":"Geographica Helvetica","id":"ITEM-3","issued":{"date-parts":[["2014"]]},"page":"19-28","title":"Livelihoods as social practices: re-energising livelihoods research with Bordieu’s theory of practice","type":"article-journal","volume":"69"},"uris":["http://www.mendeley.com/documents/?uuid=5c558648-6b19-4867-92d5-24033fabb968"]}],"mendeley":{"formattedCitation":"(De Haan &amp; Zoomers, 2005; Ellis, 2003; P Sakdapolrak, 2014)","manualFormatting":"(De Haan &amp; Zoomers, 2005; Ellis, 2003; Sakdapolrak, 2014)","plainTextFormattedCitation":"(De Haan &amp; Zoomers, 2005; Ellis, 2003; P Sakdapolrak, 2014)","previouslyFormattedCitation":"(De Haan &amp; Zoomers, 2005; Ellis, 2003; P Sakdapolrak, 2014)"},"properties":{"noteIndex":0},"schema":"https://github.com/citation-style-language/schema/raw/master/csl-citation.json"}</w:instrText>
      </w:r>
      <w:r w:rsidR="00082A5A" w:rsidRPr="004E053C">
        <w:rPr>
          <w:rFonts w:cstheme="majorHAnsi"/>
          <w:sz w:val="22"/>
          <w:szCs w:val="22"/>
          <w:lang w:val="en-GB" w:eastAsia="zh-CN"/>
        </w:rPr>
        <w:fldChar w:fldCharType="separate"/>
      </w:r>
      <w:r w:rsidR="00676E34" w:rsidRPr="004E053C">
        <w:rPr>
          <w:rFonts w:cstheme="majorHAnsi"/>
          <w:noProof/>
          <w:sz w:val="22"/>
          <w:szCs w:val="22"/>
          <w:lang w:val="en-GB" w:eastAsia="zh-CN"/>
        </w:rPr>
        <w:t>(De Haan</w:t>
      </w:r>
      <w:r w:rsidR="00170378" w:rsidRPr="004E053C">
        <w:rPr>
          <w:rFonts w:cstheme="majorHAnsi"/>
          <w:noProof/>
          <w:sz w:val="22"/>
          <w:szCs w:val="22"/>
          <w:lang w:val="en-GB" w:eastAsia="zh-CN"/>
        </w:rPr>
        <w:t xml:space="preserve"> &amp; Zoomers, 2005; Ellis, 2003; </w:t>
      </w:r>
      <w:r w:rsidR="00676E34" w:rsidRPr="004E053C">
        <w:rPr>
          <w:rFonts w:cstheme="majorHAnsi"/>
          <w:noProof/>
          <w:sz w:val="22"/>
          <w:szCs w:val="22"/>
          <w:lang w:val="en-GB" w:eastAsia="zh-CN"/>
        </w:rPr>
        <w:t>Sakdapolrak, 2014)</w:t>
      </w:r>
      <w:r w:rsidR="00082A5A" w:rsidRPr="004E053C">
        <w:rPr>
          <w:rFonts w:cstheme="majorHAnsi"/>
          <w:sz w:val="22"/>
          <w:szCs w:val="22"/>
          <w:lang w:val="en-GB" w:eastAsia="zh-CN"/>
        </w:rPr>
        <w:fldChar w:fldCharType="end"/>
      </w:r>
      <w:r w:rsidRPr="004E053C">
        <w:rPr>
          <w:rFonts w:cstheme="majorHAnsi"/>
          <w:sz w:val="22"/>
          <w:szCs w:val="22"/>
          <w:lang w:val="en-GB" w:eastAsia="zh-CN"/>
        </w:rPr>
        <w:t xml:space="preserve">, a translocal analysis considers the level of mutual dependence, interrelationships and circulating exchange between localities </w:t>
      </w:r>
      <w:r w:rsidR="00082A5A" w:rsidRPr="004E053C">
        <w:rPr>
          <w:rFonts w:cstheme="majorHAnsi"/>
          <w:sz w:val="22"/>
          <w:szCs w:val="22"/>
          <w:lang w:val="en-GB" w:eastAsia="zh-CN"/>
        </w:rPr>
        <w:fldChar w:fldCharType="begin" w:fldLock="1"/>
      </w:r>
      <w:r w:rsidR="002F0CEA">
        <w:rPr>
          <w:rFonts w:cstheme="majorHAnsi"/>
          <w:sz w:val="22"/>
          <w:szCs w:val="22"/>
          <w:lang w:val="en-GB" w:eastAsia="zh-CN"/>
        </w:rPr>
        <w:instrText>ADDIN CSL_CITATION {"citationItems":[{"id":"ITEM-1","itemData":{"author":[{"dropping-particle":"","family":"Levitt","given":"Peggy","non-dropping-particle":"","parse-names":false,"suffix":""}],"id":"ITEM-1","issued":{"date-parts":[["2001"]]},"publisher":"University of California Press","publisher-place":"Berkeley, CA","title":"The Transnational Villagers","type":"book"},"uris":["http://www.mendeley.com/documents/?uuid=f82639d8-a1a4-4067-9c00-fe638107f559","http://www.mendeley.com/documents/?uuid=9e840389-c251-48c6-a1b6-3887df65344b"]},{"id":"ITEM-2","itemData":{"abstract":"Social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transnationalism.","author":[{"dropping-particle":"","family":"Greiner","given":"Clemens","non-dropping-particle":"","parse-names":false,"suffix":""}],"container-title":"Sociologus","id":"ITEM-2","issue":"2","issued":{"date-parts":[["2010"]]},"page":"131-161","title":"Patterns of translocality: migration, livelihoods and identities in Northwest Namibia","type":"article-journal","volume":"60"},"uris":["http://www.mendeley.com/documents/?uuid=414887f7-c62a-48a7-b7bf-b65a4cc9aa41"]},{"id":"ITEM-3","itemData":{"abstract":"Internal labour migration from rural areas to urban centres has been and remains one of the 27 dominant patterns of migration in South Africa. Based on data from ethnographic field 28 research, this paper explores the mobility patterns and translocal relations of miners in the 29 Northern Cape province of South Africa. By considering the tension between mobility and 30 locality in a historical and political perspective, the concept of translocality helps to explain 31 why miners try to expand their action space and, at the same time, why they are embedded in 32 certain places. Thus, a translocal perspective enhances the interpretation of the spatio- 33 34 temporal transformations in South Africa’s mining communities and beyond, as it sheds light on the agency of mine workers, superseding merely structuralist explanations.","author":[{"dropping-particle":"","family":"Naumann","given":"Christiane","non-dropping-particle":"","parse-names":false,"suffix":""},{"dropping-particle":"","family":"Greiner","given":"Clemens","non-dropping-particle":"","parse-names":false,"suffix":""}],"container-title":"Mobilities","id":"ITEM-3","issue":"6","issued":{"date-parts":[["2016"]]},"page":"875-889","title":"The translocal villagers: mining, mobility and stratification in post-apartheid South Africa","type":"article-journal","volume":"12"},"uris":["http://www.mendeley.com/documents/?uuid=efd020e8-1405-4b78-9c2d-6334bc35448d"]},{"id":"ITEM-4","itemData":{"author":[{"dropping-particle":"","family":"Dame","given":"Juliane","non-dropping-particle":"","parse-names":false,"suffix":""}],"container-title":"Mountain Research and Development","id":"ITEM-4","issue":"4","issued":{"date-parts":[["2018"]]},"page":"310-322","title":"Food security and translocal livelihoods in high mountains: evidence from Ladakh, India","type":"article-journal","volume":"38"},"uris":["http://www.mendeley.com/documents/?uuid=21449462-c93a-4648-b2fd-9ecb269caeb2"]}],"mendeley":{"formattedCitation":"(Dame, 2018; Greiner, 2010; Levitt, 2001; Naumann &amp; Greiner, 2016)","plainTextFormattedCitation":"(Dame, 2018; Greiner, 2010; Levitt, 2001; Naumann &amp; Greiner, 2016)","previouslyFormattedCitation":"(Dame, 2018; Greiner, 2010; Levitt, 2001; Naumann &amp; Greiner, 2016)"},"properties":{"noteIndex":0},"schema":"https://github.com/citation-style-language/schema/raw/master/csl-citation.json"}</w:instrText>
      </w:r>
      <w:r w:rsidR="00082A5A" w:rsidRPr="004E053C">
        <w:rPr>
          <w:rFonts w:cstheme="majorHAnsi"/>
          <w:sz w:val="22"/>
          <w:szCs w:val="22"/>
          <w:lang w:val="en-GB" w:eastAsia="zh-CN"/>
        </w:rPr>
        <w:fldChar w:fldCharType="separate"/>
      </w:r>
      <w:r w:rsidR="00082A5A" w:rsidRPr="004E053C">
        <w:rPr>
          <w:rFonts w:cstheme="majorHAnsi"/>
          <w:noProof/>
          <w:sz w:val="22"/>
          <w:szCs w:val="22"/>
          <w:lang w:val="en-GB" w:eastAsia="zh-CN"/>
        </w:rPr>
        <w:t>(Dame, 2018; Greiner, 2010; Levitt, 2001; Naumann &amp; Greiner, 2016)</w:t>
      </w:r>
      <w:r w:rsidR="00082A5A" w:rsidRPr="004E053C">
        <w:rPr>
          <w:rFonts w:cstheme="majorHAnsi"/>
          <w:sz w:val="22"/>
          <w:szCs w:val="22"/>
          <w:lang w:val="en-GB" w:eastAsia="zh-CN"/>
        </w:rPr>
        <w:fldChar w:fldCharType="end"/>
      </w:r>
      <w:r w:rsidRPr="004E053C">
        <w:rPr>
          <w:rFonts w:cstheme="majorHAnsi"/>
          <w:sz w:val="22"/>
          <w:szCs w:val="22"/>
          <w:lang w:val="en-GB" w:eastAsia="zh-CN"/>
        </w:rPr>
        <w:t xml:space="preserve">. These exchanges are not just flows of people, income and finances, but are also made up of immaterial social remittances, consisting of social practices, ideas, knowledge, behaviours, identities and social capital </w:t>
      </w:r>
      <w:r w:rsidR="00082A5A"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transnationalism.","author":[{"dropping-particle":"","family":"Greiner","given":"Clemens","non-dropping-particle":"","parse-names":false,"suffix":""}],"container-title":"Sociologus","id":"ITEM-1","issue":"2","issued":{"date-parts":[["2010"]]},"page":"131-161","title":"Patterns of translocality: migration, livelihoods and identities in Northwest Namibia","type":"article-journal","volume":"60"},"uris":["http://www.mendeley.com/documents/?uuid=414887f7-c62a-48a7-b7bf-b65a4cc9aa41"]},{"id":"ITEM-2","itemData":{"author":[{"dropping-particle":"","family":"Benz","given":"Andreas","non-dropping-particle":"","parse-names":false,"suffix":""}],"container-title":"Geographica Helvetica","id":"ITEM-2","issued":{"date-parts":[["2014"]]},"page":"259-270","title":"Mobility, multilocality and translocal development: changing livelihoods in the Karakoram","type":"article-journal","volume":"69"},"uris":["http://www.mendeley.com/documents/?uuid=a8c22e9e-4865-494e-b801-f549845ca7d2"]},{"id":"ITEM-3","itemData":{"author":[{"dropping-particle":"","family":"Levitt","given":"Peggy","non-dropping-particle":"","parse-names":false,"suffix":""}],"id":"ITEM-3","issued":{"date-parts":[["2001"]]},"publisher":"University of California Press","publisher-place":"Berkeley, CA","title":"The Transnational Villagers","type":"book"},"uris":["http://www.mendeley.com/documents/?uuid=9e840389-c251-48c6-a1b6-3887df65344b","http://www.mendeley.com/documents/?uuid=f82639d8-a1a4-4067-9c00-fe638107f559"]}],"mendeley":{"formattedCitation":"(Benz, 2014; Greiner, 2010; Levitt, 2001)","plainTextFormattedCitation":"(Benz, 2014; Greiner, 2010; Levitt, 2001)","previouslyFormattedCitation":"(Benz, 2014; Greiner, 2010; Levitt, 2001)"},"properties":{"noteIndex":0},"schema":"https://github.com/citation-style-language/schema/raw/master/csl-citation.json"}</w:instrText>
      </w:r>
      <w:r w:rsidR="00082A5A" w:rsidRPr="004E053C">
        <w:rPr>
          <w:rFonts w:cstheme="majorHAnsi"/>
          <w:sz w:val="22"/>
          <w:szCs w:val="22"/>
          <w:lang w:val="en-GB" w:eastAsia="zh-CN"/>
        </w:rPr>
        <w:fldChar w:fldCharType="separate"/>
      </w:r>
      <w:r w:rsidR="00082A5A" w:rsidRPr="004E053C">
        <w:rPr>
          <w:rFonts w:cstheme="majorHAnsi"/>
          <w:noProof/>
          <w:sz w:val="22"/>
          <w:szCs w:val="22"/>
          <w:lang w:val="en-GB" w:eastAsia="zh-CN"/>
        </w:rPr>
        <w:t>(Benz, 2014; Greiner, 2010; Levitt, 2001)</w:t>
      </w:r>
      <w:r w:rsidR="00082A5A" w:rsidRPr="004E053C">
        <w:rPr>
          <w:rFonts w:cstheme="majorHAnsi"/>
          <w:sz w:val="22"/>
          <w:szCs w:val="22"/>
          <w:lang w:val="en-GB" w:eastAsia="zh-CN"/>
        </w:rPr>
        <w:fldChar w:fldCharType="end"/>
      </w:r>
      <w:r w:rsidRPr="004E053C">
        <w:rPr>
          <w:rFonts w:cstheme="majorHAnsi"/>
          <w:sz w:val="22"/>
          <w:szCs w:val="22"/>
          <w:lang w:val="en-GB" w:eastAsia="zh-CN"/>
        </w:rPr>
        <w:t xml:space="preserve"> and political remittances, including the transfer of democratic ideas and practices </w:t>
      </w:r>
      <w:r w:rsidR="00082A5A" w:rsidRPr="004E053C">
        <w:rPr>
          <w:rFonts w:cstheme="majorHAnsi"/>
          <w:sz w:val="22"/>
          <w:szCs w:val="22"/>
          <w:lang w:val="en-GB" w:eastAsia="zh-CN"/>
        </w:rPr>
        <w:fldChar w:fldCharType="begin" w:fldLock="1"/>
      </w:r>
      <w:r w:rsidR="00082A5A" w:rsidRPr="004E053C">
        <w:rPr>
          <w:rFonts w:cstheme="majorHAnsi"/>
          <w:sz w:val="22"/>
          <w:szCs w:val="22"/>
          <w:lang w:val="en-GB" w:eastAsia="zh-CN"/>
        </w:rPr>
        <w:instrText>ADDIN CSL_CITATION {"citationItems":[{"id":"ITEM-1","itemData":{"author":[{"dropping-particle":"","family":"Vélez-Torres","given":"Irene","non-dropping-particle":"","parse-names":false,"suffix":""},{"dropping-particle":"","family":"Agergaard","given":"Jytte","non-dropping-particle":"","parse-names":false,"suffix":""}],"container-title":"Geoforum","id":"ITEM-1","issued":{"date-parts":[["2014"]]},"page":"116-125","title":"An alternative approach to the dominant narratives on ‘displacement’ in Colombia","type":"article-journal","volume":"53"},"uris":["http://www.mendeley.com/documents/?uuid=34f5f84d-1822-4e2e-9cfb-9ddfa225d02d"]}],"mendeley":{"formattedCitation":"(Vélez-Torres &amp; Agergaard, 2014)","plainTextFormattedCitation":"(Vélez-Torres &amp; Agergaard, 2014)","previouslyFormattedCitation":"(Vélez-Torres &amp; Agergaard, 2014)"},"properties":{"noteIndex":0},"schema":"https://github.com/citation-style-language/schema/raw/master/csl-citation.json"}</w:instrText>
      </w:r>
      <w:r w:rsidR="00082A5A" w:rsidRPr="004E053C">
        <w:rPr>
          <w:rFonts w:cstheme="majorHAnsi"/>
          <w:sz w:val="22"/>
          <w:szCs w:val="22"/>
          <w:lang w:val="en-GB" w:eastAsia="zh-CN"/>
        </w:rPr>
        <w:fldChar w:fldCharType="separate"/>
      </w:r>
      <w:r w:rsidR="00082A5A" w:rsidRPr="004E053C">
        <w:rPr>
          <w:rFonts w:cstheme="majorHAnsi"/>
          <w:noProof/>
          <w:sz w:val="22"/>
          <w:szCs w:val="22"/>
          <w:lang w:val="en-GB" w:eastAsia="zh-CN"/>
        </w:rPr>
        <w:t>(Vélez-Torres &amp; Agergaard, 2014)</w:t>
      </w:r>
      <w:r w:rsidR="00082A5A" w:rsidRPr="004E053C">
        <w:rPr>
          <w:rFonts w:cstheme="majorHAnsi"/>
          <w:sz w:val="22"/>
          <w:szCs w:val="22"/>
          <w:lang w:val="en-GB" w:eastAsia="zh-CN"/>
        </w:rPr>
        <w:fldChar w:fldCharType="end"/>
      </w:r>
      <w:r w:rsidRPr="004E053C">
        <w:rPr>
          <w:rFonts w:cstheme="majorHAnsi"/>
          <w:sz w:val="22"/>
          <w:szCs w:val="22"/>
          <w:lang w:val="en-GB" w:eastAsia="zh-CN"/>
        </w:rPr>
        <w:t xml:space="preserve">. Through these various flows, separate places effectively become a single community </w:t>
      </w:r>
      <w:r w:rsidR="00082A5A" w:rsidRPr="004E053C">
        <w:rPr>
          <w:rFonts w:cstheme="majorHAnsi"/>
          <w:sz w:val="22"/>
          <w:szCs w:val="22"/>
          <w:lang w:val="en-GB" w:eastAsia="zh-CN"/>
        </w:rPr>
        <w:fldChar w:fldCharType="begin" w:fldLock="1"/>
      </w:r>
      <w:r w:rsidR="00082A5A" w:rsidRPr="004E053C">
        <w:rPr>
          <w:rFonts w:cstheme="majorHAnsi"/>
          <w:sz w:val="22"/>
          <w:szCs w:val="22"/>
          <w:lang w:val="en-GB" w:eastAsia="zh-CN"/>
        </w:rPr>
        <w:instrText>ADDIN CSL_CITATION {"citationItems":[{"id":"ITEM-1","itemData":{"author":[{"dropping-particle":"","family":"Theije","given":"Marjo","non-dropping-particle":"De","parse-names":false,"suffix":""},{"dropping-particle":"","family":"Bal","given":"Ellen","non-dropping-particle":"","parse-names":false,"suffix":""}],"chapter-number":"4","container-title":"A World of Insecurity: Anthropological Perspectives on Human Security","editor":[{"dropping-particle":"","family":"Eriksen","given":"Thomas Hylland","non-dropping-particle":"","parse-names":false,"suffix":""},{"dropping-particle":"","family":"Bal","given":"Ellen","non-dropping-particle":"","parse-names":false,"suffix":""},{"dropping-particle":"","family":"Salemink","given":"Oscar","non-dropping-particle":"","parse-names":false,"suffix":""}],"id":"ITEM-1","issued":{"date-parts":[["2010"]]},"page":"66-88","publisher":"Pluto Press","publisher-place":"London, UK","title":"Flexible migrants. Brazilian gold miners and their quest for human security in Surinam","type":"chapter"},"uris":["http://www.mendeley.com/documents/?uuid=a0fe66b5-a57d-46fa-a5b9-03db4e85f100"]}],"mendeley":{"formattedCitation":"(De Theije &amp; Bal, 2010)","plainTextFormattedCitation":"(De Theije &amp; Bal, 2010)","previouslyFormattedCitation":"(De Theije &amp; Bal, 2010)"},"properties":{"noteIndex":0},"schema":"https://github.com/citation-style-language/schema/raw/master/csl-citation.json"}</w:instrText>
      </w:r>
      <w:r w:rsidR="00082A5A" w:rsidRPr="004E053C">
        <w:rPr>
          <w:rFonts w:cstheme="majorHAnsi"/>
          <w:sz w:val="22"/>
          <w:szCs w:val="22"/>
          <w:lang w:val="en-GB" w:eastAsia="zh-CN"/>
        </w:rPr>
        <w:fldChar w:fldCharType="separate"/>
      </w:r>
      <w:r w:rsidR="00082A5A" w:rsidRPr="004E053C">
        <w:rPr>
          <w:rFonts w:cstheme="majorHAnsi"/>
          <w:noProof/>
          <w:sz w:val="22"/>
          <w:szCs w:val="22"/>
          <w:lang w:val="en-GB" w:eastAsia="zh-CN"/>
        </w:rPr>
        <w:t>(De Theije &amp; Bal, 2010)</w:t>
      </w:r>
      <w:r w:rsidR="00082A5A" w:rsidRPr="004E053C">
        <w:rPr>
          <w:rFonts w:cstheme="majorHAnsi"/>
          <w:sz w:val="22"/>
          <w:szCs w:val="22"/>
          <w:lang w:val="en-GB" w:eastAsia="zh-CN"/>
        </w:rPr>
        <w:fldChar w:fldCharType="end"/>
      </w:r>
      <w:r w:rsidRPr="004E053C">
        <w:rPr>
          <w:rFonts w:cstheme="majorHAnsi"/>
          <w:sz w:val="22"/>
          <w:szCs w:val="22"/>
          <w:lang w:val="en-GB" w:eastAsia="zh-CN"/>
        </w:rPr>
        <w:t xml:space="preserve">, while at the same time the boundaries of traditional communities become spatially extended </w:t>
      </w:r>
      <w:r w:rsidR="00082A5A"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{"citationItems":[{"id":"ITEM-1","itemData":{"author":[{"dropping-particle":"","family":"Steinbrink","given":"Malte","non-dropping-particle":"","parse-names":false,"suffix":""}],"container-title":"Etude de la Population Africaine/African Population Studies","id":"ITEM-1","issued":{"date-parts":[["2009"]]},"page":"219-252","title":"Urbanisation, poverty and translocality: insights from South Africa","type":"article-journal","volume":"23"},"uris":["http://www.mendeley.com/documents/?uuid=73471f27-74d4-4cda-9d28-bfa63481d3fb"]}],"mendeley":{"formattedCitation":"(Steinbrink, 2009)","plainTextFormattedCitation":"(Steinbrink, 2009)","previouslyFormattedCitation":"(Steinbrink, 2009)"},"properties":{"noteIndex":0},"schema":"https://github.com/citation-style-language/schema/raw/master/csl-citation.json"}</w:instrText>
      </w:r>
      <w:r w:rsidR="00082A5A" w:rsidRPr="004E053C">
        <w:rPr>
          <w:rFonts w:cstheme="majorHAnsi"/>
          <w:sz w:val="22"/>
          <w:szCs w:val="22"/>
          <w:lang w:val="en-GB" w:eastAsia="zh-CN"/>
        </w:rPr>
        <w:fldChar w:fldCharType="separate"/>
      </w:r>
      <w:r w:rsidR="00082A5A" w:rsidRPr="004E053C">
        <w:rPr>
          <w:rFonts w:cstheme="majorHAnsi"/>
          <w:noProof/>
          <w:sz w:val="22"/>
          <w:szCs w:val="22"/>
          <w:lang w:val="en-GB" w:eastAsia="zh-CN"/>
        </w:rPr>
        <w:t>(Steinbrink, 2009)</w:t>
      </w:r>
      <w:r w:rsidR="00082A5A" w:rsidRPr="004E053C">
        <w:rPr>
          <w:rFonts w:cstheme="majorHAnsi"/>
          <w:sz w:val="22"/>
          <w:szCs w:val="22"/>
          <w:lang w:val="en-GB" w:eastAsia="zh-CN"/>
        </w:rPr>
        <w:fldChar w:fldCharType="end"/>
      </w:r>
      <w:r w:rsidRPr="004E053C">
        <w:rPr>
          <w:rFonts w:cstheme="majorHAnsi"/>
          <w:sz w:val="22"/>
          <w:szCs w:val="22"/>
          <w:lang w:val="en-GB" w:eastAsia="zh-CN"/>
        </w:rPr>
        <w:t xml:space="preserve">. </w:t>
      </w:r>
    </w:p>
    <w:p w14:paraId="0696A856" w14:textId="77777777" w:rsidR="00ED3EA5" w:rsidRPr="004E053C" w:rsidRDefault="00ED3EA5" w:rsidP="004E053C">
      <w:pPr>
        <w:spacing w:line="360" w:lineRule="auto"/>
        <w:jc w:val="both"/>
        <w:rPr>
          <w:rFonts w:cstheme="majorHAnsi"/>
          <w:sz w:val="22"/>
          <w:szCs w:val="22"/>
          <w:lang w:val="en-GB" w:eastAsia="zh-CN"/>
        </w:rPr>
      </w:pPr>
    </w:p>
    <w:p w14:paraId="5537F532" w14:textId="2BA7D4D8"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lastRenderedPageBreak/>
        <w:t xml:space="preserve">Following the definition by Elias </w:t>
      </w:r>
      <w:r w:rsidR="00082A5A" w:rsidRPr="004E053C">
        <w:rPr>
          <w:rFonts w:cstheme="majorHAnsi"/>
          <w:sz w:val="22"/>
          <w:szCs w:val="22"/>
          <w:lang w:val="en-GB" w:eastAsia="zh-CN"/>
        </w:rPr>
        <w:fldChar w:fldCharType="begin" w:fldLock="1"/>
      </w:r>
      <w:r w:rsidR="009003C9" w:rsidRPr="004E053C">
        <w:rPr>
          <w:rFonts w:cstheme="majorHAnsi"/>
          <w:sz w:val="22"/>
          <w:szCs w:val="22"/>
          <w:lang w:val="en-GB" w:eastAsia="zh-CN"/>
        </w:rPr>
        <w:instrText>ADDIN CSL_CITATION {"citationItems":[{"id":"ITEM-1","itemData":{"author":[{"dropping-particle":"","family":"Elias","given":"N","non-dropping-particle":"","parse-names":false,"suffix":""}],"container-title":"The Sociology of Community","editor":[{"dropping-particle":"","family":"Bell","given":"C","non-dropping-particle":"","parse-names":false,"suffix":""},{"dropping-particle":"","family":"Newby","given":"H","non-dropping-particle":"","parse-names":false,"suffix":""}],"id":"ITEM-1","issued":{"date-parts":[["1974"]]},"page":"IX-XLI","publisher":"Frank Cass","publisher-place":"London, UK","title":"Towards a theory of communities","type":"chapter"},"uris":["http://www.mendeley.com/documents/?uuid=020f5f26-8d30-46e8-a827-134eba82dd0d","http://www.mendeley.com/documents/?uuid=a14491a2-1eca-418c-84a4-d1c07f53b7ea"]}],"mendeley":{"formattedCitation":"(N. Elias, 1974)","manualFormatting":"(1974)","plainTextFormattedCitation":"(N. Elias, 1974)","previouslyFormattedCitation":"(N. Elias, 1974)"},"properties":{"noteIndex":0},"schema":"https://github.com/citation-style-language/schema/raw/master/csl-citation.json"}</w:instrText>
      </w:r>
      <w:r w:rsidR="00082A5A" w:rsidRPr="004E053C">
        <w:rPr>
          <w:rFonts w:cstheme="majorHAnsi"/>
          <w:sz w:val="22"/>
          <w:szCs w:val="22"/>
          <w:lang w:val="en-GB" w:eastAsia="zh-CN"/>
        </w:rPr>
        <w:fldChar w:fldCharType="separate"/>
      </w:r>
      <w:r w:rsidR="00082A5A" w:rsidRPr="004E053C">
        <w:rPr>
          <w:rFonts w:cstheme="majorHAnsi"/>
          <w:noProof/>
          <w:sz w:val="22"/>
          <w:szCs w:val="22"/>
          <w:lang w:val="en-GB" w:eastAsia="zh-CN"/>
        </w:rPr>
        <w:t>(1974)</w:t>
      </w:r>
      <w:r w:rsidR="00082A5A" w:rsidRPr="004E053C">
        <w:rPr>
          <w:rFonts w:cstheme="majorHAnsi"/>
          <w:sz w:val="22"/>
          <w:szCs w:val="22"/>
          <w:lang w:val="en-GB" w:eastAsia="zh-CN"/>
        </w:rPr>
        <w:fldChar w:fldCharType="end"/>
      </w:r>
      <w:r w:rsidRPr="004E053C">
        <w:rPr>
          <w:rFonts w:cstheme="majorHAnsi"/>
          <w:sz w:val="22"/>
          <w:szCs w:val="22"/>
          <w:lang w:val="en-GB" w:eastAsia="zh-CN"/>
        </w:rPr>
        <w:t xml:space="preserve">, the translocal community here is defined as a group of translocal households, whose members live in diverse locations, which are connected to each other through functional interdependencies, as well as to other people in their wider social environment. However, </w:t>
      </w:r>
      <w:r w:rsidR="00B64EA9" w:rsidRPr="004E053C">
        <w:rPr>
          <w:rFonts w:cstheme="majorHAnsi"/>
          <w:sz w:val="22"/>
          <w:szCs w:val="22"/>
          <w:lang w:val="en-GB" w:eastAsia="zh-CN"/>
        </w:rPr>
        <w:t>I deepen</w:t>
      </w:r>
      <w:r w:rsidRPr="004E053C">
        <w:rPr>
          <w:rFonts w:cstheme="majorHAnsi"/>
          <w:sz w:val="22"/>
          <w:szCs w:val="22"/>
          <w:lang w:val="en-GB" w:eastAsia="zh-CN"/>
        </w:rPr>
        <w:t xml:space="preserve"> this understanding somewhat, by drawing on Bourdieu’s </w:t>
      </w:r>
      <w:r w:rsidR="00082A5A" w:rsidRPr="004E053C">
        <w:rPr>
          <w:rFonts w:cstheme="majorHAnsi"/>
          <w:sz w:val="22"/>
          <w:szCs w:val="22"/>
          <w:lang w:val="en-GB" w:eastAsia="zh-CN"/>
        </w:rPr>
        <w:fldChar w:fldCharType="begin" w:fldLock="1"/>
      </w:r>
      <w:r w:rsidR="008F2C11" w:rsidRPr="004E053C">
        <w:rPr>
          <w:rFonts w:cstheme="majorHAnsi"/>
          <w:sz w:val="22"/>
          <w:szCs w:val="22"/>
          <w:lang w:val="en-GB" w:eastAsia="zh-CN"/>
        </w:rPr>
        <w:instrText>ADDIN CSL_CITATION {"citationItems":[{"id":"ITEM-1","itemData":{"author":[{"dropping-particle":"","family":"Bourdieu","given":"Pierre","non-dropping-particle":"","parse-names":false,"suffix":""}],"container-title":"Source: Theory and Society","id":"ITEM-1","issue":"6","issued":{"date-parts":[["1985"]]},"number-of-pages":"723-744","title":"The Social Space and the Genesis of Groups","type":"report","volume":"14"},"uris":["http://www.mendeley.com/documents/?uuid=f0c35b42-1dca-3e1c-80e1-fc37c7ba756a"]}],"mendeley":{"formattedCitation":"(Bourdieu, 1985)","manualFormatting":"(1985)","plainTextFormattedCitation":"(Bourdieu, 1985)","previouslyFormattedCitation":"(Bourdieu, 1985)"},"properties":{"noteIndex":0},"schema":"https://github.com/citation-style-language/schema/raw/master/csl-citation.json"}</w:instrText>
      </w:r>
      <w:r w:rsidR="00082A5A" w:rsidRPr="004E053C">
        <w:rPr>
          <w:rFonts w:cstheme="majorHAnsi"/>
          <w:sz w:val="22"/>
          <w:szCs w:val="22"/>
          <w:lang w:val="en-GB" w:eastAsia="zh-CN"/>
        </w:rPr>
        <w:fldChar w:fldCharType="separate"/>
      </w:r>
      <w:r w:rsidR="00082A5A" w:rsidRPr="004E053C">
        <w:rPr>
          <w:rFonts w:cstheme="majorHAnsi"/>
          <w:noProof/>
          <w:sz w:val="22"/>
          <w:szCs w:val="22"/>
          <w:lang w:val="en-GB" w:eastAsia="zh-CN"/>
        </w:rPr>
        <w:t>(1985)</w:t>
      </w:r>
      <w:r w:rsidR="00082A5A" w:rsidRPr="004E053C">
        <w:rPr>
          <w:rFonts w:cstheme="majorHAnsi"/>
          <w:sz w:val="22"/>
          <w:szCs w:val="22"/>
          <w:lang w:val="en-GB" w:eastAsia="zh-CN"/>
        </w:rPr>
        <w:fldChar w:fldCharType="end"/>
      </w:r>
      <w:r w:rsidRPr="004E053C">
        <w:rPr>
          <w:rFonts w:cstheme="majorHAnsi"/>
          <w:sz w:val="22"/>
          <w:szCs w:val="22"/>
          <w:lang w:val="en-GB" w:eastAsia="zh-CN"/>
        </w:rPr>
        <w:t xml:space="preserve"> work on social fields. Bourdieu saw social fields as multidimensional, encompassing structured interactions of diff</w:t>
      </w:r>
      <w:r w:rsidR="008F2C11" w:rsidRPr="004E053C">
        <w:rPr>
          <w:rFonts w:cstheme="majorHAnsi"/>
          <w:sz w:val="22"/>
          <w:szCs w:val="22"/>
          <w:lang w:val="en-GB" w:eastAsia="zh-CN"/>
        </w:rPr>
        <w:t>ering forms, depth, and breadth</w:t>
      </w:r>
      <w:r w:rsidRPr="004E053C">
        <w:rPr>
          <w:rFonts w:cstheme="majorHAnsi"/>
          <w:sz w:val="22"/>
          <w:szCs w:val="22"/>
          <w:lang w:val="en-GB" w:eastAsia="zh-CN"/>
        </w:rPr>
        <w:t xml:space="preserve"> </w:t>
      </w:r>
      <w:r w:rsidR="008F2C11" w:rsidRPr="004E053C">
        <w:rPr>
          <w:rFonts w:cstheme="majorHAnsi"/>
          <w:sz w:val="22"/>
          <w:szCs w:val="22"/>
          <w:lang w:val="en-GB" w:eastAsia="zh-CN"/>
        </w:rPr>
        <w:fldChar w:fldCharType="begin" w:fldLock="1"/>
      </w:r>
      <w:r w:rsidR="00F078A1" w:rsidRPr="004E053C">
        <w:rPr>
          <w:rFonts w:cstheme="majorHAnsi"/>
          <w:sz w:val="22"/>
          <w:szCs w:val="22"/>
          <w:lang w:val="en-GB" w:eastAsia="zh-CN"/>
        </w:rPr>
        <w:instrText>ADDIN CSL_CITATION {"citationItems":[{"id":"ITEM-1","itemData":{"author":[{"dropping-particle":"","family":"Levitt","given":"Peggy","non-dropping-particle":"","parse-names":false,"suffix":""},{"dropping-particle":"","family":"Glick Schiller","given":"Nina","non-dropping-particle":"","parse-names":false,"suffix":""}],"container-title":"International Migration Review","id":"ITEM-1","issue":"3","issued":{"date-parts":[["2004"]]},"page":"1002-1039","title":"Conceptualizing Simultaneity: A Transnational Social Field Perspective on Society","type":"article-journal","volume":"38"},"uris":["http://www.mendeley.com/documents/?uuid=0fba9d75-8d2a-4773-971d-1b23f9a6edea"]}],"mendeley":{"formattedCitation":"(Levitt &amp; Glick Schiller, 2004)","plainTextFormattedCitation":"(Levitt &amp; Glick Schiller, 2004)","previouslyFormattedCitation":"(Levitt &amp; Glick Schiller, 2004)"},"properties":{"noteIndex":0},"schema":"https://github.com/citation-style-language/schema/raw/master/csl-citation.json"}</w:instrText>
      </w:r>
      <w:r w:rsidR="008F2C11" w:rsidRPr="004E053C">
        <w:rPr>
          <w:rFonts w:cstheme="majorHAnsi"/>
          <w:sz w:val="22"/>
          <w:szCs w:val="22"/>
          <w:lang w:val="en-GB" w:eastAsia="zh-CN"/>
        </w:rPr>
        <w:fldChar w:fldCharType="separate"/>
      </w:r>
      <w:r w:rsidR="008F2C11" w:rsidRPr="004E053C">
        <w:rPr>
          <w:rFonts w:cstheme="majorHAnsi"/>
          <w:noProof/>
          <w:sz w:val="22"/>
          <w:szCs w:val="22"/>
          <w:lang w:val="en-GB" w:eastAsia="zh-CN"/>
        </w:rPr>
        <w:t>(Levitt &amp; Glick Schiller, 2004)</w:t>
      </w:r>
      <w:r w:rsidR="008F2C11" w:rsidRPr="004E053C">
        <w:rPr>
          <w:rFonts w:cstheme="majorHAnsi"/>
          <w:sz w:val="22"/>
          <w:szCs w:val="22"/>
          <w:lang w:val="en-GB" w:eastAsia="zh-CN"/>
        </w:rPr>
        <w:fldChar w:fldCharType="end"/>
      </w:r>
      <w:r w:rsidRPr="004E053C">
        <w:rPr>
          <w:rFonts w:cstheme="majorHAnsi"/>
          <w:sz w:val="22"/>
          <w:szCs w:val="22"/>
          <w:lang w:val="en-GB" w:eastAsia="zh-CN"/>
        </w:rPr>
        <w:t xml:space="preserve">. Although the transnationalism literature often utilises the concept of a social field to denote the connections between spatially distinct locations </w:t>
      </w:r>
      <w:r w:rsidR="00F078A1" w:rsidRPr="004E053C">
        <w:rPr>
          <w:rFonts w:cstheme="majorHAnsi"/>
          <w:sz w:val="22"/>
          <w:szCs w:val="22"/>
          <w:lang w:val="en-GB" w:eastAsia="zh-CN"/>
        </w:rPr>
        <w:fldChar w:fldCharType="begin" w:fldLock="1"/>
      </w:r>
      <w:r w:rsidR="00F2183E" w:rsidRPr="004E053C">
        <w:rPr>
          <w:rFonts w:cstheme="majorHAnsi"/>
          <w:sz w:val="22"/>
          <w:szCs w:val="22"/>
          <w:lang w:val="en-GB" w:eastAsia="zh-CN"/>
        </w:rPr>
        <w:instrText>ADDIN CSL_CITATION {"citationItems":[{"id":"ITEM-1","itemData":{"author":[{"dropping-particle":"","family":"Glick Schiller","given":"Nina","non-dropping-particle":"","parse-names":false,"suffix":""},{"dropping-particle":"","family":"Fouron","given":"Georges E","non-dropping-particle":"","parse-names":false,"suffix":""}],"container-title":"Ethnic and Racial Studies","id":"ITEM-1","issue":"2","issued":{"date-parts":[["1999"]]},"page":"340-366","title":"Terrains of blood and nation: Haitian transnational social fields","type":"article-journal","volume":"22"},"uris":["http://www.mendeley.com/documents/?uuid=5ef83881-92a9-48d1-85b6-da8bd53933b7","http://www.mendeley.com/documents/?uuid=febaab05-2ea6-4e9a-8c93-06803bb35251"]},{"id":"ITEM-2","itemData":{"author":[{"dropping-particle":"","family":"Levitt","given":"Peggy","non-dropping-particle":"","parse-names":false,"suffix":""},{"dropping-particle":"","family":"Glick Schiller","given":"Nina","non-dropping-particle":"","parse-names":false,"suffix":""}],"container-title":"International Migration Review","id":"ITEM-2","issue":"3","issued":{"date-parts":[["2004"]]},"page":"1002-1039","title":"Conceptualizing Simultaneity: A Transnational Social Field Perspective on Society","type":"article-journal","volume":"38"},"uris":["http://www.mendeley.com/documents/?uuid=0fba9d75-8d2a-4773-971d-1b23f9a6edea"]},{"id":"ITEM-3","itemData":{"author":[{"dropping-particle":"","family":"Nieswand","given":"B","non-dropping-particle":"","parse-names":false,"suffix":""}],"id":"ITEM-3","issued":{"date-parts":[["2011"]]},"publisher":"Routledge","publisher-place":"London, UK","title":"Theorising Transnational Migration: The Status Paradox of Migration","type":"book"},"uris":["http://www.mendeley.com/documents/?uuid=37f869ab-5478-4e8d-9783-6da1378e5018","http://www.mendeley.com/documents/?uuid=06a799d7-c39b-4ef2-a3b1-4a504dd0dbaf"]}],"mendeley":{"formattedCitation":"(Glick Schiller &amp; Fouron, 1999; Levitt &amp; Glick Schiller, 2004; Nieswand, 2011)","plainTextFormattedCitation":"(Glick Schiller &amp; Fouron, 1999; Levitt &amp; Glick Schiller, 2004; Nieswand, 2011)","previouslyFormattedCitation":"(Glick Schiller &amp; Fouron, 1999; Levitt &amp; Glick Schiller, 2004; Nieswand, 2011)"},"properties":{"noteIndex":0},"schema":"https://github.com/citation-style-language/schema/raw/master/csl-citation.json"}</w:instrText>
      </w:r>
      <w:r w:rsidR="00F078A1" w:rsidRPr="004E053C">
        <w:rPr>
          <w:rFonts w:cstheme="majorHAnsi"/>
          <w:sz w:val="22"/>
          <w:szCs w:val="22"/>
          <w:lang w:val="en-GB" w:eastAsia="zh-CN"/>
        </w:rPr>
        <w:fldChar w:fldCharType="separate"/>
      </w:r>
      <w:r w:rsidR="00F078A1" w:rsidRPr="004E053C">
        <w:rPr>
          <w:rFonts w:cstheme="majorHAnsi"/>
          <w:noProof/>
          <w:sz w:val="22"/>
          <w:szCs w:val="22"/>
          <w:lang w:val="en-GB" w:eastAsia="zh-CN"/>
        </w:rPr>
        <w:t>(Glick Schiller &amp; Fouron, 1999; Levitt &amp; Glick Schiller, 2004; Nieswand, 2011)</w:t>
      </w:r>
      <w:r w:rsidR="00F078A1" w:rsidRPr="004E053C">
        <w:rPr>
          <w:rFonts w:cstheme="majorHAnsi"/>
          <w:sz w:val="22"/>
          <w:szCs w:val="22"/>
          <w:lang w:val="en-GB" w:eastAsia="zh-CN"/>
        </w:rPr>
        <w:fldChar w:fldCharType="end"/>
      </w:r>
      <w:r w:rsidRPr="004E053C">
        <w:rPr>
          <w:rFonts w:cstheme="majorHAnsi"/>
          <w:sz w:val="22"/>
          <w:szCs w:val="22"/>
          <w:lang w:val="en-GB" w:eastAsia="zh-CN"/>
        </w:rPr>
        <w:t xml:space="preserve">, it can also be applied to </w:t>
      </w:r>
      <w:r w:rsidRPr="004E053C">
        <w:rPr>
          <w:rFonts w:cstheme="majorHAnsi"/>
          <w:i/>
          <w:iCs/>
          <w:sz w:val="22"/>
          <w:szCs w:val="22"/>
          <w:lang w:val="en-GB" w:eastAsia="zh-CN"/>
        </w:rPr>
        <w:t>transloca</w:t>
      </w:r>
      <w:r w:rsidRPr="004E053C">
        <w:rPr>
          <w:rFonts w:cstheme="majorHAnsi"/>
          <w:sz w:val="22"/>
          <w:szCs w:val="22"/>
          <w:lang w:val="en-GB" w:eastAsia="zh-CN"/>
        </w:rPr>
        <w:t xml:space="preserve">l livelihood systems (of which ASM is one). What is key </w:t>
      </w:r>
      <w:r w:rsidR="00B64EA9" w:rsidRPr="004E053C">
        <w:rPr>
          <w:rFonts w:cstheme="majorHAnsi"/>
          <w:sz w:val="22"/>
          <w:szCs w:val="22"/>
          <w:lang w:val="en-GB" w:eastAsia="zh-CN"/>
        </w:rPr>
        <w:t>here</w:t>
      </w:r>
      <w:r w:rsidRPr="004E053C">
        <w:rPr>
          <w:rFonts w:cstheme="majorHAnsi"/>
          <w:sz w:val="22"/>
          <w:szCs w:val="22"/>
          <w:lang w:val="en-GB" w:eastAsia="zh-CN"/>
        </w:rPr>
        <w:t xml:space="preserve"> is that the overarching social field of ASM consists of a criss-cross of overlapping migratory flows and interactions that connect </w:t>
      </w:r>
      <w:r w:rsidRPr="004E053C">
        <w:rPr>
          <w:rFonts w:cstheme="majorHAnsi"/>
          <w:i/>
          <w:iCs/>
          <w:sz w:val="22"/>
          <w:szCs w:val="22"/>
          <w:lang w:val="en-GB" w:eastAsia="zh-CN"/>
        </w:rPr>
        <w:t>multiple</w:t>
      </w:r>
      <w:r w:rsidRPr="004E053C">
        <w:rPr>
          <w:rFonts w:cstheme="majorHAnsi"/>
          <w:sz w:val="22"/>
          <w:szCs w:val="22"/>
          <w:lang w:val="en-GB" w:eastAsia="zh-CN"/>
        </w:rPr>
        <w:t xml:space="preserve"> destination and origin communities, rather than just two locations.</w:t>
      </w:r>
      <w:r w:rsidR="00F078A1" w:rsidRPr="004E053C">
        <w:rPr>
          <w:rFonts w:cstheme="majorHAnsi"/>
          <w:sz w:val="22"/>
          <w:szCs w:val="22"/>
          <w:lang w:val="en-GB" w:eastAsia="zh-CN"/>
        </w:rPr>
        <w:t xml:space="preserve"> </w:t>
      </w:r>
      <w:r w:rsidRPr="004E053C">
        <w:rPr>
          <w:rFonts w:cstheme="majorHAnsi"/>
          <w:color w:val="000000"/>
          <w:sz w:val="22"/>
          <w:szCs w:val="22"/>
          <w:lang w:val="en-GB" w:eastAsia="zh-CN"/>
        </w:rPr>
        <w:t xml:space="preserve">This conceptualisation is important, as it does not rely on an understanding that all the members of a translocal community are linked by a common origin, as was proposed by Elias </w:t>
      </w:r>
      <w:r w:rsidR="007F1BBD" w:rsidRPr="004E053C">
        <w:rPr>
          <w:rFonts w:cstheme="majorHAnsi"/>
          <w:color w:val="000000"/>
          <w:sz w:val="22"/>
          <w:szCs w:val="22"/>
          <w:lang w:val="en-GB" w:eastAsia="zh-CN"/>
        </w:rPr>
        <w:fldChar w:fldCharType="begin" w:fldLock="1"/>
      </w:r>
      <w:r w:rsidR="009003C9" w:rsidRPr="004E053C">
        <w:rPr>
          <w:rFonts w:cstheme="majorHAnsi"/>
          <w:color w:val="000000"/>
          <w:sz w:val="22"/>
          <w:szCs w:val="22"/>
          <w:lang w:val="en-GB" w:eastAsia="zh-CN"/>
        </w:rPr>
        <w:instrText>ADDIN CSL_CITATION {"citationItems":[{"id":"ITEM-1","itemData":{"author":[{"dropping-particle":"","family":"Elias","given":"N","non-dropping-particle":"","parse-names":false,"suffix":""}],"container-title":"The Sociology of Community","editor":[{"dropping-particle":"","family":"Bell","given":"C","non-dropping-particle":"","parse-names":false,"suffix":""},{"dropping-particle":"","family":"Newby","given":"H","non-dropping-particle":"","parse-names":false,"suffix":""}],"id":"ITEM-1","issued":{"date-parts":[["1974"]]},"page":"IX-XLI","publisher":"Frank Cass","publisher-place":"London, UK","title":"Towards a theory of communities","type":"chapter"},"uris":["http://www.mendeley.com/documents/?uuid=a14491a2-1eca-418c-84a4-d1c07f53b7ea","http://www.mendeley.com/documents/?uuid=020f5f26-8d30-46e8-a827-134eba82dd0d"]}],"mendeley":{"formattedCitation":"(N. Elias, 1974)","manualFormatting":"(1974)","plainTextFormattedCitation":"(N. Elias, 1974)","previouslyFormattedCitation":"(N. Elias, 1974)"},"properties":{"noteIndex":0},"schema":"https://github.com/citation-style-language/schema/raw/master/csl-citation.json"}</w:instrText>
      </w:r>
      <w:r w:rsidR="007F1BBD" w:rsidRPr="004E053C">
        <w:rPr>
          <w:rFonts w:cstheme="majorHAnsi"/>
          <w:color w:val="000000"/>
          <w:sz w:val="22"/>
          <w:szCs w:val="22"/>
          <w:lang w:val="en-GB" w:eastAsia="zh-CN"/>
        </w:rPr>
        <w:fldChar w:fldCharType="separate"/>
      </w:r>
      <w:r w:rsidR="007F1BBD" w:rsidRPr="004E053C">
        <w:rPr>
          <w:rFonts w:cstheme="majorHAnsi"/>
          <w:noProof/>
          <w:color w:val="000000"/>
          <w:sz w:val="22"/>
          <w:szCs w:val="22"/>
          <w:lang w:val="en-GB" w:eastAsia="zh-CN"/>
        </w:rPr>
        <w:t>(1974)</w:t>
      </w:r>
      <w:r w:rsidR="007F1BBD" w:rsidRPr="004E053C">
        <w:rPr>
          <w:rFonts w:cstheme="majorHAnsi"/>
          <w:color w:val="000000"/>
          <w:sz w:val="22"/>
          <w:szCs w:val="22"/>
          <w:lang w:val="en-GB" w:eastAsia="zh-CN"/>
        </w:rPr>
        <w:fldChar w:fldCharType="end"/>
      </w:r>
      <w:r w:rsidRPr="004E053C">
        <w:rPr>
          <w:rFonts w:cstheme="majorHAnsi"/>
          <w:color w:val="000000"/>
          <w:sz w:val="22"/>
          <w:szCs w:val="22"/>
          <w:lang w:val="en-GB" w:eastAsia="zh-CN"/>
        </w:rPr>
        <w:t>, nor that they share a common destination, as this would not accurately reflect the realities of ASM in Madre de Dios. I therefore refer to this broader translocal social field of ASM as the translocal community.</w:t>
      </w:r>
    </w:p>
    <w:p w14:paraId="5EC66A63" w14:textId="77777777" w:rsidR="00FE47C4" w:rsidRPr="004E053C" w:rsidRDefault="00FE47C4" w:rsidP="004E053C">
      <w:pPr>
        <w:spacing w:line="360" w:lineRule="auto"/>
        <w:jc w:val="both"/>
        <w:rPr>
          <w:rFonts w:cstheme="majorHAnsi"/>
          <w:sz w:val="22"/>
          <w:szCs w:val="22"/>
          <w:lang w:val="en-GB" w:eastAsia="zh-CN"/>
        </w:rPr>
      </w:pPr>
    </w:p>
    <w:p w14:paraId="7CEC2F07" w14:textId="615B0777"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The usefulness of a translocal focus </w:t>
      </w:r>
      <w:r w:rsidR="00B64EA9" w:rsidRPr="004E053C">
        <w:rPr>
          <w:rFonts w:cstheme="majorHAnsi"/>
          <w:sz w:val="22"/>
          <w:szCs w:val="22"/>
          <w:lang w:val="en-GB" w:eastAsia="zh-CN"/>
        </w:rPr>
        <w:t xml:space="preserve">for understanding the social field of ASM </w:t>
      </w:r>
      <w:r w:rsidRPr="004E053C">
        <w:rPr>
          <w:rFonts w:cstheme="majorHAnsi"/>
          <w:sz w:val="22"/>
          <w:szCs w:val="22"/>
          <w:lang w:val="en-GB" w:eastAsia="zh-CN"/>
        </w:rPr>
        <w:t xml:space="preserve">is that it refocuses attention on non-migrants </w:t>
      </w:r>
      <w:r w:rsidR="007F1BBD" w:rsidRPr="004E053C">
        <w:rPr>
          <w:rFonts w:cstheme="majorHAnsi"/>
          <w:sz w:val="22"/>
          <w:szCs w:val="22"/>
          <w:lang w:val="en-GB" w:eastAsia="zh-CN"/>
        </w:rPr>
        <w:fldChar w:fldCharType="begin" w:fldLock="1"/>
      </w:r>
      <w:r w:rsidR="007F1BBD" w:rsidRPr="004E053C">
        <w:rPr>
          <w:rFonts w:cstheme="majorHAnsi"/>
          <w:sz w:val="22"/>
          <w:szCs w:val="22"/>
          <w:lang w:val="en-GB" w:eastAsia="zh-CN"/>
        </w:rPr>
        <w:instrText>ADDIN CSL_CITATION {"citationItems":[{"id":"ITEM-1","itemData":{"author":[{"dropping-particle":"","family":"Thieme","given":"Susan","non-dropping-particle":"","parse-names":false,"suffix":""}],"container-title":"Mobilities","id":"ITEM-1","issue":"1","issued":{"date-parts":[["2008"]]},"page":"51-71","title":"Sustaining Livelihoods in Multi-local Settings: Possible Theoretical Linkages between Transnational Migration and Livelihood Studies","type":"article-journal","volume":"3"},"uris":["http://www.mendeley.com/documents/?uuid=f4a0aaa3-869f-4f87-9ad8-87699576ad9c"]}],"mendeley":{"formattedCitation":"(Susan Thieme, 2008)","manualFormatting":"(Thieme, 2008)","plainTextFormattedCitation":"(Susan Thieme, 2008)","previouslyFormattedCitation":"(Susan Thieme, 2008)"},"properties":{"noteIndex":0},"schema":"https://github.com/citation-style-language/schema/raw/master/csl-citation.json"}</w:instrText>
      </w:r>
      <w:r w:rsidR="007F1BBD" w:rsidRPr="004E053C">
        <w:rPr>
          <w:rFonts w:cstheme="majorHAnsi"/>
          <w:sz w:val="22"/>
          <w:szCs w:val="22"/>
          <w:lang w:val="en-GB" w:eastAsia="zh-CN"/>
        </w:rPr>
        <w:fldChar w:fldCharType="separate"/>
      </w:r>
      <w:r w:rsidR="007F1BBD" w:rsidRPr="004E053C">
        <w:rPr>
          <w:rFonts w:cstheme="majorHAnsi"/>
          <w:noProof/>
          <w:sz w:val="22"/>
          <w:szCs w:val="22"/>
          <w:lang w:val="en-GB" w:eastAsia="zh-CN"/>
        </w:rPr>
        <w:t>(Thieme, 2008)</w:t>
      </w:r>
      <w:r w:rsidR="007F1BBD" w:rsidRPr="004E053C">
        <w:rPr>
          <w:rFonts w:cstheme="majorHAnsi"/>
          <w:sz w:val="22"/>
          <w:szCs w:val="22"/>
          <w:lang w:val="en-GB" w:eastAsia="zh-CN"/>
        </w:rPr>
        <w:fldChar w:fldCharType="end"/>
      </w:r>
      <w:r w:rsidRPr="004E053C">
        <w:rPr>
          <w:rFonts w:cstheme="majorHAnsi"/>
          <w:sz w:val="22"/>
          <w:szCs w:val="22"/>
          <w:lang w:val="en-GB" w:eastAsia="zh-CN"/>
        </w:rPr>
        <w:t xml:space="preserve">, who are active members of the translocal community, despite their immobility. </w:t>
      </w:r>
      <w:r w:rsidRPr="004E053C">
        <w:rPr>
          <w:rFonts w:cstheme="majorHAnsi"/>
          <w:color w:val="211E1E"/>
          <w:sz w:val="22"/>
          <w:szCs w:val="22"/>
          <w:lang w:val="en-GB" w:eastAsia="zh-CN"/>
        </w:rPr>
        <w:t xml:space="preserve">This is due to the interdependence and various interconnections that exist between locations, </w:t>
      </w:r>
      <w:r w:rsidRPr="004E053C">
        <w:rPr>
          <w:rFonts w:cstheme="majorHAnsi"/>
          <w:sz w:val="22"/>
          <w:szCs w:val="22"/>
          <w:lang w:val="en-GB" w:eastAsia="zh-CN"/>
        </w:rPr>
        <w:t xml:space="preserve">meaning that even those who remain immobile become saturated with transnational (or indeed, translocal) relationships </w:t>
      </w:r>
      <w:r w:rsidR="007F1BBD" w:rsidRPr="004E053C">
        <w:rPr>
          <w:rFonts w:cstheme="majorHAnsi"/>
          <w:sz w:val="22"/>
          <w:szCs w:val="22"/>
          <w:lang w:val="en-GB" w:eastAsia="zh-CN"/>
        </w:rPr>
        <w:fldChar w:fldCharType="begin" w:fldLock="1"/>
      </w:r>
      <w:r w:rsidR="007F1BBD" w:rsidRPr="004E053C">
        <w:rPr>
          <w:rFonts w:cstheme="majorHAnsi"/>
          <w:sz w:val="22"/>
          <w:szCs w:val="22"/>
          <w:lang w:val="en-GB" w:eastAsia="zh-CN"/>
        </w:rPr>
        <w:instrText>ADDIN CSL_CITATION {"citationItems":[{"id":"ITEM-1","itemData":{"author":[{"dropping-particle":"","family":"Wiesner-Hanks","given":"M E","non-dropping-particle":"","parse-names":false,"suffix":""}],"container-title":"Journal of Global History","id":"ITEM-1","issue":"3","issued":{"date-parts":[["2011"]]},"page":"357-379","title":"Crossing borders in transnational gender history","type":"article-journal","volume":"6"},"uris":["http://www.mendeley.com/documents/?uuid=53e123e8-a373-459b-bce6-9416ba98e26b"]}],"mendeley":{"formattedCitation":"(Wiesner-Hanks, 2011)","plainTextFormattedCitation":"(Wiesner-Hanks, 2011)","previouslyFormattedCitation":"(Wiesner-Hanks, 2011)"},"properties":{"noteIndex":0},"schema":"https://github.com/citation-style-language/schema/raw/master/csl-citation.json"}</w:instrText>
      </w:r>
      <w:r w:rsidR="007F1BBD" w:rsidRPr="004E053C">
        <w:rPr>
          <w:rFonts w:cstheme="majorHAnsi"/>
          <w:sz w:val="22"/>
          <w:szCs w:val="22"/>
          <w:lang w:val="en-GB" w:eastAsia="zh-CN"/>
        </w:rPr>
        <w:fldChar w:fldCharType="separate"/>
      </w:r>
      <w:r w:rsidR="007F1BBD" w:rsidRPr="004E053C">
        <w:rPr>
          <w:rFonts w:cstheme="majorHAnsi"/>
          <w:noProof/>
          <w:sz w:val="22"/>
          <w:szCs w:val="22"/>
          <w:lang w:val="en-GB" w:eastAsia="zh-CN"/>
        </w:rPr>
        <w:t>(Wiesner-Hanks, 2011)</w:t>
      </w:r>
      <w:r w:rsidR="007F1BBD" w:rsidRPr="004E053C">
        <w:rPr>
          <w:rFonts w:cstheme="majorHAnsi"/>
          <w:sz w:val="22"/>
          <w:szCs w:val="22"/>
          <w:lang w:val="en-GB" w:eastAsia="zh-CN"/>
        </w:rPr>
        <w:fldChar w:fldCharType="end"/>
      </w:r>
      <w:r w:rsidRPr="004E053C">
        <w:rPr>
          <w:rFonts w:cstheme="majorHAnsi"/>
          <w:sz w:val="22"/>
          <w:szCs w:val="22"/>
          <w:lang w:val="en-GB" w:eastAsia="zh-CN"/>
        </w:rPr>
        <w:t xml:space="preserve">. As a result of their relationships, not only do mobile and immobile populations co-produce translocal communities but they also come to define each other </w:t>
      </w:r>
      <w:r w:rsidR="007F1BBD"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{"citationItems":[{"id":"ITEM-1","itemData":{"author":[{"dropping-particle":"","family":"Glick Schiller","given":"Nina","non-dropping-particle":"","parse-names":false,"suffix":""},{"dropping-particle":"","family":"Salazar","given":"Noel B","non-dropping-particle":"","parse-names":false,"suffix":""}],"container-title":"Journal of Ethnic and Migration Studies","id":"ITEM-1","issue":"2","issued":{"date-parts":[["2013"]]},"page":"183-200","title":"Regimes of mobility: imaginaries and relationalities of power","type":"article-journal","volume":"39"},"uris":["http://www.mendeley.com/documents/?uuid=066677e2-5388-48ce-bec0-8502b1e8b5c7"]},{"id":"ITEM-2","itemData":{"abstract":"The employment of translocality as a research perspective is currently gaining momentum. A growing number of scholars from different research traditions concerned with the dynamics of mobility, migration and socio‐spatial interconnectedness have developed conceptual approaches to the term. They usually build on insights from transnationalism while attempting to overcome some of the limitations of this long‐established research perspective. As such, translocality is used to describe socio‐spatial dynamics and processes of simultaneity and identity formation that transcend boundaries—including, but also extending beyond, those of nation states. In this review, we trace the emergence of the idea of translocality and summarise the characteristics that different authors associate with the term. We elucidate the underlying notions of mobility and place and sketch out fields of research where the concept has been employed. On the basis of our findings, we conclude by proposing key areas where a translocal approach has the potential to generate fruitful insights.","author":[{"dropping-particle":"","family":"Greiner","given":"Clemens","non-dropping-particle":"","parse-names":false,"suffix":""},{"dropping-particle":"","family":"Sakdapolrak","given":"Patrick","non-dropping-particle":"","parse-names":false,"suffix":""}],"container-title":"Geography Compass","id":"ITEM-2","issue":"5","issued":{"date-parts":[["2013"]]},"page":"373-384","title":"Translocality: concepts, applications and emerging research perspectives","type":"article-journal","volume":"7"},"uris":["http://www.mendeley.com/documents/?uuid=87fa7547-a7f4-4a66-b3e4-7fbc7d5cfe7c"]}],"mendeley":{"formattedCitation":"(Glick Schiller &amp; Salazar, 2013; Greiner &amp; Sakdapolrak, 2013)","plainTextFormattedCitation":"(Glick Schiller &amp; Salazar, 2013; Greiner &amp; Sakdapolrak, 2013)","previouslyFormattedCitation":"(Glick Schiller &amp; Salazar, 2013; Greiner &amp; Sakdapolrak, 2013)"},"properties":{"noteIndex":0},"schema":"https://github.com/citation-style-language/schema/raw/master/csl-citation.json"}</w:instrText>
      </w:r>
      <w:r w:rsidR="007F1BBD" w:rsidRPr="004E053C">
        <w:rPr>
          <w:rFonts w:cstheme="majorHAnsi"/>
          <w:sz w:val="22"/>
          <w:szCs w:val="22"/>
          <w:lang w:val="en-GB" w:eastAsia="zh-CN"/>
        </w:rPr>
        <w:fldChar w:fldCharType="separate"/>
      </w:r>
      <w:r w:rsidR="007F1BBD" w:rsidRPr="004E053C">
        <w:rPr>
          <w:rFonts w:cstheme="majorHAnsi"/>
          <w:noProof/>
          <w:sz w:val="22"/>
          <w:szCs w:val="22"/>
          <w:lang w:val="en-GB" w:eastAsia="zh-CN"/>
        </w:rPr>
        <w:t>(Glick Schiller &amp; Salazar, 2013; Greiner &amp; Sakdapolrak, 2013)</w:t>
      </w:r>
      <w:r w:rsidR="007F1BBD" w:rsidRPr="004E053C">
        <w:rPr>
          <w:rFonts w:cstheme="majorHAnsi"/>
          <w:sz w:val="22"/>
          <w:szCs w:val="22"/>
          <w:lang w:val="en-GB" w:eastAsia="zh-CN"/>
        </w:rPr>
        <w:fldChar w:fldCharType="end"/>
      </w:r>
      <w:r w:rsidRPr="004E053C">
        <w:rPr>
          <w:rFonts w:cstheme="majorHAnsi"/>
          <w:sz w:val="22"/>
          <w:szCs w:val="22"/>
          <w:lang w:val="en-GB" w:eastAsia="zh-CN"/>
        </w:rPr>
        <w:t xml:space="preserve">. </w:t>
      </w:r>
      <w:r w:rsidR="00B64EA9" w:rsidRPr="004E053C">
        <w:rPr>
          <w:rFonts w:cstheme="majorHAnsi"/>
          <w:sz w:val="22"/>
          <w:szCs w:val="22"/>
          <w:lang w:val="en-GB" w:eastAsia="zh-CN"/>
        </w:rPr>
        <w:t>For the purpose of this analysis</w:t>
      </w:r>
      <w:r w:rsidRPr="004E053C">
        <w:rPr>
          <w:rFonts w:cstheme="majorHAnsi"/>
          <w:sz w:val="22"/>
          <w:szCs w:val="22"/>
          <w:lang w:val="en-GB" w:eastAsia="zh-CN"/>
        </w:rPr>
        <w:t xml:space="preserve"> then, translocal livelihoods are seen as having the power to transform the places they connect. Livelihood studies have however often focused on the immobile people </w:t>
      </w:r>
      <w:r w:rsidRPr="004E053C">
        <w:rPr>
          <w:rFonts w:cstheme="majorHAnsi"/>
          <w:i/>
          <w:iCs/>
          <w:sz w:val="22"/>
          <w:szCs w:val="22"/>
          <w:lang w:val="en-GB" w:eastAsia="zh-CN"/>
        </w:rPr>
        <w:t>within</w:t>
      </w:r>
      <w:r w:rsidRPr="004E053C">
        <w:rPr>
          <w:rFonts w:cstheme="majorHAnsi"/>
          <w:sz w:val="22"/>
          <w:szCs w:val="22"/>
          <w:lang w:val="en-GB" w:eastAsia="zh-CN"/>
        </w:rPr>
        <w:t xml:space="preserve"> the household, because the relationship between household members is seen as being at the core of the translocal community </w:t>
      </w:r>
      <w:r w:rsidR="007F1BBD" w:rsidRPr="004E053C">
        <w:rPr>
          <w:rFonts w:cstheme="majorHAnsi"/>
          <w:sz w:val="22"/>
          <w:szCs w:val="22"/>
          <w:lang w:val="en-GB" w:eastAsia="zh-CN"/>
        </w:rPr>
        <w:fldChar w:fldCharType="begin" w:fldLock="1"/>
      </w:r>
      <w:r w:rsidR="005D0B08">
        <w:rPr>
          <w:rFonts w:cstheme="majorHAnsi"/>
          <w:sz w:val="22"/>
          <w:szCs w:val="22"/>
          <w:lang w:val="en-GB" w:eastAsia="zh-CN"/>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context","type":"article-journal","volume":"87"},"uris":["http://www.mendeley.com/documents/?uuid=7cce9b74-a4c7-4bac-9677-fb4af5167fab"]}],"mendeley":{"formattedCitation":"(B Lohnert &amp; Steinbrink, 2005)","manualFormatting":"(Lohnert &amp; Steinbrink, 2005)","plainTextFormattedCitation":"(B Lohnert &amp; Steinbrink, 2005)","previouslyFormattedCitation":"(B Lohnert &amp; Steinbrink, 2005)"},"properties":{"noteIndex":0},"schema":"https://github.com/citation-style-language/schema/raw/master/csl-citation.json"}</w:instrText>
      </w:r>
      <w:r w:rsidR="007F1BBD" w:rsidRPr="004E053C">
        <w:rPr>
          <w:rFonts w:cstheme="majorHAnsi"/>
          <w:sz w:val="22"/>
          <w:szCs w:val="22"/>
          <w:lang w:val="en-GB" w:eastAsia="zh-CN"/>
        </w:rPr>
        <w:fldChar w:fldCharType="separate"/>
      </w:r>
      <w:r w:rsidR="00170378" w:rsidRPr="004E053C">
        <w:rPr>
          <w:rFonts w:cstheme="majorHAnsi"/>
          <w:noProof/>
          <w:sz w:val="22"/>
          <w:szCs w:val="22"/>
          <w:lang w:val="en-GB" w:eastAsia="zh-CN"/>
        </w:rPr>
        <w:t>(</w:t>
      </w:r>
      <w:r w:rsidR="00061F17" w:rsidRPr="004E053C">
        <w:rPr>
          <w:rFonts w:cstheme="majorHAnsi"/>
          <w:noProof/>
          <w:sz w:val="22"/>
          <w:szCs w:val="22"/>
          <w:lang w:val="en-GB" w:eastAsia="zh-CN"/>
        </w:rPr>
        <w:t>Lohnert &amp; Steinbrink, 2005)</w:t>
      </w:r>
      <w:r w:rsidR="007F1BBD" w:rsidRPr="004E053C">
        <w:rPr>
          <w:rFonts w:cstheme="majorHAnsi"/>
          <w:sz w:val="22"/>
          <w:szCs w:val="22"/>
          <w:lang w:val="en-GB" w:eastAsia="zh-CN"/>
        </w:rPr>
        <w:fldChar w:fldCharType="end"/>
      </w:r>
      <w:r w:rsidRPr="004E053C">
        <w:rPr>
          <w:rFonts w:cstheme="majorHAnsi"/>
          <w:sz w:val="22"/>
          <w:szCs w:val="22"/>
          <w:lang w:val="en-GB" w:eastAsia="zh-CN"/>
        </w:rPr>
        <w:t xml:space="preserve"> but also because of the interest in the way tra</w:t>
      </w:r>
      <w:r w:rsidR="00C10E4A" w:rsidRPr="004E053C">
        <w:rPr>
          <w:rFonts w:cstheme="majorHAnsi"/>
          <w:sz w:val="22"/>
          <w:szCs w:val="22"/>
          <w:lang w:val="en-GB" w:eastAsia="zh-CN"/>
        </w:rPr>
        <w:t>nslocal networks are utilised by</w:t>
      </w:r>
      <w:r w:rsidRPr="004E053C">
        <w:rPr>
          <w:rFonts w:cstheme="majorHAnsi"/>
          <w:sz w:val="22"/>
          <w:szCs w:val="22"/>
          <w:lang w:val="en-GB" w:eastAsia="zh-CN"/>
        </w:rPr>
        <w:t xml:space="preserve"> the household to secure their livelihood </w:t>
      </w:r>
      <w:r w:rsidR="007F1BBD"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{"citationItems":[{"id":"ITEM-1","itemData":{"author":[{"dropping-particle":"","family":"Steinbrink","given":"Malte","non-dropping-particle":"","parse-names":false,"suffix":""}],"container-title":"Etude de la Population Africaine/African Population Studies","id":"ITEM-1","issued":{"date-parts":[["2009"]]},"page":"219-252","title":"Urbanisation, poverty and translocality: insights from South Africa","type":"article-journal","volume":"23"},"uris":["http://www.mendeley.com/documents/?uuid=73471f27-74d4-4cda-9d28-bfa63481d3fb"]}],"mendeley":{"formattedCitation":"(Steinbrink, 2009)","plainTextFormattedCitation":"(Steinbrink, 2009)","previouslyFormattedCitation":"(Steinbrink, 2009)"},"properties":{"noteIndex":0},"schema":"https://github.com/citation-style-language/schema/raw/master/csl-citation.json"}</w:instrText>
      </w:r>
      <w:r w:rsidR="007F1BBD" w:rsidRPr="004E053C">
        <w:rPr>
          <w:rFonts w:cstheme="majorHAnsi"/>
          <w:sz w:val="22"/>
          <w:szCs w:val="22"/>
          <w:lang w:val="en-GB" w:eastAsia="zh-CN"/>
        </w:rPr>
        <w:fldChar w:fldCharType="separate"/>
      </w:r>
      <w:r w:rsidR="007F1BBD" w:rsidRPr="004E053C">
        <w:rPr>
          <w:rFonts w:cstheme="majorHAnsi"/>
          <w:noProof/>
          <w:sz w:val="22"/>
          <w:szCs w:val="22"/>
          <w:lang w:val="en-GB" w:eastAsia="zh-CN"/>
        </w:rPr>
        <w:t>(Steinbrink, 2009)</w:t>
      </w:r>
      <w:r w:rsidR="007F1BBD" w:rsidRPr="004E053C">
        <w:rPr>
          <w:rFonts w:cstheme="majorHAnsi"/>
          <w:sz w:val="22"/>
          <w:szCs w:val="22"/>
          <w:lang w:val="en-GB" w:eastAsia="zh-CN"/>
        </w:rPr>
        <w:fldChar w:fldCharType="end"/>
      </w:r>
      <w:r w:rsidRPr="004E053C">
        <w:rPr>
          <w:rFonts w:cstheme="majorHAnsi"/>
          <w:sz w:val="22"/>
          <w:szCs w:val="22"/>
          <w:lang w:val="en-GB" w:eastAsia="zh-CN"/>
        </w:rPr>
        <w:t xml:space="preserve">. </w:t>
      </w:r>
      <w:r w:rsidR="0079239D" w:rsidRPr="004E053C">
        <w:rPr>
          <w:rFonts w:cstheme="majorHAnsi"/>
          <w:sz w:val="22"/>
          <w:szCs w:val="22"/>
          <w:lang w:val="en-GB" w:eastAsia="zh-CN"/>
        </w:rPr>
        <w:t>In my an</w:t>
      </w:r>
      <w:r w:rsidR="00B64EA9" w:rsidRPr="004E053C">
        <w:rPr>
          <w:rFonts w:cstheme="majorHAnsi"/>
          <w:sz w:val="22"/>
          <w:szCs w:val="22"/>
          <w:lang w:val="en-GB" w:eastAsia="zh-CN"/>
        </w:rPr>
        <w:t>alysis</w:t>
      </w:r>
      <w:r w:rsidRPr="004E053C">
        <w:rPr>
          <w:rFonts w:cstheme="majorHAnsi"/>
          <w:sz w:val="22"/>
          <w:szCs w:val="22"/>
          <w:lang w:val="en-GB" w:eastAsia="zh-CN"/>
        </w:rPr>
        <w:t xml:space="preserve"> the focus is </w:t>
      </w:r>
      <w:r w:rsidR="00B64EA9" w:rsidRPr="004E053C">
        <w:rPr>
          <w:rFonts w:cstheme="majorHAnsi"/>
          <w:sz w:val="22"/>
          <w:szCs w:val="22"/>
          <w:lang w:val="en-GB" w:eastAsia="zh-CN"/>
        </w:rPr>
        <w:t xml:space="preserve">instead </w:t>
      </w:r>
      <w:r w:rsidRPr="004E053C">
        <w:rPr>
          <w:rFonts w:cstheme="majorHAnsi"/>
          <w:sz w:val="22"/>
          <w:szCs w:val="22"/>
          <w:lang w:val="en-GB" w:eastAsia="zh-CN"/>
        </w:rPr>
        <w:t xml:space="preserve">on the whole community, including those segments of the population that are considered immobile </w:t>
      </w:r>
      <w:r w:rsidR="007F1BBD" w:rsidRPr="004E053C">
        <w:rPr>
          <w:rFonts w:cstheme="majorHAnsi"/>
          <w:sz w:val="22"/>
          <w:szCs w:val="22"/>
          <w:lang w:val="en-GB" w:eastAsia="zh-CN"/>
        </w:rPr>
        <w:fldChar w:fldCharType="begin" w:fldLock="1"/>
      </w:r>
      <w:r w:rsidR="005D0B08">
        <w:rPr>
          <w:rFonts w:cstheme="majorHAnsi"/>
          <w:sz w:val="22"/>
          <w:szCs w:val="22"/>
          <w:lang w:val="en-GB" w:eastAsia="zh-CN"/>
        </w:rPr>
        <w:instrText>ADDIN CSL_CITATION {"citationItems":[{"id":"ITEM-1","itemData":{"author":[{"dropping-particle":"","family":"Brickell","given":"K.","non-dropping-particle":"","parse-names":false,"suffix":""},{"dropping-particle":"","family":"Datta","given":"A","non-dropping-particle":"","parse-names":false,"suffix":""}],"chapter-number":"1","container-title":"Translocal Geographies: Spaces, Places, Connectionsspaces, places, connections","id":"ITEM-1","issued":{"date-parts":[["2011"]]},"page":"3-22","publisher":"Ashgate Publishing Limited","publisher-place":"Farnham, UK","title":"Introduction: Translocal Geographies","type":"chapter"},"uris":["http://www.mendeley.com/documents/?uuid=e9d80bd7-1584-4fca-bf4f-f5d58e788945"]},{"id":"ITEM-2","itemData":{"author":[{"dropping-particle":"","family":"Rau","given":"H","non-dropping-particle":"","parse-names":false,"suffix":""}],"container-title":"Translocal Ruralism Mobility and Connectivity in European Rural Spaces","editor":[{"dropping-particle":"","family":"C","given":"Hedbegm","non-dropping-particle":"","parse-names":false,"suffix":""},{"dropping-particle":"","family":"Carmo","given":"M R","non-dropping-particle":"Do","parse-names":false,"suffix":""}],"id":"ITEM-2","issued":{"date-parts":[["2012"]]},"page":"35-55","publisher":"Springer","publisher-place":"Heidelberg","title":"The ties that bind? Spatial (immobilities) and the transformatio of rural-urban connections","type":"chapter"},"uris":["http://www.mendeley.com/documents/?uuid=998e54bf-0a1d-40da-be0a-cc82a91c7eae","http://www.mendeley.com/documents/?uuid=1f117dc6-f7cf-4402-987f-3f5afe0119db"]},{"id":"ITEM-3","itemData":{"author":[{"dropping-particle":"","family":"Ellis","given":"Frank","non-dropping-particle":"","parse-names":false,"suffix":""}],"id":"ITEM-3","issued":{"date-parts":[["2003"]]},"number-of-pages":"21","publisher-place":"London, UK","title":"A livelihoods Approach to Migration and Poverty Reduction","type":"report"},"uris":["http://www.mendeley.com/documents/?uuid=892c69ea-8863-47f6-bdfc-c529056562ec"]},{"id":"ITEM-4","itemData":{"author":[{"dropping-particle":"","family":"Parsons","given":"Laurie","non-dropping-particle":"","parse-names":false,"suffix":""}],"container-title":"Geoforum","id":"ITEM-4","issued":{"date-parts":[["2017"]]},"page":"187-196","title":"Multi-scalar inequality: structured mobility and the narrative construction of scale in translocal Cambodia","type":"article-journal","volume":"85"},"uris":["http://www.mendeley.com/documents/?uuid=a7c12ccc-665e-47b4-a903-7ffbbf2943cd"]}],"mendeley":{"formattedCitation":"(K. Brickell &amp; Datta, 2011; Ellis, 2003; Parsons, 2017; Rau, 2012)","manualFormatting":"(Brickell &amp; Datta, 2011; Ellis, 2003; Parsons, 2017; Rau, 2012)","plainTextFormattedCitation":"(K. Brickell &amp; Datta, 2011; Ellis, 2003; Parsons, 2017; Rau, 2012)","previouslyFormattedCitation":"(K. Brickell &amp; Datta, 2011; Ellis, 2003; Parsons, 2017; Rau, 2012)"},"properties":{"noteIndex":0},"schema":"https://github.com/citation-style-language/schema/raw/master/csl-citation.json"}</w:instrText>
      </w:r>
      <w:r w:rsidR="007F1BBD" w:rsidRPr="004E053C">
        <w:rPr>
          <w:rFonts w:cstheme="majorHAnsi"/>
          <w:sz w:val="22"/>
          <w:szCs w:val="22"/>
          <w:lang w:val="en-GB" w:eastAsia="zh-CN"/>
        </w:rPr>
        <w:fldChar w:fldCharType="separate"/>
      </w:r>
      <w:r w:rsidR="007F1BBD" w:rsidRPr="004E053C">
        <w:rPr>
          <w:rFonts w:cstheme="majorHAnsi"/>
          <w:noProof/>
          <w:sz w:val="22"/>
          <w:szCs w:val="22"/>
          <w:lang w:val="en-GB" w:eastAsia="zh-CN"/>
        </w:rPr>
        <w:t>(Brickell &amp; Datta, 2011; Ellis, 2003; Parsons, 2017; Rau, 2012)</w:t>
      </w:r>
      <w:r w:rsidR="007F1BBD" w:rsidRPr="004E053C">
        <w:rPr>
          <w:rFonts w:cstheme="majorHAnsi"/>
          <w:sz w:val="22"/>
          <w:szCs w:val="22"/>
          <w:lang w:val="en-GB" w:eastAsia="zh-CN"/>
        </w:rPr>
        <w:fldChar w:fldCharType="end"/>
      </w:r>
      <w:r w:rsidRPr="004E053C">
        <w:rPr>
          <w:rFonts w:cstheme="majorHAnsi"/>
          <w:sz w:val="22"/>
          <w:szCs w:val="22"/>
          <w:lang w:val="en-GB" w:eastAsia="zh-CN"/>
        </w:rPr>
        <w:t>. This is particularly important</w:t>
      </w:r>
      <w:r w:rsidR="00B64EA9" w:rsidRPr="004E053C">
        <w:rPr>
          <w:rFonts w:cstheme="majorHAnsi"/>
          <w:sz w:val="22"/>
          <w:szCs w:val="22"/>
          <w:lang w:val="en-GB" w:eastAsia="zh-CN"/>
        </w:rPr>
        <w:t xml:space="preserve"> because</w:t>
      </w:r>
      <w:r w:rsidRPr="004E053C">
        <w:rPr>
          <w:rFonts w:cstheme="majorHAnsi"/>
          <w:sz w:val="22"/>
          <w:szCs w:val="22"/>
          <w:lang w:val="en-GB" w:eastAsia="zh-CN"/>
        </w:rPr>
        <w:t xml:space="preserve">, as I will argue later, the temporal nature of translocality means that as some migrants become rooted in destination communities, they also become effectively immobile. In the context of ASM and mining sites, </w:t>
      </w:r>
      <w:r w:rsidR="00B64EA9" w:rsidRPr="004E053C">
        <w:rPr>
          <w:rFonts w:cstheme="majorHAnsi"/>
          <w:sz w:val="22"/>
          <w:szCs w:val="22"/>
          <w:lang w:val="en-GB" w:eastAsia="zh-CN"/>
        </w:rPr>
        <w:t xml:space="preserve">it must be recognised </w:t>
      </w:r>
      <w:r w:rsidRPr="004E053C">
        <w:rPr>
          <w:rFonts w:cstheme="majorHAnsi"/>
          <w:sz w:val="22"/>
          <w:szCs w:val="22"/>
          <w:lang w:val="en-GB" w:eastAsia="zh-CN"/>
        </w:rPr>
        <w:t>that while some people are permanently settled and thus have less translocal livelihoods, they continue to constitute important actors in the translocal social field.</w:t>
      </w:r>
    </w:p>
    <w:p w14:paraId="5CC49114" w14:textId="77777777" w:rsidR="00ED3EA5" w:rsidRPr="004E053C" w:rsidRDefault="00ED3EA5" w:rsidP="004E053C">
      <w:pPr>
        <w:spacing w:line="360" w:lineRule="auto"/>
        <w:jc w:val="both"/>
        <w:rPr>
          <w:rFonts w:cstheme="majorHAnsi"/>
          <w:sz w:val="22"/>
          <w:szCs w:val="22"/>
          <w:lang w:val="en-GB" w:eastAsia="zh-CN"/>
        </w:rPr>
      </w:pPr>
    </w:p>
    <w:p w14:paraId="0BD5224C" w14:textId="45C8AC7D"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A critical aspect of </w:t>
      </w:r>
      <w:r w:rsidR="00B64EA9" w:rsidRPr="004E053C">
        <w:rPr>
          <w:rFonts w:cstheme="majorHAnsi"/>
          <w:sz w:val="22"/>
          <w:szCs w:val="22"/>
          <w:lang w:val="en-GB" w:eastAsia="zh-CN"/>
        </w:rPr>
        <w:t>my conceptualisation of the social field of ASM is</w:t>
      </w:r>
      <w:r w:rsidRPr="004E053C">
        <w:rPr>
          <w:rFonts w:cstheme="majorHAnsi"/>
          <w:sz w:val="22"/>
          <w:szCs w:val="22"/>
          <w:lang w:val="en-GB" w:eastAsia="zh-CN"/>
        </w:rPr>
        <w:t xml:space="preserve"> the understanding that migrants maintain their connections with their home communities while also forging new kinds of individual or collective ties in destination communities </w:t>
      </w:r>
      <w:r w:rsidR="007F1BBD" w:rsidRPr="004E053C">
        <w:rPr>
          <w:rFonts w:cstheme="majorHAnsi"/>
          <w:sz w:val="22"/>
          <w:szCs w:val="22"/>
          <w:lang w:val="en-GB" w:eastAsia="zh-CN"/>
        </w:rPr>
        <w:fldChar w:fldCharType="begin" w:fldLock="1"/>
      </w:r>
      <w:r w:rsidR="00A65956" w:rsidRPr="004E053C">
        <w:rPr>
          <w:rFonts w:cstheme="majorHAnsi"/>
          <w:sz w:val="22"/>
          <w:szCs w:val="22"/>
          <w:lang w:val="en-GB" w:eastAsia="zh-CN"/>
        </w:rPr>
        <w:instrText>ADDIN CSL_CITATION {"citationItems":[{"id":"ITEM-1","itemData":{"author":[{"dropping-particle":"","family":"Long","given":"N","non-dropping-particle":"","parse-names":false,"suffix":""}],"container-title":"Migration and Development Within and Across Borders: Research and Policy Perspectives on Internal and International Migration","editor":[{"dropping-particle":"","family":"DeWind","given":"J","non-dropping-particle":"","parse-names":false,"suffix":""},{"dropping-particle":"","family":"Holdaway","given":"J.","non-dropping-particle":"","parse-names":false,"suffix":""}],"id":"ITEM-1","issued":{"date-parts":[["2008"]]},"page":"37-68","publisher":"International Organization for Migration","publisher-place":"Geneva/New York","title":"Translocal livelihoods, networks of family and community, and remmitances in Central Peru","type":"chapter"},"uris":["http://www.mendeley.com/documents/?uuid=74e4505d-80c8-44a1-bc39-ef72c7b77d58"]}],"mendeley":{"formattedCitation":"(N Long, 2008)","manualFormatting":"(Long, 2008)","plainTextFormattedCitation":"(N Long, 2008)","previouslyFormattedCitation":"(N Long, 2008)"},"properties":{"noteIndex":0},"schema":"https://github.com/citation-style-language/schema/raw/master/csl-citation.json"}</w:instrText>
      </w:r>
      <w:r w:rsidR="007F1BBD" w:rsidRPr="004E053C">
        <w:rPr>
          <w:rFonts w:cstheme="majorHAnsi"/>
          <w:sz w:val="22"/>
          <w:szCs w:val="22"/>
          <w:lang w:val="en-GB" w:eastAsia="zh-CN"/>
        </w:rPr>
        <w:fldChar w:fldCharType="separate"/>
      </w:r>
      <w:r w:rsidR="00DE5BB8" w:rsidRPr="004E053C">
        <w:rPr>
          <w:rFonts w:cstheme="majorHAnsi"/>
          <w:noProof/>
          <w:sz w:val="22"/>
          <w:szCs w:val="22"/>
          <w:lang w:val="en-GB" w:eastAsia="zh-CN"/>
        </w:rPr>
        <w:t>(</w:t>
      </w:r>
      <w:r w:rsidR="00EB10C1" w:rsidRPr="004E053C">
        <w:rPr>
          <w:rFonts w:cstheme="majorHAnsi"/>
          <w:noProof/>
          <w:sz w:val="22"/>
          <w:szCs w:val="22"/>
          <w:lang w:val="en-GB" w:eastAsia="zh-CN"/>
        </w:rPr>
        <w:t>Long, 2008)</w:t>
      </w:r>
      <w:r w:rsidR="007F1BBD" w:rsidRPr="004E053C">
        <w:rPr>
          <w:rFonts w:cstheme="majorHAnsi"/>
          <w:sz w:val="22"/>
          <w:szCs w:val="22"/>
          <w:lang w:val="en-GB" w:eastAsia="zh-CN"/>
        </w:rPr>
        <w:fldChar w:fldCharType="end"/>
      </w:r>
      <w:r w:rsidRPr="004E053C">
        <w:rPr>
          <w:rFonts w:cstheme="majorHAnsi"/>
          <w:sz w:val="22"/>
          <w:szCs w:val="22"/>
          <w:lang w:val="en-GB" w:eastAsia="zh-CN"/>
        </w:rPr>
        <w:t xml:space="preserve">. Both translocality and transnationalism have been used to describe the myriad ways that migrants are ‘simultaneously incorporated both in their society of origin and in that of their destination’ </w:t>
      </w:r>
      <w:r w:rsidR="00053262" w:rsidRPr="004E053C">
        <w:rPr>
          <w:rFonts w:cstheme="majorHAnsi"/>
          <w:sz w:val="22"/>
          <w:szCs w:val="22"/>
          <w:lang w:val="en-GB" w:eastAsia="zh-CN"/>
        </w:rPr>
        <w:fldChar w:fldCharType="begin" w:fldLock="1"/>
      </w:r>
      <w:r w:rsidR="00F2183E" w:rsidRPr="004E053C">
        <w:rPr>
          <w:rFonts w:cstheme="majorHAnsi"/>
          <w:sz w:val="22"/>
          <w:szCs w:val="22"/>
          <w:lang w:val="en-GB" w:eastAsia="zh-CN"/>
        </w:rPr>
        <w:instrText>ADDIN CSL_CITATION {"citationItems":[{"id":"ITEM-1","itemData":{"author":[{"dropping-particle":"","family":"Schröder","given":"Philipp","non-dropping-particle":"","parse-names":false,"suffix":""},{"dropping-particle":"","family":"Stephen-Emmrich","given":"Manja","non-dropping-particle":"","parse-names":false,"suffix":""}],"container-title":"Mobilities","id":"ITEM-1","issue":"3","issued":{"date-parts":[["2014"]]},"page":"1-24","title":"The institutionalization of mobility: Wellbeing and social hierarchies in Central Asian translocal livelihoods","type":"article-journal","volume":"11"},"uris":["http://www.mendeley.com/documents/?uuid=b4081da4-aee7-49af-80ad-63f53d801a6b","http://www.mendeley.com/documents/?uuid=4dca37d9-cd4d-47ba-90fc-5e451484d02d"]}],"mendeley":{"formattedCitation":"(Schröder &amp; Stephen-Emmrich, 2014)","manualFormatting":"(Schröder &amp; Stephen-Emmrich, 2014, p.423)","plainTextFormattedCitation":"(Schröder &amp; Stephen-Emmrich, 2014)","previouslyFormattedCitation":"(Schröder &amp; Stephen-Emmrich, 2014)"},"properties":{"noteIndex":0},"schema":"https://github.com/citation-style-language/schema/raw/master/csl-citation.json"}</w:instrText>
      </w:r>
      <w:r w:rsidR="00053262" w:rsidRPr="004E053C">
        <w:rPr>
          <w:rFonts w:cstheme="majorHAnsi"/>
          <w:sz w:val="22"/>
          <w:szCs w:val="22"/>
          <w:lang w:val="en-GB" w:eastAsia="zh-CN"/>
        </w:rPr>
        <w:fldChar w:fldCharType="separate"/>
      </w:r>
      <w:r w:rsidR="00053262" w:rsidRPr="004E053C">
        <w:rPr>
          <w:rFonts w:cstheme="majorHAnsi"/>
          <w:noProof/>
          <w:sz w:val="22"/>
          <w:szCs w:val="22"/>
          <w:lang w:val="en-GB" w:eastAsia="zh-CN"/>
        </w:rPr>
        <w:t>(Schröder &amp; Stephen-Emmrich, 2014, p.423)</w:t>
      </w:r>
      <w:r w:rsidR="00053262" w:rsidRPr="004E053C">
        <w:rPr>
          <w:rFonts w:cstheme="majorHAnsi"/>
          <w:sz w:val="22"/>
          <w:szCs w:val="22"/>
          <w:lang w:val="en-GB" w:eastAsia="zh-CN"/>
        </w:rPr>
        <w:fldChar w:fldCharType="end"/>
      </w:r>
      <w:r w:rsidR="00B64EA9" w:rsidRPr="004E053C">
        <w:rPr>
          <w:rFonts w:cstheme="majorHAnsi"/>
          <w:sz w:val="22"/>
          <w:szCs w:val="22"/>
          <w:lang w:val="en-GB" w:eastAsia="zh-CN"/>
        </w:rPr>
        <w:t>. Bourdieu</w:t>
      </w:r>
      <w:r w:rsidRPr="004E053C">
        <w:rPr>
          <w:rFonts w:cstheme="majorHAnsi"/>
          <w:sz w:val="22"/>
          <w:szCs w:val="22"/>
          <w:lang w:val="en-GB" w:eastAsia="zh-CN"/>
        </w:rPr>
        <w:t xml:space="preserve"> </w:t>
      </w:r>
      <w:r w:rsidR="00B64EA9" w:rsidRPr="004E053C">
        <w:rPr>
          <w:rFonts w:cstheme="majorHAnsi"/>
          <w:sz w:val="22"/>
          <w:szCs w:val="22"/>
          <w:lang w:val="en-GB" w:eastAsia="zh-CN"/>
        </w:rPr>
        <w:t>argued that the</w:t>
      </w:r>
      <w:r w:rsidRPr="004E053C">
        <w:rPr>
          <w:rFonts w:cstheme="majorHAnsi"/>
          <w:sz w:val="22"/>
          <w:szCs w:val="22"/>
          <w:lang w:val="en-GB" w:eastAsia="zh-CN"/>
        </w:rPr>
        <w:t xml:space="preserve"> boundaries of the</w:t>
      </w:r>
      <w:r w:rsidR="00B64EA9" w:rsidRPr="004E053C">
        <w:rPr>
          <w:rFonts w:cstheme="majorHAnsi"/>
          <w:sz w:val="22"/>
          <w:szCs w:val="22"/>
          <w:lang w:val="en-GB" w:eastAsia="zh-CN"/>
        </w:rPr>
        <w:t xml:space="preserve"> social</w:t>
      </w:r>
      <w:r w:rsidRPr="004E053C">
        <w:rPr>
          <w:rFonts w:cstheme="majorHAnsi"/>
          <w:sz w:val="22"/>
          <w:szCs w:val="22"/>
          <w:lang w:val="en-GB" w:eastAsia="zh-CN"/>
        </w:rPr>
        <w:t xml:space="preserve"> field are fluid and are thus created by the agents inside it, who are joined in struggle for a social position </w:t>
      </w:r>
      <w:r w:rsidR="00053262" w:rsidRPr="004E053C">
        <w:rPr>
          <w:rFonts w:cstheme="majorHAnsi"/>
          <w:sz w:val="22"/>
          <w:szCs w:val="22"/>
          <w:lang w:val="en-GB" w:eastAsia="zh-CN"/>
        </w:rPr>
        <w:fldChar w:fldCharType="begin" w:fldLock="1"/>
      </w:r>
      <w:r w:rsidR="00053262" w:rsidRPr="004E053C">
        <w:rPr>
          <w:rFonts w:cstheme="majorHAnsi"/>
          <w:sz w:val="22"/>
          <w:szCs w:val="22"/>
          <w:lang w:val="en-GB" w:eastAsia="zh-CN"/>
        </w:rPr>
        <w:instrText>ADDIN CSL_CITATION {"citationItems":[{"id":"ITEM-1","itemData":{"author":[{"dropping-particle":"","family":"Levitt","given":"Peggy","non-dropping-particle":"","parse-names":false,"suffix":""},{"dropping-particle":"","family":"Glick Schiller","given":"Nina","non-dropping-particle":"","parse-names":false,"suffix":""}],"container-title":"International Migration Review","id":"ITEM-1","issue":"3","issued":{"date-parts":[["2004"]]},"page":"1002-1039","title":"Conceptualizing Simultaneity: A Transnational Social Field Perspective on Society","type":"article-journal","volume":"38"},"uris":["http://www.mendeley.com/documents/?uuid=0fba9d75-8d2a-4773-971d-1b23f9a6edea"]}],"mendeley":{"formattedCitation":"(Levitt &amp; Glick Schiller, 2004)","plainTextFormattedCitation":"(Levitt &amp; Glick Schiller, 2004)","previouslyFormattedCitation":"(Levitt &amp; Glick Schiller, 2004)"},"properties":{"noteIndex":0},"schema":"https://github.com/citation-style-language/schema/raw/master/csl-citation.json"}</w:instrText>
      </w:r>
      <w:r w:rsidR="00053262" w:rsidRPr="004E053C">
        <w:rPr>
          <w:rFonts w:cstheme="majorHAnsi"/>
          <w:sz w:val="22"/>
          <w:szCs w:val="22"/>
          <w:lang w:val="en-GB" w:eastAsia="zh-CN"/>
        </w:rPr>
        <w:fldChar w:fldCharType="separate"/>
      </w:r>
      <w:r w:rsidR="00053262" w:rsidRPr="004E053C">
        <w:rPr>
          <w:rFonts w:cstheme="majorHAnsi"/>
          <w:noProof/>
          <w:sz w:val="22"/>
          <w:szCs w:val="22"/>
          <w:lang w:val="en-GB" w:eastAsia="zh-CN"/>
        </w:rPr>
        <w:t>(Levitt &amp; Glick Schiller, 2004)</w:t>
      </w:r>
      <w:r w:rsidR="00053262" w:rsidRPr="004E053C">
        <w:rPr>
          <w:rFonts w:cstheme="majorHAnsi"/>
          <w:sz w:val="22"/>
          <w:szCs w:val="22"/>
          <w:lang w:val="en-GB" w:eastAsia="zh-CN"/>
        </w:rPr>
        <w:fldChar w:fldCharType="end"/>
      </w:r>
      <w:r w:rsidRPr="004E053C">
        <w:rPr>
          <w:rFonts w:cstheme="majorHAnsi"/>
          <w:sz w:val="22"/>
          <w:szCs w:val="22"/>
          <w:lang w:val="en-GB" w:eastAsia="zh-CN"/>
        </w:rPr>
        <w:t xml:space="preserve">. This reference to a struggle for a relative social position suggests that not all actors within the social field, or the livelihood trajectories they follow, are identical. This is interesting because migrants, rather like ASM operatives, are often perceived as being one collective group, which projects an almost idealised image of community as a cohesive entity </w:t>
      </w:r>
      <w:r w:rsidR="00053262" w:rsidRPr="004E053C">
        <w:rPr>
          <w:rFonts w:cstheme="majorHAnsi"/>
          <w:sz w:val="22"/>
          <w:szCs w:val="22"/>
          <w:lang w:val="en-GB" w:eastAsia="zh-CN"/>
        </w:rPr>
        <w:fldChar w:fldCharType="begin" w:fldLock="1"/>
      </w:r>
      <w:r w:rsidR="00053262" w:rsidRPr="004E053C">
        <w:rPr>
          <w:rFonts w:cstheme="majorHAnsi"/>
          <w:sz w:val="22"/>
          <w:szCs w:val="22"/>
          <w:lang w:val="en-GB" w:eastAsia="zh-CN"/>
        </w:rPr>
        <w:instrText>ADDIN CSL_CITATION {"citationItems":[{"id":"ITEM-1","itemData":{"author":[{"dropping-particle":"","family":"Thieme","given":"Susan","non-dropping-particle":"","parse-names":false,"suffix":""}],"container-title":"Mobilities","id":"ITEM-1","issue":"1","issued":{"date-parts":[["2008"]]},"page":"51-71","title":"Sustaining Livelihoods in Multi-local Settings: Possible Theoretical Linkages between Transnational Migration and Livelihood Studies","type":"article-journal","volume":"3"},"uris":["http://www.mendeley.com/documents/?uuid=f4a0aaa3-869f-4f87-9ad8-87699576ad9c"]}],"mendeley":{"formattedCitation":"(Susan Thieme, 2008)","manualFormatting":"(Thieme, 2008)","plainTextFormattedCitation":"(Susan Thieme, 2008)","previouslyFormattedCitation":"(Susan Thieme, 2008)"},"properties":{"noteIndex":0},"schema":"https://github.com/citation-style-language/schema/raw/master/csl-citation.json"}</w:instrText>
      </w:r>
      <w:r w:rsidR="00053262" w:rsidRPr="004E053C">
        <w:rPr>
          <w:rFonts w:cstheme="majorHAnsi"/>
          <w:sz w:val="22"/>
          <w:szCs w:val="22"/>
          <w:lang w:val="en-GB" w:eastAsia="zh-CN"/>
        </w:rPr>
        <w:fldChar w:fldCharType="separate"/>
      </w:r>
      <w:r w:rsidR="00053262" w:rsidRPr="004E053C">
        <w:rPr>
          <w:rFonts w:cstheme="majorHAnsi"/>
          <w:noProof/>
          <w:sz w:val="22"/>
          <w:szCs w:val="22"/>
          <w:lang w:val="en-GB" w:eastAsia="zh-CN"/>
        </w:rPr>
        <w:t>(Thieme, 2008)</w:t>
      </w:r>
      <w:r w:rsidR="00053262" w:rsidRPr="004E053C">
        <w:rPr>
          <w:rFonts w:cstheme="majorHAnsi"/>
          <w:sz w:val="22"/>
          <w:szCs w:val="22"/>
          <w:lang w:val="en-GB" w:eastAsia="zh-CN"/>
        </w:rPr>
        <w:fldChar w:fldCharType="end"/>
      </w:r>
      <w:r w:rsidRPr="004E053C">
        <w:rPr>
          <w:rFonts w:cstheme="majorHAnsi"/>
          <w:sz w:val="22"/>
          <w:szCs w:val="22"/>
          <w:lang w:val="en-GB" w:eastAsia="zh-CN"/>
        </w:rPr>
        <w:t xml:space="preserve">. </w:t>
      </w:r>
      <w:r w:rsidRPr="004E053C">
        <w:rPr>
          <w:rFonts w:cstheme="majorHAnsi"/>
          <w:sz w:val="22"/>
          <w:szCs w:val="22"/>
          <w:lang w:val="en-GB"/>
        </w:rPr>
        <w:t xml:space="preserve">Moreover, it implies that we must seek to understand the </w:t>
      </w:r>
      <w:r w:rsidRPr="004E053C">
        <w:rPr>
          <w:rFonts w:cstheme="majorHAnsi"/>
          <w:iCs/>
          <w:sz w:val="22"/>
          <w:szCs w:val="22"/>
          <w:lang w:val="en-GB"/>
        </w:rPr>
        <w:t xml:space="preserve">types of positions </w:t>
      </w:r>
      <w:r w:rsidRPr="004E053C">
        <w:rPr>
          <w:rFonts w:cstheme="majorHAnsi"/>
          <w:sz w:val="22"/>
          <w:szCs w:val="22"/>
          <w:lang w:val="en-GB"/>
        </w:rPr>
        <w:t xml:space="preserve">within the field, their relationships to each other and the </w:t>
      </w:r>
      <w:r w:rsidRPr="004E053C">
        <w:rPr>
          <w:rFonts w:cstheme="majorHAnsi"/>
          <w:iCs/>
          <w:sz w:val="22"/>
          <w:szCs w:val="22"/>
          <w:lang w:val="en-GB"/>
        </w:rPr>
        <w:t xml:space="preserve">temporal dimension </w:t>
      </w:r>
      <w:r w:rsidRPr="004E053C">
        <w:rPr>
          <w:rFonts w:cstheme="majorHAnsi"/>
          <w:sz w:val="22"/>
          <w:szCs w:val="22"/>
          <w:lang w:val="en-GB"/>
        </w:rPr>
        <w:t xml:space="preserve">of movement between them, as well as considering how </w:t>
      </w:r>
      <w:r w:rsidRPr="004E053C">
        <w:rPr>
          <w:rFonts w:cstheme="majorHAnsi"/>
          <w:iCs/>
          <w:sz w:val="22"/>
          <w:szCs w:val="22"/>
          <w:lang w:val="en-GB"/>
        </w:rPr>
        <w:t xml:space="preserve">external fields may </w:t>
      </w:r>
      <w:r w:rsidRPr="004E053C">
        <w:rPr>
          <w:rFonts w:cstheme="majorHAnsi"/>
          <w:sz w:val="22"/>
          <w:szCs w:val="22"/>
          <w:lang w:val="en-GB"/>
        </w:rPr>
        <w:t xml:space="preserve">attempt to control them </w:t>
      </w:r>
      <w:r w:rsidR="00053262"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2016)","plainTextFormattedCitation":"(Shammus &amp; Sandberg, 2016)","previouslyFormattedCitation":"(Shammus &amp; Sandberg, 2016)"},"properties":{"noteIndex":0},"schema":"https://github.com/citation-style-language/schema/raw/master/csl-citation.json"}</w:instrText>
      </w:r>
      <w:r w:rsidR="00053262" w:rsidRPr="004E053C">
        <w:rPr>
          <w:rFonts w:cstheme="majorHAnsi"/>
          <w:sz w:val="22"/>
          <w:szCs w:val="22"/>
          <w:lang w:val="en-GB"/>
        </w:rPr>
        <w:fldChar w:fldCharType="separate"/>
      </w:r>
      <w:r w:rsidR="00053262" w:rsidRPr="004E053C">
        <w:rPr>
          <w:rFonts w:cstheme="majorHAnsi"/>
          <w:noProof/>
          <w:sz w:val="22"/>
          <w:szCs w:val="22"/>
          <w:lang w:val="en-GB"/>
        </w:rPr>
        <w:t>(Shammus &amp; Sandberg, 2016)</w:t>
      </w:r>
      <w:r w:rsidR="00053262"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sz w:val="22"/>
          <w:szCs w:val="22"/>
          <w:lang w:val="en-GB" w:eastAsia="zh-CN"/>
        </w:rPr>
        <w:t xml:space="preserve">As this thesis is primarily concerned with the heterogeneity of mining communities and the individuals within them, these divergent positions are of particular interest. </w:t>
      </w:r>
    </w:p>
    <w:p w14:paraId="7BFEA20D" w14:textId="77777777" w:rsidR="00ED3EA5" w:rsidRPr="004E053C" w:rsidRDefault="00ED3EA5" w:rsidP="004E053C">
      <w:pPr>
        <w:spacing w:line="360" w:lineRule="auto"/>
        <w:jc w:val="both"/>
        <w:rPr>
          <w:rFonts w:cstheme="majorHAnsi"/>
          <w:sz w:val="22"/>
          <w:szCs w:val="22"/>
          <w:lang w:val="en-GB"/>
        </w:rPr>
      </w:pPr>
    </w:p>
    <w:p w14:paraId="527DA590" w14:textId="6356BC3D" w:rsidR="00266EBD"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Interestingly, in reference to transnational social fields, Levitt and Jaworsky </w:t>
      </w:r>
      <w:r w:rsidR="00053262" w:rsidRPr="004E053C">
        <w:rPr>
          <w:rFonts w:cstheme="majorHAnsi"/>
          <w:sz w:val="22"/>
          <w:szCs w:val="22"/>
          <w:lang w:val="en-GB"/>
        </w:rPr>
        <w:fldChar w:fldCharType="begin" w:fldLock="1"/>
      </w:r>
      <w:r w:rsidR="00053262" w:rsidRPr="004E053C">
        <w:rPr>
          <w:rFonts w:cstheme="majorHAnsi"/>
          <w:sz w:val="22"/>
          <w:szCs w:val="22"/>
          <w:lang w:val="en-GB"/>
        </w:rPr>
        <w:instrText>ADDIN CSL_CITATION {"citationItems":[{"id":"ITEM-1","itemData":{"author":[{"dropping-particle":"","family":"Levitt","given":"Peggy","non-dropping-particle":"","parse-names":false,"suffix":""},{"dropping-particle":"","family":"Jaworsky","given":"B Nadya","non-dropping-particle":"","parse-names":false,"suffix":""}],"container-title":"Annual Review of Sociology","id":"ITEM-1","issued":{"date-parts":[["2007"]]},"page":"129 – 156","title":"Transnational migration studies: past developments and future trends","type":"article-journal","volume":"33"},"uris":["http://www.mendeley.com/documents/?uuid=f19605fe-557e-4067-b027-1e83b31a9583"]}],"mendeley":{"formattedCitation":"(Levitt &amp; Jaworsky, 2007)","manualFormatting":"(2007)","plainTextFormattedCitation":"(Levitt &amp; Jaworsky, 2007)","previouslyFormattedCitation":"(Levitt &amp; Jaworsky, 2007)"},"properties":{"noteIndex":0},"schema":"https://github.com/citation-style-language/schema/raw/master/csl-citation.json"}</w:instrText>
      </w:r>
      <w:r w:rsidR="00053262" w:rsidRPr="004E053C">
        <w:rPr>
          <w:rFonts w:cstheme="majorHAnsi"/>
          <w:sz w:val="22"/>
          <w:szCs w:val="22"/>
          <w:lang w:val="en-GB"/>
        </w:rPr>
        <w:fldChar w:fldCharType="separate"/>
      </w:r>
      <w:r w:rsidR="00053262" w:rsidRPr="004E053C">
        <w:rPr>
          <w:rFonts w:cstheme="majorHAnsi"/>
          <w:noProof/>
          <w:sz w:val="22"/>
          <w:szCs w:val="22"/>
          <w:lang w:val="en-GB"/>
        </w:rPr>
        <w:t>(2007)</w:t>
      </w:r>
      <w:r w:rsidR="00053262" w:rsidRPr="004E053C">
        <w:rPr>
          <w:rFonts w:cstheme="majorHAnsi"/>
          <w:sz w:val="22"/>
          <w:szCs w:val="22"/>
          <w:lang w:val="en-GB"/>
        </w:rPr>
        <w:fldChar w:fldCharType="end"/>
      </w:r>
      <w:r w:rsidRPr="004E053C">
        <w:rPr>
          <w:rFonts w:cstheme="majorHAnsi"/>
          <w:sz w:val="22"/>
          <w:szCs w:val="22"/>
          <w:lang w:val="en-GB"/>
        </w:rPr>
        <w:t xml:space="preserve"> acknowledge that people, organisations and networks may be embedded in them in different ways, which, in turn, produces different iterations of transnational involvement. Similarly, Carling </w:t>
      </w:r>
      <w:r w:rsidR="00071C60" w:rsidRPr="004E053C">
        <w:rPr>
          <w:rFonts w:cstheme="majorHAnsi"/>
          <w:sz w:val="22"/>
          <w:szCs w:val="22"/>
          <w:lang w:val="en-GB"/>
        </w:rPr>
        <w:fldChar w:fldCharType="begin" w:fldLock="1"/>
      </w:r>
      <w:r w:rsidR="00071C60" w:rsidRPr="004E053C">
        <w:rPr>
          <w:rFonts w:cstheme="majorHAnsi"/>
          <w:sz w:val="22"/>
          <w:szCs w:val="22"/>
          <w:lang w:val="en-GB"/>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transnationalism","type":"article-journal","volume":"31"},"uris":["http://www.mendeley.com/documents/?uuid=4e9502bd-03d1-49f4-adda-36bcff515ccc"]}],"mendeley":{"formattedCitation":"(Carling, 2008)","manualFormatting":"(2008)","plainTextFormattedCitation":"(Carling, 2008)","previouslyFormattedCitation":"(Carling, 2008)"},"properties":{"noteIndex":0},"schema":"https://github.com/citation-style-language/schema/raw/master/csl-citation.json"}</w:instrText>
      </w:r>
      <w:r w:rsidR="00071C60" w:rsidRPr="004E053C">
        <w:rPr>
          <w:rFonts w:cstheme="majorHAnsi"/>
          <w:sz w:val="22"/>
          <w:szCs w:val="22"/>
          <w:lang w:val="en-GB"/>
        </w:rPr>
        <w:fldChar w:fldCharType="separate"/>
      </w:r>
      <w:r w:rsidR="00071C60" w:rsidRPr="004E053C">
        <w:rPr>
          <w:rFonts w:cstheme="majorHAnsi"/>
          <w:noProof/>
          <w:sz w:val="22"/>
          <w:szCs w:val="22"/>
          <w:lang w:val="en-GB"/>
        </w:rPr>
        <w:t>(2008)</w:t>
      </w:r>
      <w:r w:rsidR="00071C60" w:rsidRPr="004E053C">
        <w:rPr>
          <w:rFonts w:cstheme="majorHAnsi"/>
          <w:sz w:val="22"/>
          <w:szCs w:val="22"/>
          <w:lang w:val="en-GB"/>
        </w:rPr>
        <w:fldChar w:fldCharType="end"/>
      </w:r>
      <w:r w:rsidR="0079239D" w:rsidRPr="004E053C">
        <w:rPr>
          <w:rFonts w:cstheme="majorHAnsi"/>
          <w:sz w:val="22"/>
          <w:szCs w:val="22"/>
          <w:lang w:val="en-GB"/>
        </w:rPr>
        <w:t xml:space="preserve"> </w:t>
      </w:r>
      <w:r w:rsidRPr="004E053C">
        <w:rPr>
          <w:rFonts w:cstheme="majorHAnsi"/>
          <w:sz w:val="22"/>
          <w:szCs w:val="22"/>
          <w:lang w:val="en-GB"/>
        </w:rPr>
        <w:t xml:space="preserve">acknowledges a difference between those groups, both migrants and non-migrants, who are </w:t>
      </w:r>
      <w:r w:rsidRPr="004E053C">
        <w:rPr>
          <w:rFonts w:cstheme="majorHAnsi"/>
          <w:i/>
          <w:iCs/>
          <w:sz w:val="22"/>
          <w:szCs w:val="22"/>
          <w:lang w:val="en-GB"/>
        </w:rPr>
        <w:t>actively</w:t>
      </w:r>
      <w:r w:rsidRPr="004E053C">
        <w:rPr>
          <w:rFonts w:cstheme="majorHAnsi"/>
          <w:sz w:val="22"/>
          <w:szCs w:val="22"/>
          <w:lang w:val="en-GB"/>
        </w:rPr>
        <w:t xml:space="preserve"> involved in transnational practices, such as transnational livelihoods, compared with those who do not engage in them. </w:t>
      </w:r>
      <w:r w:rsidR="00FC70F1" w:rsidRPr="004E053C">
        <w:rPr>
          <w:rFonts w:cstheme="majorHAnsi"/>
          <w:sz w:val="22"/>
          <w:szCs w:val="22"/>
          <w:lang w:val="en-GB"/>
        </w:rPr>
        <w:t xml:space="preserve">Figure 1 below shows Carling’s </w:t>
      </w:r>
      <w:r w:rsidR="00071C60" w:rsidRPr="004E053C">
        <w:rPr>
          <w:rFonts w:cstheme="majorHAnsi"/>
          <w:sz w:val="22"/>
          <w:szCs w:val="22"/>
          <w:lang w:val="en-GB"/>
        </w:rPr>
        <w:fldChar w:fldCharType="begin" w:fldLock="1"/>
      </w:r>
      <w:r w:rsidR="00071C60" w:rsidRPr="004E053C">
        <w:rPr>
          <w:rFonts w:cstheme="majorHAnsi"/>
          <w:sz w:val="22"/>
          <w:szCs w:val="22"/>
          <w:lang w:val="en-GB"/>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transnationalism","type":"article-journal","volume":"31"},"uris":["http://www.mendeley.com/documents/?uuid=4e9502bd-03d1-49f4-adda-36bcff515ccc"]}],"mendeley":{"formattedCitation":"(Carling, 2008)","manualFormatting":"(2008)","plainTextFormattedCitation":"(Carling, 2008)","previouslyFormattedCitation":"(Carling, 2008)"},"properties":{"noteIndex":0},"schema":"https://github.com/citation-style-language/schema/raw/master/csl-citation.json"}</w:instrText>
      </w:r>
      <w:r w:rsidR="00071C60" w:rsidRPr="004E053C">
        <w:rPr>
          <w:rFonts w:cstheme="majorHAnsi"/>
          <w:sz w:val="22"/>
          <w:szCs w:val="22"/>
          <w:lang w:val="en-GB"/>
        </w:rPr>
        <w:fldChar w:fldCharType="separate"/>
      </w:r>
      <w:r w:rsidR="00071C60" w:rsidRPr="004E053C">
        <w:rPr>
          <w:rFonts w:cstheme="majorHAnsi"/>
          <w:noProof/>
          <w:sz w:val="22"/>
          <w:szCs w:val="22"/>
          <w:lang w:val="en-GB"/>
        </w:rPr>
        <w:t>(2008)</w:t>
      </w:r>
      <w:r w:rsidR="00071C60" w:rsidRPr="004E053C">
        <w:rPr>
          <w:rFonts w:cstheme="majorHAnsi"/>
          <w:sz w:val="22"/>
          <w:szCs w:val="22"/>
          <w:lang w:val="en-GB"/>
        </w:rPr>
        <w:fldChar w:fldCharType="end"/>
      </w:r>
      <w:r w:rsidR="00071C60" w:rsidRPr="004E053C">
        <w:rPr>
          <w:rFonts w:cstheme="majorHAnsi"/>
          <w:sz w:val="22"/>
          <w:szCs w:val="22"/>
          <w:lang w:val="en-GB"/>
        </w:rPr>
        <w:t xml:space="preserve"> </w:t>
      </w:r>
      <w:r w:rsidR="00FC70F1" w:rsidRPr="004E053C">
        <w:rPr>
          <w:rFonts w:cstheme="majorHAnsi"/>
          <w:sz w:val="22"/>
          <w:szCs w:val="22"/>
          <w:lang w:val="en-GB"/>
        </w:rPr>
        <w:t xml:space="preserve">depiction of the transnational social field, which incorporates both migrants and non-migrants engaged in transnational practices. </w:t>
      </w:r>
    </w:p>
    <w:p w14:paraId="3DF2EE75" w14:textId="77777777" w:rsidR="00266EBD" w:rsidRPr="004E053C" w:rsidRDefault="00266EBD" w:rsidP="004E053C">
      <w:pPr>
        <w:spacing w:line="360" w:lineRule="auto"/>
        <w:jc w:val="both"/>
        <w:rPr>
          <w:rFonts w:cstheme="majorHAnsi"/>
          <w:sz w:val="22"/>
          <w:szCs w:val="22"/>
          <w:lang w:val="en-GB"/>
        </w:rPr>
      </w:pPr>
    </w:p>
    <w:p w14:paraId="2BB2D400" w14:textId="269ED910" w:rsidR="00266EBD" w:rsidRPr="004E053C" w:rsidRDefault="00071C60" w:rsidP="004E053C">
      <w:pPr>
        <w:spacing w:line="360" w:lineRule="auto"/>
        <w:jc w:val="both"/>
        <w:rPr>
          <w:rFonts w:cstheme="majorHAnsi"/>
          <w:b/>
          <w:sz w:val="22"/>
          <w:szCs w:val="22"/>
          <w:lang w:val="en-GB"/>
        </w:rPr>
      </w:pPr>
      <w:r w:rsidRPr="004E053C">
        <w:rPr>
          <w:rFonts w:cstheme="majorHAnsi"/>
          <w:b/>
          <w:sz w:val="22"/>
          <w:szCs w:val="22"/>
          <w:lang w:val="en-GB"/>
        </w:rPr>
        <w:t xml:space="preserve">Fig 1: Carling’s </w:t>
      </w:r>
      <w:r w:rsidR="00266EBD" w:rsidRPr="004E053C">
        <w:rPr>
          <w:rFonts w:cstheme="majorHAnsi"/>
          <w:b/>
          <w:sz w:val="22"/>
          <w:szCs w:val="22"/>
          <w:lang w:val="en-GB"/>
        </w:rPr>
        <w:t xml:space="preserve">(2008) </w:t>
      </w:r>
      <w:r w:rsidR="00FC70F1" w:rsidRPr="004E053C">
        <w:rPr>
          <w:rFonts w:cstheme="majorHAnsi"/>
          <w:b/>
          <w:sz w:val="22"/>
          <w:szCs w:val="22"/>
          <w:lang w:val="en-GB"/>
        </w:rPr>
        <w:t>schematic representation of the transnational social field and its boundaries</w:t>
      </w:r>
    </w:p>
    <w:p w14:paraId="3887E880" w14:textId="20AAFD77" w:rsidR="00266EBD" w:rsidRPr="004E053C" w:rsidRDefault="00860E19" w:rsidP="004E053C">
      <w:pPr>
        <w:spacing w:line="360" w:lineRule="auto"/>
        <w:jc w:val="both"/>
        <w:rPr>
          <w:rFonts w:cstheme="majorHAnsi"/>
          <w:sz w:val="22"/>
          <w:szCs w:val="22"/>
          <w:lang w:val="en-GB"/>
        </w:rPr>
      </w:pPr>
      <w:r>
        <w:rPr>
          <w:rFonts w:cstheme="majorHAnsi"/>
          <w:noProof/>
          <w:sz w:val="22"/>
          <w:szCs w:val="22"/>
          <w:lang w:val="en-GB" w:eastAsia="zh-CN"/>
        </w:rPr>
        <w:drawing>
          <wp:inline distT="0" distB="0" distL="0" distR="0" wp14:anchorId="5ACA724E" wp14:editId="17F3D9C0">
            <wp:extent cx="4587771" cy="1960959"/>
            <wp:effectExtent l="0" t="0" r="101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18 at 21.55.58.png"/>
                    <pic:cNvPicPr/>
                  </pic:nvPicPr>
                  <pic:blipFill>
                    <a:blip r:embed="rId14">
                      <a:extLst>
                        <a:ext uri="{28A0092B-C50C-407E-A947-70E740481C1C}">
                          <a14:useLocalDpi xmlns:a14="http://schemas.microsoft.com/office/drawing/2010/main" val="0"/>
                        </a:ext>
                      </a:extLst>
                    </a:blip>
                    <a:stretch>
                      <a:fillRect/>
                    </a:stretch>
                  </pic:blipFill>
                  <pic:spPr>
                    <a:xfrm>
                      <a:off x="0" y="0"/>
                      <a:ext cx="4588433" cy="1961242"/>
                    </a:xfrm>
                    <a:prstGeom prst="rect">
                      <a:avLst/>
                    </a:prstGeom>
                  </pic:spPr>
                </pic:pic>
              </a:graphicData>
            </a:graphic>
          </wp:inline>
        </w:drawing>
      </w:r>
    </w:p>
    <w:p w14:paraId="50EF48C5" w14:textId="77777777" w:rsidR="00266EBD" w:rsidRPr="004E053C" w:rsidRDefault="00266EBD" w:rsidP="004E053C">
      <w:pPr>
        <w:spacing w:line="360" w:lineRule="auto"/>
        <w:jc w:val="both"/>
        <w:rPr>
          <w:rFonts w:cstheme="majorHAnsi"/>
          <w:sz w:val="22"/>
          <w:szCs w:val="22"/>
          <w:lang w:val="en-GB"/>
        </w:rPr>
      </w:pPr>
    </w:p>
    <w:p w14:paraId="7EA4CCCE" w14:textId="227F20D2" w:rsidR="009C4223" w:rsidRPr="004E053C" w:rsidRDefault="00DE5BB8" w:rsidP="004E053C">
      <w:pPr>
        <w:spacing w:line="360" w:lineRule="auto"/>
        <w:jc w:val="both"/>
        <w:rPr>
          <w:rFonts w:cstheme="majorHAnsi"/>
          <w:color w:val="000000"/>
          <w:sz w:val="22"/>
          <w:szCs w:val="22"/>
          <w:lang w:val="en-GB"/>
        </w:rPr>
      </w:pPr>
      <w:r w:rsidRPr="004E053C">
        <w:rPr>
          <w:rFonts w:cstheme="majorHAnsi"/>
          <w:sz w:val="22"/>
          <w:szCs w:val="22"/>
          <w:lang w:val="en-GB"/>
        </w:rPr>
        <w:t xml:space="preserve">Both </w:t>
      </w:r>
      <w:r w:rsidR="00FE47C4" w:rsidRPr="004E053C">
        <w:rPr>
          <w:rFonts w:cstheme="majorHAnsi"/>
          <w:sz w:val="22"/>
          <w:szCs w:val="22"/>
          <w:lang w:val="en-GB"/>
        </w:rPr>
        <w:t xml:space="preserve">Carling </w:t>
      </w:r>
      <w:r w:rsidR="00053262" w:rsidRPr="004E053C">
        <w:rPr>
          <w:rFonts w:cstheme="majorHAnsi"/>
          <w:sz w:val="22"/>
          <w:szCs w:val="22"/>
          <w:lang w:val="en-GB"/>
        </w:rPr>
        <w:fldChar w:fldCharType="begin" w:fldLock="1"/>
      </w:r>
      <w:r w:rsidR="00680892" w:rsidRPr="004E053C">
        <w:rPr>
          <w:rFonts w:cstheme="majorHAnsi"/>
          <w:sz w:val="22"/>
          <w:szCs w:val="22"/>
          <w:lang w:val="en-GB"/>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transnationalism","type":"article-journal","volume":"31"},"uris":["http://www.mendeley.com/documents/?uuid=4e9502bd-03d1-49f4-adda-36bcff515ccc"]}],"mendeley":{"formattedCitation":"(Carling, 2008)","manualFormatting":"(2008)","plainTextFormattedCitation":"(Carling, 2008)","previouslyFormattedCitation":"(Carling, 2008)"},"properties":{"noteIndex":0},"schema":"https://github.com/citation-style-language/schema/raw/master/csl-citation.json"}</w:instrText>
      </w:r>
      <w:r w:rsidR="00053262" w:rsidRPr="004E053C">
        <w:rPr>
          <w:rFonts w:cstheme="majorHAnsi"/>
          <w:sz w:val="22"/>
          <w:szCs w:val="22"/>
          <w:lang w:val="en-GB"/>
        </w:rPr>
        <w:fldChar w:fldCharType="separate"/>
      </w:r>
      <w:r w:rsidR="0079239D" w:rsidRPr="004E053C">
        <w:rPr>
          <w:rFonts w:cstheme="majorHAnsi"/>
          <w:noProof/>
          <w:sz w:val="22"/>
          <w:szCs w:val="22"/>
          <w:lang w:val="en-GB"/>
        </w:rPr>
        <w:t>(2008</w:t>
      </w:r>
      <w:r w:rsidR="00053262" w:rsidRPr="004E053C">
        <w:rPr>
          <w:rFonts w:cstheme="majorHAnsi"/>
          <w:noProof/>
          <w:sz w:val="22"/>
          <w:szCs w:val="22"/>
          <w:lang w:val="en-GB"/>
        </w:rPr>
        <w:t>)</w:t>
      </w:r>
      <w:r w:rsidR="00053262" w:rsidRPr="004E053C">
        <w:rPr>
          <w:rFonts w:cstheme="majorHAnsi"/>
          <w:sz w:val="22"/>
          <w:szCs w:val="22"/>
          <w:lang w:val="en-GB"/>
        </w:rPr>
        <w:fldChar w:fldCharType="end"/>
      </w:r>
      <w:r w:rsidR="00FE47C4" w:rsidRPr="004E053C">
        <w:rPr>
          <w:rFonts w:cstheme="majorHAnsi"/>
          <w:sz w:val="22"/>
          <w:szCs w:val="22"/>
          <w:lang w:val="en-GB"/>
        </w:rPr>
        <w:t xml:space="preserve"> and Levitt and Glick Schiller </w:t>
      </w:r>
      <w:r w:rsidR="00053262" w:rsidRPr="004E053C">
        <w:rPr>
          <w:rFonts w:cstheme="majorHAnsi"/>
          <w:sz w:val="22"/>
          <w:szCs w:val="22"/>
          <w:lang w:val="en-GB"/>
        </w:rPr>
        <w:fldChar w:fldCharType="begin" w:fldLock="1"/>
      </w:r>
      <w:r w:rsidR="00053262" w:rsidRPr="004E053C">
        <w:rPr>
          <w:rFonts w:cstheme="majorHAnsi"/>
          <w:sz w:val="22"/>
          <w:szCs w:val="22"/>
          <w:lang w:val="en-GB"/>
        </w:rPr>
        <w:instrText>ADDIN CSL_CITATION {"citationItems":[{"id":"ITEM-1","itemData":{"author":[{"dropping-particle":"","family":"Levitt","given":"Peggy","non-dropping-particle":"","parse-names":false,"suffix":""},{"dropping-particle":"","family":"Glick Schiller","given":"Nina","non-dropping-particle":"","parse-names":false,"suffix":""}],"container-title":"International Migration Review","id":"ITEM-1","issue":"3","issued":{"date-parts":[["2004"]]},"page":"1002-1039","title":"Conceptualizing Simultaneity: A Transnational Social Field Perspective on Society","type":"article-journal","volume":"38"},"uris":["http://www.mendeley.com/documents/?uuid=0fba9d75-8d2a-4773-971d-1b23f9a6edea"]}],"mendeley":{"formattedCitation":"(Levitt &amp; Glick Schiller, 2004)","manualFormatting":"(2004)","plainTextFormattedCitation":"(Levitt &amp; Glick Schiller, 2004)","previouslyFormattedCitation":"(Levitt &amp; Glick Schiller, 2004)"},"properties":{"noteIndex":0},"schema":"https://github.com/citation-style-language/schema/raw/master/csl-citation.json"}</w:instrText>
      </w:r>
      <w:r w:rsidR="00053262" w:rsidRPr="004E053C">
        <w:rPr>
          <w:rFonts w:cstheme="majorHAnsi"/>
          <w:sz w:val="22"/>
          <w:szCs w:val="22"/>
          <w:lang w:val="en-GB"/>
        </w:rPr>
        <w:fldChar w:fldCharType="separate"/>
      </w:r>
      <w:r w:rsidR="00053262" w:rsidRPr="004E053C">
        <w:rPr>
          <w:rFonts w:cstheme="majorHAnsi"/>
          <w:noProof/>
          <w:sz w:val="22"/>
          <w:szCs w:val="22"/>
          <w:lang w:val="en-GB"/>
        </w:rPr>
        <w:t>(2004)</w:t>
      </w:r>
      <w:r w:rsidR="00053262" w:rsidRPr="004E053C">
        <w:rPr>
          <w:rFonts w:cstheme="majorHAnsi"/>
          <w:sz w:val="22"/>
          <w:szCs w:val="22"/>
          <w:lang w:val="en-GB"/>
        </w:rPr>
        <w:fldChar w:fldCharType="end"/>
      </w:r>
      <w:r w:rsidR="00FE47C4" w:rsidRPr="004E053C">
        <w:rPr>
          <w:rFonts w:cstheme="majorHAnsi"/>
          <w:sz w:val="22"/>
          <w:szCs w:val="22"/>
          <w:lang w:val="en-GB"/>
        </w:rPr>
        <w:t xml:space="preserve"> argue that while some individuals may maintain lower levels of contact with origin communities </w:t>
      </w:r>
      <w:r w:rsidR="00FE47C4" w:rsidRPr="004E053C">
        <w:rPr>
          <w:rFonts w:cstheme="majorHAnsi"/>
          <w:color w:val="000000"/>
          <w:sz w:val="22"/>
          <w:szCs w:val="22"/>
          <w:lang w:val="en-GB"/>
        </w:rPr>
        <w:t xml:space="preserve">than others, they remain connected to the transnational social field. </w:t>
      </w:r>
      <w:r w:rsidR="00FC70F1" w:rsidRPr="004E053C">
        <w:rPr>
          <w:rFonts w:cstheme="majorHAnsi"/>
          <w:sz w:val="22"/>
          <w:szCs w:val="22"/>
          <w:lang w:val="en-GB"/>
        </w:rPr>
        <w:t xml:space="preserve">Carling </w:t>
      </w:r>
      <w:r w:rsidR="00FC70F1" w:rsidRPr="004E053C">
        <w:rPr>
          <w:rFonts w:cstheme="majorHAnsi"/>
          <w:sz w:val="22"/>
          <w:szCs w:val="22"/>
          <w:lang w:val="en-GB"/>
        </w:rPr>
        <w:fldChar w:fldCharType="begin" w:fldLock="1"/>
      </w:r>
      <w:r w:rsidR="00FC70F1" w:rsidRPr="004E053C">
        <w:rPr>
          <w:rFonts w:cstheme="majorHAnsi"/>
          <w:sz w:val="22"/>
          <w:szCs w:val="22"/>
          <w:lang w:val="en-GB"/>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transnationalism","type":"article-journal","volume":"31"},"uris":["http://www.mendeley.com/documents/?uuid=4e9502bd-03d1-49f4-adda-36bcff515ccc"]}],"mendeley":{"formattedCitation":"(Carling, 2008)","manualFormatting":"(2008)","plainTextFormattedCitation":"(Carling, 2008)","previouslyFormattedCitation":"(Carling, 2008)"},"properties":{"noteIndex":0},"schema":"https://github.com/citation-style-language/schema/raw/master/csl-citation.json"}</w:instrText>
      </w:r>
      <w:r w:rsidR="00FC70F1" w:rsidRPr="004E053C">
        <w:rPr>
          <w:rFonts w:cstheme="majorHAnsi"/>
          <w:sz w:val="22"/>
          <w:szCs w:val="22"/>
          <w:lang w:val="en-GB"/>
        </w:rPr>
        <w:fldChar w:fldCharType="separate"/>
      </w:r>
      <w:r w:rsidR="00FC70F1" w:rsidRPr="004E053C">
        <w:rPr>
          <w:rFonts w:cstheme="majorHAnsi"/>
          <w:noProof/>
          <w:sz w:val="22"/>
          <w:szCs w:val="22"/>
          <w:lang w:val="en-GB"/>
        </w:rPr>
        <w:t>(2008)</w:t>
      </w:r>
      <w:r w:rsidR="00FC70F1" w:rsidRPr="004E053C">
        <w:rPr>
          <w:rFonts w:cstheme="majorHAnsi"/>
          <w:sz w:val="22"/>
          <w:szCs w:val="22"/>
          <w:lang w:val="en-GB"/>
        </w:rPr>
        <w:fldChar w:fldCharType="end"/>
      </w:r>
      <w:r w:rsidR="00FC70F1" w:rsidRPr="004E053C">
        <w:rPr>
          <w:rFonts w:cstheme="majorHAnsi"/>
          <w:sz w:val="22"/>
          <w:szCs w:val="22"/>
          <w:lang w:val="en-GB"/>
        </w:rPr>
        <w:t xml:space="preserve"> alluded to the ‘intrinsic asymmetries’ which occur between migrants and non-migrants, which he argues are due to their different transnational moralities, an unequal access to information within the transnational social field and an unequal distribution of different forms of resources </w:t>
      </w:r>
      <w:r w:rsidR="00FC70F1" w:rsidRPr="004E053C">
        <w:rPr>
          <w:rFonts w:cstheme="majorHAnsi"/>
          <w:sz w:val="22"/>
          <w:szCs w:val="22"/>
          <w:lang w:val="en-GB"/>
        </w:rPr>
        <w:fldChar w:fldCharType="begin" w:fldLock="1"/>
      </w:r>
      <w:r w:rsidR="00FC70F1" w:rsidRPr="004E053C">
        <w:rPr>
          <w:rFonts w:cstheme="majorHAnsi"/>
          <w:sz w:val="22"/>
          <w:szCs w:val="22"/>
          <w:lang w:val="en-GB"/>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id":"ITEM-2","itemData":{"author":[{"dropping-particle":"","family":"Levitt","given":"Peggy","non-dropping-particle":"","parse-names":false,"suffix":""},{"dropping-particle":"","family":"Jaworsky","given":"B Nadya","non-dropping-particle":"","parse-names":false,"suffix":""}],"container-title":"Annual Review of Sociology","id":"ITEM-2","issued":{"date-parts":[["2007"]]},"page":"129 – 156","title":"Transnational migration studies: past developments and future trends","type":"article-journal","volume":"33"},"uris":["http://www.mendeley.com/documents/?uuid=f19605fe-557e-4067-b027-1e83b31a9583"]}],"mendeley":{"formattedCitation":"(Carling, 2008; Levitt &amp; Jaworsky, 2007)","manualFormatting":"(Carling, 2008; Levitt &amp; Jaworsky, 2007)","plainTextFormattedCitation":"(Carling, 2008; Levitt &amp; Jaworsky, 2007)","previouslyFormattedCitation":"(Carling, 2008; Levitt &amp; Jaworsky, 2007)"},"properties":{"noteIndex":0},"schema":"https://github.com/citation-style-language/schema/raw/master/csl-citation.json"}</w:instrText>
      </w:r>
      <w:r w:rsidR="00FC70F1" w:rsidRPr="004E053C">
        <w:rPr>
          <w:rFonts w:cstheme="majorHAnsi"/>
          <w:sz w:val="22"/>
          <w:szCs w:val="22"/>
          <w:lang w:val="en-GB"/>
        </w:rPr>
        <w:fldChar w:fldCharType="separate"/>
      </w:r>
      <w:r w:rsidR="00FC70F1" w:rsidRPr="004E053C">
        <w:rPr>
          <w:rFonts w:cstheme="majorHAnsi"/>
          <w:noProof/>
          <w:sz w:val="22"/>
          <w:szCs w:val="22"/>
          <w:lang w:val="en-GB"/>
        </w:rPr>
        <w:t>(Carling, 2008; Levitt &amp; Jaworsky, 2007)</w:t>
      </w:r>
      <w:r w:rsidR="00FC70F1" w:rsidRPr="004E053C">
        <w:rPr>
          <w:rFonts w:cstheme="majorHAnsi"/>
          <w:sz w:val="22"/>
          <w:szCs w:val="22"/>
          <w:lang w:val="en-GB"/>
        </w:rPr>
        <w:fldChar w:fldCharType="end"/>
      </w:r>
      <w:r w:rsidR="00FC70F1" w:rsidRPr="004E053C">
        <w:rPr>
          <w:rFonts w:cstheme="majorHAnsi"/>
          <w:sz w:val="22"/>
          <w:szCs w:val="22"/>
          <w:lang w:val="en-GB"/>
        </w:rPr>
        <w:t xml:space="preserve">, which can occur both in origin and destination communities. </w:t>
      </w:r>
      <w:r w:rsidR="00FC70F1" w:rsidRPr="004E053C">
        <w:rPr>
          <w:rFonts w:cstheme="majorHAnsi"/>
          <w:color w:val="000000"/>
          <w:sz w:val="22"/>
          <w:szCs w:val="22"/>
          <w:lang w:val="en-GB"/>
        </w:rPr>
        <w:t xml:space="preserve">Similarly, other theorists have highlighted the need to focus on non-migrants and sedentary populations in receiving areas </w:t>
      </w:r>
      <w:r w:rsidR="00FC70F1" w:rsidRPr="004E053C">
        <w:rPr>
          <w:rFonts w:cstheme="majorHAnsi"/>
          <w:color w:val="000000"/>
          <w:sz w:val="22"/>
          <w:szCs w:val="22"/>
          <w:lang w:val="en-GB"/>
        </w:rPr>
        <w:fldChar w:fldCharType="begin" w:fldLock="1"/>
      </w:r>
      <w:r w:rsidR="005D0B08">
        <w:rPr>
          <w:rFonts w:cstheme="majorHAnsi"/>
          <w:color w:val="000000"/>
          <w:sz w:val="22"/>
          <w:szCs w:val="22"/>
          <w:lang w:val="en-GB"/>
        </w:rPr>
        <w:instrText>ADDIN CSL_CITATION {"citationItems":[{"id":"ITEM-1","itemData":{"author":[{"dropping-particle":"","family":"Velayutham","given":"S","non-dropping-particle":"","parse-names":false,"suffix":""},{"dropping-particle":"","family":"Wise","given":"A","non-dropping-particle":"","parse-names":false,"suffix":""}],"container-title":"Global Networks","id":"ITEM-1","issue":"1","issued":{"date-parts":[["2005"]]},"page":"22-47","title":"Moral economies of a translocal village: obligation and shame among South Indian transnational migrants","type":"article-journal","volume":"5"},"uris":["http://www.mendeley.com/documents/?uuid=f4a22e28-2849-4a24-bd1b-69395e0e2e52","http://www.mendeley.com/documents/?uuid=0c1b45b6-5ea0-4f70-a6f0-f3358eeadc48"]},{"id":"ITEM-2","itemData":{"author":[{"dropping-particle":"","family":"Thieme","given":"Susan","non-dropping-particle":"","parse-names":false,"suffix":""}],"container-title":"Mobilities","id":"ITEM-2","issue":"1","issued":{"date-parts":[["2008"]]},"page":"51-71","title":"Sustaining Livelihoods in Multi-local Settings: Possible Theoretical Linkages between Transnational Migration and Livelihood Studies","type":"article-journal","volume":"3"},"uris":["http://www.mendeley.com/documents/?uuid=f4a0aaa3-869f-4f87-9ad8-87699576ad9c"]},{"id":"ITEM-3","itemData":{"author":[{"dropping-particle":"","family":"Brickell","given":"K.","non-dropping-particle":"","parse-names":false,"suffix":""},{"dropping-particle":"","family":"Datta","given":"A","non-dropping-particle":"","parse-names":false,"suffix":""}],"chapter-number":"1","container-title":"Translocal Geographies: Spaces, Places, Connectionsspaces, places, connections","id":"ITEM-3","issued":{"date-parts":[["2011"]]},"page":"3-22","publisher":"Ashgate Publishing Limited","publisher-place":"Farnham, UK","title":"Introduction: Translocal Geographies","type":"chapter"},"uris":["http://www.mendeley.com/documents/?uuid=e9d80bd7-1584-4fca-bf4f-f5d58e788945"]},{"id":"ITEM-4","itemData":{"author":[{"dropping-particle":"","family":"Tan","given":"Brian A.L","non-dropping-particle":"","parse-names":false,"suffix":""},{"dropping-particle":"","family":"Yeoh","given":"Brenda S.A","non-dropping-particle":"","parse-names":false,"suffix":""}],"chapter-number":"2","container-title":"Translocal Geographies: Spaces, Places, Connections","editor":[{"dropping-particle":"","family":"Brickell","given":"Katherine","non-dropping-particle":"","parse-names":false,"suffix":""},{"dropping-particle":"","family":"Datta","given":"Ayona","non-dropping-particle":"","parse-names":false,"suffix":""}],"id":"ITEM-4","issued":{"date-parts":[["2011"]]},"page":"23-38","publisher":"Ashgate Publishing Limited","publisher-place":"Farnham, UK","title":"Translocal family relations amongst the Lahu in Northern Thailand","type":"chapter"},"uris":["http://www.mendeley.com/documents/?uuid=32e0b18f-d172-4762-8d26-d8c1223f4bf7"]}],"mendeley":{"formattedCitation":"(K. Brickell &amp; Datta, 2011; Tan &amp; Yeoh, 2011; Susan Thieme, 2008; Velayutham &amp; Wise, 2005)","manualFormatting":"(Brickell &amp; Datta, 2011; Tan &amp; Yeoh, 2011; Thieme, 2008; Velayutham &amp; Wise, 2005)","plainTextFormattedCitation":"(K. Brickell &amp; Datta, 2011; Tan &amp; Yeoh, 2011; Susan Thieme, 2008; Velayutham &amp; Wise, 2005)","previouslyFormattedCitation":"(K. Brickell &amp; Datta, 2011; Tan &amp; Yeoh, 2011; Susan Thieme, 2008; Velayutham &amp; Wise, 2005)"},"properties":{"noteIndex":0},"schema":"https://github.com/citation-style-language/schema/raw/master/csl-citation.json"}</w:instrText>
      </w:r>
      <w:r w:rsidR="00FC70F1" w:rsidRPr="004E053C">
        <w:rPr>
          <w:rFonts w:cstheme="majorHAnsi"/>
          <w:color w:val="000000"/>
          <w:sz w:val="22"/>
          <w:szCs w:val="22"/>
          <w:lang w:val="en-GB"/>
        </w:rPr>
        <w:fldChar w:fldCharType="separate"/>
      </w:r>
      <w:r w:rsidR="00FC70F1" w:rsidRPr="004E053C">
        <w:rPr>
          <w:rFonts w:cstheme="majorHAnsi"/>
          <w:noProof/>
          <w:color w:val="000000"/>
          <w:sz w:val="22"/>
          <w:szCs w:val="22"/>
          <w:lang w:val="en-GB"/>
        </w:rPr>
        <w:t>(Brickell &amp; Datta, 2011; Tan &amp; Yeoh, 2011; Thieme, 2008; Velayutham &amp; Wise, 2005)</w:t>
      </w:r>
      <w:r w:rsidR="00FC70F1" w:rsidRPr="004E053C">
        <w:rPr>
          <w:rFonts w:cstheme="majorHAnsi"/>
          <w:color w:val="000000"/>
          <w:sz w:val="22"/>
          <w:szCs w:val="22"/>
          <w:lang w:val="en-GB"/>
        </w:rPr>
        <w:fldChar w:fldCharType="end"/>
      </w:r>
      <w:r w:rsidR="00FC70F1" w:rsidRPr="004E053C">
        <w:rPr>
          <w:rFonts w:cstheme="majorHAnsi"/>
          <w:color w:val="000000"/>
          <w:sz w:val="22"/>
          <w:szCs w:val="22"/>
          <w:lang w:val="en-GB"/>
        </w:rPr>
        <w:t>.</w:t>
      </w:r>
      <w:r w:rsidR="009C4223" w:rsidRPr="004E053C">
        <w:rPr>
          <w:rFonts w:cstheme="majorHAnsi"/>
          <w:color w:val="000000"/>
          <w:sz w:val="22"/>
          <w:szCs w:val="22"/>
          <w:lang w:val="en-GB"/>
        </w:rPr>
        <w:t xml:space="preserve"> </w:t>
      </w:r>
      <w:r w:rsidR="00FE47C4" w:rsidRPr="004E053C">
        <w:rPr>
          <w:rFonts w:cstheme="majorHAnsi"/>
          <w:color w:val="000000"/>
          <w:sz w:val="22"/>
          <w:szCs w:val="22"/>
          <w:lang w:val="en-GB"/>
        </w:rPr>
        <w:t xml:space="preserve">Although some of these arguments primarily refer to transnational migration, the notion of differentiation between individuals within a social field is important for the conceptualisation of translocality that will be used in this analysis. </w:t>
      </w:r>
    </w:p>
    <w:p w14:paraId="49D3AF11" w14:textId="77777777" w:rsidR="009C4223" w:rsidRPr="004E053C" w:rsidRDefault="009C4223" w:rsidP="004E053C">
      <w:pPr>
        <w:spacing w:line="360" w:lineRule="auto"/>
        <w:jc w:val="both"/>
        <w:rPr>
          <w:rFonts w:cstheme="majorHAnsi"/>
          <w:color w:val="000000"/>
          <w:sz w:val="22"/>
          <w:szCs w:val="22"/>
          <w:lang w:val="en-GB"/>
        </w:rPr>
      </w:pPr>
    </w:p>
    <w:p w14:paraId="1B0ABD7F" w14:textId="139C4464" w:rsidR="00FC70F1" w:rsidRPr="004E053C" w:rsidRDefault="009C4223"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t xml:space="preserve">Carling’s depiction of the transnational social field as shown above in figure 1 has clear relevance when thinking about translocal communities. </w:t>
      </w:r>
      <w:r w:rsidR="00FC70F1" w:rsidRPr="004E053C">
        <w:rPr>
          <w:rFonts w:cstheme="majorHAnsi"/>
          <w:color w:val="000000"/>
          <w:sz w:val="22"/>
          <w:szCs w:val="22"/>
          <w:lang w:val="en-GB"/>
        </w:rPr>
        <w:t xml:space="preserve">However, </w:t>
      </w:r>
      <w:r w:rsidRPr="004E053C">
        <w:rPr>
          <w:rFonts w:cstheme="majorHAnsi"/>
          <w:color w:val="000000"/>
          <w:sz w:val="22"/>
          <w:szCs w:val="22"/>
          <w:lang w:val="en-GB"/>
        </w:rPr>
        <w:t xml:space="preserve">when drawing on it to represent </w:t>
      </w:r>
      <w:r w:rsidR="00DE5BB8" w:rsidRPr="004E053C">
        <w:rPr>
          <w:rFonts w:cstheme="majorHAnsi"/>
          <w:color w:val="000000"/>
          <w:sz w:val="22"/>
          <w:szCs w:val="22"/>
          <w:lang w:val="en-GB"/>
        </w:rPr>
        <w:t xml:space="preserve">the </w:t>
      </w:r>
      <w:r w:rsidR="00174470" w:rsidRPr="004E053C">
        <w:rPr>
          <w:rFonts w:cstheme="majorHAnsi"/>
          <w:color w:val="000000"/>
          <w:sz w:val="22"/>
          <w:szCs w:val="22"/>
          <w:lang w:val="en-GB"/>
        </w:rPr>
        <w:t>translocal social</w:t>
      </w:r>
      <w:r w:rsidRPr="004E053C">
        <w:rPr>
          <w:rFonts w:cstheme="majorHAnsi"/>
          <w:color w:val="000000"/>
          <w:sz w:val="22"/>
          <w:szCs w:val="22"/>
          <w:lang w:val="en-GB"/>
        </w:rPr>
        <w:t xml:space="preserve"> field of ASM, some slight modifications are required.</w:t>
      </w:r>
    </w:p>
    <w:p w14:paraId="1A56A1D8" w14:textId="77777777" w:rsidR="00174470" w:rsidRPr="004E053C" w:rsidRDefault="00174470" w:rsidP="004E053C">
      <w:pPr>
        <w:spacing w:line="360" w:lineRule="auto"/>
        <w:jc w:val="both"/>
        <w:rPr>
          <w:rFonts w:cstheme="majorHAnsi"/>
          <w:b/>
          <w:color w:val="000000"/>
          <w:sz w:val="22"/>
          <w:szCs w:val="22"/>
          <w:lang w:val="en-GB"/>
        </w:rPr>
      </w:pPr>
    </w:p>
    <w:p w14:paraId="6CF8697F" w14:textId="10F41DAF" w:rsidR="00DE5BB8" w:rsidRPr="004E053C" w:rsidRDefault="00174470" w:rsidP="004E053C">
      <w:pPr>
        <w:spacing w:line="360" w:lineRule="auto"/>
        <w:jc w:val="both"/>
        <w:rPr>
          <w:rFonts w:cstheme="majorHAnsi"/>
          <w:b/>
          <w:color w:val="000000"/>
          <w:sz w:val="22"/>
          <w:szCs w:val="22"/>
          <w:lang w:val="en-GB"/>
        </w:rPr>
      </w:pPr>
      <w:r w:rsidRPr="004E053C">
        <w:rPr>
          <w:rFonts w:cstheme="majorHAnsi"/>
          <w:b/>
          <w:color w:val="000000"/>
          <w:sz w:val="22"/>
          <w:szCs w:val="22"/>
          <w:lang w:val="en-GB"/>
        </w:rPr>
        <w:t xml:space="preserve">Fig 2: Conceptualisation of the Translocal Social Field </w:t>
      </w:r>
    </w:p>
    <w:p w14:paraId="33CE9A0C" w14:textId="5A4F42C8" w:rsidR="00174470" w:rsidRPr="004E053C" w:rsidRDefault="00513113" w:rsidP="004E053C">
      <w:pPr>
        <w:spacing w:line="360" w:lineRule="auto"/>
        <w:jc w:val="both"/>
        <w:rPr>
          <w:rFonts w:cstheme="majorHAnsi"/>
          <w:color w:val="000000"/>
          <w:sz w:val="22"/>
          <w:szCs w:val="22"/>
          <w:lang w:val="en-GB"/>
        </w:rPr>
      </w:pPr>
      <w:r>
        <w:rPr>
          <w:rFonts w:cstheme="majorHAnsi"/>
          <w:noProof/>
          <w:color w:val="000000"/>
          <w:sz w:val="22"/>
          <w:szCs w:val="22"/>
          <w:lang w:val="en-GB" w:eastAsia="zh-CN"/>
        </w:rPr>
        <mc:AlternateContent>
          <mc:Choice Requires="wpg">
            <w:drawing>
              <wp:anchor distT="0" distB="0" distL="114300" distR="114300" simplePos="0" relativeHeight="251663360" behindDoc="0" locked="0" layoutInCell="1" allowOverlap="1" wp14:anchorId="2DC1DE68" wp14:editId="5C56DED5">
                <wp:simplePos x="0" y="0"/>
                <wp:positionH relativeFrom="column">
                  <wp:posOffset>114300</wp:posOffset>
                </wp:positionH>
                <wp:positionV relativeFrom="paragraph">
                  <wp:posOffset>81915</wp:posOffset>
                </wp:positionV>
                <wp:extent cx="5829300" cy="2642870"/>
                <wp:effectExtent l="0" t="0" r="38100" b="49530"/>
                <wp:wrapThrough wrapText="bothSides">
                  <wp:wrapPolygon edited="0">
                    <wp:start x="6024" y="0"/>
                    <wp:lineTo x="0" y="2491"/>
                    <wp:lineTo x="0" y="21797"/>
                    <wp:lineTo x="565" y="21797"/>
                    <wp:lineTo x="21647" y="21797"/>
                    <wp:lineTo x="21647" y="2491"/>
                    <wp:lineTo x="14400" y="0"/>
                    <wp:lineTo x="6024" y="0"/>
                  </wp:wrapPolygon>
                </wp:wrapThrough>
                <wp:docPr id="26" name="Group 26"/>
                <wp:cNvGraphicFramePr/>
                <a:graphic xmlns:a="http://schemas.openxmlformats.org/drawingml/2006/main">
                  <a:graphicData uri="http://schemas.microsoft.com/office/word/2010/wordprocessingGroup">
                    <wpg:wgp>
                      <wpg:cNvGrpSpPr/>
                      <wpg:grpSpPr>
                        <a:xfrm>
                          <a:off x="0" y="0"/>
                          <a:ext cx="5829300" cy="2642870"/>
                          <a:chOff x="0" y="0"/>
                          <a:chExt cx="5829300" cy="2642870"/>
                        </a:xfrm>
                      </wpg:grpSpPr>
                      <wps:wsp>
                        <wps:cNvPr id="24" name="Rectangle 24"/>
                        <wps:cNvSpPr/>
                        <wps:spPr>
                          <a:xfrm>
                            <a:off x="114300" y="453390"/>
                            <a:ext cx="54864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600200" y="807085"/>
                            <a:ext cx="2623185" cy="1628775"/>
                          </a:xfrm>
                          <a:prstGeom prst="rect">
                            <a:avLst/>
                          </a:prstGeom>
                          <a:noFill/>
                          <a:ln w="28575" cmpd="sng">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3060065" y="1229995"/>
                            <a:ext cx="1020127" cy="987879"/>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CB4C34" w14:textId="77777777" w:rsidR="009A2C11" w:rsidRPr="008E72E2" w:rsidRDefault="009A2C11" w:rsidP="00174470">
                              <w:r w:rsidRPr="008E72E2">
                                <w:t xml:space="preserve"> Migrants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Connector 9"/>
                        <wps:cNvCnPr/>
                        <wps:spPr>
                          <a:xfrm>
                            <a:off x="0" y="331470"/>
                            <a:ext cx="5829300" cy="0"/>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10" name="Straight Connector 10"/>
                        <wps:cNvCnPr/>
                        <wps:spPr>
                          <a:xfrm>
                            <a:off x="0" y="331470"/>
                            <a:ext cx="0" cy="230441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1" name="Straight Connector 11"/>
                        <wps:cNvCnPr/>
                        <wps:spPr>
                          <a:xfrm>
                            <a:off x="5829300" y="331470"/>
                            <a:ext cx="0" cy="230441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2" name="Straight Connector 12"/>
                        <wps:cNvCnPr/>
                        <wps:spPr>
                          <a:xfrm flipH="1" flipV="1">
                            <a:off x="0" y="2635885"/>
                            <a:ext cx="5829300" cy="69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3" name="Straight Connector 13"/>
                        <wps:cNvCnPr/>
                        <wps:spPr>
                          <a:xfrm>
                            <a:off x="2914650" y="327025"/>
                            <a:ext cx="0" cy="2159862"/>
                          </a:xfrm>
                          <a:prstGeom prst="line">
                            <a:avLst/>
                          </a:prstGeom>
                          <a:ln w="12700" cmpd="sng">
                            <a:prstDash val="lgDashDotDot"/>
                          </a:ln>
                        </wps:spPr>
                        <wps:style>
                          <a:lnRef idx="2">
                            <a:schemeClr val="accent1"/>
                          </a:lnRef>
                          <a:fillRef idx="0">
                            <a:schemeClr val="accent1"/>
                          </a:fillRef>
                          <a:effectRef idx="1">
                            <a:schemeClr val="accent1"/>
                          </a:effectRef>
                          <a:fontRef idx="minor">
                            <a:schemeClr val="tx1"/>
                          </a:fontRef>
                        </wps:style>
                        <wps:bodyPr/>
                      </wps:wsp>
                      <wps:wsp>
                        <wps:cNvPr id="14" name="Text Box 14"/>
                        <wps:cNvSpPr txBox="1"/>
                        <wps:spPr>
                          <a:xfrm>
                            <a:off x="114300" y="1028700"/>
                            <a:ext cx="1311593" cy="124333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376599" w14:textId="77777777" w:rsidR="009A2C11" w:rsidRPr="008E72E2" w:rsidRDefault="009A2C11" w:rsidP="00174470">
                              <w:r w:rsidRPr="008E72E2">
                                <w:t>Non-Migrants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91465" y="417195"/>
                            <a:ext cx="2331720" cy="2755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4157FB" w14:textId="5963179B" w:rsidR="009A2C11" w:rsidRPr="008E72E2" w:rsidRDefault="009A2C11" w:rsidP="008E72E2">
                              <w:pPr>
                                <w:jc w:val="center"/>
                              </w:pPr>
                              <w:r w:rsidRPr="008E72E2">
                                <w:t>Communities of origin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206115" y="417195"/>
                            <a:ext cx="2331720" cy="2589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D8F0E7" w14:textId="50E8423F" w:rsidR="009A2C11" w:rsidRPr="008E72E2" w:rsidRDefault="009A2C11" w:rsidP="008E72E2">
                              <w:pPr>
                                <w:jc w:val="center"/>
                              </w:pPr>
                              <w:r w:rsidRPr="008E72E2">
                                <w:t>Destination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371975" y="1050290"/>
                            <a:ext cx="1311593" cy="12573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9EBB04" w14:textId="77777777" w:rsidR="009A2C11" w:rsidRPr="008E72E2" w:rsidRDefault="009A2C11" w:rsidP="00174470">
                              <w:r w:rsidRPr="008E72E2">
                                <w:t>Settled Migrants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748790" y="960120"/>
                            <a:ext cx="2185988" cy="258944"/>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794DE9" w14:textId="77777777" w:rsidR="009A2C11" w:rsidRPr="008E72E2" w:rsidRDefault="009A2C11" w:rsidP="00860E19">
                              <w:pPr>
                                <w:jc w:val="center"/>
                              </w:pPr>
                              <w:r w:rsidRPr="008E72E2">
                                <w:t>Translocal Households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748790" y="1229995"/>
                            <a:ext cx="1020127" cy="987879"/>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AECC18" w14:textId="77777777" w:rsidR="009A2C11" w:rsidRPr="008E72E2" w:rsidRDefault="009A2C11" w:rsidP="00174470">
                              <w:r w:rsidRPr="008E72E2">
                                <w:t>Non-migrants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600200" y="0"/>
                            <a:ext cx="2331720" cy="269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D89680" w14:textId="77777777" w:rsidR="009A2C11" w:rsidRPr="008E72E2" w:rsidRDefault="009A2C11" w:rsidP="00174470">
                              <w:pPr>
                                <w:jc w:val="center"/>
                              </w:pPr>
                              <w:r w:rsidRPr="008E72E2">
                                <w:t>Translocal Social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C1DE68" id="Group 26" o:spid="_x0000_s1026" style="position:absolute;left:0;text-align:left;margin-left:9pt;margin-top:6.45pt;width:459pt;height:208.1pt;z-index:251663360" coordsize="58293,2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DFuQYAANs3AAAOAAAAZHJzL2Uyb0RvYy54bWzsW11v2zYUfR+w/yDoPbVIfRt1Ci9ZugFF&#10;WzTd+szIki1MIjWKiZ0N+++7JCXaVuxYcbuk8GQEjj5IUbq699xzLunXb1ZlYd2lvM4ZndjolWNb&#10;KU3YLKfzif3b56uzyLZqQeiMFIymE/s+re035z/+8HpZjVPMFqyYpdyCi9B6vKwm9kKIajwa1cki&#10;LUn9ilUphZMZ4yURsMvnoxknS7h6WYyw4wSjJeOzirMkrWs4eqlP2ufq+lmWJuJDltWpsIqJDfcm&#10;1DdX3zfye3T+moznnFSLPGlugxxxFyXJKQxqLnVJBLFuef7gUmWecFazTLxKWDliWZYnqXoGeBrk&#10;dJ7mLWe3lXqW+Xg5r4yZwLQdOx192eT93Udu5bOJjQPboqSEd6SGtWAfjLOs5mNo85ZX19VH3hyY&#10;6z35vKuMl/I/PIm1Uma9N2ZNV8JK4KAf4dh1wPoJnMOBh6OwMXyygLfzoF+y+PlAz1E78Ejen7md&#10;ZQVOVK/tVH+dna4XpEqV+Wtpg9ZOXmunT+BdhM6L1MKetpVqZwxVj2uw2Q4rIeQpe4A5PN9148Ya&#10;xl5eFHjGXjgKYBssbx6ajCtei7cpKy25MbE53IjyPnL3rha6adsE+kmz6DtRW+K+SOVNFfRTmsGr&#10;hzeEVG8VdOlFwa07AuFCkiSlAjVDq9ayW5YXhenoHu7YtJddUxWQpjM+3Nn0UCMzKkznMqeM77pA&#10;YW450+1bC+jnlia4YbN7eJucaTioq+QqB0O+I7X4SDjEP/gqYJr4AF9ZwZYTmzVbtrVg/K9dx2V7&#10;cDc4a1tLwJOJXf95S3hqW8WvFBwxRp4nAUjteH6IYYdvnrnZPENvywsG7wABelaJ2pTtRdFuZpyV&#10;XwD6pnJUOEVoAmNP7ETwdudCaJwD8EzS6VQ1A9CpiHhHr6ukfevSUT6vvhBeNd4kwA/fs9b5ybjj&#10;VLqtfB+UTW8Fy3LlcWu7NvaGQJTw8QwRaYBrHZANdvWNR4gwSCa2BQEZOaET+dLpwV8bGMIBdhEc&#10;VACGAsCvULU4NiKl6a4gjNQgBbXAwXDkwzWtpKxm4Dl0rjxbvppLUi90PNb3tdwx8dj6tcKYIbKV&#10;rw2RfVKRDeRRU5LPMhR/Yisrku4vnR0Ssky0lljBYYllzfE9Kdd1IMYDiDAIcYRxHMedGEeAAAiH&#10;OsbjKIzCuIm0luK0GbVX0iXjmhX5TEa5RJJOar2Zt2l1q1VBVdtHOorVjo4AQ7qnzpaaAij0gs0W&#10;xxQZ/fsCEs809OOzYOqjMw850dl06uCzy6upM3W8q4vY++mf5rnB5Kp/D/7g7ErEffhDj477+UOP&#10;zkfwh9kfrYn38gexulk17nbCgCP+d0QibuHmWnCSzxfCumCUArlm3FJo0ADPBW2kUMurWznS0UGu&#10;i7xW6rRcYksMHeD1RU6l/nhAwST1l4cLCl7YIzx7EO3d9L5HhO0Pzx6i4ojwXCPg3vDUMdma5vl4&#10;KAIGqdPVDv+Bkw1kQOb6GgeCQZSOdh3PQwdo6OMONHiOtkBXGL6A54DO2+85htv08hwDMMB0dgHQ&#10;4D+yknJiyIMf8x98GHmsrMirX1S9QW793hYHtsp6OHD9qKuNjbtJUApifXq/MB4QqVxX2L7nXOY+&#10;5lHuYY+S/KTxHgy1r8DX5RUXhw7uSK8WkZAfR4Fy1mP9R1IiWU0BIafqp49UU4q5LKZcMgF/jeCR&#10;ImrIid9NTjR1diP+UbfM3lf9bxTcQefD9EOn4o5cBM4HLi9BDGHPdd0D1PzxknunwCdjYUvod8oB&#10;axzYaDWo+g2k3K4lHJG8e6p6NRNm+NYg7k9olgC0UreYqOXTEdVEndFUMdFDIerWEjHwbjXBo4Ra&#10;6Pt6hm9/Vnsympj5gwElXgolDKseUOKUUMJMJq5ZR3cysS/rcLETAK/oCRN+FHuK3www0dQU9dqE&#10;r6pB9uj8H5MJI5UGmDglmICJws7MJAo3RPFTpiY9FxiEnPyX2sPxHdxdD9RRJ34oFw/JIuV62uGJ&#10;c5OGPrQzhxu648Fk5aBOkvWyo5cHFKOBB0A5JUB5uNQBHbvWAYUerF7Q9bY4gFUNnWoHhrVMcQQD&#10;KnnyDXjHNnrw+Y1ZQ3ilPg1YbTXTKxYMEA065qV0jCrGSg084Mkp4YlZy7DWMZtLGJ5CUDbx5HnW&#10;ThlY2M1PNhHGUZ+HCDMAyksBipHLA6CcEKDI9eodxaN5xRHlU7Sx3rrLTbZKp0GMYdH8t5U6BlsG&#10;hHgphDBKeUCI50EImNNVvyBTNYPm127yJ2qb+2rue/2bvPN/AQAA//8DAFBLAwQUAAYACAAAACEA&#10;fy8ZUuAAAAAJAQAADwAAAGRycy9kb3ducmV2LnhtbEyPQUvDQBCF74L/YRnBm90k1dKk2ZRS1FMR&#10;bAXpbZudJqHZ2ZDdJum/dzzpaXjzhjffy9eTbcWAvW8cKYhnEQik0pmGKgVfh7enJQgfNBndOkIF&#10;N/SwLu7vcp0ZN9InDvtQCQ4hn2kFdQhdJqUva7Taz1yHxN7Z9VYHln0lTa9HDretTKJoIa1uiD/U&#10;usNtjeVlf7UK3kc9bubx67C7nLe34+Hl43sXo1KPD9NmBSLgFP6O4Ref0aFgppO7kvGiZb3kKoFn&#10;koJgP50veHFS8JykMcgil/8bFD8AAAD//wMAUEsBAi0AFAAGAAgAAAAhALaDOJL+AAAA4QEAABMA&#10;AAAAAAAAAAAAAAAAAAAAAFtDb250ZW50X1R5cGVzXS54bWxQSwECLQAUAAYACAAAACEAOP0h/9YA&#10;AACUAQAACwAAAAAAAAAAAAAAAAAvAQAAX3JlbHMvLnJlbHNQSwECLQAUAAYACAAAACEA8Z2AxbkG&#10;AADbNwAADgAAAAAAAAAAAAAAAAAuAgAAZHJzL2Uyb0RvYy54bWxQSwECLQAUAAYACAAAACEAfy8Z&#10;UuAAAAAJAQAADwAAAAAAAAAAAAAAAAATCQAAZHJzL2Rvd25yZXYueG1sUEsFBgAAAAAEAAQA8wAA&#10;ACAKAAAAAA==&#10;">
                <v:rect id="Rectangle 24" o:spid="_x0000_s1027" style="position:absolute;left:1143;top:4533;width:5486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bhwQAAANsAAAAPAAAAZHJzL2Rvd25yZXYueG1sRI9Ba8JA&#10;FITvBf/D8gRvdaNICamrSIKQq0lpr4/sMxvMvg3ZNab/visIPQ4z8w2zP862FxONvnOsYLNOQBA3&#10;TnfcKviqz+8pCB+QNfaOScEveTgeFm97zLR78IWmKrQiQthnqMCEMGRS+saQRb92A3H0rm60GKIc&#10;W6lHfES47eU2ST6kxY7jgsGBckPNrbpbBcVUtlOtazOnRX3Ly8vPuftmpVbL+fQJItAc/sOvdqkV&#10;bHfw/BJ/gDz8AQAA//8DAFBLAQItABQABgAIAAAAIQDb4fbL7gAAAIUBAAATAAAAAAAAAAAAAAAA&#10;AAAAAABbQ29udGVudF9UeXBlc10ueG1sUEsBAi0AFAAGAAgAAAAhAFr0LFu/AAAAFQEAAAsAAAAA&#10;AAAAAAAAAAAAHwEAAF9yZWxzLy5yZWxzUEsBAi0AFAAGAAgAAAAhAIR6xuHBAAAA2wAAAA8AAAAA&#10;AAAAAAAAAAAABwIAAGRycy9kb3ducmV2LnhtbFBLBQYAAAAAAwADALcAAAD1AgAAAAA=&#10;" fillcolor="#65a0d7 [3028]" strokecolor="#5b9bd5 [3204]" strokeweight=".5pt">
                  <v:fill color2="#5898d4 [3172]" rotate="t" colors="0 #71a6db;.5 #559bdb;1 #438ac9" focus="100%" type="gradient">
                    <o:fill v:ext="view" type="gradientUnscaled"/>
                  </v:fill>
                </v:rect>
                <v:rect id="Rectangle 6" o:spid="_x0000_s1028" style="position:absolute;left:16002;top:8070;width:26231;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05wgAAANoAAAAPAAAAZHJzL2Rvd25yZXYueG1sRI/NasMw&#10;EITvhb6D2EJvjZxCQ+NGCaHQ/FwKtfMAi7Wx3ForI8mx/fZRINDjMDPfMKvNaFtxIR8axwrmswwE&#10;ceV0w7WCU/n18g4iRGSNrWNSMFGAzfrxYYW5dgP/0KWItUgQDjkqMDF2uZShMmQxzFxHnLyz8xZj&#10;kr6W2uOQ4LaVr1m2kBYbTgsGO/o0VP0VvVWQHfHsp+X3dr7Xpvw9vvXa73qlnp/G7QeISGP8D9/b&#10;B61gAbcr6QbI9RUAAP//AwBQSwECLQAUAAYACAAAACEA2+H2y+4AAACFAQAAEwAAAAAAAAAAAAAA&#10;AAAAAAAAW0NvbnRlbnRfVHlwZXNdLnhtbFBLAQItABQABgAIAAAAIQBa9CxbvwAAABUBAAALAAAA&#10;AAAAAAAAAAAAAB8BAABfcmVscy8ucmVsc1BLAQItABQABgAIAAAAIQDVnR05wgAAANoAAAAPAAAA&#10;AAAAAAAAAAAAAAcCAABkcnMvZG93bnJldi54bWxQSwUGAAAAAAMAAwC3AAAA9gIAAAAA&#10;" filled="f" strokecolor="#5b9bd5 [3204]" strokeweight="2.25pt">
                  <v:stroke dashstyle="3 1"/>
                </v:rect>
                <v:shapetype id="_x0000_t202" coordsize="21600,21600" o:spt="202" path="m,l,21600r21600,l21600,xe">
                  <v:stroke joinstyle="miter"/>
                  <v:path gradientshapeok="t" o:connecttype="rect"/>
                </v:shapetype>
                <v:shape id="Text Box 8" o:spid="_x0000_s1029" type="#_x0000_t202" style="position:absolute;left:30600;top:12299;width:10201;height:9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ReugAAANoAAAAPAAAAZHJzL2Rvd25yZXYueG1sRE9LCsIw&#10;EN0L3iGM4E5TFUSqUUQQXAn+oN0NzdgWm0lpom1vbxaCy8f7b3adqcSHGldaVjCbRiCIM6tLzhXc&#10;b8fJCoTzyBory6SgJwe77XCwwVjbli/0ufpchBB2MSoovK9jKV1WkEE3tTVx4J62MegDbHKpG2xD&#10;uKnkPIqW0mDJoaHAmg4FZa/r2yg49/1rn7ZJkjzQG40LZ1JaKTUedfs1CE+d/4t/7pNWELaGK+EG&#10;yO0XAAD//wMAUEsBAi0AFAAGAAgAAAAhANvh9svuAAAAhQEAABMAAAAAAAAAAAAAAAAAAAAAAFtD&#10;b250ZW50X1R5cGVzXS54bWxQSwECLQAUAAYACAAAACEAWvQsW78AAAAVAQAACwAAAAAAAAAAAAAA&#10;AAAfAQAAX3JlbHMvLnJlbHNQSwECLQAUAAYACAAAACEAY+vEXroAAADaAAAADwAAAAAAAAAAAAAA&#10;AAAHAgAAZHJzL2Rvd25yZXYueG1sUEsFBgAAAAADAAMAtwAAAO4CAAAAAA==&#10;" fillcolor="white [3212]" strokecolor="black [3213]">
                  <v:textbox>
                    <w:txbxContent>
                      <w:p w14:paraId="66CB4C34" w14:textId="77777777" w:rsidR="009A2C11" w:rsidRPr="008E72E2" w:rsidRDefault="009A2C11" w:rsidP="00174470">
                        <w:r w:rsidRPr="008E72E2">
                          <w:t xml:space="preserve"> Migrants</w:t>
                        </w:r>
                      </w:p>
                    </w:txbxContent>
                  </v:textbox>
                </v:shape>
                <v:line id="Straight Connector 9" o:spid="_x0000_s1030" style="position:absolute;visibility:visible;mso-wrap-style:square" from="0,3314" to="58293,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3pwQAAANoAAAAPAAAAZHJzL2Rvd25yZXYueG1sRI9Bi8Iw&#10;FITvgv8hPMGbpnoQrUYRQfEiZXXV67N5tsXmpTbRdv+9WVjY4zAz3zCLVWtK8abaFZYVjIYRCOLU&#10;6oIzBd+n7WAKwnlkjaVlUvBDDlbLbmeBsbYNf9H76DMRIOxiVJB7X8VSujQng25oK+Lg3W1t0AdZ&#10;Z1LX2AS4KeU4iibSYMFhIceKNjmlj+PLKBgnibneb6On1odJllzOpWx2Z6X6vXY9B+Gp9f/hv/Ze&#10;K5jB75VwA+TyAwAA//8DAFBLAQItABQABgAIAAAAIQDb4fbL7gAAAIUBAAATAAAAAAAAAAAAAAAA&#10;AAAAAABbQ29udGVudF9UeXBlc10ueG1sUEsBAi0AFAAGAAgAAAAhAFr0LFu/AAAAFQEAAAsAAAAA&#10;AAAAAAAAAAAAHwEAAF9yZWxzLy5yZWxzUEsBAi0AFAAGAAgAAAAhAPVIbenBAAAA2gAAAA8AAAAA&#10;AAAAAAAAAAAABwIAAGRycy9kb3ducmV2LnhtbFBLBQYAAAAAAwADALcAAAD1AgAAAAA=&#10;" strokecolor="#5b9bd5 [3204]" strokeweight="1pt">
                  <v:stroke joinstyle="miter"/>
                </v:line>
                <v:line id="Straight Connector 10" o:spid="_x0000_s1031" style="position:absolute;visibility:visible;mso-wrap-style:square" from="0,3314" to="0,2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YVxAAAANsAAAAPAAAAZHJzL2Rvd25yZXYueG1sRI9Pa8JA&#10;EMXvgt9hGcGbbvQgkrqRIii9lFBb2+s0O/lDs7Mxu5r02zuHQm8zvDfv/Wa3H12r7tSHxrOB1TIB&#10;RVx423Bl4OP9uNiCChHZYuuZDPxSgH02newwtX7gN7qfY6UkhEOKBuoYu1TrUNTkMCx9Ryxa6XuH&#10;Uda+0rbHQcJdq9dJstEOG5aGGjs61FT8nG/OwDrP3Vf5vbpa+7qp8s9Lq4fTxZj5bHx+AhVpjP/m&#10;v+sXK/hCL7/IADp7AAAA//8DAFBLAQItABQABgAIAAAAIQDb4fbL7gAAAIUBAAATAAAAAAAAAAAA&#10;AAAAAAAAAABbQ29udGVudF9UeXBlc10ueG1sUEsBAi0AFAAGAAgAAAAhAFr0LFu/AAAAFQEAAAsA&#10;AAAAAAAAAAAAAAAAHwEAAF9yZWxzLy5yZWxzUEsBAi0AFAAGAAgAAAAhAAUgBhXEAAAA2wAAAA8A&#10;AAAAAAAAAAAAAAAABwIAAGRycy9kb3ducmV2LnhtbFBLBQYAAAAAAwADALcAAAD4AgAAAAA=&#10;" strokecolor="#5b9bd5 [3204]" strokeweight="1pt">
                  <v:stroke joinstyle="miter"/>
                </v:line>
                <v:line id="Straight Connector 11" o:spid="_x0000_s1032" style="position:absolute;visibility:visible;mso-wrap-style:square" from="58293,3314" to="58293,2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OOvwAAANsAAAAPAAAAZHJzL2Rvd25yZXYueG1sRE9Li8Iw&#10;EL4L/ocwwt40rQeRahQRlL1IWZ/XsRnbYjPpNtF2//1GELzNx/ec+bIzlXhS40rLCuJRBII4s7rk&#10;XMHxsBlOQTiPrLGyTAr+yMFy0e/NMdG25R967n0uQgi7BBUU3teJlC4ryKAb2Zo4cDfbGPQBNrnU&#10;DbYh3FRyHEUTabDk0FBgTeuCsvv+YRSM09Rcbtf4V+vdJE/Pp0q225NSX4NuNQPhqfMf8dv9rcP8&#10;GF6/hAPk4h8AAP//AwBQSwECLQAUAAYACAAAACEA2+H2y+4AAACFAQAAEwAAAAAAAAAAAAAAAAAA&#10;AAAAW0NvbnRlbnRfVHlwZXNdLnhtbFBLAQItABQABgAIAAAAIQBa9CxbvwAAABUBAAALAAAAAAAA&#10;AAAAAAAAAB8BAABfcmVscy8ucmVsc1BLAQItABQABgAIAAAAIQBqbKOOvwAAANsAAAAPAAAAAAAA&#10;AAAAAAAAAAcCAABkcnMvZG93bnJldi54bWxQSwUGAAAAAAMAAwC3AAAA8wIAAAAA&#10;" strokecolor="#5b9bd5 [3204]" strokeweight="1pt">
                  <v:stroke joinstyle="miter"/>
                </v:line>
                <v:line id="Straight Connector 12" o:spid="_x0000_s1033" style="position:absolute;flip:x y;visibility:visible;mso-wrap-style:square" from="0,26358" to="58293,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L3wAAAANsAAAAPAAAAZHJzL2Rvd25yZXYueG1sRE9La8JA&#10;EL4X/A/LCN7qRg9So6u0Qqm9CD4OOQ7ZaTY0OxOyG43/visUvM3H95z1dvCNulIXamEDs2kGirgU&#10;W3Nl4HL+fH0DFSKyxUaYDNwpwHYzelljbuXGR7qeYqVSCIccDbgY21zrUDryGKbSEifuRzqPMcGu&#10;0rbDWwr3jZ5n2UJ7rDk1OGxp56j8PfXeQLEv/PFDHwq5f/VuKZp7+WZjJuPhfQUq0hCf4n/33qb5&#10;c3j8kg7Qmz8AAAD//wMAUEsBAi0AFAAGAAgAAAAhANvh9svuAAAAhQEAABMAAAAAAAAAAAAAAAAA&#10;AAAAAFtDb250ZW50X1R5cGVzXS54bWxQSwECLQAUAAYACAAAACEAWvQsW78AAAAVAQAACwAAAAAA&#10;AAAAAAAAAAAfAQAAX3JlbHMvLnJlbHNQSwECLQAUAAYACAAAACEA5iFi98AAAADbAAAADwAAAAAA&#10;AAAAAAAAAAAHAgAAZHJzL2Rvd25yZXYueG1sUEsFBgAAAAADAAMAtwAAAPQCAAAAAA==&#10;" strokecolor="#5b9bd5 [3204]" strokeweight="1pt">
                  <v:stroke joinstyle="miter"/>
                </v:line>
                <v:line id="Straight Connector 13" o:spid="_x0000_s1034" style="position:absolute;visibility:visible;mso-wrap-style:square" from="29146,3270" to="29146,2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ghxAAAANsAAAAPAAAAZHJzL2Rvd25yZXYueG1sRI9Ba8Mw&#10;DIXvhf0Ho8FurbONlpHVLaFlkGvSFrabiNU4NJaz2Euy/vq6MNhN4r336Wm9nWwrBup941jB8yIB&#10;QVw53XCt4Hj4mL+B8AFZY+uYFPySh+3mYbbGVLuRCxrKUIsIYZ+iAhNCl0rpK0MW/cJ1xFE7u95i&#10;iGtfS93jGOG2lS9JspIWG44XDHa0M1Rdyh8bKeWUB86WZp8dvr6L/WfZnq47pZ4ep+wdRKAp/Jv/&#10;0rmO9V/h/kscQG5uAAAA//8DAFBLAQItABQABgAIAAAAIQDb4fbL7gAAAIUBAAATAAAAAAAAAAAA&#10;AAAAAAAAAABbQ29udGVudF9UeXBlc10ueG1sUEsBAi0AFAAGAAgAAAAhAFr0LFu/AAAAFQEAAAsA&#10;AAAAAAAAAAAAAAAAHwEAAF9yZWxzLy5yZWxzUEsBAi0AFAAGAAgAAAAhAO/2yCHEAAAA2wAAAA8A&#10;AAAAAAAAAAAAAAAABwIAAGRycy9kb3ducmV2LnhtbFBLBQYAAAAAAwADALcAAAD4AgAAAAA=&#10;" strokecolor="#5b9bd5 [3204]" strokeweight="1pt">
                  <v:stroke dashstyle="longDashDotDot" joinstyle="miter"/>
                </v:line>
                <v:shape id="Text Box 14" o:spid="_x0000_s1035" type="#_x0000_t202" style="position:absolute;left:1143;top:10287;width:13115;height:1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mIwwAAANsAAAAPAAAAZHJzL2Rvd25yZXYueG1sRE9Na8JA&#10;EL0X/A/LCL3VTUtRSd1ImxAIogejSI9DdpqEZmdDdhvjv+8WCt7m8T5ns51MJ0YaXGtZwfMiAkFc&#10;Wd1yreB8yp/WIJxH1thZJgU3crBNZg8bjLW98pHG0tcihLCLUUHjfR9L6aqGDLqF7YkD92UHgz7A&#10;oZZ6wGsIN518iaKlNNhyaGiwp7Sh6rv8MQqK0213XKWHpdl9ZJ/7i3SXPNsr9Tif3t9AeJr8Xfzv&#10;LnSY/wp/v4QDZPILAAD//wMAUEsBAi0AFAAGAAgAAAAhANvh9svuAAAAhQEAABMAAAAAAAAAAAAA&#10;AAAAAAAAAFtDb250ZW50X1R5cGVzXS54bWxQSwECLQAUAAYACAAAACEAWvQsW78AAAAVAQAACwAA&#10;AAAAAAAAAAAAAAAfAQAAX3JlbHMvLnJlbHNQSwECLQAUAAYACAAAACEAugYZiMMAAADbAAAADwAA&#10;AAAAAAAAAAAAAAAHAgAAZHJzL2Rvd25yZXYueG1sUEsFBgAAAAADAAMAtwAAAPcCAAAAAA==&#10;" filled="f" strokecolor="black [3213]">
                  <v:textbox>
                    <w:txbxContent>
                      <w:p w14:paraId="20376599" w14:textId="77777777" w:rsidR="009A2C11" w:rsidRPr="008E72E2" w:rsidRDefault="009A2C11" w:rsidP="00174470">
                        <w:r w:rsidRPr="008E72E2">
                          <w:t>Non-Migrants</w:t>
                        </w:r>
                      </w:p>
                    </w:txbxContent>
                  </v:textbox>
                </v:shape>
                <v:shape id="Text Box 15" o:spid="_x0000_s1036" type="#_x0000_t202" style="position:absolute;left:2914;top:4171;width:2331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84157FB" w14:textId="5963179B" w:rsidR="009A2C11" w:rsidRPr="008E72E2" w:rsidRDefault="009A2C11" w:rsidP="008E72E2">
                        <w:pPr>
                          <w:jc w:val="center"/>
                        </w:pPr>
                        <w:r w:rsidRPr="008E72E2">
                          <w:t>Communities of origin</w:t>
                        </w:r>
                      </w:p>
                    </w:txbxContent>
                  </v:textbox>
                </v:shape>
                <v:shape id="Text Box 16" o:spid="_x0000_s1037" type="#_x0000_t202" style="position:absolute;left:32061;top:4171;width:2331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DD8F0E7" w14:textId="50E8423F" w:rsidR="009A2C11" w:rsidRPr="008E72E2" w:rsidRDefault="009A2C11" w:rsidP="008E72E2">
                        <w:pPr>
                          <w:jc w:val="center"/>
                        </w:pPr>
                        <w:r w:rsidRPr="008E72E2">
                          <w:t>Destination Communities</w:t>
                        </w:r>
                      </w:p>
                    </w:txbxContent>
                  </v:textbox>
                </v:shape>
                <v:shape id="Text Box 17" o:spid="_x0000_s1038" type="#_x0000_t202" style="position:absolute;left:43719;top:10502;width:1311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f/vwAAANsAAAAPAAAAZHJzL2Rvd25yZXYueG1sRE/JCsIw&#10;EL0L/kMYwZumelCpRnFBENGDC+JxaMa22ExKE7X+vREEb/N460xmtSnEkyqXW1bQ60YgiBOrc04V&#10;nE/rzgiE88gaC8uk4E0OZtNmY4Kxti8+0PPoUxFC2MWoIPO+jKV0SUYGXdeWxIG72cqgD7BKpa7w&#10;FcJNIftRNJAGcw4NGZa0zCi5Hx9Gweb03h6Gy/3AbBer6+4i3WW92inVbtXzMQhPtf+Lf+6NDvOH&#10;8P0lHCCnHwAAAP//AwBQSwECLQAUAAYACAAAACEA2+H2y+4AAACFAQAAEwAAAAAAAAAAAAAAAAAA&#10;AAAAW0NvbnRlbnRfVHlwZXNdLnhtbFBLAQItABQABgAIAAAAIQBa9CxbvwAAABUBAAALAAAAAAAA&#10;AAAAAAAAAB8BAABfcmVscy8ucmVsc1BLAQItABQABgAIAAAAIQBK1If/vwAAANsAAAAPAAAAAAAA&#10;AAAAAAAAAAcCAABkcnMvZG93bnJldi54bWxQSwUGAAAAAAMAAwC3AAAA8wIAAAAA&#10;" filled="f" strokecolor="black [3213]">
                  <v:textbox>
                    <w:txbxContent>
                      <w:p w14:paraId="169EBB04" w14:textId="77777777" w:rsidR="009A2C11" w:rsidRPr="008E72E2" w:rsidRDefault="009A2C11" w:rsidP="00174470">
                        <w:r w:rsidRPr="008E72E2">
                          <w:t>Settled Migrants</w:t>
                        </w:r>
                      </w:p>
                    </w:txbxContent>
                  </v:textbox>
                </v:shape>
                <v:shape id="Text Box 18" o:spid="_x0000_s1039" type="#_x0000_t202" style="position:absolute;left:17487;top:9601;width:21860;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2794DE9" w14:textId="77777777" w:rsidR="009A2C11" w:rsidRPr="008E72E2" w:rsidRDefault="009A2C11" w:rsidP="00860E19">
                        <w:pPr>
                          <w:jc w:val="center"/>
                        </w:pPr>
                        <w:r w:rsidRPr="008E72E2">
                          <w:t>Translocal Households</w:t>
                        </w:r>
                      </w:p>
                    </w:txbxContent>
                  </v:textbox>
                </v:shape>
                <v:shape id="Text Box 19" o:spid="_x0000_s1040" type="#_x0000_t202" style="position:absolute;left:17487;top:12299;width:10202;height:9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enxQAAANsAAAAPAAAAZHJzL2Rvd25yZXYueG1sRI9Ba8JA&#10;EIXvBf/DMoK3ujFC1egapLbQo422vU6zYxLMzobsmqT++m5B6G2G9743bzbpYGrRUesqywpm0wgE&#10;cW51xYWC0/H1cQnCeWSNtWVS8EMO0u3oYYOJtj2/U5f5QoQQdgkqKL1vEildXpJBN7UNcdDOtjXo&#10;w9oWUrfYh3BTyziKnqTBisOFEht6Lim/ZFcTasRfp/n+kNFigd/z/cvtY3X+rJWajIfdGoSnwf+b&#10;7/SbDtwK/n4JA8jtLwAAAP//AwBQSwECLQAUAAYACAAAACEA2+H2y+4AAACFAQAAEwAAAAAAAAAA&#10;AAAAAAAAAAAAW0NvbnRlbnRfVHlwZXNdLnhtbFBLAQItABQABgAIAAAAIQBa9CxbvwAAABUBAAAL&#10;AAAAAAAAAAAAAAAAAB8BAABfcmVscy8ucmVsc1BLAQItABQABgAIAAAAIQB1ilenxQAAANsAAAAP&#10;AAAAAAAAAAAAAAAAAAcCAABkcnMvZG93bnJldi54bWxQSwUGAAAAAAMAAwC3AAAA+QIAAAAA&#10;" filled="f">
                  <v:textbox>
                    <w:txbxContent>
                      <w:p w14:paraId="62AECC18" w14:textId="77777777" w:rsidR="009A2C11" w:rsidRPr="008E72E2" w:rsidRDefault="009A2C11" w:rsidP="00174470">
                        <w:r w:rsidRPr="008E72E2">
                          <w:t>Non-migrants</w:t>
                        </w:r>
                      </w:p>
                    </w:txbxContent>
                  </v:textbox>
                </v:shape>
                <v:shape id="Text Box 20" o:spid="_x0000_s1041" type="#_x0000_t202" style="position:absolute;left:16002;width:23317;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6D89680" w14:textId="77777777" w:rsidR="009A2C11" w:rsidRPr="008E72E2" w:rsidRDefault="009A2C11" w:rsidP="00174470">
                        <w:pPr>
                          <w:jc w:val="center"/>
                        </w:pPr>
                        <w:r w:rsidRPr="008E72E2">
                          <w:t>Translocal Social Field</w:t>
                        </w:r>
                      </w:p>
                    </w:txbxContent>
                  </v:textbox>
                </v:shape>
                <w10:wrap type="through"/>
              </v:group>
            </w:pict>
          </mc:Fallback>
        </mc:AlternateContent>
      </w:r>
    </w:p>
    <w:p w14:paraId="79423BA8" w14:textId="512BC1CF" w:rsidR="001D64A8" w:rsidRPr="004E053C" w:rsidRDefault="001D64A8" w:rsidP="004E053C">
      <w:pPr>
        <w:spacing w:line="360" w:lineRule="auto"/>
        <w:jc w:val="both"/>
        <w:rPr>
          <w:rFonts w:cstheme="majorHAnsi"/>
          <w:color w:val="000000"/>
          <w:sz w:val="22"/>
          <w:szCs w:val="22"/>
          <w:lang w:val="en-GB"/>
        </w:rPr>
      </w:pPr>
    </w:p>
    <w:p w14:paraId="17F87E93" w14:textId="29A435A6" w:rsidR="00174470" w:rsidRPr="004E053C" w:rsidRDefault="00B233BE"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t xml:space="preserve">The first adaption is that in Carling’s </w:t>
      </w:r>
      <w:r w:rsidR="00071C60" w:rsidRPr="004E053C">
        <w:rPr>
          <w:rFonts w:cstheme="majorHAnsi"/>
          <w:sz w:val="22"/>
          <w:szCs w:val="22"/>
          <w:lang w:val="en-GB"/>
        </w:rPr>
        <w:fldChar w:fldCharType="begin" w:fldLock="1"/>
      </w:r>
      <w:r w:rsidR="00071C60" w:rsidRPr="004E053C">
        <w:rPr>
          <w:rFonts w:cstheme="majorHAnsi"/>
          <w:sz w:val="22"/>
          <w:szCs w:val="22"/>
          <w:lang w:val="en-GB"/>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transnationalism","type":"article-journal","volume":"31"},"uris":["http://www.mendeley.com/documents/?uuid=4e9502bd-03d1-49f4-adda-36bcff515ccc"]}],"mendeley":{"formattedCitation":"(Carling, 2008)","manualFormatting":"(2008)","plainTextFormattedCitation":"(Carling, 2008)","previouslyFormattedCitation":"(Carling, 2008)"},"properties":{"noteIndex":0},"schema":"https://github.com/citation-style-language/schema/raw/master/csl-citation.json"}</w:instrText>
      </w:r>
      <w:r w:rsidR="00071C60" w:rsidRPr="004E053C">
        <w:rPr>
          <w:rFonts w:cstheme="majorHAnsi"/>
          <w:sz w:val="22"/>
          <w:szCs w:val="22"/>
          <w:lang w:val="en-GB"/>
        </w:rPr>
        <w:fldChar w:fldCharType="separate"/>
      </w:r>
      <w:r w:rsidR="00071C60" w:rsidRPr="004E053C">
        <w:rPr>
          <w:rFonts w:cstheme="majorHAnsi"/>
          <w:noProof/>
          <w:sz w:val="22"/>
          <w:szCs w:val="22"/>
          <w:lang w:val="en-GB"/>
        </w:rPr>
        <w:t>(2008)</w:t>
      </w:r>
      <w:r w:rsidR="00071C60" w:rsidRPr="004E053C">
        <w:rPr>
          <w:rFonts w:cstheme="majorHAnsi"/>
          <w:sz w:val="22"/>
          <w:szCs w:val="22"/>
          <w:lang w:val="en-GB"/>
        </w:rPr>
        <w:fldChar w:fldCharType="end"/>
      </w:r>
      <w:r w:rsidR="00071C60" w:rsidRPr="004E053C">
        <w:rPr>
          <w:rFonts w:cstheme="majorHAnsi"/>
          <w:sz w:val="22"/>
          <w:szCs w:val="22"/>
          <w:lang w:val="en-GB"/>
        </w:rPr>
        <w:t xml:space="preserve"> </w:t>
      </w:r>
      <w:r w:rsidRPr="004E053C">
        <w:rPr>
          <w:rFonts w:cstheme="majorHAnsi"/>
          <w:color w:val="000000"/>
          <w:sz w:val="22"/>
          <w:szCs w:val="22"/>
          <w:lang w:val="en-GB"/>
        </w:rPr>
        <w:t xml:space="preserve">digram, the dotted blue square in the middle represents the transntional community, which he views as all those people actively engaged in transnational practices. In my </w:t>
      </w:r>
      <w:r w:rsidR="00F368AD" w:rsidRPr="004E053C">
        <w:rPr>
          <w:rFonts w:cstheme="majorHAnsi"/>
          <w:color w:val="000000"/>
          <w:sz w:val="22"/>
          <w:szCs w:val="22"/>
          <w:lang w:val="en-GB"/>
        </w:rPr>
        <w:t>conceptualisation,</w:t>
      </w:r>
      <w:r w:rsidRPr="004E053C">
        <w:rPr>
          <w:rFonts w:cstheme="majorHAnsi"/>
          <w:color w:val="000000"/>
          <w:sz w:val="22"/>
          <w:szCs w:val="22"/>
          <w:lang w:val="en-GB"/>
        </w:rPr>
        <w:t xml:space="preserve"> </w:t>
      </w:r>
      <w:r w:rsidR="00F368AD" w:rsidRPr="004E053C">
        <w:rPr>
          <w:rFonts w:cstheme="majorHAnsi"/>
          <w:color w:val="000000"/>
          <w:sz w:val="22"/>
          <w:szCs w:val="22"/>
          <w:lang w:val="en-GB"/>
        </w:rPr>
        <w:t>the dotted blue square</w:t>
      </w:r>
      <w:r w:rsidRPr="004E053C">
        <w:rPr>
          <w:rFonts w:cstheme="majorHAnsi"/>
          <w:color w:val="000000"/>
          <w:sz w:val="22"/>
          <w:szCs w:val="22"/>
          <w:lang w:val="en-GB"/>
        </w:rPr>
        <w:t xml:space="preserve"> re</w:t>
      </w:r>
      <w:r w:rsidR="001D64A8" w:rsidRPr="004E053C">
        <w:rPr>
          <w:rFonts w:cstheme="majorHAnsi"/>
          <w:color w:val="000000"/>
          <w:sz w:val="22"/>
          <w:szCs w:val="22"/>
          <w:lang w:val="en-GB"/>
        </w:rPr>
        <w:t xml:space="preserve">presents translocal households. Note that not all of these households are based in the same community of origin, as there are a plurality of locations represented here. </w:t>
      </w:r>
      <w:r w:rsidRPr="004E053C">
        <w:rPr>
          <w:rFonts w:cstheme="majorHAnsi"/>
          <w:color w:val="000000"/>
          <w:sz w:val="22"/>
          <w:szCs w:val="22"/>
          <w:lang w:val="en-GB"/>
        </w:rPr>
        <w:t>While members of these households are</w:t>
      </w:r>
      <w:r w:rsidR="00F368AD" w:rsidRPr="004E053C">
        <w:rPr>
          <w:rFonts w:cstheme="majorHAnsi"/>
          <w:color w:val="000000"/>
          <w:sz w:val="22"/>
          <w:szCs w:val="22"/>
          <w:lang w:val="en-GB"/>
        </w:rPr>
        <w:t xml:space="preserve"> actively managing their </w:t>
      </w:r>
      <w:r w:rsidR="00F368AD" w:rsidRPr="004E053C">
        <w:rPr>
          <w:rFonts w:cstheme="majorHAnsi"/>
          <w:color w:val="000000"/>
          <w:sz w:val="22"/>
          <w:szCs w:val="22"/>
          <w:lang w:val="en-GB"/>
        </w:rPr>
        <w:lastRenderedPageBreak/>
        <w:t>liveli</w:t>
      </w:r>
      <w:r w:rsidRPr="004E053C">
        <w:rPr>
          <w:rFonts w:cstheme="majorHAnsi"/>
          <w:color w:val="000000"/>
          <w:sz w:val="22"/>
          <w:szCs w:val="22"/>
          <w:lang w:val="en-GB"/>
        </w:rPr>
        <w:t xml:space="preserve">hoods translocally, I see their non-migrant neighbors </w:t>
      </w:r>
      <w:r w:rsidR="00F368AD" w:rsidRPr="004E053C">
        <w:rPr>
          <w:rFonts w:cstheme="majorHAnsi"/>
          <w:color w:val="000000"/>
          <w:sz w:val="22"/>
          <w:szCs w:val="22"/>
          <w:lang w:val="en-GB"/>
        </w:rPr>
        <w:t xml:space="preserve">as </w:t>
      </w:r>
      <w:r w:rsidRPr="004E053C">
        <w:rPr>
          <w:rFonts w:cstheme="majorHAnsi"/>
          <w:color w:val="000000"/>
          <w:sz w:val="22"/>
          <w:szCs w:val="22"/>
          <w:lang w:val="en-GB"/>
        </w:rPr>
        <w:t>also being important members of the translocal community. Henc</w:t>
      </w:r>
      <w:r w:rsidR="00F368AD" w:rsidRPr="004E053C">
        <w:rPr>
          <w:rFonts w:cstheme="majorHAnsi"/>
          <w:color w:val="000000"/>
          <w:sz w:val="22"/>
          <w:szCs w:val="22"/>
          <w:lang w:val="en-GB"/>
        </w:rPr>
        <w:t xml:space="preserve">e, the second adaption from Carling’s </w:t>
      </w:r>
      <w:r w:rsidRPr="004E053C">
        <w:rPr>
          <w:rFonts w:cstheme="majorHAnsi"/>
          <w:color w:val="000000"/>
          <w:sz w:val="22"/>
          <w:szCs w:val="22"/>
          <w:lang w:val="en-GB"/>
        </w:rPr>
        <w:t>diagram is that what constitutes the translocal</w:t>
      </w:r>
      <w:r w:rsidR="00F368AD" w:rsidRPr="004E053C">
        <w:rPr>
          <w:rFonts w:cstheme="majorHAnsi"/>
          <w:color w:val="000000"/>
          <w:sz w:val="22"/>
          <w:szCs w:val="22"/>
          <w:lang w:val="en-GB"/>
        </w:rPr>
        <w:t xml:space="preserve"> social field is much broader than Carling’s transational social field.</w:t>
      </w:r>
      <w:r w:rsidRPr="004E053C">
        <w:rPr>
          <w:rFonts w:cstheme="majorHAnsi"/>
          <w:color w:val="000000"/>
          <w:sz w:val="22"/>
          <w:szCs w:val="22"/>
          <w:lang w:val="en-GB"/>
        </w:rPr>
        <w:t xml:space="preserve"> </w:t>
      </w:r>
      <w:r w:rsidR="00F368AD" w:rsidRPr="004E053C">
        <w:rPr>
          <w:rFonts w:cstheme="majorHAnsi"/>
          <w:color w:val="000000"/>
          <w:sz w:val="22"/>
          <w:szCs w:val="22"/>
          <w:lang w:val="en-GB"/>
        </w:rPr>
        <w:t xml:space="preserve">A third difference is that Carling </w:t>
      </w:r>
      <w:r w:rsidRPr="004E053C">
        <w:rPr>
          <w:rFonts w:cstheme="majorHAnsi"/>
          <w:color w:val="000000"/>
          <w:sz w:val="22"/>
          <w:szCs w:val="22"/>
          <w:lang w:val="en-GB"/>
        </w:rPr>
        <w:t xml:space="preserve">refers to countries of origin and destination, whereas here </w:t>
      </w:r>
      <w:r w:rsidR="00F368AD" w:rsidRPr="004E053C">
        <w:rPr>
          <w:rFonts w:cstheme="majorHAnsi"/>
          <w:color w:val="000000"/>
          <w:sz w:val="22"/>
          <w:szCs w:val="22"/>
          <w:lang w:val="en-GB"/>
        </w:rPr>
        <w:t>the focus is</w:t>
      </w:r>
      <w:r w:rsidR="00DE5BB8" w:rsidRPr="004E053C">
        <w:rPr>
          <w:rFonts w:cstheme="majorHAnsi"/>
          <w:color w:val="000000"/>
          <w:sz w:val="22"/>
          <w:szCs w:val="22"/>
          <w:lang w:val="en-GB"/>
        </w:rPr>
        <w:t xml:space="preserve"> on communities, giving it a much more ‘zoomed-in’ focus. </w:t>
      </w:r>
      <w:r w:rsidRPr="004E053C">
        <w:rPr>
          <w:rFonts w:cstheme="majorHAnsi"/>
          <w:color w:val="000000"/>
          <w:sz w:val="22"/>
          <w:szCs w:val="22"/>
          <w:lang w:val="en-GB"/>
        </w:rPr>
        <w:t xml:space="preserve">This </w:t>
      </w:r>
      <w:r w:rsidR="00DE5BB8" w:rsidRPr="004E053C">
        <w:rPr>
          <w:rFonts w:cstheme="majorHAnsi"/>
          <w:color w:val="000000"/>
          <w:sz w:val="22"/>
          <w:szCs w:val="22"/>
          <w:lang w:val="en-GB"/>
        </w:rPr>
        <w:t>is important</w:t>
      </w:r>
      <w:r w:rsidRPr="004E053C">
        <w:rPr>
          <w:rFonts w:cstheme="majorHAnsi"/>
          <w:color w:val="000000"/>
          <w:sz w:val="22"/>
          <w:szCs w:val="22"/>
          <w:lang w:val="en-GB"/>
        </w:rPr>
        <w:t>, as the non-migrants in either</w:t>
      </w:r>
      <w:r w:rsidR="001D64A8" w:rsidRPr="004E053C">
        <w:rPr>
          <w:rFonts w:cstheme="majorHAnsi"/>
          <w:color w:val="000000"/>
          <w:sz w:val="22"/>
          <w:szCs w:val="22"/>
          <w:lang w:val="en-GB"/>
        </w:rPr>
        <w:t xml:space="preserve"> groups of </w:t>
      </w:r>
      <w:r w:rsidRPr="004E053C">
        <w:rPr>
          <w:rFonts w:cstheme="majorHAnsi"/>
          <w:color w:val="000000"/>
          <w:sz w:val="22"/>
          <w:szCs w:val="22"/>
          <w:lang w:val="en-GB"/>
        </w:rPr>
        <w:t xml:space="preserve">location are more likely to be affected by the number </w:t>
      </w:r>
      <w:r w:rsidR="00F368AD" w:rsidRPr="004E053C">
        <w:rPr>
          <w:rFonts w:cstheme="majorHAnsi"/>
          <w:color w:val="000000"/>
          <w:sz w:val="22"/>
          <w:szCs w:val="22"/>
          <w:lang w:val="en-GB"/>
        </w:rPr>
        <w:t>of people leaving or arriving in</w:t>
      </w:r>
      <w:r w:rsidRPr="004E053C">
        <w:rPr>
          <w:rFonts w:cstheme="majorHAnsi"/>
          <w:color w:val="000000"/>
          <w:sz w:val="22"/>
          <w:szCs w:val="22"/>
          <w:lang w:val="en-GB"/>
        </w:rPr>
        <w:t xml:space="preserve"> their locality, even if they are not personally part of a translocal household. </w:t>
      </w:r>
      <w:r w:rsidR="00F368AD" w:rsidRPr="004E053C">
        <w:rPr>
          <w:rFonts w:cstheme="majorHAnsi"/>
          <w:color w:val="000000"/>
          <w:sz w:val="22"/>
          <w:szCs w:val="22"/>
          <w:lang w:val="en-GB"/>
        </w:rPr>
        <w:t xml:space="preserve">The final difference is that </w:t>
      </w:r>
      <w:r w:rsidR="0035723F" w:rsidRPr="004E053C">
        <w:rPr>
          <w:rFonts w:cstheme="majorHAnsi"/>
          <w:color w:val="000000"/>
          <w:sz w:val="22"/>
          <w:szCs w:val="22"/>
          <w:lang w:val="en-GB"/>
        </w:rPr>
        <w:t xml:space="preserve">in the destination community, I have made reference to ‘settled migrants’ rather than ‘non-migrants’. This is because, as I will show in the following chapter, </w:t>
      </w:r>
      <w:r w:rsidR="00DE5BB8" w:rsidRPr="004E053C">
        <w:rPr>
          <w:rFonts w:cstheme="majorHAnsi"/>
          <w:color w:val="000000"/>
          <w:sz w:val="22"/>
          <w:szCs w:val="22"/>
          <w:lang w:val="en-GB"/>
        </w:rPr>
        <w:t>artisanal gold mining settlements in Peru</w:t>
      </w:r>
      <w:r w:rsidR="0035723F" w:rsidRPr="004E053C">
        <w:rPr>
          <w:rFonts w:cstheme="majorHAnsi"/>
          <w:color w:val="000000"/>
          <w:sz w:val="22"/>
          <w:szCs w:val="22"/>
          <w:lang w:val="en-GB"/>
        </w:rPr>
        <w:t xml:space="preserve"> are populated almost exclusively by migrants. The difference is that some have settled, while others remain translocal. </w:t>
      </w:r>
    </w:p>
    <w:p w14:paraId="08786CFF" w14:textId="77777777" w:rsidR="00FE47C4" w:rsidRPr="004E053C" w:rsidRDefault="00FE47C4" w:rsidP="004E053C">
      <w:pPr>
        <w:spacing w:line="360" w:lineRule="auto"/>
        <w:jc w:val="both"/>
        <w:rPr>
          <w:rFonts w:cstheme="majorHAnsi"/>
          <w:color w:val="FF0000"/>
          <w:sz w:val="22"/>
          <w:szCs w:val="22"/>
          <w:lang w:val="en-GB"/>
        </w:rPr>
      </w:pPr>
    </w:p>
    <w:p w14:paraId="0EFA231E" w14:textId="1DAA5B86" w:rsidR="00FE47C4" w:rsidRPr="004E053C" w:rsidRDefault="00FE47C4" w:rsidP="004E053C">
      <w:pPr>
        <w:spacing w:line="360" w:lineRule="auto"/>
        <w:jc w:val="both"/>
        <w:rPr>
          <w:rFonts w:cstheme="majorHAnsi"/>
          <w:color w:val="000000"/>
          <w:sz w:val="22"/>
          <w:szCs w:val="22"/>
          <w:lang w:val="en-GB"/>
        </w:rPr>
      </w:pPr>
      <w:r w:rsidRPr="004E053C">
        <w:rPr>
          <w:rFonts w:cstheme="majorHAnsi"/>
          <w:sz w:val="22"/>
          <w:szCs w:val="22"/>
          <w:lang w:val="en-GB"/>
        </w:rPr>
        <w:t xml:space="preserve">In this section, I have started to discuss how people within the translocal ASM community, are not homogenous. The patterns of migration can vary spatially (moving between more locations and/or with different frequency) but also temporally (not for the same duration of time overall). To my mind, these aspects of translocality have been under-theorised in the literature. </w:t>
      </w:r>
      <w:r w:rsidR="0078274D" w:rsidRPr="004E053C">
        <w:rPr>
          <w:rFonts w:cstheme="majorHAnsi"/>
          <w:color w:val="000000"/>
          <w:sz w:val="22"/>
          <w:szCs w:val="22"/>
          <w:lang w:val="en-GB"/>
        </w:rPr>
        <w:t xml:space="preserve">This is important because the divergent livelihood trajectories and the varying temporality of individual translocality </w:t>
      </w:r>
      <w:r w:rsidR="00FC2BC1" w:rsidRPr="004E053C">
        <w:rPr>
          <w:rFonts w:cstheme="majorHAnsi"/>
          <w:color w:val="000000"/>
          <w:sz w:val="22"/>
          <w:szCs w:val="22"/>
          <w:lang w:val="en-GB"/>
        </w:rPr>
        <w:t>are likely to</w:t>
      </w:r>
      <w:r w:rsidR="0078274D" w:rsidRPr="004E053C">
        <w:rPr>
          <w:rFonts w:cstheme="majorHAnsi"/>
          <w:color w:val="000000"/>
          <w:sz w:val="22"/>
          <w:szCs w:val="22"/>
          <w:lang w:val="en-GB"/>
        </w:rPr>
        <w:t xml:space="preserve"> have an influence over one’s relative position within the social field. </w:t>
      </w:r>
      <w:r w:rsidRPr="004E053C">
        <w:rPr>
          <w:rFonts w:cstheme="majorHAnsi"/>
          <w:sz w:val="22"/>
          <w:szCs w:val="22"/>
          <w:lang w:val="en-GB"/>
        </w:rPr>
        <w:t>There also appears to be little attempt to understand how households pursuing different livelihood strategies may interact in the social fiel</w:t>
      </w:r>
      <w:r w:rsidR="00FC2BC1" w:rsidRPr="004E053C">
        <w:rPr>
          <w:rFonts w:cstheme="majorHAnsi"/>
          <w:sz w:val="22"/>
          <w:szCs w:val="22"/>
          <w:lang w:val="en-GB"/>
        </w:rPr>
        <w:t xml:space="preserve">ds within which they exist. Taking the diagram in figure 2 as a model for the translocal social field of ASM, the </w:t>
      </w:r>
      <w:r w:rsidRPr="004E053C">
        <w:rPr>
          <w:rFonts w:cstheme="majorHAnsi"/>
          <w:sz w:val="22"/>
          <w:szCs w:val="22"/>
          <w:lang w:val="en-GB"/>
        </w:rPr>
        <w:t xml:space="preserve">next section will begin to consider what these </w:t>
      </w:r>
      <w:r w:rsidR="00FC2BC1" w:rsidRPr="004E053C">
        <w:rPr>
          <w:rFonts w:cstheme="majorHAnsi"/>
          <w:sz w:val="22"/>
          <w:szCs w:val="22"/>
          <w:lang w:val="en-GB"/>
        </w:rPr>
        <w:t xml:space="preserve">varying temporalities </w:t>
      </w:r>
      <w:r w:rsidRPr="004E053C">
        <w:rPr>
          <w:rFonts w:cstheme="majorHAnsi"/>
          <w:sz w:val="22"/>
          <w:szCs w:val="22"/>
          <w:lang w:val="en-GB"/>
        </w:rPr>
        <w:t xml:space="preserve">mean for relative embeddedness and place attachment. </w:t>
      </w:r>
    </w:p>
    <w:p w14:paraId="2D21FD62" w14:textId="77777777" w:rsidR="00FE47C4" w:rsidRPr="004E053C" w:rsidRDefault="00FE47C4" w:rsidP="004E053C">
      <w:pPr>
        <w:spacing w:line="360" w:lineRule="auto"/>
        <w:jc w:val="both"/>
        <w:rPr>
          <w:rFonts w:cstheme="majorHAnsi"/>
          <w:b/>
          <w:bCs/>
          <w:sz w:val="22"/>
          <w:szCs w:val="22"/>
          <w:lang w:val="en-GB" w:eastAsia="zh-CN"/>
        </w:rPr>
      </w:pPr>
    </w:p>
    <w:p w14:paraId="0C025705" w14:textId="7159C604" w:rsidR="00FE47C4" w:rsidRPr="004E053C" w:rsidRDefault="00EA7F83" w:rsidP="004E053C">
      <w:pPr>
        <w:pStyle w:val="Heading2"/>
        <w:spacing w:before="0" w:line="360" w:lineRule="auto"/>
        <w:jc w:val="both"/>
        <w:rPr>
          <w:rFonts w:cstheme="majorHAnsi"/>
          <w:lang w:val="en-GB" w:eastAsia="zh-CN"/>
        </w:rPr>
      </w:pPr>
      <w:bookmarkStart w:id="48" w:name="_Toc33293094"/>
      <w:r w:rsidRPr="004E053C">
        <w:rPr>
          <w:rFonts w:cstheme="majorHAnsi"/>
          <w:lang w:val="en-GB" w:eastAsia="zh-CN"/>
        </w:rPr>
        <w:t>4</w:t>
      </w:r>
      <w:r w:rsidR="004A3EF1" w:rsidRPr="004E053C">
        <w:rPr>
          <w:rFonts w:cstheme="majorHAnsi"/>
          <w:lang w:val="en-GB" w:eastAsia="zh-CN"/>
        </w:rPr>
        <w:t>.4. The significance of p</w:t>
      </w:r>
      <w:r w:rsidR="00FE47C4" w:rsidRPr="004E053C">
        <w:rPr>
          <w:rFonts w:cstheme="majorHAnsi"/>
          <w:lang w:val="en-GB" w:eastAsia="zh-CN"/>
        </w:rPr>
        <w:t>lace</w:t>
      </w:r>
      <w:bookmarkEnd w:id="48"/>
    </w:p>
    <w:p w14:paraId="50D11A0E" w14:textId="77777777" w:rsidR="00FE47C4" w:rsidRPr="004E053C" w:rsidRDefault="00FE47C4" w:rsidP="004E053C">
      <w:pPr>
        <w:spacing w:line="360" w:lineRule="auto"/>
        <w:jc w:val="both"/>
        <w:rPr>
          <w:rFonts w:cstheme="majorHAnsi"/>
          <w:lang w:val="en-GB" w:eastAsia="zh-CN"/>
        </w:rPr>
      </w:pPr>
    </w:p>
    <w:p w14:paraId="00E1709E" w14:textId="7E1A171B"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The </w:t>
      </w:r>
      <w:r w:rsidR="00EA7F83" w:rsidRPr="004E053C">
        <w:rPr>
          <w:rFonts w:cstheme="majorHAnsi"/>
          <w:sz w:val="22"/>
          <w:szCs w:val="22"/>
          <w:lang w:val="en-GB"/>
        </w:rPr>
        <w:t>focus on</w:t>
      </w:r>
      <w:r w:rsidRPr="004E053C">
        <w:rPr>
          <w:rFonts w:cstheme="majorHAnsi"/>
          <w:sz w:val="22"/>
          <w:szCs w:val="22"/>
          <w:lang w:val="en-GB"/>
        </w:rPr>
        <w:t xml:space="preserve"> translocality </w:t>
      </w:r>
      <w:r w:rsidR="00EA7F83" w:rsidRPr="004E053C">
        <w:rPr>
          <w:rFonts w:cstheme="majorHAnsi"/>
          <w:sz w:val="22"/>
          <w:szCs w:val="22"/>
          <w:lang w:val="en-GB"/>
        </w:rPr>
        <w:t xml:space="preserve">is </w:t>
      </w:r>
      <w:r w:rsidRPr="004E053C">
        <w:rPr>
          <w:rFonts w:cstheme="majorHAnsi"/>
          <w:sz w:val="22"/>
          <w:szCs w:val="22"/>
          <w:lang w:val="en-GB"/>
        </w:rPr>
        <w:t xml:space="preserve">not meant to lose sight of the importance of place, particularly in terms of identity and attachment. As Friedland and Boden </w:t>
      </w:r>
      <w:r w:rsidR="00C31ABE"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Friedland","given":"R","non-dropping-particle":"","parse-names":false,"suffix":""},{"dropping-particle":"","family":"Boden","given":"D","non-dropping-particle":"","parse-names":false,"suffix":""}],"id":"ITEM-1","issued":{"date-parts":[["1994"]]},"publisher":"University of California Press","publisher-place":"Berkeley","title":"NowHere: Space, Time and Modernity","type":"book"},"uris":["http://www.mendeley.com/documents/?uuid=3b2d0255-69df-4157-8ab7-3e19a9aec8fb","http://www.mendeley.com/documents/?uuid=32852ec3-8d11-47b3-ab33-370c3d65e7ee"]}],"mendeley":{"formattedCitation":"(Friedland &amp; Boden, 1994)","manualFormatting":"(1994)","plainTextFormattedCitation":"(Friedland &amp; Boden, 1994)","previouslyFormattedCitation":"(Friedland &amp; Boden, 1994)"},"properties":{"noteIndex":0},"schema":"https://github.com/citation-style-language/schema/raw/master/csl-citation.json"}</w:instrText>
      </w:r>
      <w:r w:rsidR="00C31ABE" w:rsidRPr="004E053C">
        <w:rPr>
          <w:rFonts w:cstheme="majorHAnsi"/>
          <w:sz w:val="22"/>
          <w:szCs w:val="22"/>
          <w:lang w:val="en-GB"/>
        </w:rPr>
        <w:fldChar w:fldCharType="separate"/>
      </w:r>
      <w:r w:rsidR="00C31ABE" w:rsidRPr="004E053C">
        <w:rPr>
          <w:rFonts w:cstheme="majorHAnsi"/>
          <w:noProof/>
          <w:sz w:val="22"/>
          <w:szCs w:val="22"/>
          <w:lang w:val="en-GB"/>
        </w:rPr>
        <w:t>(1994)</w:t>
      </w:r>
      <w:r w:rsidR="00C31ABE" w:rsidRPr="004E053C">
        <w:rPr>
          <w:rFonts w:cstheme="majorHAnsi"/>
          <w:sz w:val="22"/>
          <w:szCs w:val="22"/>
          <w:lang w:val="en-GB"/>
        </w:rPr>
        <w:fldChar w:fldCharType="end"/>
      </w:r>
      <w:r w:rsidRPr="004E053C">
        <w:rPr>
          <w:rFonts w:cstheme="majorHAnsi"/>
          <w:sz w:val="22"/>
          <w:szCs w:val="22"/>
          <w:lang w:val="en-GB"/>
        </w:rPr>
        <w:t xml:space="preserve"> point out, in spite of increasing human mobility, place persists as a constituent element of social life and historical change. Place is important to this study for several reasons. The first is that Peru, and particularly the regions in the Andes and Amazon, exists on the periphery of the global capitalist economy and development has thus been hindered by colonial processes of accumulation and primary resource extraction</w:t>
      </w:r>
      <w:r w:rsidR="00C31ABE" w:rsidRPr="004E053C">
        <w:rPr>
          <w:rFonts w:cstheme="majorHAnsi"/>
          <w:sz w:val="22"/>
          <w:szCs w:val="22"/>
          <w:lang w:val="en-GB"/>
        </w:rPr>
        <w:t xml:space="preserve"> </w:t>
      </w:r>
      <w:r w:rsidR="00C31ABE" w:rsidRPr="004E053C">
        <w:rPr>
          <w:rFonts w:cstheme="majorHAnsi"/>
          <w:sz w:val="22"/>
          <w:szCs w:val="22"/>
          <w:lang w:val="en-GB"/>
        </w:rPr>
        <w:fldChar w:fldCharType="begin" w:fldLock="1"/>
      </w:r>
      <w:r w:rsidR="00517F61" w:rsidRPr="004E053C">
        <w:rPr>
          <w:rFonts w:cstheme="majorHAnsi"/>
          <w:sz w:val="22"/>
          <w:szCs w:val="22"/>
          <w:lang w:val="en-GB"/>
        </w:rPr>
        <w:instrText>ADDIN CSL_CITATION {"citationItems":[{"id":"ITEM-1","itemData":{"abstract":"The extraction of minerals, oil and gas has a long and ambiguous history in development processes – in North America, Europe, Latin America and Australasia. Extraction has yielded wealth, regional identities and in some cases capital for industrialization. In other cases its main heritages have been social conflict, environmental damage and underperforming national economies. As the extractive economy has entered another boom period over the last decade, not least in Latin America, the countries in which this boom is occurring are challenged to interpret this ambiguity. Will the extractive industry yield, for them, economic development, or will its main gifts be ones of conflict, degradation and unequal forms of growth.","author":[{"dropping-particle":"","family":"Bebbington","given":"Anthony","non-dropping-particle":"","parse-names":false,"suffix":""}],"id":"ITEM-1","issued":{"date-parts":[["2011"]]},"number-of-pages":"258","title":"Social Conflict, Economic Development and Extractive Industry: Evidence from South America","type":"book"},"uris":["http://www.mendeley.com/documents/?uuid=81fa501e-2549-4623-908e-76e796de9056"]},{"id":"ITEM-2","itemData":{"author":[{"dropping-particle":"","family":"Wallerstein","given":"Immanuel","non-dropping-particle":"","parse-names":false,"suffix":""}],"id":"ITEM-2","issued":{"date-parts":[["1974"]]},"publisher":"Academic Press","publisher-place":"New York, NY","title":"The Modern World System","type":"book"},"uris":["http://www.mendeley.com/documents/?uuid=ef532f8d-4c5f-4db7-aec3-bcfcf8a1308c"]},{"id":"ITEM-3","itemData":{"author":[{"dropping-particle":"","family":"Galeano","given":"Eduardo","non-dropping-particle":"","parse-names":false,"suffix":""}],"id":"ITEM-3","issued":{"date-parts":[["1971"]]},"publisher":"Monthly Review Press","publisher-place":"New York, NY","title":"Open Veins of Latin America: Five Centuries of the Pillage of a Continent","type":"book"},"uris":["http://www.mendeley.com/documents/?uuid=41746be1-4da2-4607-88d4-915b5d8aa604"]}],"mendeley":{"formattedCitation":"(Bebbington, 2011; Galeano, 1971; Wallerstein, 1974)","manualFormatting":"(Bebbington, 2011; Galeano, 1971; Wallerstein, 1974)","plainTextFormattedCitation":"(Bebbington, 2011; Galeano, 1971; Wallerstein, 1974)","previouslyFormattedCitation":"(Bebbington, 2011; Galeano, 1971; Wallerstein, 1974)"},"properties":{"noteIndex":0},"schema":"https://github.com/citation-style-language/schema/raw/master/csl-citation.json"}</w:instrText>
      </w:r>
      <w:r w:rsidR="00C31ABE" w:rsidRPr="004E053C">
        <w:rPr>
          <w:rFonts w:cstheme="majorHAnsi"/>
          <w:sz w:val="22"/>
          <w:szCs w:val="22"/>
          <w:lang w:val="en-GB"/>
        </w:rPr>
        <w:fldChar w:fldCharType="separate"/>
      </w:r>
      <w:r w:rsidR="00C31ABE" w:rsidRPr="004E053C">
        <w:rPr>
          <w:rFonts w:cstheme="majorHAnsi"/>
          <w:noProof/>
          <w:sz w:val="22"/>
          <w:szCs w:val="22"/>
          <w:lang w:val="en-GB"/>
        </w:rPr>
        <w:t>(Bebbington, 2011; Galeano, 1971; Wallerstein, 1974)</w:t>
      </w:r>
      <w:r w:rsidR="00C31ABE" w:rsidRPr="004E053C">
        <w:rPr>
          <w:rFonts w:cstheme="majorHAnsi"/>
          <w:sz w:val="22"/>
          <w:szCs w:val="22"/>
          <w:lang w:val="en-GB"/>
        </w:rPr>
        <w:fldChar w:fldCharType="end"/>
      </w:r>
      <w:r w:rsidRPr="004E053C">
        <w:rPr>
          <w:rFonts w:cstheme="majorHAnsi"/>
          <w:sz w:val="22"/>
          <w:szCs w:val="22"/>
          <w:lang w:val="en-GB"/>
        </w:rPr>
        <w:t xml:space="preserve">. Secondly, the Andes and Amazon both exist on the periphery of the Peruvian state’s development, which has long been dominated by the coastal region </w:t>
      </w:r>
      <w:r w:rsidR="00C31ABE" w:rsidRPr="004E053C">
        <w:rPr>
          <w:rFonts w:cstheme="majorHAnsi"/>
          <w:sz w:val="22"/>
          <w:szCs w:val="22"/>
          <w:lang w:val="en-GB"/>
        </w:rPr>
        <w:fldChar w:fldCharType="begin" w:fldLock="1"/>
      </w:r>
      <w:r w:rsidR="00517F61" w:rsidRPr="004E053C">
        <w:rPr>
          <w:rFonts w:cstheme="majorHAnsi"/>
          <w:sz w:val="22"/>
          <w:szCs w:val="22"/>
          <w:lang w:val="en-GB"/>
        </w:rPr>
        <w:instrText>ADDIN CSL_CITATION {"citationItems":[{"id":"ITEM-1","itemData":{"abstract":"The extraction of minerals, oil and gas has a long and ambiguous history in development processes – in North America, Europe, Latin America and Australasia. Extraction has yielded wealth, regional identities and in some cases capital for industrialization. In other cases its main heritages have been social conflict, environmental damage and underperforming national economies. As the extractive economy has entered another boom period over the last decade, not least in Latin America, the countries in which this boom is occurring are challenged to interpret this ambiguity. Will the extractive industry yield, for them, economic development, or will its main gifts be ones of conflict, degradation and unequal forms of growth.","author":[{"dropping-particle":"","family":"Bebbington","given":"Anthony","non-dropping-particle":"","parse-names":false,"suffix":""}],"id":"ITEM-1","issued":{"date-parts":[["2011"]]},"number-of-pages":"258","title":"Social Conflict, Economic Development and Extractive Industry: Evidence from South America","type":"book"},"uris":["http://www.mendeley.com/documents/?uuid=81fa501e-2549-4623-908e-76e796de9056"]}],"mendeley":{"formattedCitation":"(Bebbington, 2011)","manualFormatting":"(Bebbington, 2011)","plainTextFormattedCitation":"(Bebbington, 2011)","previouslyFormattedCitation":"(Bebbington, 2011)"},"properties":{"noteIndex":0},"schema":"https://github.com/citation-style-language/schema/raw/master/csl-citation.json"}</w:instrText>
      </w:r>
      <w:r w:rsidR="00C31ABE" w:rsidRPr="004E053C">
        <w:rPr>
          <w:rFonts w:cstheme="majorHAnsi"/>
          <w:sz w:val="22"/>
          <w:szCs w:val="22"/>
          <w:lang w:val="en-GB"/>
        </w:rPr>
        <w:fldChar w:fldCharType="separate"/>
      </w:r>
      <w:r w:rsidR="00C31ABE" w:rsidRPr="004E053C">
        <w:rPr>
          <w:rFonts w:cstheme="majorHAnsi"/>
          <w:noProof/>
          <w:sz w:val="22"/>
          <w:szCs w:val="22"/>
          <w:lang w:val="en-GB"/>
        </w:rPr>
        <w:t>(Bebbington, 2011)</w:t>
      </w:r>
      <w:r w:rsidR="00C31ABE" w:rsidRPr="004E053C">
        <w:rPr>
          <w:rFonts w:cstheme="majorHAnsi"/>
          <w:sz w:val="22"/>
          <w:szCs w:val="22"/>
          <w:lang w:val="en-GB"/>
        </w:rPr>
        <w:fldChar w:fldCharType="end"/>
      </w:r>
      <w:r w:rsidRPr="004E053C">
        <w:rPr>
          <w:rFonts w:cstheme="majorHAnsi"/>
          <w:sz w:val="22"/>
          <w:szCs w:val="22"/>
          <w:lang w:val="en-GB"/>
        </w:rPr>
        <w:t xml:space="preserve">. This has been associated with growing inequality along </w:t>
      </w:r>
      <w:r w:rsidRPr="004E053C">
        <w:rPr>
          <w:rFonts w:cstheme="majorHAnsi"/>
          <w:sz w:val="22"/>
          <w:szCs w:val="22"/>
          <w:lang w:val="en-GB"/>
        </w:rPr>
        <w:lastRenderedPageBreak/>
        <w:t xml:space="preserve">geographical divides </w:t>
      </w:r>
      <w:r w:rsidR="00C31ABE" w:rsidRPr="004E053C">
        <w:rPr>
          <w:rFonts w:cstheme="majorHAnsi"/>
          <w:sz w:val="22"/>
          <w:szCs w:val="22"/>
          <w:lang w:val="en-GB"/>
        </w:rPr>
        <w:fldChar w:fldCharType="begin" w:fldLock="1"/>
      </w:r>
      <w:r w:rsidR="00C31ABE" w:rsidRPr="004E053C">
        <w:rPr>
          <w:rFonts w:cstheme="majorHAnsi"/>
          <w:sz w:val="22"/>
          <w:szCs w:val="22"/>
          <w:lang w:val="en-GB"/>
        </w:rPr>
        <w:instrText>ADDIN CSL_CITATION {"citationItems":[{"id":"ITEM-1","itemData":{"author":[{"dropping-particle":"","family":"Paz","given":"Peter","non-dropping-particle":"","parse-names":false,"suffix":""},{"dropping-particle":"","family":"Urrutia","given":"Carlos","non-dropping-particle":"","parse-names":false,"suffix":""}],"container-title":"Review of Development Economics","id":"ITEM-1","issue":"2","issued":{"date-parts":[["2015"]]},"page":"328-345","title":"Economic Growth and Wage Stagnation in Peru: 1998-2012","type":"article-journal","volume":"19"},"uris":["http://www.mendeley.com/documents/?uuid=de916940-7336-4fa5-a1c1-87b9e88979ee"]},{"id":"ITEM-2","itemData":{"author":[{"dropping-particle":"","family":"Kellett","given":"Nicole Coffey","non-dropping-particle":"","parse-names":false,"suffix":""}],"container-title":"Ethnology","id":"ITEM-2","issue":"3","issued":{"date-parts":[["2011"]]},"page":"59-78","title":"Microfinance and Economic Inequality in the Peruvian Highlands","type":"article-journal","volume":"50"},"uris":["http://www.mendeley.com/documents/?uuid=2ecdae81-ea28-475c-b2d2-8a31809f4d96"]}],"mendeley":{"formattedCitation":"(Kellett, 2011; Paz &amp; Urrutia, 2015)","plainTextFormattedCitation":"(Kellett, 2011; Paz &amp; Urrutia, 2015)","previouslyFormattedCitation":"(Kellett, 2011; Paz &amp; Urrutia, 2015)"},"properties":{"noteIndex":0},"schema":"https://github.com/citation-style-language/schema/raw/master/csl-citation.json"}</w:instrText>
      </w:r>
      <w:r w:rsidR="00C31ABE" w:rsidRPr="004E053C">
        <w:rPr>
          <w:rFonts w:cstheme="majorHAnsi"/>
          <w:sz w:val="22"/>
          <w:szCs w:val="22"/>
          <w:lang w:val="en-GB"/>
        </w:rPr>
        <w:fldChar w:fldCharType="separate"/>
      </w:r>
      <w:r w:rsidR="00C31ABE" w:rsidRPr="004E053C">
        <w:rPr>
          <w:rFonts w:cstheme="majorHAnsi"/>
          <w:noProof/>
          <w:sz w:val="22"/>
          <w:szCs w:val="22"/>
          <w:lang w:val="en-GB"/>
        </w:rPr>
        <w:t>(Kellett, 2011; Paz &amp; Urrutia, 2015)</w:t>
      </w:r>
      <w:r w:rsidR="00C31ABE" w:rsidRPr="004E053C">
        <w:rPr>
          <w:rFonts w:cstheme="majorHAnsi"/>
          <w:sz w:val="22"/>
          <w:szCs w:val="22"/>
          <w:lang w:val="en-GB"/>
        </w:rPr>
        <w:fldChar w:fldCharType="end"/>
      </w:r>
      <w:r w:rsidRPr="004E053C">
        <w:rPr>
          <w:rFonts w:cstheme="majorHAnsi"/>
          <w:sz w:val="22"/>
          <w:szCs w:val="22"/>
          <w:lang w:val="en-GB"/>
        </w:rPr>
        <w:t xml:space="preserve">. The province of Tambopata can be thought of as a zone of expansion </w:t>
      </w:r>
      <w:r w:rsidR="00C31ABE" w:rsidRPr="004E053C">
        <w:rPr>
          <w:rFonts w:cstheme="majorHAnsi"/>
          <w:sz w:val="22"/>
          <w:szCs w:val="22"/>
          <w:lang w:val="en-GB"/>
        </w:rPr>
        <w:fldChar w:fldCharType="begin" w:fldLock="1"/>
      </w:r>
      <w:r w:rsidR="00C31ABE" w:rsidRPr="004E053C">
        <w:rPr>
          <w:rFonts w:cstheme="majorHAnsi"/>
          <w:sz w:val="22"/>
          <w:szCs w:val="22"/>
          <w:lang w:val="en-GB"/>
        </w:rPr>
        <w:instrText>ADDIN CSL_CITATION {"citationItems":[{"id":"ITEM-1","itemData":{"author":[{"dropping-particle":"","family":"Rivero","given":"Sérgio","non-dropping-particle":"","parse-names":false,"suffix":""},{"dropping-particle":"","family":"Seisdedos","given":"Paul Cooney","non-dropping-particle":"","parse-names":false,"suffix":""}],"container-title":"Capitalism Nature Socialism","id":"ITEM-1","issue":"4","issued":{"date-parts":[["2010"]]},"page":"50-71","title":"The Amazon as a Frontier of Capital Accumulation: Looking Beyond the Trees","type":"article-journal","volume":"21"},"uris":["http://www.mendeley.com/documents/?uuid=0a2b0ba8-038c-44c4-9806-3de8889090dc"]}],"mendeley":{"formattedCitation":"(Rivero &amp; Seisdedos, 2010)","plainTextFormattedCitation":"(Rivero &amp; Seisdedos, 2010)","previouslyFormattedCitation":"(Rivero &amp; Seisdedos, 2010)"},"properties":{"noteIndex":0},"schema":"https://github.com/citation-style-language/schema/raw/master/csl-citation.json"}</w:instrText>
      </w:r>
      <w:r w:rsidR="00C31ABE" w:rsidRPr="004E053C">
        <w:rPr>
          <w:rFonts w:cstheme="majorHAnsi"/>
          <w:sz w:val="22"/>
          <w:szCs w:val="22"/>
          <w:lang w:val="en-GB"/>
        </w:rPr>
        <w:fldChar w:fldCharType="separate"/>
      </w:r>
      <w:r w:rsidR="00C31ABE" w:rsidRPr="004E053C">
        <w:rPr>
          <w:rFonts w:cstheme="majorHAnsi"/>
          <w:noProof/>
          <w:sz w:val="22"/>
          <w:szCs w:val="22"/>
          <w:lang w:val="en-GB"/>
        </w:rPr>
        <w:t>(Rivero &amp; Seisdedos, 2010)</w:t>
      </w:r>
      <w:r w:rsidR="00C31ABE" w:rsidRPr="004E053C">
        <w:rPr>
          <w:rFonts w:cstheme="majorHAnsi"/>
          <w:sz w:val="22"/>
          <w:szCs w:val="22"/>
          <w:lang w:val="en-GB"/>
        </w:rPr>
        <w:fldChar w:fldCharType="end"/>
      </w:r>
      <w:r w:rsidRPr="004E053C">
        <w:rPr>
          <w:rFonts w:cstheme="majorHAnsi"/>
          <w:sz w:val="22"/>
          <w:szCs w:val="22"/>
          <w:lang w:val="en-GB"/>
        </w:rPr>
        <w:t xml:space="preserve">, an area that the Government were previously keen to colonise in order to extend the reaches of state power </w:t>
      </w:r>
      <w:r w:rsidR="00C31ABE" w:rsidRPr="004E053C">
        <w:rPr>
          <w:rFonts w:cstheme="majorHAnsi"/>
          <w:sz w:val="22"/>
          <w:szCs w:val="22"/>
          <w:lang w:val="en-GB"/>
        </w:rPr>
        <w:fldChar w:fldCharType="begin" w:fldLock="1"/>
      </w:r>
      <w:r w:rsidR="005C6ACC" w:rsidRPr="004E053C">
        <w:rPr>
          <w:rFonts w:cstheme="majorHAnsi"/>
          <w:sz w:val="22"/>
          <w:szCs w:val="22"/>
          <w:lang w:val="en-GB"/>
        </w:rPr>
        <w:instrText>ADDIN CSL_CITATION {"citationItems":[{"id":"ITEM-1","itemData":{"author":[{"dropping-particle":"","family":"Scott","given":"James C","non-dropping-particle":"","parse-names":false,"suffix":""}],"editor":[{"dropping-particle":"","family":"Yale University Press","given":"","non-dropping-particle":"","parse-names":false,"suffix":""}],"id":"ITEM-1","issued":{"date-parts":[["2009"]]},"publisher":"Yale University Press","publisher-place":"New Haven, CT","title":"The Art of Not Being Governed: An Anarchist History of Upland Southeast Asia","type":"book"},"uris":["http://www.mendeley.com/documents/?uuid=84c8dc69-5720-4d9f-9e75-dc16c1b6dbf1"]}],"mendeley":{"formattedCitation":"(J. C. Scott, 2009)","manualFormatting":"(Scott, 2009)","plainTextFormattedCitation":"(J. C. Scott, 2009)","previouslyFormattedCitation":"(J. C. Scott, 2009)"},"properties":{"noteIndex":0},"schema":"https://github.com/citation-style-language/schema/raw/master/csl-citation.json"}</w:instrText>
      </w:r>
      <w:r w:rsidR="00C31ABE" w:rsidRPr="004E053C">
        <w:rPr>
          <w:rFonts w:cstheme="majorHAnsi"/>
          <w:sz w:val="22"/>
          <w:szCs w:val="22"/>
          <w:lang w:val="en-GB"/>
        </w:rPr>
        <w:fldChar w:fldCharType="separate"/>
      </w:r>
      <w:r w:rsidR="00C31ABE" w:rsidRPr="004E053C">
        <w:rPr>
          <w:rFonts w:cstheme="majorHAnsi"/>
          <w:noProof/>
          <w:sz w:val="22"/>
          <w:szCs w:val="22"/>
          <w:lang w:val="en-GB"/>
        </w:rPr>
        <w:t>(Scott, 2009)</w:t>
      </w:r>
      <w:r w:rsidR="00C31ABE" w:rsidRPr="004E053C">
        <w:rPr>
          <w:rFonts w:cstheme="majorHAnsi"/>
          <w:sz w:val="22"/>
          <w:szCs w:val="22"/>
          <w:lang w:val="en-GB"/>
        </w:rPr>
        <w:fldChar w:fldCharType="end"/>
      </w:r>
      <w:r w:rsidRPr="004E053C">
        <w:rPr>
          <w:rFonts w:cstheme="majorHAnsi"/>
          <w:sz w:val="22"/>
          <w:szCs w:val="22"/>
          <w:lang w:val="en-GB"/>
        </w:rPr>
        <w:t xml:space="preserve">, yet </w:t>
      </w:r>
      <w:r w:rsidR="00C31ABE" w:rsidRPr="004E053C">
        <w:rPr>
          <w:rFonts w:cstheme="majorHAnsi"/>
          <w:sz w:val="22"/>
          <w:szCs w:val="22"/>
          <w:lang w:val="en-GB"/>
        </w:rPr>
        <w:t>the sheer size of it</w:t>
      </w:r>
      <w:r w:rsidR="005C6ACC" w:rsidRPr="004E053C">
        <w:rPr>
          <w:rFonts w:cstheme="majorHAnsi"/>
          <w:sz w:val="22"/>
          <w:szCs w:val="22"/>
          <w:lang w:val="en-GB"/>
        </w:rPr>
        <w:t xml:space="preserve"> along with the lack of infrastructure makes it diffic</w:t>
      </w:r>
      <w:r w:rsidR="00071C60" w:rsidRPr="004E053C">
        <w:rPr>
          <w:rFonts w:cstheme="majorHAnsi"/>
          <w:sz w:val="22"/>
          <w:szCs w:val="22"/>
          <w:lang w:val="en-GB"/>
        </w:rPr>
        <w:t xml:space="preserve">ult to govern </w:t>
      </w:r>
      <w:r w:rsidR="00071C60"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2016)","plainTextFormattedCitation":"(Salo et al., 2016)","previouslyFormattedCitation":"(Salo et al., 2016)"},"properties":{"noteIndex":0},"schema":"https://github.com/citation-style-language/schema/raw/master/csl-citation.json"}</w:instrText>
      </w:r>
      <w:r w:rsidR="00071C60" w:rsidRPr="004E053C">
        <w:rPr>
          <w:rFonts w:cstheme="majorHAnsi"/>
          <w:sz w:val="22"/>
          <w:szCs w:val="22"/>
          <w:lang w:val="en-GB"/>
        </w:rPr>
        <w:fldChar w:fldCharType="separate"/>
      </w:r>
      <w:r w:rsidR="00071C60" w:rsidRPr="004E053C">
        <w:rPr>
          <w:rFonts w:cstheme="majorHAnsi"/>
          <w:noProof/>
          <w:sz w:val="22"/>
          <w:szCs w:val="22"/>
          <w:lang w:val="en-GB"/>
        </w:rPr>
        <w:t>(Salo et al., 2016)</w:t>
      </w:r>
      <w:r w:rsidR="00071C60" w:rsidRPr="004E053C">
        <w:rPr>
          <w:rFonts w:cstheme="majorHAnsi"/>
          <w:sz w:val="22"/>
          <w:szCs w:val="22"/>
          <w:lang w:val="en-GB"/>
        </w:rPr>
        <w:fldChar w:fldCharType="end"/>
      </w:r>
      <w:r w:rsidR="005C6ACC" w:rsidRPr="004E053C">
        <w:rPr>
          <w:rFonts w:cstheme="majorHAnsi"/>
          <w:sz w:val="22"/>
          <w:szCs w:val="22"/>
          <w:lang w:val="en-GB"/>
        </w:rPr>
        <w:t xml:space="preserve">. </w:t>
      </w:r>
      <w:r w:rsidRPr="004E053C">
        <w:rPr>
          <w:rFonts w:cstheme="majorHAnsi"/>
          <w:sz w:val="22"/>
          <w:szCs w:val="22"/>
          <w:lang w:val="en-GB"/>
        </w:rPr>
        <w:t xml:space="preserve">Thus, place is not merely a setting within which ASM occurs, but an influential player in the game </w:t>
      </w:r>
      <w:r w:rsidR="005C6ACC"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{"citationItems":[{"id":"ITEM-1","itemData":{"author":[{"dropping-particle":"","family":"Werlen","given":"B","non-dropping-particle":"","parse-names":false,"suffix":""}],"id":"ITEM-1","issued":{"date-parts":[["1993"]]},"publisher":"Routledge","publisher-place":"London, UK","title":"Society, Action and Space: An Alternative Human Geography","type":"book"},"uris":["http://www.mendeley.com/documents/?uuid=8c44aa83-a4ff-4eee-b466-9ff65b95f62d","http://www.mendeley.com/documents/?uuid=00fd9c77-df95-450f-a498-f957f95d23eb"]}],"mendeley":{"formattedCitation":"(Werlen, 1993)","plainTextFormattedCitation":"(Werlen, 1993)","previouslyFormattedCitation":"(Werlen, 1993)"},"properties":{"noteIndex":0},"schema":"https://github.com/citation-style-language/schema/raw/master/csl-citation.json"}</w:instrText>
      </w:r>
      <w:r w:rsidR="005C6ACC" w:rsidRPr="004E053C">
        <w:rPr>
          <w:rFonts w:cstheme="majorHAnsi"/>
          <w:sz w:val="22"/>
          <w:szCs w:val="22"/>
          <w:lang w:val="en-GB"/>
        </w:rPr>
        <w:fldChar w:fldCharType="separate"/>
      </w:r>
      <w:r w:rsidR="005C6ACC" w:rsidRPr="004E053C">
        <w:rPr>
          <w:rFonts w:cstheme="majorHAnsi"/>
          <w:noProof/>
          <w:sz w:val="22"/>
          <w:szCs w:val="22"/>
          <w:lang w:val="en-GB"/>
        </w:rPr>
        <w:t>(Werlen, 1993)</w:t>
      </w:r>
      <w:r w:rsidR="005C6ACC" w:rsidRPr="004E053C">
        <w:rPr>
          <w:rFonts w:cstheme="majorHAnsi"/>
          <w:sz w:val="22"/>
          <w:szCs w:val="22"/>
          <w:lang w:val="en-GB"/>
        </w:rPr>
        <w:fldChar w:fldCharType="end"/>
      </w:r>
      <w:r w:rsidRPr="004E053C">
        <w:rPr>
          <w:rFonts w:cstheme="majorHAnsi"/>
          <w:sz w:val="22"/>
          <w:szCs w:val="22"/>
          <w:lang w:val="en-GB"/>
        </w:rPr>
        <w:t xml:space="preserve">. If we consider here again the notion of ASM as a social field, we implicitly acknowledge that the field has its own rules </w:t>
      </w:r>
      <w:r w:rsidR="003361C2" w:rsidRPr="004E053C">
        <w:rPr>
          <w:rFonts w:cstheme="majorHAnsi"/>
          <w:sz w:val="22"/>
          <w:szCs w:val="22"/>
          <w:lang w:val="en-GB"/>
        </w:rPr>
        <w:fldChar w:fldCharType="begin" w:fldLock="1"/>
      </w:r>
      <w:r w:rsidR="003361C2" w:rsidRPr="004E053C">
        <w:rPr>
          <w:rFonts w:cstheme="majorHAnsi"/>
          <w:sz w:val="22"/>
          <w:szCs w:val="22"/>
          <w:lang w:val="en-GB"/>
        </w:rPr>
        <w:instrText>ADDIN CSL_CITATION {"citationItems":[{"id":"ITEM-1","itemData":{"author":[{"dropping-particle":"","family":"Bourdieu","given":"Pierre","non-dropping-particle":"","parse-names":false,"suffix":""}],"id":"ITEM-1","issued":{"date-parts":[["1990"]]},"publisher":"Stanford University Press","publisher-place":"Stanford, CA","title":"The Logic of Practice","type":"book"},"uris":["http://www.mendeley.com/documents/?uuid=3ef07790-15a1-4eb3-8d1a-2132f359d8ca"]},{"id":"ITEM-2","itemData":{"author":[{"dropping-particle":"","family":"Bourdieu","given":"Pierre","non-dropping-particle":"","parse-names":false,"suffix":""}],"id":"ITEM-2","issued":{"date-parts":[["1977"]]},"publisher":"Cambridge University Press","publisher-place":"Cambridge","title":"Outline of a Theory of Practice","type":"book"},"uris":["http://www.mendeley.com/documents/?uuid=8266da53-3861-3711-81ba-d99179335688"]}],"mendeley":{"formattedCitation":"(Bourdieu, 1977, 1990)","plainTextFormattedCitation":"(Bourdieu, 1977, 1990)","previouslyFormattedCitation":"(Bourdieu, 1977, 1990)"},"properties":{"noteIndex":0},"schema":"https://github.com/citation-style-language/schema/raw/master/csl-citation.json"}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(Bourdieu, 1977, 1990)</w:t>
      </w:r>
      <w:r w:rsidR="003361C2" w:rsidRPr="004E053C">
        <w:rPr>
          <w:rFonts w:cstheme="majorHAnsi"/>
          <w:sz w:val="22"/>
          <w:szCs w:val="22"/>
          <w:lang w:val="en-GB"/>
        </w:rPr>
        <w:fldChar w:fldCharType="end"/>
      </w:r>
      <w:r w:rsidR="00B64EA9" w:rsidRPr="004E053C">
        <w:rPr>
          <w:rFonts w:cstheme="majorHAnsi"/>
          <w:sz w:val="22"/>
          <w:szCs w:val="22"/>
          <w:lang w:val="en-GB"/>
        </w:rPr>
        <w:t>.</w:t>
      </w:r>
      <w:r w:rsidRPr="004E053C">
        <w:rPr>
          <w:rFonts w:cstheme="majorHAnsi"/>
          <w:sz w:val="22"/>
          <w:szCs w:val="22"/>
          <w:lang w:val="en-GB"/>
        </w:rPr>
        <w:t xml:space="preserve"> In this case, the position of Andean miners and the contestations that occur, particularly between the miners and the regional and national Government, are clearly influenced by the geographical locations of the places in question.</w:t>
      </w:r>
    </w:p>
    <w:p w14:paraId="63AA1598" w14:textId="77777777" w:rsidR="00FE47C4" w:rsidRPr="004E053C" w:rsidRDefault="00FE47C4" w:rsidP="004E053C">
      <w:pPr>
        <w:spacing w:line="360" w:lineRule="auto"/>
        <w:jc w:val="both"/>
        <w:rPr>
          <w:rFonts w:cstheme="majorHAnsi"/>
          <w:sz w:val="22"/>
          <w:szCs w:val="22"/>
          <w:lang w:val="en-GB"/>
        </w:rPr>
      </w:pPr>
    </w:p>
    <w:p w14:paraId="0F0B4AE7" w14:textId="6A678B0A"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This section will firstly consider the impact that translocality has on place, explaining that</w:t>
      </w:r>
      <w:r w:rsidR="00B64EA9" w:rsidRPr="004E053C">
        <w:rPr>
          <w:rFonts w:cstheme="majorHAnsi"/>
          <w:sz w:val="22"/>
          <w:szCs w:val="22"/>
          <w:lang w:val="en-GB"/>
        </w:rPr>
        <w:t xml:space="preserve"> translocality should be</w:t>
      </w:r>
      <w:r w:rsidRPr="004E053C">
        <w:rPr>
          <w:rFonts w:cstheme="majorHAnsi"/>
          <w:sz w:val="22"/>
          <w:szCs w:val="22"/>
          <w:lang w:val="en-GB"/>
        </w:rPr>
        <w:t xml:space="preserve"> seen as being pluri- or multi-local. Thus, the multiple places in which migrants find themselves embedded continue to be significant and are assigned specific meanings. The section then goes on to explain that these meanings often have a gendered dimension, with power dynamics within the social field resulting in some places being deemed inappropriate for women to enter. After highlighting the importance of meanings to the creation of place, the latter part of the section then considers how translocality might affect these m</w:t>
      </w:r>
      <w:r w:rsidR="002077F0" w:rsidRPr="004E053C">
        <w:rPr>
          <w:rFonts w:cstheme="majorHAnsi"/>
          <w:sz w:val="22"/>
          <w:szCs w:val="22"/>
          <w:lang w:val="en-GB"/>
        </w:rPr>
        <w:t>eanings and the implications of</w:t>
      </w:r>
      <w:r w:rsidRPr="004E053C">
        <w:rPr>
          <w:rFonts w:cstheme="majorHAnsi"/>
          <w:sz w:val="22"/>
          <w:szCs w:val="22"/>
          <w:lang w:val="en-GB"/>
        </w:rPr>
        <w:t xml:space="preserve"> mobility</w:t>
      </w:r>
      <w:r w:rsidR="002077F0" w:rsidRPr="004E053C">
        <w:rPr>
          <w:rFonts w:cstheme="majorHAnsi"/>
          <w:sz w:val="22"/>
          <w:szCs w:val="22"/>
          <w:lang w:val="en-GB"/>
        </w:rPr>
        <w:t xml:space="preserve"> for</w:t>
      </w:r>
      <w:r w:rsidR="00FD39B9" w:rsidRPr="004E053C">
        <w:rPr>
          <w:rFonts w:cstheme="majorHAnsi"/>
          <w:sz w:val="22"/>
          <w:szCs w:val="22"/>
          <w:lang w:val="en-GB"/>
        </w:rPr>
        <w:t xml:space="preserve"> place-attachment. This is</w:t>
      </w:r>
      <w:r w:rsidRPr="004E053C">
        <w:rPr>
          <w:rFonts w:cstheme="majorHAnsi"/>
          <w:sz w:val="22"/>
          <w:szCs w:val="22"/>
          <w:lang w:val="en-GB"/>
        </w:rPr>
        <w:t xml:space="preserve"> important</w:t>
      </w:r>
      <w:r w:rsidR="00FD39B9" w:rsidRPr="004E053C">
        <w:rPr>
          <w:rFonts w:cstheme="majorHAnsi"/>
          <w:sz w:val="22"/>
          <w:szCs w:val="22"/>
          <w:lang w:val="en-GB"/>
        </w:rPr>
        <w:t xml:space="preserve"> as it highlights</w:t>
      </w:r>
      <w:r w:rsidRPr="004E053C">
        <w:rPr>
          <w:rFonts w:cstheme="majorHAnsi"/>
          <w:sz w:val="22"/>
          <w:szCs w:val="22"/>
          <w:lang w:val="en-GB"/>
        </w:rPr>
        <w:t xml:space="preserve"> the need for translocality to be extended to consider temporality. </w:t>
      </w:r>
    </w:p>
    <w:p w14:paraId="3F454753" w14:textId="77777777" w:rsidR="00FE47C4" w:rsidRPr="004E053C" w:rsidRDefault="00FE47C4" w:rsidP="004E053C">
      <w:pPr>
        <w:spacing w:line="360" w:lineRule="auto"/>
        <w:jc w:val="both"/>
        <w:rPr>
          <w:rFonts w:cstheme="majorHAnsi"/>
          <w:sz w:val="22"/>
          <w:szCs w:val="22"/>
          <w:lang w:val="en-GB"/>
        </w:rPr>
      </w:pPr>
    </w:p>
    <w:p w14:paraId="5FCE18F6" w14:textId="2F0CF607" w:rsidR="00FE47C4" w:rsidRPr="004E053C" w:rsidRDefault="00EA7F83" w:rsidP="004E053C">
      <w:pPr>
        <w:pStyle w:val="Heading3"/>
        <w:rPr>
          <w:rFonts w:asciiTheme="minorHAnsi" w:hAnsiTheme="minorHAnsi"/>
          <w:lang w:eastAsia="zh-CN"/>
        </w:rPr>
      </w:pPr>
      <w:r w:rsidRPr="004E053C">
        <w:rPr>
          <w:rFonts w:asciiTheme="minorHAnsi" w:hAnsiTheme="minorHAnsi"/>
          <w:lang w:eastAsia="zh-CN"/>
        </w:rPr>
        <w:t>4</w:t>
      </w:r>
      <w:r w:rsidR="004A3EF1" w:rsidRPr="004E053C">
        <w:rPr>
          <w:rFonts w:asciiTheme="minorHAnsi" w:hAnsiTheme="minorHAnsi"/>
          <w:lang w:eastAsia="zh-CN"/>
        </w:rPr>
        <w:t>.4.1. Place in a translocal a</w:t>
      </w:r>
      <w:r w:rsidR="00FE47C4" w:rsidRPr="004E053C">
        <w:rPr>
          <w:rFonts w:asciiTheme="minorHAnsi" w:hAnsiTheme="minorHAnsi"/>
          <w:lang w:eastAsia="zh-CN"/>
        </w:rPr>
        <w:t>nalysis</w:t>
      </w:r>
    </w:p>
    <w:p w14:paraId="00A07F18" w14:textId="77777777" w:rsidR="00FE47C4" w:rsidRPr="004E053C" w:rsidRDefault="00FE47C4" w:rsidP="004E053C">
      <w:pPr>
        <w:spacing w:line="360" w:lineRule="auto"/>
        <w:jc w:val="both"/>
        <w:rPr>
          <w:rFonts w:cstheme="majorHAnsi"/>
          <w:lang w:val="en-GB" w:eastAsia="zh-CN"/>
        </w:rPr>
      </w:pPr>
    </w:p>
    <w:p w14:paraId="28387A83" w14:textId="4835DD20" w:rsidR="00FE47C4" w:rsidRPr="004E053C" w:rsidRDefault="00FE47C4" w:rsidP="004E053C">
      <w:pPr>
        <w:spacing w:line="360" w:lineRule="auto"/>
        <w:jc w:val="both"/>
        <w:rPr>
          <w:rFonts w:cstheme="majorHAnsi"/>
          <w:b/>
          <w:bCs/>
          <w:sz w:val="22"/>
          <w:szCs w:val="22"/>
          <w:lang w:val="en-GB"/>
        </w:rPr>
      </w:pPr>
      <w:r w:rsidRPr="004E053C">
        <w:rPr>
          <w:rFonts w:cstheme="majorHAnsi"/>
          <w:sz w:val="22"/>
          <w:szCs w:val="22"/>
          <w:lang w:val="en-GB"/>
        </w:rPr>
        <w:t xml:space="preserve">The impact of translocality on place has been contested. Some have argued that by having a multi-sited approach, a translocal analysis effectively dissolves spatial boundaries </w:t>
      </w:r>
      <w:r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{"citationItems":[{"id":"ITEM-1","itemData":{"abstract":"Based on qualitative fieldwork, this study analyses reasons and outcomes of fishers’ migration in Bangladesh. The results show that fishers’ livelihoods are characterised by a series of vulnerabilities and endemic poverty contributing to their migration decisions. However, fishers also migrate pro-actively to enhance their capacities and explore opportunities. The outcomes of migration are highly diverging: while for poorer fishers, migration is a way of coping with shocks, better resourced fishers can use it for asset accumulation. The importance of migration for their livelihoods and emerging networks across space generate forms of translocal households that coordinate their activities over long distances.","author":[{"dropping-particle":"","family":"Islam","given":"Mohammad Mahmudul","non-dropping-particle":"","parse-names":false,"suffix":""},{"dropping-particle":"","family":"Herbeck","given":"Johannes","non-dropping-particle":"","parse-names":false,"suffix":""}],"container-title":"The Journal of Development Studies","id":"ITEM-1","issue":"6","issued":{"date-parts":[["2013"]]},"page":"1-14","title":"Migration and translocal livelihoods of coastal small-scale fishers in Bangladesh","type":"article-journal","volume":"49"},"uris":["http://www.mendeley.com/documents/?uuid=2af1f3d3-bc4c-48dd-90fe-c5e4a832bdf9"]}],"mendeley":{"formattedCitation":"(Islam &amp; Herbeck, 2013)","plainTextFormattedCitation":"(Islam &amp; Herbeck, 2013)","previouslyFormattedCitation":"(Islam &amp; Herbeck, 2013)"},"properties":{"noteIndex":0},"schema":"https://github.com/citation-style-language/schema/raw/master/csl-citation.json"}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(Islam &amp; Herbeck, 2013)</w:t>
      </w:r>
      <w:r w:rsidRPr="004E053C">
        <w:rPr>
          <w:rFonts w:cstheme="majorHAnsi"/>
          <w:sz w:val="22"/>
          <w:szCs w:val="22"/>
          <w:lang w:val="en-GB"/>
        </w:rPr>
        <w:fldChar w:fldCharType="end"/>
      </w:r>
      <w:r w:rsidRPr="004E053C">
        <w:rPr>
          <w:rFonts w:cstheme="majorHAnsi"/>
          <w:sz w:val="22"/>
          <w:szCs w:val="22"/>
          <w:lang w:val="en-GB"/>
        </w:rPr>
        <w:t xml:space="preserve">. Others have argued that instead of being constituted by discrete places, the translocal community should be considered as the hybrid result of different relevant places </w:t>
      </w:r>
      <w:r w:rsidR="003361C2" w:rsidRPr="004E053C">
        <w:rPr>
          <w:rFonts w:cstheme="majorHAnsi"/>
          <w:sz w:val="22"/>
          <w:szCs w:val="22"/>
          <w:lang w:val="en-GB"/>
        </w:rPr>
        <w:fldChar w:fldCharType="begin" w:fldLock="1"/>
      </w:r>
      <w:r w:rsidR="003361C2" w:rsidRPr="004E053C">
        <w:rPr>
          <w:rFonts w:cstheme="majorHAnsi"/>
          <w:sz w:val="22"/>
          <w:szCs w:val="22"/>
          <w:lang w:val="en-GB"/>
        </w:rPr>
        <w:instrText>ADDIN CSL_CITATION {"citationItems":[{"id":"ITEM-1","itemData":{"author":[{"dropping-particle":"","family":"Schöfberger","given":"Irene","non-dropping-particle":"","parse-names":false,"suffix":""}],"container-title":"Geographica Helvetica","id":"ITEM-1","issued":{"date-parts":[["2017"]]},"page":"145–155","title":"How do places of origin influence access to mobility in the global age? An analysis of the influence of vulnerability and structural constraints on Senegalese translocal livelihood strategies","type":"article-journal","volume":"72"},"uris":["http://www.mendeley.com/documents/?uuid=417e9e61-3fe2-4096-bac6-b88eb801f39c"]}],"mendeley":{"formattedCitation":"(Schöfberger, 2017)","plainTextFormattedCitation":"(Schöfberger, 2017)","previouslyFormattedCitation":"(Schöfberger, 2017)"},"properties":{"noteIndex":0},"schema":"https://github.com/citation-style-language/schema/raw/master/csl-citation.json"}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(Schöfberger, 2017)</w:t>
      </w:r>
      <w:r w:rsidR="003361C2" w:rsidRPr="004E053C">
        <w:rPr>
          <w:rFonts w:cstheme="majorHAnsi"/>
          <w:sz w:val="22"/>
          <w:szCs w:val="22"/>
          <w:lang w:val="en-GB"/>
        </w:rPr>
        <w:fldChar w:fldCharType="end"/>
      </w:r>
      <w:r w:rsidRPr="004E053C">
        <w:rPr>
          <w:rFonts w:cstheme="majorHAnsi"/>
          <w:sz w:val="22"/>
          <w:szCs w:val="22"/>
          <w:lang w:val="en-GB"/>
        </w:rPr>
        <w:t xml:space="preserve">. However, </w:t>
      </w:r>
      <w:r w:rsidR="00FD39B9" w:rsidRPr="004E053C">
        <w:rPr>
          <w:rFonts w:cstheme="majorHAnsi"/>
          <w:sz w:val="22"/>
          <w:szCs w:val="22"/>
          <w:lang w:val="en-GB"/>
        </w:rPr>
        <w:t>my analysis intends to</w:t>
      </w:r>
      <w:r w:rsidRPr="004E053C">
        <w:rPr>
          <w:rFonts w:cstheme="majorHAnsi"/>
          <w:sz w:val="22"/>
          <w:szCs w:val="22"/>
          <w:lang w:val="en-GB"/>
        </w:rPr>
        <w:t xml:space="preserve"> focus attention on these individual localities due to their important role as sources of meaning and identity for mobile subjects </w:t>
      </w:r>
      <w:r w:rsidR="003361C2"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onradson","given":"David","non-dropping-particle":"","parse-names":false,"suffix":""},{"dropping-particle":"","family":"Mckay","given":"Deirdre","non-dropping-particle":"","parse-names":false,"suffix":""}],"container-title":"Mobilities","id":"ITEM-1","issue":"2","issued":{"date-parts":[["2007"]]},"page":"167-174","title":"Translocal subjectivities: mobility, connection, emotion","type":"article-journal","volume":"2"},"uris":["http://www.mendeley.com/documents/?uuid=0815ca70-6691-47cc-a6d2-228c076552d2"]}],"mendeley":{"formattedCitation":"(Conradson &amp; Mckay, 2007)","plainTextFormattedCitation":"(Conradson &amp; Mckay, 2007)","previouslyFormattedCitation":"(Conradson &amp; Mckay, 2007)"},"properties":{"noteIndex":0},"schema":"https://github.com/citation-style-language/schema/raw/master/csl-citation.json"}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(Conradson &amp; Mckay, 2007)</w:t>
      </w:r>
      <w:r w:rsidR="003361C2" w:rsidRPr="004E053C">
        <w:rPr>
          <w:rFonts w:cstheme="majorHAnsi"/>
          <w:sz w:val="22"/>
          <w:szCs w:val="22"/>
          <w:lang w:val="en-GB"/>
        </w:rPr>
        <w:fldChar w:fldCharType="end"/>
      </w:r>
      <w:r w:rsidRPr="004E053C">
        <w:rPr>
          <w:rFonts w:cstheme="majorHAnsi"/>
          <w:sz w:val="22"/>
          <w:szCs w:val="22"/>
          <w:lang w:val="en-GB"/>
        </w:rPr>
        <w:t xml:space="preserve">. While social boundaries have always been unclear, migration is making them increasingly blurred </w:t>
      </w:r>
      <w:r w:rsidR="003361C2" w:rsidRPr="004E053C">
        <w:rPr>
          <w:rFonts w:cstheme="majorHAnsi"/>
          <w:sz w:val="22"/>
          <w:szCs w:val="22"/>
          <w:lang w:val="en-GB"/>
        </w:rPr>
        <w:fldChar w:fldCharType="begin" w:fldLock="1"/>
      </w:r>
      <w:r w:rsidR="003361C2" w:rsidRPr="004E053C">
        <w:rPr>
          <w:rFonts w:cstheme="majorHAnsi"/>
          <w:sz w:val="22"/>
          <w:szCs w:val="22"/>
          <w:lang w:val="en-GB"/>
        </w:rPr>
        <w:instrText>ADDIN CSL_CITATION {"citationItems":[{"id":"ITEM-1","itemData":{"author":[{"dropping-particle":"","family":"Peth","given":"Simon Alexander","non-dropping-particle":"","parse-names":false,"suffix":""},{"dropping-particle":"","family":"Sterly","given":"Harald","non-dropping-particle":"","parse-names":false,"suffix":""},{"dropping-particle":"","family":"Sakdapolrak","given":"Patrick","non-dropping-particle":"","parse-names":false,"suffix":""}],"container-title":"Mobilities","id":"ITEM-1","issue":"4","issued":{"date-parts":[["2018"]]},"page":"455-472","title":"Between the village and the global city: the production and decay of translocal spaces of Thai migrant workers in Singapore","type":"article-journal","volume":"13"},"uris":["http://www.mendeley.com/documents/?uuid=29f764b9-eec0-45ac-b9c3-9941072db745"]}],"mendeley":{"formattedCitation":"(Peth et al., 2018)","plainTextFormattedCitation":"(Peth et al., 2018)","previouslyFormattedCitation":"(Peth et al., 2018)"},"properties":{"noteIndex":0},"schema":"https://github.com/citation-style-language/schema/raw/master/csl-citation.json"}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(Peth et al., 2018)</w:t>
      </w:r>
      <w:r w:rsidR="003361C2" w:rsidRPr="004E053C">
        <w:rPr>
          <w:rFonts w:cstheme="majorHAnsi"/>
          <w:sz w:val="22"/>
          <w:szCs w:val="22"/>
          <w:lang w:val="en-GB"/>
        </w:rPr>
        <w:fldChar w:fldCharType="end"/>
      </w:r>
      <w:r w:rsidRPr="004E053C">
        <w:rPr>
          <w:rFonts w:cstheme="majorHAnsi"/>
          <w:sz w:val="22"/>
          <w:szCs w:val="22"/>
          <w:lang w:val="en-GB"/>
        </w:rPr>
        <w:t xml:space="preserve">. However, even the largest scale ‘global phenomena’ and widest global migrant networks are dealt with by people in specific, local places </w:t>
      </w:r>
      <w:r w:rsidR="003361C2"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{"citationItems":[{"id":"ITEM-1","itemData":{"author":[{"dropping-particle":"","family":"Smith","given":"M.P","non-dropping-particle":"","parse-names":false,"suffix":""}],"chapter-number":"11","container-title":"Translocal Geographies: Spaces, Places, Connections","editor":[{"dropping-particle":"","family":"Brickell","given":"K","non-dropping-particle":"","parse-names":false,"suffix":""},{"dropping-particle":"","family":"Datta","given":"A","non-dropping-particle":"","parse-names":false,"suffix":""}],"id":"ITEM-1","issued":{"date-parts":[["2011"]]},"page":"181-198","publisher":"Ashgate Publishing Limited","publisher-place":"Farnham, UK","title":"Translocality: A critical reflection","type":"chapter"},"uris":["http://www.mendeley.com/documents/?uuid=a5d20b9a-a51c-4496-b138-83bc2d16c4c1"]},{"id":"ITEM-2","itemData":{"author":[{"dropping-particle":"","family":"Greiner","given":"Clemens","non-dropping-particle":"","parse-names":false,"suffix":""}],"container-title":"Africa: The Journal of the International African Institute","id":"ITEM-2","issue":"4","issued":{"date-parts":[["2011"]]},"page":"606–627","title":"Migration, translocal networks and socio-economic stratification in Namibia","type":"article-journal","volume":"81"},"uris":["http://www.mendeley.com/documents/?uuid=771e1916-bf42-4390-a1cf-5a1aad3285db"]},{"id":"ITEM-3","itemData":{"author":[{"dropping-particle":"","family":"Brickell","given":"K.","non-dropping-particle":"","parse-names":false,"suffix":""},{"dropping-particle":"","family":"Datta","given":"A","non-dropping-particle":"","parse-names":false,"suffix":""}],"chapter-number":"1","container-title":"Translocal Geographies: Spaces, Places, Connectionsspaces, places, connections","id":"ITEM-3","issued":{"date-parts":[["2011"]]},"page":"3-22","publisher":"Ashgate Publishing Limited","publisher-place":"Farnham, UK","title":"Introduction: Translocal Geographies","type":"chapter"},"uris":["http://www.mendeley.com/documents/?uuid=e9d80bd7-1584-4fca-bf4f-f5d58e788945"]},{"id":"ITEM-4","itemData":{"author":[{"dropping-particle":"","family":"Schröder","given":"Philipp","non-dropping-particle":"","parse-names":false,"suffix":""},{"dropping-particle":"","family":"Stephen-Emmrich","given":"Manja","non-dropping-particle":"","parse-names":false,"suffix":""}],"container-title":"Mobilities","id":"ITEM-4","issue":"3","issued":{"date-parts":[["2014"]]},"page":"1-24","title":"The institutionalization of mobility: Wellbeing and social hierarchies in Central Asian translocal livelihoods","type":"article-journal","volume":"11"},"uris":["http://www.mendeley.com/documents/?uuid=b4081da4-aee7-49af-80ad-63f53d801a6b","http://www.mendeley.com/documents/?uuid=4dca37d9-cd4d-47ba-90fc-5e451484d02d"]}],"mendeley":{"formattedCitation":"(K. Brickell &amp; Datta, 2011; Greiner, 2011; Schröder &amp; Stephen-Emmrich, 2014; M. . Smith, 2011)","manualFormatting":"(Brickell &amp; Datta, 2011; Greiner, 2011; Schröder &amp; Stephen-Emmrich, 2014; Smith, 2011)","plainTextFormattedCitation":"(K. Brickell &amp; Datta, 2011; Greiner, 2011; Schröder &amp; Stephen-Emmrich, 2014; M. . Smith, 2011)","previouslyFormattedCitation":"(K. Brickell &amp; Datta, 2011; Greiner, 2011; Schröder &amp; Stephen-Emmrich, 2014; M. . Smith, 2011)"},"properties":{"noteIndex":0},"schema":"https://github.com/citation-style-language/schema/raw/master/csl-citation.json"}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(Brickell &amp; Datta, 2011; Greiner, 2011; Schröde</w:t>
      </w:r>
      <w:r w:rsidR="00170378" w:rsidRPr="004E053C">
        <w:rPr>
          <w:rFonts w:cstheme="majorHAnsi"/>
          <w:noProof/>
          <w:sz w:val="22"/>
          <w:szCs w:val="22"/>
          <w:lang w:val="en-GB"/>
        </w:rPr>
        <w:t xml:space="preserve">r &amp; Stephen-Emmrich, 2014; </w:t>
      </w:r>
      <w:r w:rsidR="003361C2" w:rsidRPr="004E053C">
        <w:rPr>
          <w:rFonts w:cstheme="majorHAnsi"/>
          <w:noProof/>
          <w:sz w:val="22"/>
          <w:szCs w:val="22"/>
          <w:lang w:val="en-GB"/>
        </w:rPr>
        <w:t>Smith, 2011)</w:t>
      </w:r>
      <w:r w:rsidR="003361C2" w:rsidRPr="004E053C">
        <w:rPr>
          <w:rFonts w:cstheme="majorHAnsi"/>
          <w:sz w:val="22"/>
          <w:szCs w:val="22"/>
          <w:lang w:val="en-GB"/>
        </w:rPr>
        <w:fldChar w:fldCharType="end"/>
      </w:r>
      <w:r w:rsidRPr="004E053C">
        <w:rPr>
          <w:rFonts w:cstheme="majorHAnsi"/>
          <w:sz w:val="22"/>
          <w:szCs w:val="22"/>
          <w:lang w:val="en-GB"/>
        </w:rPr>
        <w:t>. Thus, actions continue to sit in places, even whe</w:t>
      </w:r>
      <w:r w:rsidR="003361C2" w:rsidRPr="004E053C">
        <w:rPr>
          <w:rFonts w:cstheme="majorHAnsi"/>
          <w:sz w:val="22"/>
          <w:szCs w:val="22"/>
          <w:lang w:val="en-GB"/>
        </w:rPr>
        <w:t xml:space="preserve">n those places are multi-sited </w:t>
      </w:r>
      <w:r w:rsidR="003361C2" w:rsidRPr="004E053C">
        <w:rPr>
          <w:rFonts w:cstheme="majorHAnsi"/>
          <w:sz w:val="22"/>
          <w:szCs w:val="22"/>
          <w:lang w:val="en-GB"/>
        </w:rPr>
        <w:fldChar w:fldCharType="begin" w:fldLock="1"/>
      </w:r>
      <w:r w:rsidR="003361C2" w:rsidRPr="004E053C">
        <w:rPr>
          <w:rFonts w:cstheme="majorHAnsi"/>
          <w:sz w:val="22"/>
          <w:szCs w:val="22"/>
          <w:lang w:val="en-GB"/>
        </w:rPr>
        <w:instrText>ADDIN CSL_CITATION {"citationItems":[{"id":"ITEM-1","itemData":{"author":[{"dropping-particle":"","family":"Schöfberger","given":"Irene","non-dropping-particle":"","parse-names":false,"suffix":""}],"container-title":"Geographica Helvetica","id":"ITEM-1","issued":{"date-parts":[["2017"]]},"page":"145–155","title":"How do places of origin influence access to mobility in the global age? An analysis of the influence of vulnerability and structural constraints on Senegalese translocal livelihood strategies","type":"article-journal","volume":"72"},"uris":["http://www.mendeley.com/documents/?uuid=417e9e61-3fe2-4096-bac6-b88eb801f39c"]}],"mendeley":{"formattedCitation":"(Schöfberger, 2017)","plainTextFormattedCitation":"(Schöfberger, 2017)","previouslyFormattedCitation":"(Schöfberger, 2017)"},"properties":{"noteIndex":0},"schema":"https://github.com/citation-style-language/schema/raw/master/csl-citation.json"}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(Schöfberger, 2017)</w:t>
      </w:r>
      <w:r w:rsidR="003361C2" w:rsidRPr="004E053C">
        <w:rPr>
          <w:rFonts w:cstheme="majorHAnsi"/>
          <w:sz w:val="22"/>
          <w:szCs w:val="22"/>
          <w:lang w:val="en-GB"/>
        </w:rPr>
        <w:fldChar w:fldCharType="end"/>
      </w:r>
      <w:r w:rsidRPr="004E053C">
        <w:rPr>
          <w:rFonts w:cstheme="majorHAnsi"/>
          <w:sz w:val="22"/>
          <w:szCs w:val="22"/>
          <w:lang w:val="en-GB"/>
        </w:rPr>
        <w:t xml:space="preserve">. Although within the translocal community some actors </w:t>
      </w:r>
      <w:r w:rsidRPr="004E053C">
        <w:rPr>
          <w:rFonts w:cstheme="majorHAnsi"/>
          <w:sz w:val="22"/>
          <w:szCs w:val="22"/>
          <w:lang w:val="en-GB"/>
        </w:rPr>
        <w:lastRenderedPageBreak/>
        <w:t xml:space="preserve">are to some extent disconnected from their place of residence </w:t>
      </w:r>
      <w:r w:rsidR="003361C2"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context","type":"article-journal","volume":"87"},"uris":["http://www.mendeley.com/documents/?uuid=7cce9b74-a4c7-4bac-9677-fb4af5167fab"]}],"mendeley":{"formattedCitation":"(B Lohnert &amp; Steinbrink, 2005)","manualFormatting":"(Lohnert &amp; Steinbrink, 2005)","plainTextFormattedCitation":"(B Lohnert &amp; Steinbrink, 2005)","previouslyFormattedCitation":"(B Lohnert &amp; Steinbrink, 2005)"},"properties":{"noteIndex":0},"schema":"https://github.com/citation-style-language/schema/raw/master/csl-citation.json"}</w:instrText>
      </w:r>
      <w:r w:rsidR="003361C2" w:rsidRPr="004E053C">
        <w:rPr>
          <w:rFonts w:cstheme="majorHAnsi"/>
          <w:sz w:val="22"/>
          <w:szCs w:val="22"/>
          <w:lang w:val="en-GB"/>
        </w:rPr>
        <w:fldChar w:fldCharType="separate"/>
      </w:r>
      <w:r w:rsidR="00FD39B9" w:rsidRPr="004E053C">
        <w:rPr>
          <w:rFonts w:cstheme="majorHAnsi"/>
          <w:noProof/>
          <w:sz w:val="22"/>
          <w:szCs w:val="22"/>
          <w:lang w:val="en-GB"/>
        </w:rPr>
        <w:t>(</w:t>
      </w:r>
      <w:r w:rsidR="00C6316A" w:rsidRPr="004E053C">
        <w:rPr>
          <w:rFonts w:cstheme="majorHAnsi"/>
          <w:noProof/>
          <w:sz w:val="22"/>
          <w:szCs w:val="22"/>
          <w:lang w:val="en-GB"/>
        </w:rPr>
        <w:t>Lohnert &amp; Steinbrink, 2005)</w:t>
      </w:r>
      <w:r w:rsidR="003361C2" w:rsidRPr="004E053C">
        <w:rPr>
          <w:rFonts w:cstheme="majorHAnsi"/>
          <w:sz w:val="22"/>
          <w:szCs w:val="22"/>
          <w:lang w:val="en-GB"/>
        </w:rPr>
        <w:fldChar w:fldCharType="end"/>
      </w:r>
      <w:r w:rsidRPr="004E053C">
        <w:rPr>
          <w:rFonts w:cstheme="majorHAnsi"/>
          <w:sz w:val="22"/>
          <w:szCs w:val="22"/>
          <w:lang w:val="en-GB"/>
        </w:rPr>
        <w:t xml:space="preserve">, the community continues to exist in relation to various places that remain intact. </w:t>
      </w:r>
    </w:p>
    <w:p w14:paraId="19C0AF50" w14:textId="77777777" w:rsidR="00FE47C4" w:rsidRPr="004E053C" w:rsidRDefault="00FE47C4" w:rsidP="004E053C">
      <w:pPr>
        <w:spacing w:line="360" w:lineRule="auto"/>
        <w:jc w:val="both"/>
        <w:rPr>
          <w:rFonts w:cstheme="majorHAnsi"/>
          <w:sz w:val="22"/>
          <w:szCs w:val="22"/>
          <w:lang w:val="en-GB"/>
        </w:rPr>
      </w:pPr>
    </w:p>
    <w:p w14:paraId="10124620" w14:textId="2BAB4596"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Places can also be affected by migration in a variety of ways. Levitt and Jaworsky </w:t>
      </w:r>
      <w:r w:rsidR="003361C2" w:rsidRPr="004E053C">
        <w:rPr>
          <w:rFonts w:cstheme="majorHAnsi"/>
          <w:sz w:val="22"/>
          <w:szCs w:val="22"/>
          <w:lang w:val="en-GB"/>
        </w:rPr>
        <w:fldChar w:fldCharType="begin" w:fldLock="1"/>
      </w:r>
      <w:r w:rsidR="003361C2" w:rsidRPr="004E053C">
        <w:rPr>
          <w:rFonts w:cstheme="majorHAnsi"/>
          <w:sz w:val="22"/>
          <w:szCs w:val="22"/>
          <w:lang w:val="en-GB"/>
        </w:rPr>
        <w:instrText>ADDIN CSL_CITATION {"citationItems":[{"id":"ITEM-1","itemData":{"author":[{"dropping-particle":"","family":"Levitt","given":"Peggy","non-dropping-particle":"","parse-names":false,"suffix":""},{"dropping-particle":"","family":"Jaworsky","given":"B Nadya","non-dropping-particle":"","parse-names":false,"suffix":""}],"container-title":"Annual Review of Sociology","id":"ITEM-1","issued":{"date-parts":[["2007"]]},"page":"129 – 156","title":"Transnational migration studies: past developments and future trends","type":"article-journal","volume":"33"},"uris":["http://www.mendeley.com/documents/?uuid=f19605fe-557e-4067-b027-1e83b31a9583"]}],"mendeley":{"formattedCitation":"(Levitt &amp; Jaworsky, 2007)","manualFormatting":"(2007)","plainTextFormattedCitation":"(Levitt &amp; Jaworsky, 2007)","previouslyFormattedCitation":"(Levitt &amp; Jaworsky, 2007)"},"properties":{"noteIndex":0},"schema":"https://github.com/citation-style-language/schema/raw/master/csl-citation.json"}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(2007)</w:t>
      </w:r>
      <w:r w:rsidR="003361C2" w:rsidRPr="004E053C">
        <w:rPr>
          <w:rFonts w:cstheme="majorHAnsi"/>
          <w:sz w:val="22"/>
          <w:szCs w:val="22"/>
          <w:lang w:val="en-GB"/>
        </w:rPr>
        <w:fldChar w:fldCharType="end"/>
      </w:r>
      <w:r w:rsidRPr="004E053C">
        <w:rPr>
          <w:rFonts w:cstheme="majorHAnsi"/>
          <w:sz w:val="22"/>
          <w:szCs w:val="22"/>
          <w:lang w:val="en-GB"/>
        </w:rPr>
        <w:t xml:space="preserve"> argue that it is the material or ideational flows that converge on particular locations that make them into places. Similarly, Etzold </w:t>
      </w:r>
      <w:r w:rsidR="003361C2"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{"citationItems":[{"id":"ITEM-1","itemData":{"author":[{"dropping-particle":"","family":"Etzold","given":"Benjamin","non-dropping-particle":"","parse-names":false,"suffix":""}],"chapter-number":"3","container-title":"Livelihoods and Development: New Perspectives","editor":[{"dropping-particle":"","family":"Leo de Haan","given":"","non-dropping-particle":"","parse-names":false,"suffix":""}],"id":"ITEM-1","issued":{"date-parts":[["2017"]]},"page":"44-68","publisher":"Brill","publisher-place":"Leiden","title":"Mobility,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studies","type":"chapter"},"uris":["http://www.mendeley.com/documents/?uuid=8669327d-3056-4ab8-9bc0-8022e5d3152f"]}],"mendeley":{"formattedCitation":"(Etzold, 2017)","manualFormatting":"(2017)","plainTextFormattedCitation":"(Etzold, 2017)","previouslyFormattedCitation":"(Etzold, 2017)"},"properties":{"noteIndex":0},"schema":"https://github.com/citation-style-language/schema/raw/master/csl-citation.json"}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(2017)</w:t>
      </w:r>
      <w:r w:rsidR="003361C2" w:rsidRPr="004E053C">
        <w:rPr>
          <w:rFonts w:cstheme="majorHAnsi"/>
          <w:sz w:val="22"/>
          <w:szCs w:val="22"/>
          <w:lang w:val="en-GB"/>
        </w:rPr>
        <w:fldChar w:fldCharType="end"/>
      </w:r>
      <w:r w:rsidRPr="004E053C">
        <w:rPr>
          <w:rFonts w:cstheme="majorHAnsi"/>
          <w:sz w:val="22"/>
          <w:szCs w:val="22"/>
          <w:lang w:val="en-GB"/>
        </w:rPr>
        <w:t xml:space="preserve"> noted that places only exist in relation to other places and can thus only be understood by analysing the interconnections. For Gieryn </w:t>
      </w:r>
      <w:r w:rsidR="003361C2" w:rsidRPr="004E053C">
        <w:rPr>
          <w:rFonts w:cstheme="majorHAnsi"/>
          <w:sz w:val="22"/>
          <w:szCs w:val="22"/>
          <w:lang w:val="en-GB"/>
        </w:rPr>
        <w:fldChar w:fldCharType="begin" w:fldLock="1"/>
      </w:r>
      <w:r w:rsidR="003361C2" w:rsidRPr="004E053C">
        <w:rPr>
          <w:rFonts w:cstheme="majorHAnsi"/>
          <w:sz w:val="22"/>
          <w:szCs w:val="22"/>
          <w:lang w:val="en-GB"/>
        </w:rPr>
        <w:instrText>ADDIN CSL_CITATION {"citationItems":[{"id":"ITEM-1","itemData":{"abstract":"Sociological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Sociology","id":"ITEM-1","issued":{"date-parts":[["2000"]]},"page":"463-496","title":"A space for place in sociology","type":"article-journal","volume":"26"},"uris":["http://www.mendeley.com/documents/?uuid=40055a61-4bab-46a9-a28c-e073dfac7680"]}],"mendeley":{"formattedCitation":"(Gieryn, 2000)","manualFormatting":"(2000)","plainTextFormattedCitation":"(Gieryn, 2000)","previouslyFormattedCitation":"(Gieryn, 2000)"},"properties":{"noteIndex":0},"schema":"https://github.com/citation-style-language/schema/raw/master/csl-citation.json"}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(2000)</w:t>
      </w:r>
      <w:r w:rsidR="003361C2" w:rsidRPr="004E053C">
        <w:rPr>
          <w:rFonts w:cstheme="majorHAnsi"/>
          <w:sz w:val="22"/>
          <w:szCs w:val="22"/>
          <w:lang w:val="en-GB"/>
        </w:rPr>
        <w:fldChar w:fldCharType="end"/>
      </w:r>
      <w:r w:rsidRPr="004E053C">
        <w:rPr>
          <w:rFonts w:cstheme="majorHAnsi"/>
          <w:sz w:val="22"/>
          <w:szCs w:val="22"/>
          <w:lang w:val="en-GB"/>
        </w:rPr>
        <w:t xml:space="preserve">, while both geographical location and material form (both natural and man-made) are crucial features of ‘place’, the meaning and value that are assigned to that place are of crucial importance. This is because places are loaded with meaning </w:t>
      </w:r>
      <w:r w:rsidR="003361C2"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{"citationItems":[{"id":"ITEM-1","itemData":{"author":[{"dropping-particle":"","family":"Etzold","given":"Benjamin","non-dropping-particle":"","parse-names":false,"suffix":""}],"chapter-number":"3","container-title":"Livelihoods and Development: New Perspectives","editor":[{"dropping-particle":"","family":"Leo de Haan","given":"","non-dropping-particle":"","parse-names":false,"suffix":""}],"id":"ITEM-1","issued":{"date-parts":[["2017"]]},"page":"44-68","publisher":"Brill","publisher-place":"Leiden","title":"Mobility,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studies","type":"chapter"},"uris":["http://www.mendeley.com/documents/?uuid=8669327d-3056-4ab8-9bc0-8022e5d3152f"]}],"mendeley":{"formattedCitation":"(Etzold, 2017)","plainTextFormattedCitation":"(Etzold, 2017)","previouslyFormattedCitation":"(Etzold, 2017)"},"properties":{"noteIndex":0},"schema":"https://github.com/citation-style-language/schema/raw/master/csl-citation.json"}</w:instrText>
      </w:r>
      <w:r w:rsidR="003361C2" w:rsidRPr="004E053C">
        <w:rPr>
          <w:rFonts w:cstheme="majorHAnsi"/>
          <w:sz w:val="22"/>
          <w:szCs w:val="22"/>
          <w:lang w:val="en-GB"/>
        </w:rPr>
        <w:fldChar w:fldCharType="separate"/>
      </w:r>
      <w:r w:rsidR="003361C2" w:rsidRPr="004E053C">
        <w:rPr>
          <w:rFonts w:cstheme="majorHAnsi"/>
          <w:noProof/>
          <w:sz w:val="22"/>
          <w:szCs w:val="22"/>
          <w:lang w:val="en-GB"/>
        </w:rPr>
        <w:t>(Etzold, 2017)</w:t>
      </w:r>
      <w:r w:rsidR="003361C2" w:rsidRPr="004E053C">
        <w:rPr>
          <w:rFonts w:cstheme="majorHAnsi"/>
          <w:sz w:val="22"/>
          <w:szCs w:val="22"/>
          <w:lang w:val="en-GB"/>
        </w:rPr>
        <w:fldChar w:fldCharType="end"/>
      </w:r>
      <w:r w:rsidR="004D2957" w:rsidRPr="004E053C">
        <w:rPr>
          <w:rFonts w:cstheme="majorHAnsi"/>
          <w:sz w:val="22"/>
          <w:szCs w:val="22"/>
          <w:lang w:val="en-GB"/>
        </w:rPr>
        <w:t xml:space="preserve"> and constantly </w:t>
      </w:r>
      <w:r w:rsidRPr="004E053C">
        <w:rPr>
          <w:rFonts w:cstheme="majorHAnsi"/>
          <w:sz w:val="22"/>
          <w:szCs w:val="22"/>
          <w:lang w:val="en-GB"/>
        </w:rPr>
        <w:t>interpreted, narrated, perceived</w:t>
      </w:r>
      <w:r w:rsidR="004D2957" w:rsidRPr="004E053C">
        <w:rPr>
          <w:rFonts w:cstheme="majorHAnsi"/>
          <w:sz w:val="22"/>
          <w:szCs w:val="22"/>
          <w:lang w:val="en-GB"/>
        </w:rPr>
        <w:t>, felt, understood and imagined</w:t>
      </w:r>
      <w:r w:rsidRPr="004E053C">
        <w:rPr>
          <w:rFonts w:cstheme="majorHAnsi"/>
          <w:sz w:val="22"/>
          <w:szCs w:val="22"/>
          <w:lang w:val="en-GB"/>
        </w:rPr>
        <w:t xml:space="preserve"> </w:t>
      </w:r>
      <w:r w:rsidR="004D2957"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{"citationItems":[{"id":"ITEM-1","itemData":{"author":[{"dropping-particle":"","family":"Soja","given":"EW","non-dropping-particle":"","parse-names":false,"suffix":""}],"id":"ITEM-1","issued":{"date-parts":[["1996"]]},"publisher":"Blackwell Publishers","publisher-place":"Cambridge, MA","title":"Thirdspace: Journeys to Los Angeles and Other Real-and-Imagined Places","type":"book"},"uris":["http://www.mendeley.com/documents/?uuid=9d71599f-7dc2-45b6-aa4f-27afaf5a672a","http://www.mendeley.com/documents/?uuid=2abae3d6-9a04-4b98-8f3d-cfb67224e1df"]},{"id":"ITEM-2","itemData":{"abstract":"Sociological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Sociology","id":"ITEM-2","issued":{"date-parts":[["2000"]]},"page":"463-496","title":"A space for place in sociology","type":"article-journal","volume":"26"},"uris":["http://www.mendeley.com/documents/?uuid=40055a61-4bab-46a9-a28c-e073dfac7680"]}],"mendeley":{"formattedCitation":"(Gieryn, 2000; Soja, 1996)","plainTextFormattedCitation":"(Gieryn, 2000; Soja, 1996)","previouslyFormattedCitation":"(Gieryn, 2000; Soja, 1996)"},"properties":{"noteIndex":0},"schema":"https://github.com/citation-style-language/schema/raw/master/csl-citation.json"}</w:instrText>
      </w:r>
      <w:r w:rsidR="004D2957" w:rsidRPr="004E053C">
        <w:rPr>
          <w:rFonts w:cstheme="majorHAnsi"/>
          <w:sz w:val="22"/>
          <w:szCs w:val="22"/>
          <w:lang w:val="en-GB"/>
        </w:rPr>
        <w:fldChar w:fldCharType="separate"/>
      </w:r>
      <w:r w:rsidR="004D2957" w:rsidRPr="004E053C">
        <w:rPr>
          <w:rFonts w:cstheme="majorHAnsi"/>
          <w:noProof/>
          <w:sz w:val="22"/>
          <w:szCs w:val="22"/>
          <w:lang w:val="en-GB"/>
        </w:rPr>
        <w:t>(Gieryn, 2000; Soja, 1996)</w:t>
      </w:r>
      <w:r w:rsidR="004D2957" w:rsidRPr="004E053C">
        <w:rPr>
          <w:rFonts w:cstheme="majorHAnsi"/>
          <w:sz w:val="22"/>
          <w:szCs w:val="22"/>
          <w:lang w:val="en-GB"/>
        </w:rPr>
        <w:fldChar w:fldCharType="end"/>
      </w:r>
      <w:r w:rsidRPr="004E053C">
        <w:rPr>
          <w:rFonts w:cstheme="majorHAnsi"/>
          <w:sz w:val="22"/>
          <w:szCs w:val="22"/>
          <w:lang w:val="en-GB"/>
        </w:rPr>
        <w:t xml:space="preserve">. ‘A spot in the universe only becomes a place when it ensconces history or utopia, danger or security, identity or memory’ but this meaning is ‘flexible in the hands of different people or cultures, malleable over time and inevitably contested’ </w:t>
      </w:r>
      <w:r w:rsidR="004D2957" w:rsidRPr="004E053C">
        <w:rPr>
          <w:rFonts w:cstheme="majorHAnsi"/>
          <w:sz w:val="22"/>
          <w:szCs w:val="22"/>
          <w:lang w:val="en-GB"/>
        </w:rPr>
        <w:fldChar w:fldCharType="begin" w:fldLock="1"/>
      </w:r>
      <w:r w:rsidR="004D2957" w:rsidRPr="004E053C">
        <w:rPr>
          <w:rFonts w:cstheme="majorHAnsi"/>
          <w:sz w:val="22"/>
          <w:szCs w:val="22"/>
          <w:lang w:val="en-GB"/>
        </w:rPr>
        <w:instrText>ADDIN CSL_CITATION {"citationItems":[{"id":"ITEM-1","itemData":{"abstract":"Sociological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Sociology","id":"ITEM-1","issued":{"date-parts":[["2000"]]},"page":"463-496","title":"A space for place in sociology","type":"article-journal","volume":"26"},"uris":["http://www.mendeley.com/documents/?uuid=40055a61-4bab-46a9-a28c-e073dfac7680"]}],"mendeley":{"formattedCitation":"(Gieryn, 2000)","manualFormatting":"(Gieryn, 2000, p.465)","plainTextFormattedCitation":"(Gieryn, 2000)","previouslyFormattedCitation":"(Gieryn, 2000)"},"properties":{"noteIndex":0},"schema":"https://github.com/citation-style-language/schema/raw/master/csl-citation.json"}</w:instrText>
      </w:r>
      <w:r w:rsidR="004D2957" w:rsidRPr="004E053C">
        <w:rPr>
          <w:rFonts w:cstheme="majorHAnsi"/>
          <w:sz w:val="22"/>
          <w:szCs w:val="22"/>
          <w:lang w:val="en-GB"/>
        </w:rPr>
        <w:fldChar w:fldCharType="separate"/>
      </w:r>
      <w:r w:rsidR="004D2957" w:rsidRPr="004E053C">
        <w:rPr>
          <w:rFonts w:cstheme="majorHAnsi"/>
          <w:noProof/>
          <w:sz w:val="22"/>
          <w:szCs w:val="22"/>
          <w:lang w:val="en-GB"/>
        </w:rPr>
        <w:t>(Gieryn, 2000, p.465)</w:t>
      </w:r>
      <w:r w:rsidR="004D2957" w:rsidRPr="004E053C">
        <w:rPr>
          <w:rFonts w:cstheme="majorHAnsi"/>
          <w:sz w:val="22"/>
          <w:szCs w:val="22"/>
          <w:lang w:val="en-GB"/>
        </w:rPr>
        <w:fldChar w:fldCharType="end"/>
      </w:r>
      <w:r w:rsidRPr="004E053C">
        <w:rPr>
          <w:rFonts w:cstheme="majorHAnsi"/>
          <w:sz w:val="22"/>
          <w:szCs w:val="22"/>
          <w:lang w:val="en-GB"/>
        </w:rPr>
        <w:t xml:space="preserve">. Acknowledging this last factor is extremely important, because </w:t>
      </w:r>
      <w:r w:rsidR="00D3785B" w:rsidRPr="004E053C">
        <w:rPr>
          <w:rFonts w:cstheme="majorHAnsi"/>
          <w:sz w:val="22"/>
          <w:szCs w:val="22"/>
          <w:lang w:val="en-GB"/>
        </w:rPr>
        <w:t>whilst</w:t>
      </w:r>
      <w:r w:rsidRPr="004E053C">
        <w:rPr>
          <w:rFonts w:cstheme="majorHAnsi"/>
          <w:sz w:val="22"/>
          <w:szCs w:val="22"/>
          <w:lang w:val="en-GB"/>
        </w:rPr>
        <w:t xml:space="preserve"> translocality may not affect the geographical location or material form of a place, its impact on meaning is huge. Several theorists have pointed to the need to understand how the places within the translocal community acquire meaning, both on at the individual and the community-level </w:t>
      </w:r>
      <w:r w:rsidR="004D2957"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uthor":[{"dropping-particle":"","family":"Brickell","given":"K.","non-dropping-particle":"","parse-names":false,"suffix":""},{"dropping-particle":"","family":"Datta","given":"A","non-dropping-particle":"","parse-names":false,"suffix":""}],"chapter-number":"1","container-title":"Translocal Geographies: Spaces, Places, Connectionsspaces, places, connections","id":"ITEM-1","issued":{"date-parts":[["2011"]]},"page":"3-22","publisher":"Ashgate Publishing Limited","publisher-place":"Farnham, UK","title":"Introduction: Translocal Geographies","type":"chapter"},"uris":["http://www.mendeley.com/documents/?uuid=e9d80bd7-1584-4fca-bf4f-f5d58e788945"]},{"id":"ITEM-2","itemData":{"author":[{"dropping-particle":"","family":"Etzold","given":"Benjamin","non-dropping-particle":"","parse-names":false,"suffix":""}],"chapter-number":"3","container-title":"Livelihoods and Development: New Perspectives","editor":[{"dropping-particle":"","family":"Leo de Haan","given":"","non-dropping-particle":"","parse-names":false,"suffix":""}],"id":"ITEM-2","issued":{"date-parts":[["2017"]]},"page":"44-68","publisher":"Brill","publisher-place":"Leiden","title":"Mobility,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studies","type":"chapter"},"uris":["http://www.mendeley.com/documents/?uuid=8669327d-3056-4ab8-9bc0-8022e5d3152f"]}],"mendeley":{"formattedCitation":"(K. Brickell &amp; Datta, 2011; Etzold, 2017)","manualFormatting":"(Brickell &amp; Datta, 2011; Etzold, 2017)","plainTextFormattedCitation":"(K. Brickell &amp; Datta, 2011; Etzold, 2017)","previouslyFormattedCitation":"(K. Brickell &amp; Datta, 2011; Etzold, 2017)"},"properties":{"noteIndex":0},"schema":"https://github.com/citation-style-language/schema/raw/master/csl-citation.json"}</w:instrText>
      </w:r>
      <w:r w:rsidR="004D2957" w:rsidRPr="004E053C">
        <w:rPr>
          <w:rFonts w:cstheme="majorHAnsi"/>
          <w:sz w:val="22"/>
          <w:szCs w:val="22"/>
          <w:lang w:val="en-GB"/>
        </w:rPr>
        <w:fldChar w:fldCharType="separate"/>
      </w:r>
      <w:r w:rsidR="004D2957" w:rsidRPr="004E053C">
        <w:rPr>
          <w:rFonts w:cstheme="majorHAnsi"/>
          <w:noProof/>
          <w:sz w:val="22"/>
          <w:szCs w:val="22"/>
          <w:lang w:val="en-GB"/>
        </w:rPr>
        <w:t>(Brickell &amp; Datta, 2011; Etzold, 2017)</w:t>
      </w:r>
      <w:r w:rsidR="004D2957" w:rsidRPr="004E053C">
        <w:rPr>
          <w:rFonts w:cstheme="majorHAnsi"/>
          <w:sz w:val="22"/>
          <w:szCs w:val="22"/>
          <w:lang w:val="en-GB"/>
        </w:rPr>
        <w:fldChar w:fldCharType="end"/>
      </w:r>
      <w:r w:rsidRPr="004E053C">
        <w:rPr>
          <w:rFonts w:cstheme="majorHAnsi"/>
          <w:sz w:val="22"/>
          <w:szCs w:val="22"/>
          <w:lang w:val="en-GB"/>
        </w:rPr>
        <w:t>.</w:t>
      </w:r>
    </w:p>
    <w:p w14:paraId="28190258" w14:textId="77777777" w:rsidR="00FE47C4" w:rsidRPr="004E053C" w:rsidRDefault="00FE47C4" w:rsidP="004E053C">
      <w:pPr>
        <w:spacing w:line="360" w:lineRule="auto"/>
        <w:jc w:val="both"/>
        <w:rPr>
          <w:rFonts w:cstheme="majorHAnsi"/>
          <w:sz w:val="22"/>
          <w:szCs w:val="22"/>
          <w:lang w:val="en-GB"/>
        </w:rPr>
      </w:pPr>
    </w:p>
    <w:p w14:paraId="627BBB74" w14:textId="36F3988A" w:rsidR="00FE47C4" w:rsidRPr="004E053C" w:rsidRDefault="00FE47C4"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What is also important to note is that the meanings ascribed to certain places can have implications for women and other marginalised groups within the hierarchical social field. </w:t>
      </w:r>
      <w:r w:rsidRPr="004E053C">
        <w:rPr>
          <w:rFonts w:cstheme="majorHAnsi"/>
          <w:sz w:val="22"/>
          <w:szCs w:val="22"/>
          <w:lang w:val="en-GB"/>
        </w:rPr>
        <w:t>Women may for example find their mobility within a place, or outside of it, to be restric</w:t>
      </w:r>
      <w:r w:rsidR="004D2957" w:rsidRPr="004E053C">
        <w:rPr>
          <w:rFonts w:cstheme="majorHAnsi"/>
          <w:sz w:val="22"/>
          <w:szCs w:val="22"/>
          <w:lang w:val="en-GB"/>
        </w:rPr>
        <w:t xml:space="preserve">ted, on the grounds that it is </w:t>
      </w:r>
      <w:r w:rsidRPr="004E053C">
        <w:rPr>
          <w:rFonts w:cstheme="majorHAnsi"/>
          <w:sz w:val="22"/>
          <w:szCs w:val="22"/>
          <w:lang w:val="en-GB"/>
        </w:rPr>
        <w:t>unsafe, physically threa</w:t>
      </w:r>
      <w:r w:rsidR="004D2957" w:rsidRPr="004E053C">
        <w:rPr>
          <w:rFonts w:cstheme="majorHAnsi"/>
          <w:sz w:val="22"/>
          <w:szCs w:val="22"/>
          <w:lang w:val="en-GB"/>
        </w:rPr>
        <w:t xml:space="preserve">tening or inappropriate </w:t>
      </w:r>
      <w:r w:rsidR="004D2957"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{"citationItems":[{"id":"ITEM-1","itemData":{"author":[{"dropping-particle":"","family":"McDowell","given":"L","non-dropping-particle":"","parse-names":false,"suffix":""}],"id":"ITEM-1","issued":{"date-parts":[["1999"]]},"publisher":"University of Minnesota Press","publisher-place":"Minneapolis, MN","title":"Gender, Identity and Place","type":"book"},"uris":["http://www.mendeley.com/documents/?uuid=cc0102e0-d283-4952-b362-3f32c408bde4","http://www.mendeley.com/documents/?uuid=91f030d0-3706-45ea-b20e-02083227d2f1"]},{"id":"ITEM-2","itemData":{"author":[{"dropping-particle":"","family":"Spain","given":"D","non-dropping-particle":"","parse-names":false,"suffix":""}],"id":"ITEM-2","issued":{"date-parts":[["1992"]]},"publisher":"University of North Carolina Press","publisher-place":"Chapel Hill, NC","title":"Gendered Spaces","type":"book"},"uris":["http://www.mendeley.com/documents/?uuid=cbba9106-5af2-41fb-9870-1a41f754cb64","http://www.mendeley.com/documents/?uuid=895a3e45-8fff-4b84-94cb-7598cd398630"]},{"id":"ITEM-3","itemData":{"abstract":"Sociological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Sociology","id":"ITEM-3","issued":{"date-parts":[["2000"]]},"page":"463-496","title":"A space for place in sociology","type":"article-journal","volume":"26"},"uris":["http://www.mendeley.com/documents/?uuid=40055a61-4bab-46a9-a28c-e073dfac7680"]}],"mendeley":{"formattedCitation":"(Gieryn, 2000; McDowell, 1999; Spain, 1992)","plainTextFormattedCitation":"(Gieryn, 2000; McDowell, 1999; Spain, 1992)","previouslyFormattedCitation":"(Gieryn, 2000; McDowell, 1999; Spain, 1992)"},"properties":{"noteIndex":0},"schema":"https://github.com/citation-style-language/schema/raw/master/csl-citation.json"}</w:instrText>
      </w:r>
      <w:r w:rsidR="004D2957" w:rsidRPr="004E053C">
        <w:rPr>
          <w:rFonts w:cstheme="majorHAnsi"/>
          <w:sz w:val="22"/>
          <w:szCs w:val="22"/>
          <w:lang w:val="en-GB"/>
        </w:rPr>
        <w:fldChar w:fldCharType="separate"/>
      </w:r>
      <w:r w:rsidR="004D2957" w:rsidRPr="004E053C">
        <w:rPr>
          <w:rFonts w:cstheme="majorHAnsi"/>
          <w:noProof/>
          <w:sz w:val="22"/>
          <w:szCs w:val="22"/>
          <w:lang w:val="en-GB"/>
        </w:rPr>
        <w:t>(Gieryn, 2000; McDowell, 1999; Spain, 1992)</w:t>
      </w:r>
      <w:r w:rsidR="004D2957" w:rsidRPr="004E053C">
        <w:rPr>
          <w:rFonts w:cstheme="majorHAnsi"/>
          <w:sz w:val="22"/>
          <w:szCs w:val="22"/>
          <w:lang w:val="en-GB"/>
        </w:rPr>
        <w:fldChar w:fldCharType="end"/>
      </w:r>
      <w:r w:rsidRPr="004E053C">
        <w:rPr>
          <w:rFonts w:cstheme="majorHAnsi"/>
          <w:sz w:val="22"/>
          <w:szCs w:val="22"/>
          <w:lang w:val="en-GB"/>
        </w:rPr>
        <w:t xml:space="preserve">, and finding oneself ‘out of place’ can result in societal consequences </w:t>
      </w:r>
      <w:r w:rsidR="004D2957"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{"citationItems":[{"id":"ITEM-1","itemData":{"author":[{"dropping-particle":"","family":"Cresswell","given":"Tim","non-dropping-particle":"","parse-names":false,"suffix":""}],"id":"ITEM-1","issued":{"date-parts":[["1996"]]},"publisher":"University of Minnesota Press","publisher-place":"Minneapolis, MN","title":"In Place/Out of Place: Geography, Ideology and Transgression","type":"book"},"uris":["http://www.mendeley.com/documents/?uuid=17f6312b-970a-4412-9f2f-c45c38fbb6d0"]}],"mendeley":{"formattedCitation":"(Cresswell, 1996)","manualFormatting":"(Creswell, 1996)","plainTextFormattedCitation":"(Cresswell, 1996)","previouslyFormattedCitation":"(Cresswell, 1996)"},"properties":{"noteIndex":0},"schema":"https://github.com/citation-style-language/schema/raw/master/csl-citation.json"}</w:instrText>
      </w:r>
      <w:r w:rsidR="004D2957" w:rsidRPr="004E053C">
        <w:rPr>
          <w:rFonts w:cstheme="majorHAnsi"/>
          <w:sz w:val="22"/>
          <w:szCs w:val="22"/>
          <w:lang w:val="en-GB"/>
        </w:rPr>
        <w:fldChar w:fldCharType="separate"/>
      </w:r>
      <w:r w:rsidR="004D2957" w:rsidRPr="004E053C">
        <w:rPr>
          <w:rFonts w:cstheme="majorHAnsi"/>
          <w:noProof/>
          <w:sz w:val="22"/>
          <w:szCs w:val="22"/>
          <w:lang w:val="en-GB"/>
        </w:rPr>
        <w:t>(Creswell, 1996)</w:t>
      </w:r>
      <w:r w:rsidR="004D2957" w:rsidRPr="004E053C">
        <w:rPr>
          <w:rFonts w:cstheme="majorHAnsi"/>
          <w:sz w:val="22"/>
          <w:szCs w:val="22"/>
          <w:lang w:val="en-GB"/>
        </w:rPr>
        <w:fldChar w:fldCharType="end"/>
      </w:r>
      <w:r w:rsidR="00EA7F83" w:rsidRPr="004E053C">
        <w:rPr>
          <w:rFonts w:cstheme="majorHAnsi"/>
          <w:sz w:val="22"/>
          <w:szCs w:val="22"/>
          <w:lang w:val="en-GB"/>
        </w:rPr>
        <w:t xml:space="preserve">. An appreciation of this </w:t>
      </w:r>
      <w:r w:rsidRPr="004E053C">
        <w:rPr>
          <w:rFonts w:cstheme="majorHAnsi"/>
          <w:sz w:val="22"/>
          <w:szCs w:val="22"/>
          <w:lang w:val="en-GB"/>
        </w:rPr>
        <w:t xml:space="preserve">is important for two reasons. Firstly, it implies that women’s inclusion into the translocal community is restricted through a shared understanding of which places they are permitted to be in. Secondly, for those women that do engage in migration and ASM, there may be consequences to finding themselves out of place. Therefore, </w:t>
      </w:r>
      <w:r w:rsidR="00FD39B9" w:rsidRPr="004E053C">
        <w:rPr>
          <w:rFonts w:cstheme="majorHAnsi"/>
          <w:sz w:val="22"/>
          <w:szCs w:val="22"/>
          <w:lang w:val="en-GB"/>
        </w:rPr>
        <w:t>when considering</w:t>
      </w:r>
      <w:r w:rsidRPr="004E053C">
        <w:rPr>
          <w:rFonts w:cstheme="majorHAnsi"/>
          <w:sz w:val="22"/>
          <w:szCs w:val="22"/>
          <w:lang w:val="en-GB"/>
        </w:rPr>
        <w:t xml:space="preserve"> ASM community</w:t>
      </w:r>
      <w:r w:rsidR="00FD39B9" w:rsidRPr="004E053C">
        <w:rPr>
          <w:rFonts w:cstheme="majorHAnsi"/>
          <w:sz w:val="22"/>
          <w:szCs w:val="22"/>
          <w:lang w:val="en-GB"/>
        </w:rPr>
        <w:t xml:space="preserve"> through the lens of translocality it is important to recognise that</w:t>
      </w:r>
      <w:r w:rsidRPr="004E053C">
        <w:rPr>
          <w:rFonts w:cstheme="majorHAnsi"/>
          <w:sz w:val="22"/>
          <w:szCs w:val="22"/>
          <w:lang w:val="en-GB"/>
        </w:rPr>
        <w:t xml:space="preserve"> translocality as being inherently gendered. This will </w:t>
      </w:r>
      <w:r w:rsidR="00F16371" w:rsidRPr="004E053C">
        <w:rPr>
          <w:rFonts w:cstheme="majorHAnsi"/>
          <w:sz w:val="22"/>
          <w:szCs w:val="22"/>
          <w:lang w:val="en-GB"/>
        </w:rPr>
        <w:t>be explored further in chapter 7</w:t>
      </w:r>
      <w:r w:rsidRPr="004E053C">
        <w:rPr>
          <w:rFonts w:cstheme="majorHAnsi"/>
          <w:sz w:val="22"/>
          <w:szCs w:val="22"/>
          <w:lang w:val="en-GB"/>
        </w:rPr>
        <w:t xml:space="preserve">. </w:t>
      </w:r>
    </w:p>
    <w:p w14:paraId="3FD32C4B" w14:textId="77777777" w:rsidR="00FE47C4" w:rsidRPr="004E053C" w:rsidRDefault="00FE47C4" w:rsidP="004E053C">
      <w:pPr>
        <w:spacing w:line="360" w:lineRule="auto"/>
        <w:jc w:val="both"/>
        <w:rPr>
          <w:rFonts w:cstheme="majorHAnsi"/>
          <w:sz w:val="22"/>
          <w:szCs w:val="22"/>
          <w:lang w:val="en-GB" w:eastAsia="zh-CN"/>
        </w:rPr>
      </w:pPr>
    </w:p>
    <w:p w14:paraId="2356FEA2" w14:textId="22F74004" w:rsidR="00FE47C4" w:rsidRPr="004E053C" w:rsidRDefault="00EA7F83" w:rsidP="004E053C">
      <w:pPr>
        <w:pStyle w:val="Heading3"/>
        <w:rPr>
          <w:rFonts w:asciiTheme="minorHAnsi" w:hAnsiTheme="minorHAnsi"/>
          <w:lang w:eastAsia="zh-CN"/>
        </w:rPr>
      </w:pPr>
      <w:r w:rsidRPr="004E053C">
        <w:rPr>
          <w:rFonts w:asciiTheme="minorHAnsi" w:hAnsiTheme="minorHAnsi"/>
          <w:lang w:eastAsia="zh-CN"/>
        </w:rPr>
        <w:t>4</w:t>
      </w:r>
      <w:r w:rsidR="004A3EF1" w:rsidRPr="004E053C">
        <w:rPr>
          <w:rFonts w:asciiTheme="minorHAnsi" w:hAnsiTheme="minorHAnsi"/>
          <w:lang w:eastAsia="zh-CN"/>
        </w:rPr>
        <w:t>.4.2. Translocality and (place) i</w:t>
      </w:r>
      <w:r w:rsidR="00FE47C4" w:rsidRPr="004E053C">
        <w:rPr>
          <w:rFonts w:asciiTheme="minorHAnsi" w:hAnsiTheme="minorHAnsi"/>
          <w:lang w:eastAsia="zh-CN"/>
        </w:rPr>
        <w:t xml:space="preserve">dentity </w:t>
      </w:r>
    </w:p>
    <w:p w14:paraId="5B7347F8" w14:textId="77777777" w:rsidR="00FE47C4" w:rsidRPr="004E053C" w:rsidRDefault="00FE47C4" w:rsidP="004E053C">
      <w:pPr>
        <w:spacing w:line="360" w:lineRule="auto"/>
        <w:jc w:val="both"/>
        <w:rPr>
          <w:rFonts w:cstheme="majorHAnsi"/>
          <w:lang w:val="en-GB" w:eastAsia="zh-CN"/>
        </w:rPr>
      </w:pPr>
    </w:p>
    <w:p w14:paraId="709CDAFE" w14:textId="08F03429"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lastRenderedPageBreak/>
        <w:t>As places are shaped by lived experiences and loaded with meaning, they are an</w:t>
      </w:r>
      <w:r w:rsidR="00017550" w:rsidRPr="004E053C">
        <w:rPr>
          <w:rFonts w:cstheme="majorHAnsi"/>
          <w:sz w:val="22"/>
          <w:szCs w:val="22"/>
          <w:lang w:val="en-GB"/>
        </w:rPr>
        <w:t xml:space="preserve"> essential component of identity </w:t>
      </w:r>
      <w:r w:rsidR="00017550"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{"citationItems":[{"id":"ITEM-1","itemData":{"author":[{"dropping-particle":"","family":"Cresswell","given":"Tim","non-dropping-particle":"","parse-names":false,"suffix":""}],"id":"ITEM-1","issued":{"date-parts":[["2004"]]},"publisher":"Blackwell Publishers","publisher-place":"Oxford, UK","title":"Place: A Short Introduction","type":"book"},"uris":["http://www.mendeley.com/documents/?uuid=d64c2d22-4160-48bd-983f-8cfc63a35198","http://www.mendeley.com/documents/?uuid=f54b50ca-5340-42d6-a4a7-90aae8037260"]},{"id":"ITEM-2","itemData":{"author":[{"dropping-particle":"","family":"Conradson","given":"David","non-dropping-particle":"","parse-names":false,"suffix":""},{"dropping-particle":"","family":"Mckay","given":"Deirdre","non-dropping-particle":"","parse-names":false,"suffix":""}],"container-title":"Mobilities","id":"ITEM-2","issue":"2","issued":{"date-parts":[["2007"]]},"page":"167-174","title":"Translocal subjectivities: mobility, connection, emotion","type":"article-journal","volume":"2"},"uris":["http://www.mendeley.com/documents/?uuid=0815ca70-6691-47cc-a6d2-228c076552d2"]},{"id":"ITEM-3","itemData":{"author":[{"dropping-particle":"","family":"Etzold","given":"Benjamin","non-dropping-particle":"","parse-names":false,"suffix":""}],"chapter-number":"3","container-title":"Livelihoods and Development: New Perspectives","editor":[{"dropping-particle":"","family":"Leo de Haan","given":"","non-dropping-particle":"","parse-names":false,"suffix":""}],"id":"ITEM-3","issued":{"date-parts":[["2017"]]},"page":"44-68","publisher":"Brill","publisher-place":"Leiden","title":"Mobility, space and livelihood trajectories: new perspectives on migration, translocality and place-making for livelihood studies","type":"chapter"},"uris":["http://www.mendeley.com/documents/?uuid=8669327d-3056-4ab8-9bc0-8022e5d3152f"]},{"id":"ITEM-4","itemData":{"author":[{"dropping-particle":"","family":"Hoey","given":"Brian A","non-dropping-particle":"","parse-names":false,"suffix":""}],"container-title":"City and Society","id":"ITEM-4","issue":"2","issued":{"date-parts":[["2010"]]},"page":"237-261","title":"Place for personhood: individual and local character in lifestyle migration","type":"article-journal","volume":"22"},"uris":["http://www.mendeley.com/documents/?uuid=25e29daa-b0b6-45d7-9832-1590d0f174fc"]},{"id":"ITEM-5","itemData":{"author":[{"dropping-particle":"","family":"Cuba","given":"Lee","non-dropping-particle":"","parse-names":false,"suffix":""},{"dropping-particle":"","family":"Hummon","given":"David M","non-dropping-particle":"","parse-names":false,"suffix":""}],"container-title":"Sociological Quarterly","id":"ITEM-5","issue":"1","issued":{"date-parts":[["1993"]]},"page":"111-131","title":"A place to call home: identitication with dwelling, community and region","type":"article-journal","volume":"34"},"uris":["http://www.mendeley.com/documents/?uuid=5a6b16da-dfd1-4b24-b281-35ec3ebd03c5"]},{"id":"ITEM-6","itemData":{"abstract":"Sociological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Sociology","id":"ITEM-6","issued":{"date-parts":[["2000"]]},"page":"463-496","title":"A space for place in sociology","type":"article-journal","volume":"26"},"uris":["http://www.mendeley.com/documents/?uuid=40055a61-4bab-46a9-a28c-e073dfac7680"]},{"id":"ITEM-7","itemData":{"author":[{"dropping-particle":"","family":"Tan","given":"Brian A.L","non-dropping-particle":"","parse-names":false,"suffix":""},{"dropping-particle":"","family":"Yeoh","given":"Brenda S.A","non-dropping-particle":"","parse-names":false,"suffix":""}],"chapter-number":"2","container-title":"Translocal Geographies: Spaces, Places, Connections","editor":[{"dropping-particle":"","family":"Brickell","given":"Katherine","non-dropping-particle":"","parse-names":false,"suffix":""},{"dropping-particle":"","family":"Datta","given":"Ayona","non-dropping-particle":"","parse-names":false,"suffix":""}],"id":"ITEM-7","issued":{"date-parts":[["2011"]]},"page":"23-38","publisher":"Ashgate Publishing Limited","publisher-place":"Farnham, UK","title":"Translocal family relations amongst the Lahu in Northern Thailand","type":"chapter"},"uris":["http://www.mendeley.com/documents/?uuid=32e0b18f-d172-4762-8d26-d8c1223f4bf7"]}],"mendeley":{"formattedCitation":"(Conradson &amp; Mckay, 2007; Cresswell, 2004; Cuba &amp; Hummon, 1993; Etzold, 2017; Gieryn, 2000; Hoey, 2010; Tan &amp; Yeoh, 2011)","plainTextFormattedCitation":"(Conradson &amp; Mckay, 2007; Cresswell, 2004; Cuba &amp; Hummon, 1993; Etzold, 2017; Gieryn, 2000; Hoey, 2010; Tan &amp; Yeoh, 2011)","previouslyFormattedCitation":"(Conradson &amp; Mckay, 2007; Cresswell, 2004; Cuba &amp; Hummon, 1993; Etzold, 2017; Gieryn, 2000; Hoey, 2010; Tan &amp; Yeoh, 2011)"},"properties":{"noteIndex":0},"schema":"https://github.com/citation-style-language/schema/raw/master/csl-citation.json"}</w:instrText>
      </w:r>
      <w:r w:rsidR="00017550" w:rsidRPr="004E053C">
        <w:rPr>
          <w:rFonts w:cstheme="majorHAnsi"/>
          <w:sz w:val="22"/>
          <w:szCs w:val="22"/>
          <w:lang w:val="en-GB"/>
        </w:rPr>
        <w:fldChar w:fldCharType="separate"/>
      </w:r>
      <w:r w:rsidR="00017550" w:rsidRPr="004E053C">
        <w:rPr>
          <w:rFonts w:cstheme="majorHAnsi"/>
          <w:noProof/>
          <w:sz w:val="22"/>
          <w:szCs w:val="22"/>
          <w:lang w:val="en-GB"/>
        </w:rPr>
        <w:t>(Conradson &amp; Mckay, 2007; Cresswell, 2004; Cuba &amp; Hummon, 1993; Etzold, 2017; Gieryn, 2000; Hoey, 2010; Tan &amp; Yeoh, 2011)</w:t>
      </w:r>
      <w:r w:rsidR="00017550" w:rsidRPr="004E053C">
        <w:rPr>
          <w:rFonts w:cstheme="majorHAnsi"/>
          <w:sz w:val="22"/>
          <w:szCs w:val="22"/>
          <w:lang w:val="en-GB"/>
        </w:rPr>
        <w:fldChar w:fldCharType="end"/>
      </w:r>
      <w:r w:rsidRPr="004E053C">
        <w:rPr>
          <w:rFonts w:cstheme="majorHAnsi"/>
          <w:sz w:val="22"/>
          <w:szCs w:val="22"/>
          <w:lang w:val="en-GB"/>
        </w:rPr>
        <w:t xml:space="preserve">. In a translocal community though, migrants are embedded multi-locally. This will most certainly affect place identity and place attachment, just as it affects communities. Geographical mobility inevitably changes the relations people have with both people and events in origin communities, while at the same time bringing them into contact with new places </w:t>
      </w:r>
      <w:r w:rsidR="00017550"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onradson","given":"David","non-dropping-particle":"","parse-names":false,"suffix":""},{"dropping-particle":"","family":"Mckay","given":"Deirdre","non-dropping-particle":"","parse-names":false,"suffix":""}],"container-title":"Mobilities","id":"ITEM-1","issue":"2","issued":{"date-parts":[["2007"]]},"page":"167-174","title":"Translocal subjectivities: mobility, connection, emotion","type":"article-journal","volume":"2"},"uris":["http://www.mendeley.com/documents/?uuid=0815ca70-6691-47cc-a6d2-228c076552d2"]}],"mendeley":{"formattedCitation":"(Conradson &amp; Mckay, 2007)","plainTextFormattedCitation":"(Conradson &amp; Mckay, 2007)","previouslyFormattedCitation":"(Conradson &amp; Mckay, 2007)"},"properties":{"noteIndex":0},"schema":"https://github.com/citation-style-language/schema/raw/master/csl-citation.json"}</w:instrText>
      </w:r>
      <w:r w:rsidR="00017550" w:rsidRPr="004E053C">
        <w:rPr>
          <w:rFonts w:cstheme="majorHAnsi"/>
          <w:sz w:val="22"/>
          <w:szCs w:val="22"/>
          <w:lang w:val="en-GB"/>
        </w:rPr>
        <w:fldChar w:fldCharType="separate"/>
      </w:r>
      <w:r w:rsidR="00017550" w:rsidRPr="004E053C">
        <w:rPr>
          <w:rFonts w:cstheme="majorHAnsi"/>
          <w:noProof/>
          <w:sz w:val="22"/>
          <w:szCs w:val="22"/>
          <w:lang w:val="en-GB"/>
        </w:rPr>
        <w:t>(Conradson &amp; Mckay, 2007)</w:t>
      </w:r>
      <w:r w:rsidR="00017550" w:rsidRPr="004E053C">
        <w:rPr>
          <w:rFonts w:cstheme="majorHAnsi"/>
          <w:sz w:val="22"/>
          <w:szCs w:val="22"/>
          <w:lang w:val="en-GB"/>
        </w:rPr>
        <w:fldChar w:fldCharType="end"/>
      </w:r>
      <w:r w:rsidRPr="004E053C">
        <w:rPr>
          <w:rFonts w:cstheme="majorHAnsi"/>
          <w:sz w:val="22"/>
          <w:szCs w:val="22"/>
          <w:lang w:val="en-GB"/>
        </w:rPr>
        <w:t>. For example, S</w:t>
      </w:r>
      <w:r w:rsidR="00017550" w:rsidRPr="004E053C">
        <w:rPr>
          <w:rFonts w:cstheme="majorHAnsi"/>
          <w:sz w:val="22"/>
          <w:szCs w:val="22"/>
          <w:lang w:val="en-GB"/>
        </w:rPr>
        <w:t>ø</w:t>
      </w:r>
      <w:r w:rsidRPr="004E053C">
        <w:rPr>
          <w:rFonts w:cstheme="majorHAnsi"/>
          <w:sz w:val="22"/>
          <w:szCs w:val="22"/>
          <w:lang w:val="en-GB"/>
        </w:rPr>
        <w:t xml:space="preserve">rensen </w:t>
      </w:r>
      <w:r w:rsidR="00017550"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{"citationItems":[{"id":"ITEM-1","itemData":{"author":[{"dropping-particle":"","family":"Sørensen","given":"N","non-dropping-particle":"","parse-names":false,"suffix":""}],"container-title":"Work and Migration: Life and Livelihoods in a Globalizing World","editor":[{"dropping-particle":"","family":"Olwig","given":"K.F","non-dropping-particle":"","parse-names":false,"suffix":""},{"dropping-particle":"","family":"Sorensen","given":"N.N","non-dropping-particle":"","parse-names":false,"suffix":""}],"id":"ITEM-1","issued":{"date-parts":[["2002"]]},"page":"23-44","publisher":"Routledge","publisher-place":"London, UK","title":"Representing the local: mobile livelihood practices in the Peruvian Central Sierra","type":"chapter"},"uris":["http://www.mendeley.com/documents/?uuid=da5c8a60-7323-4b01-846e-4af88ae79834"]}],"mendeley":{"formattedCitation":"(Sørensen, 2002)","manualFormatting":"(2002)","plainTextFormattedCitation":"(Sørensen, 2002)","previouslyFormattedCitation":"(Sørensen, 2002)"},"properties":{"noteIndex":0},"schema":"https://github.com/citation-style-language/schema/raw/master/csl-citation.json"}</w:instrText>
      </w:r>
      <w:r w:rsidR="00017550" w:rsidRPr="004E053C">
        <w:rPr>
          <w:rFonts w:cstheme="majorHAnsi"/>
          <w:sz w:val="22"/>
          <w:szCs w:val="22"/>
          <w:lang w:val="en-GB"/>
        </w:rPr>
        <w:fldChar w:fldCharType="separate"/>
      </w:r>
      <w:r w:rsidR="0059261C" w:rsidRPr="004E053C">
        <w:rPr>
          <w:rFonts w:cstheme="majorHAnsi"/>
          <w:noProof/>
          <w:sz w:val="22"/>
          <w:szCs w:val="22"/>
          <w:lang w:val="en-GB"/>
        </w:rPr>
        <w:t>(</w:t>
      </w:r>
      <w:r w:rsidR="00017550" w:rsidRPr="004E053C">
        <w:rPr>
          <w:rFonts w:cstheme="majorHAnsi"/>
          <w:noProof/>
          <w:sz w:val="22"/>
          <w:szCs w:val="22"/>
          <w:lang w:val="en-GB"/>
        </w:rPr>
        <w:t>2002)</w:t>
      </w:r>
      <w:r w:rsidR="00017550" w:rsidRPr="004E053C">
        <w:rPr>
          <w:rFonts w:cstheme="majorHAnsi"/>
          <w:sz w:val="22"/>
          <w:szCs w:val="22"/>
          <w:lang w:val="en-GB"/>
        </w:rPr>
        <w:fldChar w:fldCharType="end"/>
      </w:r>
      <w:r w:rsidRPr="004E053C">
        <w:rPr>
          <w:rFonts w:cstheme="majorHAnsi"/>
          <w:sz w:val="22"/>
          <w:szCs w:val="22"/>
          <w:lang w:val="en-GB"/>
        </w:rPr>
        <w:t xml:space="preserve"> has argued that living and working between two distinct locations creates ambivalent relationship between rural points of origin and current urban development areas.  </w:t>
      </w:r>
    </w:p>
    <w:p w14:paraId="4C8A43AD" w14:textId="77777777" w:rsidR="00FE47C4" w:rsidRPr="004E053C" w:rsidRDefault="00FE47C4" w:rsidP="004E053C">
      <w:pPr>
        <w:spacing w:line="360" w:lineRule="auto"/>
        <w:jc w:val="both"/>
        <w:rPr>
          <w:rFonts w:cstheme="majorHAnsi"/>
          <w:sz w:val="22"/>
          <w:szCs w:val="22"/>
          <w:lang w:val="en-GB"/>
        </w:rPr>
      </w:pPr>
    </w:p>
    <w:p w14:paraId="6F5311FF" w14:textId="4C977751"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One could easily assume that mobility and translocality have the power to undermine an individual’s ‘rootedness’ in a specific location. This is particularly true as place-identity and place-attachment are both so dependent on long-term residence, given that it takes time to build sentimental attachments and develop social ties </w:t>
      </w:r>
      <w:r w:rsidR="0059261C"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{"citationItems":[{"id":"ITEM-1","itemData":{"author":[{"dropping-particle":"","family":"Cuba","given":"Lee","non-dropping-particle":"","parse-names":false,"suffix":""},{"dropping-particle":"","family":"Hummon","given":"David M","non-dropping-particle":"","parse-names":false,"suffix":""}],"container-title":"Sociological Quarterly","id":"ITEM-1","issue":"1","issued":{"date-parts":[["1993"]]},"page":"111-131","title":"A place to call home: identitication with dwelling, community and region","type":"article-journal","volume":"34"},"uris":["http://www.mendeley.com/documents/?uuid=5a6b16da-dfd1-4b24-b281-35ec3ebd03c5"]}],"mendeley":{"formattedCitation":"(Cuba &amp; Hummon, 1993)","plainTextFormattedCitation":"(Cuba &amp; Hummon, 1993)","previouslyFormattedCitation":"(Cuba &amp; Hummon, 1993)"},"properties":{"noteIndex":0},"schema":"https://github.com/citation-style-language/schema/raw/master/csl-citation.json"}</w:instrText>
      </w:r>
      <w:r w:rsidR="0059261C" w:rsidRPr="004E053C">
        <w:rPr>
          <w:rFonts w:cstheme="majorHAnsi"/>
          <w:sz w:val="22"/>
          <w:szCs w:val="22"/>
          <w:lang w:val="en-GB"/>
        </w:rPr>
        <w:fldChar w:fldCharType="separate"/>
      </w:r>
      <w:r w:rsidR="0059261C" w:rsidRPr="004E053C">
        <w:rPr>
          <w:rFonts w:cstheme="majorHAnsi"/>
          <w:noProof/>
          <w:sz w:val="22"/>
          <w:szCs w:val="22"/>
          <w:lang w:val="en-GB"/>
        </w:rPr>
        <w:t>(Cuba &amp; Hummon, 1993)</w:t>
      </w:r>
      <w:r w:rsidR="0059261C" w:rsidRPr="004E053C">
        <w:rPr>
          <w:rFonts w:cstheme="majorHAnsi"/>
          <w:sz w:val="22"/>
          <w:szCs w:val="22"/>
          <w:lang w:val="en-GB"/>
        </w:rPr>
        <w:fldChar w:fldCharType="end"/>
      </w:r>
      <w:r w:rsidRPr="004E053C">
        <w:rPr>
          <w:rFonts w:cstheme="majorHAnsi"/>
          <w:sz w:val="22"/>
          <w:szCs w:val="22"/>
          <w:lang w:val="en-GB"/>
        </w:rPr>
        <w:t xml:space="preserve">. However, the translocality literature frequently highlights how migrants retain a sense of place in their hometown, with origin communities remaining a space of belonging and identity for most migrants </w:t>
      </w:r>
      <w:r w:rsidR="0059261C"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uthor":[{"dropping-particle":"","family":"Brickell","given":"K.","non-dropping-particle":"","parse-names":false,"suffix":""},{"dropping-particle":"","family":"Datta","given":"A","non-dropping-particle":"","parse-names":false,"suffix":""}],"chapter-number":"1","container-title":"Translocal Geographies: Spaces, Places, Connectionsspaces, places, connections","id":"ITEM-1","issued":{"date-parts":[["2011"]]},"page":"3-22","publisher":"Ashgate Publishing Limited","publisher-place":"Farnham, UK","title":"Introduction: Translocal Geographies","type":"chapter"},"uris":["http://www.mendeley.com/documents/?uuid=e9d80bd7-1584-4fca-bf4f-f5d58e788945"]}],"mendeley":{"formattedCitation":"(K. Brickell &amp; Datta, 2011)","manualFormatting":"(Brickell &amp; Datta, 2011)","plainTextFormattedCitation":"(K. Brickell &amp; Datta, 2011)","previouslyFormattedCitation":"(K. Brickell &amp; Datta, 2011)"},"properties":{"noteIndex":0},"schema":"https://github.com/citation-style-language/schema/raw/master/csl-citation.json"}</w:instrText>
      </w:r>
      <w:r w:rsidR="0059261C" w:rsidRPr="004E053C">
        <w:rPr>
          <w:rFonts w:cstheme="majorHAnsi"/>
          <w:sz w:val="22"/>
          <w:szCs w:val="22"/>
          <w:lang w:val="en-GB"/>
        </w:rPr>
        <w:fldChar w:fldCharType="separate"/>
      </w:r>
      <w:r w:rsidR="0059261C" w:rsidRPr="004E053C">
        <w:rPr>
          <w:rFonts w:cstheme="majorHAnsi"/>
          <w:noProof/>
          <w:sz w:val="22"/>
          <w:szCs w:val="22"/>
          <w:lang w:val="en-GB"/>
        </w:rPr>
        <w:t>(Brickell &amp; Datta, 2011)</w:t>
      </w:r>
      <w:r w:rsidR="0059261C" w:rsidRPr="004E053C">
        <w:rPr>
          <w:rFonts w:cstheme="majorHAnsi"/>
          <w:sz w:val="22"/>
          <w:szCs w:val="22"/>
          <w:lang w:val="en-GB"/>
        </w:rPr>
        <w:fldChar w:fldCharType="end"/>
      </w:r>
      <w:r w:rsidRPr="004E053C">
        <w:rPr>
          <w:rFonts w:cstheme="majorHAnsi"/>
          <w:sz w:val="22"/>
          <w:szCs w:val="22"/>
          <w:lang w:val="en-GB"/>
        </w:rPr>
        <w:t xml:space="preserve">. This has been illustrated empirically in migrants’ direction of activities, aspirations and investments </w:t>
      </w:r>
      <w:r w:rsidR="0059261C"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transnationalism.","author":[{"dropping-particle":"","family":"Greiner","given":"Clemens","non-dropping-particle":"","parse-names":false,"suffix":""}],"container-title":"Sociologus","id":"ITEM-1","issue":"2","issued":{"date-parts":[["2010"]]},"page":"131-161","title":"Patterns of translocality: migration, livelihoods and identities in Northwest Namibia","type":"article-journal","volume":"60"},"uris":["http://www.mendeley.com/documents/?uuid=414887f7-c62a-48a7-b7bf-b65a4cc9aa41"]}],"mendeley":{"formattedCitation":"(Greiner, 2010)","plainTextFormattedCitation":"(Greiner, 2010)","previouslyFormattedCitation":"(Greiner, 2010)"},"properties":{"noteIndex":0},"schema":"https://github.com/citation-style-language/schema/raw/master/csl-citation.json"}</w:instrText>
      </w:r>
      <w:r w:rsidR="0059261C" w:rsidRPr="004E053C">
        <w:rPr>
          <w:rFonts w:cstheme="majorHAnsi"/>
          <w:sz w:val="22"/>
          <w:szCs w:val="22"/>
          <w:lang w:val="en-GB"/>
        </w:rPr>
        <w:fldChar w:fldCharType="separate"/>
      </w:r>
      <w:r w:rsidR="0059261C" w:rsidRPr="004E053C">
        <w:rPr>
          <w:rFonts w:cstheme="majorHAnsi"/>
          <w:noProof/>
          <w:sz w:val="22"/>
          <w:szCs w:val="22"/>
          <w:lang w:val="en-GB"/>
        </w:rPr>
        <w:t>(Greiner, 2010)</w:t>
      </w:r>
      <w:r w:rsidR="0059261C" w:rsidRPr="004E053C">
        <w:rPr>
          <w:rFonts w:cstheme="majorHAnsi"/>
          <w:sz w:val="22"/>
          <w:szCs w:val="22"/>
          <w:lang w:val="en-GB"/>
        </w:rPr>
        <w:fldChar w:fldCharType="end"/>
      </w:r>
      <w:r w:rsidRPr="004E053C">
        <w:rPr>
          <w:rFonts w:cstheme="majorHAnsi"/>
          <w:sz w:val="22"/>
          <w:szCs w:val="22"/>
          <w:lang w:val="en-GB"/>
        </w:rPr>
        <w:t xml:space="preserve"> as </w:t>
      </w:r>
      <w:r w:rsidRPr="004E053C">
        <w:rPr>
          <w:rFonts w:cstheme="majorHAnsi"/>
          <w:color w:val="211E1E"/>
          <w:sz w:val="22"/>
          <w:szCs w:val="22"/>
          <w:lang w:val="en-GB"/>
        </w:rPr>
        <w:t xml:space="preserve">well as political mobilisations </w:t>
      </w:r>
      <w:r w:rsidR="0059261C" w:rsidRPr="004E053C">
        <w:rPr>
          <w:rFonts w:cstheme="majorHAnsi"/>
          <w:color w:val="211E1E"/>
          <w:sz w:val="22"/>
          <w:szCs w:val="22"/>
          <w:lang w:val="en-GB"/>
        </w:rPr>
        <w:fldChar w:fldCharType="begin" w:fldLock="1"/>
      </w:r>
      <w:r w:rsidR="0059261C" w:rsidRPr="004E053C">
        <w:rPr>
          <w:rFonts w:cstheme="majorHAnsi"/>
          <w:color w:val="211E1E"/>
          <w:sz w:val="22"/>
          <w:szCs w:val="22"/>
          <w:lang w:val="en-GB"/>
        </w:rPr>
        <w:instrText>ADDIN CSL_CITATION {"citationItems":[{"id":"ITEM-1","itemData":{"author":[{"dropping-particle":"","family":"Vélez-Torres","given":"Irene","non-dropping-particle":"","parse-names":false,"suffix":""},{"dropping-particle":"","family":"Agergaard","given":"Jytte","non-dropping-particle":"","parse-names":false,"suffix":""}],"container-title":"Geoforum","id":"ITEM-1","issued":{"date-parts":[["2014"]]},"page":"116-125","title":"An alternative approach to the dominant narratives on ‘displacement’ in Colombia","type":"article-journal","volume":"53"},"uris":["http://www.mendeley.com/documents/?uuid=34f5f84d-1822-4e2e-9cfb-9ddfa225d02d"]}],"mendeley":{"formattedCitation":"(Vélez-Torres &amp; Agergaard, 2014)","plainTextFormattedCitation":"(Vélez-Torres &amp; Agergaard, 2014)","previouslyFormattedCitation":"(Vélez-Torres &amp; Agergaard, 2014)"},"properties":{"noteIndex":0},"schema":"https://github.com/citation-style-language/schema/raw/master/csl-citation.json"}</w:instrText>
      </w:r>
      <w:r w:rsidR="0059261C" w:rsidRPr="004E053C">
        <w:rPr>
          <w:rFonts w:cstheme="majorHAnsi"/>
          <w:color w:val="211E1E"/>
          <w:sz w:val="22"/>
          <w:szCs w:val="22"/>
          <w:lang w:val="en-GB"/>
        </w:rPr>
        <w:fldChar w:fldCharType="separate"/>
      </w:r>
      <w:r w:rsidR="0059261C" w:rsidRPr="004E053C">
        <w:rPr>
          <w:rFonts w:cstheme="majorHAnsi"/>
          <w:noProof/>
          <w:color w:val="211E1E"/>
          <w:sz w:val="22"/>
          <w:szCs w:val="22"/>
          <w:lang w:val="en-GB"/>
        </w:rPr>
        <w:t>(Vélez-Torres &amp; Agergaard, 2014)</w:t>
      </w:r>
      <w:r w:rsidR="0059261C" w:rsidRPr="004E053C">
        <w:rPr>
          <w:rFonts w:cstheme="majorHAnsi"/>
          <w:color w:val="211E1E"/>
          <w:sz w:val="22"/>
          <w:szCs w:val="22"/>
          <w:lang w:val="en-GB"/>
        </w:rPr>
        <w:fldChar w:fldCharType="end"/>
      </w:r>
      <w:r w:rsidRPr="004E053C">
        <w:rPr>
          <w:rFonts w:cstheme="majorHAnsi"/>
          <w:color w:val="211E1E"/>
          <w:sz w:val="22"/>
          <w:szCs w:val="22"/>
          <w:lang w:val="en-GB"/>
        </w:rPr>
        <w:t xml:space="preserve">. It has been suggested that it is because a successful </w:t>
      </w:r>
      <w:r w:rsidRPr="004E053C">
        <w:rPr>
          <w:rFonts w:cstheme="majorHAnsi"/>
          <w:sz w:val="22"/>
          <w:szCs w:val="22"/>
          <w:lang w:val="en-GB"/>
        </w:rPr>
        <w:t xml:space="preserve">spatial diversification of livelihoods relies so heavily on social and kinship networks, that migration can be seen to almost reinforce these relationships </w:t>
      </w:r>
      <w:r w:rsidR="0059261C"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{"citationItems":[{"id":"ITEM-1","itemData":{"author":[{"dropping-particle":"","family":"Olwig","given":"F.K","non-dropping-particle":"","parse-names":false,"suffix":""},{"dropping-particle":"","family":"Sørensen","given":"Ninna Nyberg","non-dropping-particle":"","parse-names":false,"suffix":""}],"chapter-number":"Introducti","container-title":"Work and Migration: Life and Livelihoods in a Globalizing World","editor":[{"dropping-particle":"","family":"Olwig","given":"F.K","non-dropping-particle":"","parse-names":false,"suffix":""},{"dropping-particle":"","family":"Sorensen","given":"N.N","non-dropping-particle":"","parse-names":false,"suffix":""}],"id":"ITEM-1","issued":{"date-parts":[["2002"]]},"page":"1-19","publisher":"Routledge","publisher-place":"London, UK","title":"Mobile livelihoods: making a living in the world","type":"chapter"},"uris":["http://www.mendeley.com/documents/?uuid=17d3b3f6-2cfc-4b26-8c34-b459edb1d851"]}],"mendeley":{"formattedCitation":"(F. . Olwig &amp; Sørensen, 2002)","manualFormatting":"(Olwig &amp; Sørensen, 2002)","plainTextFormattedCitation":"(F. . Olwig &amp; Sørensen, 2002)","previouslyFormattedCitation":"(F. . Olwig &amp; Sørensen, 2002)"},"properties":{"noteIndex":0},"schema":"https://github.com/citation-style-language/schema/raw/master/csl-citation.json"}</w:instrText>
      </w:r>
      <w:r w:rsidR="0059261C" w:rsidRPr="004E053C">
        <w:rPr>
          <w:rFonts w:cstheme="majorHAnsi"/>
          <w:sz w:val="22"/>
          <w:szCs w:val="22"/>
          <w:lang w:val="en-GB"/>
        </w:rPr>
        <w:fldChar w:fldCharType="separate"/>
      </w:r>
      <w:r w:rsidR="0059261C" w:rsidRPr="004E053C">
        <w:rPr>
          <w:rFonts w:cstheme="majorHAnsi"/>
          <w:noProof/>
          <w:sz w:val="22"/>
          <w:szCs w:val="22"/>
          <w:lang w:val="en-GB"/>
        </w:rPr>
        <w:t>(Olwig &amp; Sørensen, 2002)</w:t>
      </w:r>
      <w:r w:rsidR="0059261C" w:rsidRPr="004E053C">
        <w:rPr>
          <w:rFonts w:cstheme="majorHAnsi"/>
          <w:sz w:val="22"/>
          <w:szCs w:val="22"/>
          <w:lang w:val="en-GB"/>
        </w:rPr>
        <w:fldChar w:fldCharType="end"/>
      </w:r>
      <w:r w:rsidRPr="004E053C">
        <w:rPr>
          <w:rFonts w:cstheme="majorHAnsi"/>
          <w:sz w:val="22"/>
          <w:szCs w:val="22"/>
          <w:lang w:val="en-GB"/>
        </w:rPr>
        <w:t xml:space="preserve">. Conradson and McKay </w:t>
      </w:r>
      <w:r w:rsidR="0059261C"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onradson","given":"David","non-dropping-particle":"","parse-names":false,"suffix":""},{"dropping-particle":"","family":"Mckay","given":"Deirdre","non-dropping-particle":"","parse-names":false,"suffix":""}],"container-title":"Mobilities","id":"ITEM-1","issue":"2","issued":{"date-parts":[["2007"]]},"page":"167-174","title":"Translocal subjectivities: mobility, connection, emotion","type":"article-journal","volume":"2"},"uris":["http://www.mendeley.com/documents/?uuid=0815ca70-6691-47cc-a6d2-228c076552d2"]}],"mendeley":{"formattedCitation":"(Conradson &amp; Mckay, 2007)","manualFormatting":"(2007)","plainTextFormattedCitation":"(Conradson &amp; Mckay, 2007)","previouslyFormattedCitation":"(Conradson &amp; Mckay, 2007)"},"properties":{"noteIndex":0},"schema":"https://github.com/citation-style-language/schema/raw/master/csl-citation.json"}</w:instrText>
      </w:r>
      <w:r w:rsidR="0059261C" w:rsidRPr="004E053C">
        <w:rPr>
          <w:rFonts w:cstheme="majorHAnsi"/>
          <w:sz w:val="22"/>
          <w:szCs w:val="22"/>
          <w:lang w:val="en-GB"/>
        </w:rPr>
        <w:fldChar w:fldCharType="separate"/>
      </w:r>
      <w:r w:rsidR="0059261C" w:rsidRPr="004E053C">
        <w:rPr>
          <w:rFonts w:cstheme="majorHAnsi"/>
          <w:noProof/>
          <w:sz w:val="22"/>
          <w:szCs w:val="22"/>
          <w:lang w:val="en-GB"/>
        </w:rPr>
        <w:t>(2007)</w:t>
      </w:r>
      <w:r w:rsidR="0059261C" w:rsidRPr="004E053C">
        <w:rPr>
          <w:rFonts w:cstheme="majorHAnsi"/>
          <w:sz w:val="22"/>
          <w:szCs w:val="22"/>
          <w:lang w:val="en-GB"/>
        </w:rPr>
        <w:fldChar w:fldCharType="end"/>
      </w:r>
      <w:r w:rsidRPr="004E053C">
        <w:rPr>
          <w:rFonts w:cstheme="majorHAnsi"/>
          <w:sz w:val="22"/>
          <w:szCs w:val="22"/>
          <w:lang w:val="en-GB"/>
        </w:rPr>
        <w:t xml:space="preserve"> refer to the commitment that most migrants continue to feel towards family, friends and community in particular locations as translocal subjectivities. However, at the same time, many migrants do develop some sense of belonging within their destination community. Thus</w:t>
      </w:r>
      <w:r w:rsidR="0059261C" w:rsidRPr="004E053C">
        <w:rPr>
          <w:rFonts w:cstheme="majorHAnsi"/>
          <w:sz w:val="22"/>
          <w:szCs w:val="22"/>
          <w:lang w:val="en-GB"/>
        </w:rPr>
        <w:t>,</w:t>
      </w:r>
      <w:r w:rsidRPr="004E053C">
        <w:rPr>
          <w:rFonts w:cstheme="majorHAnsi"/>
          <w:sz w:val="22"/>
          <w:szCs w:val="22"/>
          <w:lang w:val="en-GB"/>
        </w:rPr>
        <w:t xml:space="preserve"> members of the translocal household will often attribute different meanings to the places composing their shared translocal space </w:t>
      </w:r>
      <w:r w:rsidR="0059261C" w:rsidRPr="004E053C">
        <w:rPr>
          <w:rFonts w:cstheme="majorHAnsi"/>
          <w:sz w:val="22"/>
          <w:szCs w:val="22"/>
          <w:lang w:val="en-GB"/>
        </w:rPr>
        <w:fldChar w:fldCharType="begin" w:fldLock="1"/>
      </w:r>
      <w:r w:rsidR="0059261C" w:rsidRPr="004E053C">
        <w:rPr>
          <w:rFonts w:cstheme="majorHAnsi"/>
          <w:sz w:val="22"/>
          <w:szCs w:val="22"/>
          <w:lang w:val="en-GB"/>
        </w:rPr>
        <w:instrText>ADDIN CSL_CITATION {"citationItems":[{"id":"ITEM-1","itemData":{"author":[{"dropping-particle":"","family":"Schöfberger","given":"Irene","non-dropping-particle":"","parse-names":false,"suffix":""}],"container-title":"Geographica Helvetica","id":"ITEM-1","issued":{"date-parts":[["2017"]]},"page":"145–155","title":"How do places of origin influence access to mobility in the global age? An analysis of the influence of vulnerability and structural constraints on Senegalese translocal livelihood strategies","type":"article-journal","volume":"72"},"uris":["http://www.mendeley.com/documents/?uuid=417e9e61-3fe2-4096-bac6-b88eb801f39c"]}],"mendeley":{"formattedCitation":"(Schöfberger, 2017)","plainTextFormattedCitation":"(Schöfberger, 2017)","previouslyFormattedCitation":"(Schöfberger, 2017)"},"properties":{"noteIndex":0},"schema":"https://github.com/citation-style-language/schema/raw/master/csl-citation.json"}</w:instrText>
      </w:r>
      <w:r w:rsidR="0059261C" w:rsidRPr="004E053C">
        <w:rPr>
          <w:rFonts w:cstheme="majorHAnsi"/>
          <w:sz w:val="22"/>
          <w:szCs w:val="22"/>
          <w:lang w:val="en-GB"/>
        </w:rPr>
        <w:fldChar w:fldCharType="separate"/>
      </w:r>
      <w:r w:rsidR="0059261C" w:rsidRPr="004E053C">
        <w:rPr>
          <w:rFonts w:cstheme="majorHAnsi"/>
          <w:noProof/>
          <w:sz w:val="22"/>
          <w:szCs w:val="22"/>
          <w:lang w:val="en-GB"/>
        </w:rPr>
        <w:t>(Schöfberger, 2017)</w:t>
      </w:r>
      <w:r w:rsidR="0059261C" w:rsidRPr="004E053C">
        <w:rPr>
          <w:rFonts w:cstheme="majorHAnsi"/>
          <w:sz w:val="22"/>
          <w:szCs w:val="22"/>
          <w:lang w:val="en-GB"/>
        </w:rPr>
        <w:fldChar w:fldCharType="end"/>
      </w:r>
      <w:r w:rsidRPr="004E053C">
        <w:rPr>
          <w:rFonts w:cstheme="majorHAnsi"/>
          <w:sz w:val="22"/>
          <w:szCs w:val="22"/>
          <w:lang w:val="en-GB"/>
        </w:rPr>
        <w:t>.</w:t>
      </w:r>
    </w:p>
    <w:p w14:paraId="60E64EC8" w14:textId="77777777" w:rsidR="00FE47C4" w:rsidRPr="004E053C" w:rsidRDefault="00FE47C4" w:rsidP="004E053C">
      <w:pPr>
        <w:spacing w:line="360" w:lineRule="auto"/>
        <w:jc w:val="both"/>
        <w:rPr>
          <w:rFonts w:cstheme="majorHAnsi"/>
          <w:sz w:val="22"/>
          <w:szCs w:val="22"/>
          <w:lang w:val="en-GB"/>
        </w:rPr>
      </w:pPr>
    </w:p>
    <w:p w14:paraId="7E694544" w14:textId="172E231F" w:rsidR="00FE47C4" w:rsidRPr="004E053C" w:rsidRDefault="00FE47C4" w:rsidP="004E053C">
      <w:pPr>
        <w:widowControl w:val="0"/>
        <w:autoSpaceDE w:val="0"/>
        <w:autoSpaceDN w:val="0"/>
        <w:adjustRightInd w:val="0"/>
        <w:spacing w:line="360" w:lineRule="auto"/>
        <w:jc w:val="both"/>
        <w:rPr>
          <w:rFonts w:cstheme="majorHAnsi"/>
          <w:sz w:val="22"/>
          <w:szCs w:val="22"/>
          <w:lang w:val="en-GB" w:eastAsia="zh-CN"/>
        </w:rPr>
      </w:pPr>
      <w:r w:rsidRPr="004E053C">
        <w:rPr>
          <w:rFonts w:cstheme="majorHAnsi"/>
          <w:sz w:val="22"/>
          <w:szCs w:val="22"/>
          <w:lang w:val="en-GB" w:eastAsia="zh-CN"/>
        </w:rPr>
        <w:t xml:space="preserve">Some theorists have argued for the existence of a translocal identity that embraces the particularities of different localities and allows the migrants to adapt flexibly to lifestyles in multiple locations </w:t>
      </w:r>
      <w:r w:rsidR="0059261C"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transnationalism.","author":[{"dropping-particle":"","family":"Greiner","given":"Clemens","non-dropping-particle":"","parse-names":false,"suffix":""}],"container-title":"Sociologus","id":"ITEM-1","issue":"2","issued":{"date-parts":[["2010"]]},"page":"131-161","title":"Patterns of translocality: migration, livelihoods and identities in Northwest Namibia","type":"article-journal","volume":"60"},"uris":["http://www.mendeley.com/documents/?uuid=414887f7-c62a-48a7-b7bf-b65a4cc9aa41"]}],"mendeley":{"formattedCitation":"(Greiner, 2010)","plainTextFormattedCitation":"(Greiner, 2010)","previouslyFormattedCitation":"(Greiner, 2010)"},"properties":{"noteIndex":0},"schema":"https://github.com/citation-style-language/schema/raw/master/csl-citation.json"}</w:instrText>
      </w:r>
      <w:r w:rsidR="0059261C" w:rsidRPr="004E053C">
        <w:rPr>
          <w:rFonts w:cstheme="majorHAnsi"/>
          <w:sz w:val="22"/>
          <w:szCs w:val="22"/>
          <w:lang w:val="en-GB" w:eastAsia="zh-CN"/>
        </w:rPr>
        <w:fldChar w:fldCharType="separate"/>
      </w:r>
      <w:r w:rsidR="0059261C" w:rsidRPr="004E053C">
        <w:rPr>
          <w:rFonts w:cstheme="majorHAnsi"/>
          <w:noProof/>
          <w:sz w:val="22"/>
          <w:szCs w:val="22"/>
          <w:lang w:val="en-GB" w:eastAsia="zh-CN"/>
        </w:rPr>
        <w:t>(Greiner, 2010)</w:t>
      </w:r>
      <w:r w:rsidR="0059261C" w:rsidRPr="004E053C">
        <w:rPr>
          <w:rFonts w:cstheme="majorHAnsi"/>
          <w:sz w:val="22"/>
          <w:szCs w:val="22"/>
          <w:lang w:val="en-GB" w:eastAsia="zh-CN"/>
        </w:rPr>
        <w:fldChar w:fldCharType="end"/>
      </w:r>
      <w:r w:rsidRPr="004E053C">
        <w:rPr>
          <w:rFonts w:cstheme="majorHAnsi"/>
          <w:sz w:val="22"/>
          <w:szCs w:val="22"/>
          <w:lang w:val="en-GB" w:eastAsia="zh-CN"/>
        </w:rPr>
        <w:t xml:space="preserve">. This seems to be supported by evidence from Peru and elsewhere which suggests that the act of migration itself creates new links and communities which contribute to the formation of a new identity </w:t>
      </w:r>
      <w:r w:rsidR="008E3918"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{"citationItems":[{"id":"ITEM-1","itemData":{"author":[{"dropping-particle":"","family":"Robson","given":"J.P","non-dropping-particle":"","parse-names":false,"suffix":""}],"id":"ITEM-1","issued":{"date-parts":[["2010"]]},"publisher":"University of Manitoba. Winnipeg, Canada.","title":"Assessing community vulnerability to change: The impact of rural-urban migration on the forest commons of Oaxaca, southern Mexico","type":"thesis"},"uris":["http://www.mendeley.com/documents/?uuid=cbff7f7b-e174-456b-8658-800b13687f6c"]},{"id":"ITEM-2","itemData":{"author":[{"dropping-particle":"","family":"Sørensen","given":"N","non-dropping-particle":"","parse-names":false,"suffix":""}],"container-title":"Work and Migration: Life and Livelihoods in a Globalizing World","editor":[{"dropping-particle":"","family":"Olwig","given":"K.F","non-dropping-particle":"","parse-names":false,"suffix":""},{"dropping-particle":"","family":"Sorensen","given":"N.N","non-dropping-particle":"","parse-names":false,"suffix":""}],"id":"ITEM-2","issued":{"date-parts":[["2002"]]},"page":"23-44","publisher":"Routledge","publisher-place":"London, UK","title":"Representing the local: mobile livelihood practices in the Peruvian Central Sierra","type":"chapter"},"uris":["http://www.mendeley.com/documents/?uuid=da5c8a60-7323-4b01-846e-4af88ae79834"]}],"mendeley":{"formattedCitation":"(Robson, 2010; Sørensen, 2002)","plainTextFormattedCitation":"(Robson, 2010; Sørensen, 2002)","previouslyFormattedCitation":"(Robson, 2010; Sørensen, 2002)"},"properties":{"noteIndex":0},"schema":"https://github.com/citation-style-language/schema/raw/master/csl-citation.json"}</w:instrText>
      </w:r>
      <w:r w:rsidR="008E3918" w:rsidRPr="004E053C">
        <w:rPr>
          <w:rFonts w:cstheme="majorHAnsi"/>
          <w:sz w:val="22"/>
          <w:szCs w:val="22"/>
          <w:lang w:val="en-GB" w:eastAsia="zh-CN"/>
        </w:rPr>
        <w:fldChar w:fldCharType="separate"/>
      </w:r>
      <w:r w:rsidR="008E3918" w:rsidRPr="004E053C">
        <w:rPr>
          <w:rFonts w:cstheme="majorHAnsi"/>
          <w:noProof/>
          <w:sz w:val="22"/>
          <w:szCs w:val="22"/>
          <w:lang w:val="en-GB" w:eastAsia="zh-CN"/>
        </w:rPr>
        <w:t>(Robson, 2010; Sørensen, 2002)</w:t>
      </w:r>
      <w:r w:rsidR="008E3918" w:rsidRPr="004E053C">
        <w:rPr>
          <w:rFonts w:cstheme="majorHAnsi"/>
          <w:sz w:val="22"/>
          <w:szCs w:val="22"/>
          <w:lang w:val="en-GB" w:eastAsia="zh-CN"/>
        </w:rPr>
        <w:fldChar w:fldCharType="end"/>
      </w:r>
      <w:r w:rsidRPr="004E053C">
        <w:rPr>
          <w:rFonts w:cstheme="majorHAnsi"/>
          <w:sz w:val="22"/>
          <w:szCs w:val="22"/>
          <w:lang w:val="en-GB" w:eastAsia="zh-CN"/>
        </w:rPr>
        <w:t xml:space="preserve">, thereby apparently challenging the notion that identity and community are tied to a discrete place </w:t>
      </w:r>
      <w:r w:rsidR="005628C9" w:rsidRPr="004E053C">
        <w:rPr>
          <w:rFonts w:cstheme="majorHAnsi"/>
          <w:sz w:val="22"/>
          <w:szCs w:val="22"/>
          <w:lang w:val="en-GB" w:eastAsia="zh-CN"/>
        </w:rPr>
        <w:fldChar w:fldCharType="begin" w:fldLock="1"/>
      </w:r>
      <w:r w:rsidR="00EA4C95" w:rsidRPr="004E053C">
        <w:rPr>
          <w:rFonts w:cstheme="majorHAnsi"/>
          <w:sz w:val="22"/>
          <w:szCs w:val="22"/>
          <w:lang w:val="en-GB" w:eastAsia="zh-CN"/>
        </w:rPr>
        <w:instrText>ADDIN CSL_CITATION {"citationItems":[{"id":"ITEM-1","itemData":{"author":[{"dropping-particle":"","family":"Vélez-Torres","given":"Irene","non-dropping-particle":"","parse-names":false,"suffix":""},{"dropping-particle":"","family":"Agergaard","given":"Jytte","non-dropping-particle":"","parse-names":false,"suffix":""}],"container-title":"Geoforum","id":"ITEM-1","issued":{"date-parts":[["2014"]]},"page":"116-125","title":"An alternative approach to the dominant narratives on ‘displacement’ in Colombia","type":"article-journal","volume":"53"},"uris":["http://www.mendeley.com/documents/?uuid=34f5f84d-1822-4e2e-9cfb-9ddfa225d02d"]}],"mendeley":{"formattedCitation":"(Vélez-Torres &amp; Agergaard, 2014)","plainTextFormattedCitation":"(Vélez-Torres &amp; Agergaard, 2014)","previouslyFormattedCitation":"(Vélez-Torres &amp; Agergaard, 2014)"},"properties":{"noteIndex":0},"schema":"https://github.com/citation-style-language/schema/raw/master/csl-citation.json"}</w:instrText>
      </w:r>
      <w:r w:rsidR="005628C9" w:rsidRPr="004E053C">
        <w:rPr>
          <w:rFonts w:cstheme="majorHAnsi"/>
          <w:sz w:val="22"/>
          <w:szCs w:val="22"/>
          <w:lang w:val="en-GB" w:eastAsia="zh-CN"/>
        </w:rPr>
        <w:fldChar w:fldCharType="separate"/>
      </w:r>
      <w:r w:rsidR="005628C9" w:rsidRPr="004E053C">
        <w:rPr>
          <w:rFonts w:cstheme="majorHAnsi"/>
          <w:noProof/>
          <w:sz w:val="22"/>
          <w:szCs w:val="22"/>
          <w:lang w:val="en-GB" w:eastAsia="zh-CN"/>
        </w:rPr>
        <w:t>(Vélez-Torres &amp; Agergaard, 2014)</w:t>
      </w:r>
      <w:r w:rsidR="005628C9" w:rsidRPr="004E053C">
        <w:rPr>
          <w:rFonts w:cstheme="majorHAnsi"/>
          <w:sz w:val="22"/>
          <w:szCs w:val="22"/>
          <w:lang w:val="en-GB" w:eastAsia="zh-CN"/>
        </w:rPr>
        <w:fldChar w:fldCharType="end"/>
      </w:r>
      <w:r w:rsidRPr="004E053C">
        <w:rPr>
          <w:rFonts w:cstheme="majorHAnsi"/>
          <w:sz w:val="22"/>
          <w:szCs w:val="22"/>
          <w:lang w:val="en-GB" w:eastAsia="zh-CN"/>
        </w:rPr>
        <w:t xml:space="preserve">. Similarly, Appadurai </w:t>
      </w:r>
      <w:r w:rsidR="00EA4C95" w:rsidRPr="004E053C">
        <w:rPr>
          <w:rFonts w:cstheme="majorHAnsi"/>
          <w:sz w:val="22"/>
          <w:szCs w:val="22"/>
          <w:lang w:val="en-GB" w:eastAsia="zh-CN"/>
        </w:rPr>
        <w:fldChar w:fldCharType="begin" w:fldLock="1"/>
      </w:r>
      <w:r w:rsidR="00F2183E" w:rsidRPr="004E053C">
        <w:rPr>
          <w:rFonts w:cstheme="majorHAnsi"/>
          <w:sz w:val="22"/>
          <w:szCs w:val="22"/>
          <w:lang w:val="en-GB" w:eastAsia="zh-CN"/>
        </w:rPr>
        <w:instrText>ADDIN CSL_CITATION {"citationItems":[{"id":"ITEM-1","itemData":{"author":[{"dropping-particle":"","family":"Appadurai","given":"Arjun","non-dropping-particle":"","parse-names":false,"suffix":""}],"id":"ITEM-1","issued":{"date-parts":[["1996"]]},"publisher":"University of Minnesota Press","publisher-place":"Minneapolis, MN","title":"Modernity at Large: Cultural Dimensions of Globalisation","type":"book"},"uris":["http://www.mendeley.com/documents/?uuid=125f5a1c-faf4-4145-9f5c-7b8bc853f973","http://www.mendeley.com/documents/?uuid=c4efa86a-886f-4b5b-b7e0-b9aa83e93f95"]}],"mendeley":{"formattedCitation":"(Appadurai, 1996)","manualFormatting":"(1996)","plainTextFormattedCitation":"(Appadurai, 1996)","previouslyFormattedCitation":"(Appadurai, 1996)"},"properties":{"noteIndex":0},"schema":"https://github.com/citation-style-language/schema/raw/master/csl-citation.json"}</w:instrText>
      </w:r>
      <w:r w:rsidR="00EA4C95" w:rsidRPr="004E053C">
        <w:rPr>
          <w:rFonts w:cstheme="majorHAnsi"/>
          <w:sz w:val="22"/>
          <w:szCs w:val="22"/>
          <w:lang w:val="en-GB" w:eastAsia="zh-CN"/>
        </w:rPr>
        <w:fldChar w:fldCharType="separate"/>
      </w:r>
      <w:r w:rsidR="00EA4C95" w:rsidRPr="004E053C">
        <w:rPr>
          <w:rFonts w:cstheme="majorHAnsi"/>
          <w:noProof/>
          <w:sz w:val="22"/>
          <w:szCs w:val="22"/>
          <w:lang w:val="en-GB" w:eastAsia="zh-CN"/>
        </w:rPr>
        <w:t>(1996)</w:t>
      </w:r>
      <w:r w:rsidR="00EA4C95" w:rsidRPr="004E053C">
        <w:rPr>
          <w:rFonts w:cstheme="majorHAnsi"/>
          <w:sz w:val="22"/>
          <w:szCs w:val="22"/>
          <w:lang w:val="en-GB" w:eastAsia="zh-CN"/>
        </w:rPr>
        <w:fldChar w:fldCharType="end"/>
      </w:r>
      <w:r w:rsidR="00071C60" w:rsidRPr="004E053C">
        <w:rPr>
          <w:rFonts w:cstheme="majorHAnsi"/>
          <w:sz w:val="22"/>
          <w:szCs w:val="22"/>
          <w:lang w:val="en-GB" w:eastAsia="zh-CN"/>
        </w:rPr>
        <w:t xml:space="preserve"> </w:t>
      </w:r>
      <w:r w:rsidRPr="004E053C">
        <w:rPr>
          <w:rFonts w:cstheme="majorHAnsi"/>
          <w:sz w:val="22"/>
          <w:szCs w:val="22"/>
          <w:lang w:val="en-GB" w:eastAsia="zh-CN"/>
        </w:rPr>
        <w:t xml:space="preserve">and Hannerz </w:t>
      </w:r>
      <w:r w:rsidR="00EA4C95" w:rsidRPr="004E053C">
        <w:rPr>
          <w:rFonts w:cstheme="majorHAnsi"/>
          <w:sz w:val="22"/>
          <w:szCs w:val="22"/>
          <w:lang w:val="en-GB" w:eastAsia="zh-CN"/>
        </w:rPr>
        <w:fldChar w:fldCharType="begin" w:fldLock="1"/>
      </w:r>
      <w:r w:rsidR="00F2183E" w:rsidRPr="004E053C">
        <w:rPr>
          <w:rFonts w:cstheme="majorHAnsi"/>
          <w:sz w:val="22"/>
          <w:szCs w:val="22"/>
          <w:lang w:val="en-GB" w:eastAsia="zh-CN"/>
        </w:rPr>
        <w:instrText>ADDIN CSL_CITATION {"citationItems":[{"id":"ITEM-1","itemData":{"author":[{"dropping-particle":"","family":"Hannerz","given":"U","non-dropping-particle":"","parse-names":false,"suffix":""}],"container-title":"Handbook of Methods in Cultural Anthropology","id":"ITEM-1","issued":{"date-parts":[["1998"]]},"publisher":"AltaMira Press","publisher-place":"Walnut Creek, CA","title":"Transnational Research","type":"book"},"uris":["http://www.mendeley.com/documents/?uuid=5f33ab4a-007f-44ab-8aac-b6651b5d1acb","http://www.mendeley.com/documents/?uuid=bf3ebcd8-44be-434e-b5f8-dd6fac8ccf6d"]}],"mendeley":{"formattedCitation":"(Hannerz, 1998)","manualFormatting":"(1998)","plainTextFormattedCitation":"(Hannerz, 1998)","previouslyFormattedCitation":"(Hannerz, 1998)"},"properties":{"noteIndex":0},"schema":"https://github.com/citation-style-language/schema/raw/master/csl-citation.json"}</w:instrText>
      </w:r>
      <w:r w:rsidR="00EA4C95" w:rsidRPr="004E053C">
        <w:rPr>
          <w:rFonts w:cstheme="majorHAnsi"/>
          <w:sz w:val="22"/>
          <w:szCs w:val="22"/>
          <w:lang w:val="en-GB" w:eastAsia="zh-CN"/>
        </w:rPr>
        <w:fldChar w:fldCharType="separate"/>
      </w:r>
      <w:r w:rsidR="00EA4C95" w:rsidRPr="004E053C">
        <w:rPr>
          <w:rFonts w:cstheme="majorHAnsi"/>
          <w:noProof/>
          <w:sz w:val="22"/>
          <w:szCs w:val="22"/>
          <w:lang w:val="en-GB" w:eastAsia="zh-CN"/>
        </w:rPr>
        <w:t>(1998)</w:t>
      </w:r>
      <w:r w:rsidR="00EA4C95" w:rsidRPr="004E053C">
        <w:rPr>
          <w:rFonts w:cstheme="majorHAnsi"/>
          <w:sz w:val="22"/>
          <w:szCs w:val="22"/>
          <w:lang w:val="en-GB" w:eastAsia="zh-CN"/>
        </w:rPr>
        <w:fldChar w:fldCharType="end"/>
      </w:r>
      <w:r w:rsidRPr="004E053C">
        <w:rPr>
          <w:rFonts w:cstheme="majorHAnsi"/>
          <w:sz w:val="22"/>
          <w:szCs w:val="22"/>
          <w:lang w:val="en-GB" w:eastAsia="zh-CN"/>
        </w:rPr>
        <w:t xml:space="preserve"> have used the concept of translocalities to refer to a sense of fluid identities thought to characterise a world of growing economic and cultural globalisation</w:t>
      </w:r>
      <w:r w:rsidR="00EA4C95" w:rsidRPr="004E053C">
        <w:rPr>
          <w:rFonts w:cstheme="majorHAnsi"/>
          <w:sz w:val="22"/>
          <w:szCs w:val="22"/>
          <w:lang w:val="en-GB" w:eastAsia="zh-CN"/>
        </w:rPr>
        <w:t xml:space="preserve"> </w:t>
      </w:r>
      <w:r w:rsidR="00EA4C95" w:rsidRPr="004E053C">
        <w:rPr>
          <w:rFonts w:cstheme="majorHAnsi"/>
          <w:sz w:val="22"/>
          <w:szCs w:val="22"/>
          <w:lang w:val="en-GB" w:eastAsia="zh-CN"/>
        </w:rPr>
        <w:fldChar w:fldCharType="begin" w:fldLock="1"/>
      </w:r>
      <w:r w:rsidR="00EA4C95" w:rsidRPr="004E053C">
        <w:rPr>
          <w:rFonts w:cstheme="majorHAnsi"/>
          <w:sz w:val="22"/>
          <w:szCs w:val="22"/>
          <w:lang w:val="en-GB" w:eastAsia="zh-CN"/>
        </w:rPr>
        <w:instrText>ADDIN CSL_CITATION {"citationItems":[{"id":"ITEM-1","itemData":{"author":[{"dropping-particle":"","family":"Smith","given":"M.P","non-dropping-particle":"","parse-names":false,"suffix":""}],"chapter-number":"11","container-title":"Translocal Geographies: Spaces, Places, Connections","editor":[{"dropping-particle":"","family":"Brickell","given":"K","non-dropping-particle":"","parse-names":false,"suffix":""},{"dropping-particle":"","family":"Datta","given":"A","non-dropping-particle":"","parse-names":false,"suffix":""}],"id":"ITEM-1","issued":{"date-parts":[["2011"]]},"page":"181-198","publisher":"Ashgate Publishing Limited","publisher-place":"Farnham, UK","title":"Translocality: A critical reflection","type":"chapter"},"uris":["http://www.mendeley.com/documents/?uuid=a5d20b9a-a51c-4496-b138-83bc2d16c4c1"]}],"mendeley":{"formattedCitation":"(M. . Smith, 2011)","manualFormatting":"(Smith, 2011)","plainTextFormattedCitation":"(M. . Smith, 2011)","previouslyFormattedCitation":"(M. . Smith, 2011)"},"properties":{"noteIndex":0},"schema":"https://github.com/citation-style-language/schema/raw/master/csl-citation.json"}</w:instrText>
      </w:r>
      <w:r w:rsidR="00EA4C95" w:rsidRPr="004E053C">
        <w:rPr>
          <w:rFonts w:cstheme="majorHAnsi"/>
          <w:sz w:val="22"/>
          <w:szCs w:val="22"/>
          <w:lang w:val="en-GB" w:eastAsia="zh-CN"/>
        </w:rPr>
        <w:fldChar w:fldCharType="separate"/>
      </w:r>
      <w:r w:rsidR="00EA4C95" w:rsidRPr="004E053C">
        <w:rPr>
          <w:rFonts w:cstheme="majorHAnsi"/>
          <w:noProof/>
          <w:sz w:val="22"/>
          <w:szCs w:val="22"/>
          <w:lang w:val="en-GB" w:eastAsia="zh-CN"/>
        </w:rPr>
        <w:t>(Smith, 2011)</w:t>
      </w:r>
      <w:r w:rsidR="00EA4C95" w:rsidRPr="004E053C">
        <w:rPr>
          <w:rFonts w:cstheme="majorHAnsi"/>
          <w:sz w:val="22"/>
          <w:szCs w:val="22"/>
          <w:lang w:val="en-GB" w:eastAsia="zh-CN"/>
        </w:rPr>
        <w:fldChar w:fldCharType="end"/>
      </w:r>
      <w:r w:rsidRPr="004E053C">
        <w:rPr>
          <w:rFonts w:cstheme="majorHAnsi"/>
          <w:sz w:val="22"/>
          <w:szCs w:val="22"/>
          <w:lang w:val="en-GB" w:eastAsia="zh-CN"/>
        </w:rPr>
        <w:t xml:space="preserve">. </w:t>
      </w:r>
    </w:p>
    <w:p w14:paraId="07B280CA" w14:textId="77777777" w:rsidR="00EF2D9D" w:rsidRPr="004E053C" w:rsidRDefault="00EF2D9D" w:rsidP="004E053C">
      <w:pPr>
        <w:widowControl w:val="0"/>
        <w:autoSpaceDE w:val="0"/>
        <w:autoSpaceDN w:val="0"/>
        <w:adjustRightInd w:val="0"/>
        <w:spacing w:line="360" w:lineRule="auto"/>
        <w:jc w:val="both"/>
        <w:rPr>
          <w:rFonts w:cstheme="majorHAnsi"/>
          <w:sz w:val="22"/>
          <w:szCs w:val="22"/>
          <w:lang w:val="en-GB" w:eastAsia="zh-CN"/>
        </w:rPr>
      </w:pPr>
    </w:p>
    <w:p w14:paraId="27933026" w14:textId="3723330A"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Within this </w:t>
      </w:r>
      <w:r w:rsidR="00EA7F83" w:rsidRPr="004E053C">
        <w:rPr>
          <w:rFonts w:cstheme="majorHAnsi"/>
          <w:sz w:val="22"/>
          <w:szCs w:val="22"/>
          <w:lang w:val="en-GB" w:eastAsia="zh-CN"/>
        </w:rPr>
        <w:t>analysis</w:t>
      </w:r>
      <w:r w:rsidRPr="004E053C">
        <w:rPr>
          <w:rFonts w:cstheme="majorHAnsi"/>
          <w:sz w:val="22"/>
          <w:szCs w:val="22"/>
          <w:lang w:val="en-GB" w:eastAsia="zh-CN"/>
        </w:rPr>
        <w:t xml:space="preserve">, translocality will refer to Smith’s </w:t>
      </w:r>
      <w:r w:rsidR="00EA4C95" w:rsidRPr="004E053C">
        <w:rPr>
          <w:rFonts w:cstheme="majorHAnsi"/>
          <w:sz w:val="22"/>
          <w:szCs w:val="22"/>
          <w:lang w:val="en-GB" w:eastAsia="zh-CN"/>
        </w:rPr>
        <w:fldChar w:fldCharType="begin" w:fldLock="1"/>
      </w:r>
      <w:r w:rsidR="00EA4C95" w:rsidRPr="004E053C">
        <w:rPr>
          <w:rFonts w:cstheme="majorHAnsi"/>
          <w:sz w:val="22"/>
          <w:szCs w:val="22"/>
          <w:lang w:val="en-GB" w:eastAsia="zh-CN"/>
        </w:rPr>
        <w:instrText>ADDIN CSL_CITATION {"citationItems":[{"id":"ITEM-1","itemData":{"author":[{"dropping-particle":"","family":"Smith","given":"M.P","non-dropping-particle":"","parse-names":false,"suffix":""}],"chapter-number":"11","container-title":"Translocal Geographies: Spaces, Places, Connections","editor":[{"dropping-particle":"","family":"Brickell","given":"K","non-dropping-particle":"","parse-names":false,"suffix":""},{"dropping-particle":"","family":"Datta","given":"A","non-dropping-particle":"","parse-names":false,"suffix":""}],"id":"ITEM-1","issued":{"date-parts":[["2011"]]},"page":"181-198","publisher":"Ashgate Publishing Limited","publisher-place":"Farnham, UK","title":"Translocality: A critical reflection","type":"chapter"},"uris":["http://www.mendeley.com/documents/?uuid=a5d20b9a-a51c-4496-b138-83bc2d16c4c1"]}],"mendeley":{"formattedCitation":"(M. . Smith, 2011)","manualFormatting":"(2011)","plainTextFormattedCitation":"(M. . Smith, 2011)","previouslyFormattedCitation":"(M. . Smith, 2011)"},"properties":{"noteIndex":0},"schema":"https://github.com/citation-style-language/schema/raw/master/csl-citation.json"}</w:instrText>
      </w:r>
      <w:r w:rsidR="00EA4C95" w:rsidRPr="004E053C">
        <w:rPr>
          <w:rFonts w:cstheme="majorHAnsi"/>
          <w:sz w:val="22"/>
          <w:szCs w:val="22"/>
          <w:lang w:val="en-GB" w:eastAsia="zh-CN"/>
        </w:rPr>
        <w:fldChar w:fldCharType="separate"/>
      </w:r>
      <w:r w:rsidR="00EA4C95" w:rsidRPr="004E053C">
        <w:rPr>
          <w:rFonts w:cstheme="majorHAnsi"/>
          <w:noProof/>
          <w:sz w:val="22"/>
          <w:szCs w:val="22"/>
          <w:lang w:val="en-GB" w:eastAsia="zh-CN"/>
        </w:rPr>
        <w:t>(2011)</w:t>
      </w:r>
      <w:r w:rsidR="00EA4C95" w:rsidRPr="004E053C">
        <w:rPr>
          <w:rFonts w:cstheme="majorHAnsi"/>
          <w:sz w:val="22"/>
          <w:szCs w:val="22"/>
          <w:lang w:val="en-GB" w:eastAsia="zh-CN"/>
        </w:rPr>
        <w:fldChar w:fldCharType="end"/>
      </w:r>
      <w:r w:rsidRPr="004E053C">
        <w:rPr>
          <w:rFonts w:cstheme="majorHAnsi"/>
          <w:sz w:val="22"/>
          <w:szCs w:val="22"/>
          <w:lang w:val="en-GB" w:eastAsia="zh-CN"/>
        </w:rPr>
        <w:t xml:space="preserve"> definition of multiple emplacements, both here and there, with all the various places constituting the translocal community representing situated sites of identity. This finds support in the transnational literature, where it is argued that international migrants become simultaneously embedded in the multiple sites and layers of the transnational social fields in which they live </w:t>
      </w:r>
      <w:r w:rsidR="00EA4C95" w:rsidRPr="004E053C">
        <w:rPr>
          <w:rFonts w:cstheme="majorHAnsi"/>
          <w:sz w:val="22"/>
          <w:szCs w:val="22"/>
          <w:lang w:val="en-GB" w:eastAsia="zh-CN"/>
        </w:rPr>
        <w:fldChar w:fldCharType="begin" w:fldLock="1"/>
      </w:r>
      <w:r w:rsidR="00EA4C95" w:rsidRPr="004E053C">
        <w:rPr>
          <w:rFonts w:cstheme="majorHAnsi"/>
          <w:sz w:val="22"/>
          <w:szCs w:val="22"/>
          <w:lang w:val="en-GB" w:eastAsia="zh-CN"/>
        </w:rPr>
        <w:instrText>ADDIN CSL_CITATION {"citationItems":[{"id":"ITEM-1","itemData":{"author":[{"dropping-particle":"","family":"Levitt","given":"Peggy","non-dropping-particle":"","parse-names":false,"suffix":""},{"dropping-particle":"","family":"Jaworsky","given":"B Nadya","non-dropping-particle":"","parse-names":false,"suffix":""}],"container-title":"Annual Review of Sociology","id":"ITEM-1","issued":{"date-parts":[["2007"]]},"page":"129 – 156","title":"Transnational migration studies: past developments and future trends","type":"article-journal","volume":"33"},"uris":["http://www.mendeley.com/documents/?uuid=f19605fe-557e-4067-b027-1e83b31a9583"]}],"mendeley":{"formattedCitation":"(Levitt &amp; Jaworsky, 2007)","plainTextFormattedCitation":"(Levitt &amp; Jaworsky, 2007)","previouslyFormattedCitation":"(Levitt &amp; Jaworsky, 2007)"},"properties":{"noteIndex":0},"schema":"https://github.com/citation-style-language/schema/raw/master/csl-citation.json"}</w:instrText>
      </w:r>
      <w:r w:rsidR="00EA4C95" w:rsidRPr="004E053C">
        <w:rPr>
          <w:rFonts w:cstheme="majorHAnsi"/>
          <w:sz w:val="22"/>
          <w:szCs w:val="22"/>
          <w:lang w:val="en-GB" w:eastAsia="zh-CN"/>
        </w:rPr>
        <w:fldChar w:fldCharType="separate"/>
      </w:r>
      <w:r w:rsidR="00EA4C95" w:rsidRPr="004E053C">
        <w:rPr>
          <w:rFonts w:cstheme="majorHAnsi"/>
          <w:noProof/>
          <w:sz w:val="22"/>
          <w:szCs w:val="22"/>
          <w:lang w:val="en-GB" w:eastAsia="zh-CN"/>
        </w:rPr>
        <w:t>(Levitt &amp; Jaworsky, 2007)</w:t>
      </w:r>
      <w:r w:rsidR="00EA4C95" w:rsidRPr="004E053C">
        <w:rPr>
          <w:rFonts w:cstheme="majorHAnsi"/>
          <w:sz w:val="22"/>
          <w:szCs w:val="22"/>
          <w:lang w:val="en-GB" w:eastAsia="zh-CN"/>
        </w:rPr>
        <w:fldChar w:fldCharType="end"/>
      </w:r>
      <w:r w:rsidRPr="004E053C">
        <w:rPr>
          <w:rFonts w:cstheme="majorHAnsi"/>
          <w:sz w:val="22"/>
          <w:szCs w:val="22"/>
          <w:lang w:val="en-GB" w:eastAsia="zh-CN"/>
        </w:rPr>
        <w:t xml:space="preserve">. One can think of translocality as representing a dialectical process between mobility and place making, in which migrants express such simultaneous belonging to both their locations of origin and destination </w:t>
      </w:r>
      <w:r w:rsidR="00206FDD" w:rsidRPr="004E053C">
        <w:rPr>
          <w:rFonts w:cstheme="majorHAnsi"/>
          <w:sz w:val="22"/>
          <w:szCs w:val="22"/>
          <w:lang w:val="en-GB" w:eastAsia="zh-CN"/>
        </w:rPr>
        <w:fldChar w:fldCharType="begin" w:fldLock="1"/>
      </w:r>
      <w:r w:rsidR="00843DED" w:rsidRPr="004E053C">
        <w:rPr>
          <w:rFonts w:cstheme="majorHAnsi"/>
          <w:sz w:val="22"/>
          <w:szCs w:val="22"/>
          <w:lang w:val="en-GB" w:eastAsia="zh-CN"/>
        </w:rPr>
        <w:instrText>ADDIN CSL_CITATION {"citationItems":[{"id":"ITEM-1","itemData":{"author":[{"dropping-particle":"","family":"Schröder","given":"Philipp","non-dropping-particle":"","parse-names":false,"suffix":""},{"dropping-particle":"","family":"Stephen-Emmrich","given":"Manja","non-dropping-particle":"","parse-names":false,"suffix":""}],"container-title":"Mobilities","id":"ITEM-1","issue":"3","issued":{"date-parts":[["2014"]]},"page":"1-24","title":"The institutionalization of mobility: Wellbeing and social hierarchies in Central Asian translocal livelihoods","type":"article-journal","volume":"11"},"uris":["http://www.mendeley.com/documents/?uuid=4dca37d9-cd4d-47ba-90fc-5e451484d02d"]}],"mendeley":{"formattedCitation":"(Schröder &amp; Stephen-Emmrich, 2014)","plainTextFormattedCitation":"(Schröder &amp; Stephen-Emmrich, 2014)","previouslyFormattedCitation":"(Schröder &amp; Stephen-Emmrich, 2014)"},"properties":{"noteIndex":0},"schema":"https://github.com/citation-style-language/schema/raw/master/csl-citation.json"}</w:instrText>
      </w:r>
      <w:r w:rsidR="00206FDD" w:rsidRPr="004E053C">
        <w:rPr>
          <w:rFonts w:cstheme="majorHAnsi"/>
          <w:sz w:val="22"/>
          <w:szCs w:val="22"/>
          <w:lang w:val="en-GB" w:eastAsia="zh-CN"/>
        </w:rPr>
        <w:fldChar w:fldCharType="separate"/>
      </w:r>
      <w:r w:rsidR="00206FDD" w:rsidRPr="004E053C">
        <w:rPr>
          <w:rFonts w:cstheme="majorHAnsi"/>
          <w:noProof/>
          <w:sz w:val="22"/>
          <w:szCs w:val="22"/>
          <w:lang w:val="en-GB" w:eastAsia="zh-CN"/>
        </w:rPr>
        <w:t>(Schröder &amp; Stephen-Emmrich, 2014)</w:t>
      </w:r>
      <w:r w:rsidR="00206FDD" w:rsidRPr="004E053C">
        <w:rPr>
          <w:rFonts w:cstheme="majorHAnsi"/>
          <w:sz w:val="22"/>
          <w:szCs w:val="22"/>
          <w:lang w:val="en-GB" w:eastAsia="zh-CN"/>
        </w:rPr>
        <w:fldChar w:fldCharType="end"/>
      </w:r>
      <w:r w:rsidRPr="004E053C">
        <w:rPr>
          <w:rFonts w:cstheme="majorHAnsi"/>
          <w:sz w:val="22"/>
          <w:szCs w:val="22"/>
          <w:lang w:val="en-GB" w:eastAsia="zh-CN"/>
        </w:rPr>
        <w:t xml:space="preserve">. Thus, </w:t>
      </w:r>
      <w:r w:rsidR="00FD39B9" w:rsidRPr="004E053C">
        <w:rPr>
          <w:rFonts w:cstheme="majorHAnsi"/>
          <w:sz w:val="22"/>
          <w:szCs w:val="22"/>
          <w:lang w:val="en-GB" w:eastAsia="zh-CN"/>
        </w:rPr>
        <w:t>although</w:t>
      </w:r>
      <w:r w:rsidRPr="004E053C">
        <w:rPr>
          <w:rFonts w:cstheme="majorHAnsi"/>
          <w:sz w:val="22"/>
          <w:szCs w:val="22"/>
          <w:lang w:val="en-GB" w:eastAsia="zh-CN"/>
        </w:rPr>
        <w:t xml:space="preserve"> spatial identities become increasingly compl</w:t>
      </w:r>
      <w:r w:rsidR="00FD39B9" w:rsidRPr="004E053C">
        <w:rPr>
          <w:rFonts w:cstheme="majorHAnsi"/>
          <w:sz w:val="22"/>
          <w:szCs w:val="22"/>
          <w:lang w:val="en-GB" w:eastAsia="zh-CN"/>
        </w:rPr>
        <w:t>icated as a result of mobility,</w:t>
      </w:r>
      <w:r w:rsidRPr="004E053C">
        <w:rPr>
          <w:rFonts w:cstheme="majorHAnsi"/>
          <w:sz w:val="22"/>
          <w:szCs w:val="22"/>
          <w:lang w:val="en-GB" w:eastAsia="zh-CN"/>
        </w:rPr>
        <w:t xml:space="preserve"> these identities can still remain place-based </w:t>
      </w:r>
      <w:r w:rsidR="00EA4C95" w:rsidRPr="004E053C">
        <w:rPr>
          <w:rFonts w:cstheme="majorHAnsi"/>
          <w:sz w:val="22"/>
          <w:szCs w:val="22"/>
          <w:lang w:val="en-GB" w:eastAsia="zh-CN"/>
        </w:rPr>
        <w:fldChar w:fldCharType="begin" w:fldLock="1"/>
      </w:r>
      <w:r w:rsidR="005D0B08">
        <w:rPr>
          <w:rFonts w:cstheme="majorHAnsi"/>
          <w:sz w:val="22"/>
          <w:szCs w:val="22"/>
          <w:lang w:val="en-GB" w:eastAsia="zh-CN"/>
        </w:rPr>
        <w:instrText>ADDIN CSL_CITATION {"citationItems":[{"id":"ITEM-1","itemData":{"author":[{"dropping-particle":"","family":"Oakes","given":"T","non-dropping-particle":"","parse-names":false,"suffix":""},{"dropping-particle":"","family":"Schein","given":"L","non-dropping-particle":"","parse-names":false,"suffix":""}],"id":"ITEM-1","issued":{"date-parts":[["2006"]]},"publisher":"Routledge","publisher-place":"London, UK","title":"Translocal China: Linkages, Identities and the Reimagining of Space","type":"book"},"uris":["http://www.mendeley.com/documents/?uuid=d8a7f85c-3e36-4206-86ba-76c20d4f3f16","http://www.mendeley.com/documents/?uuid=91e032ce-335a-4c00-be79-9ca70fd4a646"]},{"id":"ITEM-2","itemData":{"author":[{"dropping-particle":"","family":"Brickell","given":"K.","non-dropping-particle":"","parse-names":false,"suffix":""},{"dropping-particle":"","family":"Datta","given":"A","non-dropping-particle":"","parse-names":false,"suffix":""}],"chapter-number":"1","container-title":"Translocal Geographies: Spaces, Places, Connectionsspaces, places, connections","id":"ITEM-2","issued":{"date-parts":[["2011"]]},"page":"3-22","publisher":"Ashgate Publishing Limited","publisher-place":"Farnham, UK","title":"Introduction: Translocal Geographies","type":"chapter"},"uris":["http://www.mendeley.com/documents/?uuid=e9d80bd7-1584-4fca-bf4f-f5d58e788945"]}],"mendeley":{"formattedCitation":"(K. Brickell &amp; Datta, 2011; Oakes &amp; Schein, 2006)","manualFormatting":"(Brickell &amp; Datta, 2011; Oakes &amp; Schein, 2006)","plainTextFormattedCitation":"(K. Brickell &amp; Datta, 2011; Oakes &amp; Schein, 2006)","previouslyFormattedCitation":"(K. Brickell &amp; Datta, 2011; Oakes &amp; Schein, 2006)"},"properties":{"noteIndex":0},"schema":"https://github.com/citation-style-language/schema/raw/master/csl-citation.json"}</w:instrText>
      </w:r>
      <w:r w:rsidR="00EA4C95" w:rsidRPr="004E053C">
        <w:rPr>
          <w:rFonts w:cstheme="majorHAnsi"/>
          <w:sz w:val="22"/>
          <w:szCs w:val="22"/>
          <w:lang w:val="en-GB" w:eastAsia="zh-CN"/>
        </w:rPr>
        <w:fldChar w:fldCharType="separate"/>
      </w:r>
      <w:r w:rsidR="00EA4C95" w:rsidRPr="004E053C">
        <w:rPr>
          <w:rFonts w:cstheme="majorHAnsi"/>
          <w:noProof/>
          <w:sz w:val="22"/>
          <w:szCs w:val="22"/>
          <w:lang w:val="en-GB" w:eastAsia="zh-CN"/>
        </w:rPr>
        <w:t>(Brickell &amp; Datta, 2011; Oakes &amp; Schein, 2006)</w:t>
      </w:r>
      <w:r w:rsidR="00EA4C95" w:rsidRPr="004E053C">
        <w:rPr>
          <w:rFonts w:cstheme="majorHAnsi"/>
          <w:sz w:val="22"/>
          <w:szCs w:val="22"/>
          <w:lang w:val="en-GB" w:eastAsia="zh-CN"/>
        </w:rPr>
        <w:fldChar w:fldCharType="end"/>
      </w:r>
      <w:r w:rsidRPr="004E053C">
        <w:rPr>
          <w:rFonts w:cstheme="majorHAnsi"/>
          <w:sz w:val="22"/>
          <w:szCs w:val="22"/>
          <w:lang w:val="en-GB" w:eastAsia="zh-CN"/>
        </w:rPr>
        <w:t>. An important point to note here is that collective place-based identity have continued to be seen as important in the translocal literature, as</w:t>
      </w:r>
      <w:r w:rsidR="00EA4C95" w:rsidRPr="004E053C">
        <w:rPr>
          <w:rFonts w:cstheme="majorHAnsi"/>
          <w:sz w:val="22"/>
          <w:szCs w:val="22"/>
          <w:lang w:val="en-GB" w:eastAsia="zh-CN"/>
        </w:rPr>
        <w:t xml:space="preserve"> a potentially unifying feature</w:t>
      </w:r>
      <w:r w:rsidRPr="004E053C">
        <w:rPr>
          <w:rFonts w:cstheme="majorHAnsi"/>
          <w:sz w:val="22"/>
          <w:szCs w:val="22"/>
          <w:lang w:val="en-GB" w:eastAsia="zh-CN"/>
        </w:rPr>
        <w:t xml:space="preserve"> </w:t>
      </w:r>
      <w:r w:rsidR="00EA4C95"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{"citationItems":[{"id":"ITEM-1","itemData":{"author":[{"dropping-particle":"","family":"Etzold","given":"Benjamin","non-dropping-particle":"","parse-names":false,"suffix":""}],"chapter-number":"3","container-title":"Livelihoods and Development: New Perspectives","editor":[{"dropping-particle":"","family":"Leo de Haan","given":"","non-dropping-particle":"","parse-names":false,"suffix":""}],"id":"ITEM-1","issued":{"date-parts":[["2017"]]},"page":"44-68","publisher":"Brill","publisher-place":"Leiden","title":"Mobility,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studies","type":"chapter"},"uris":["http://www.mendeley.com/documents/?uuid=8669327d-3056-4ab8-9bc0-8022e5d3152f"]}],"mendeley":{"formattedCitation":"(Etzold, 2017)","plainTextFormattedCitation":"(Etzold, 2017)","previouslyFormattedCitation":"(Etzold, 2017)"},"properties":{"noteIndex":0},"schema":"https://github.com/citation-style-language/schema/raw/master/csl-citation.json"}</w:instrText>
      </w:r>
      <w:r w:rsidR="00EA4C95" w:rsidRPr="004E053C">
        <w:rPr>
          <w:rFonts w:cstheme="majorHAnsi"/>
          <w:sz w:val="22"/>
          <w:szCs w:val="22"/>
          <w:lang w:val="en-GB" w:eastAsia="zh-CN"/>
        </w:rPr>
        <w:fldChar w:fldCharType="separate"/>
      </w:r>
      <w:r w:rsidR="00EA4C95" w:rsidRPr="004E053C">
        <w:rPr>
          <w:rFonts w:cstheme="majorHAnsi"/>
          <w:noProof/>
          <w:sz w:val="22"/>
          <w:szCs w:val="22"/>
          <w:lang w:val="en-GB" w:eastAsia="zh-CN"/>
        </w:rPr>
        <w:t>(Etzold, 2017)</w:t>
      </w:r>
      <w:r w:rsidR="00EA4C95" w:rsidRPr="004E053C">
        <w:rPr>
          <w:rFonts w:cstheme="majorHAnsi"/>
          <w:sz w:val="22"/>
          <w:szCs w:val="22"/>
          <w:lang w:val="en-GB" w:eastAsia="zh-CN"/>
        </w:rPr>
        <w:fldChar w:fldCharType="end"/>
      </w:r>
      <w:r w:rsidRPr="004E053C">
        <w:rPr>
          <w:rFonts w:cstheme="majorHAnsi"/>
          <w:sz w:val="22"/>
          <w:szCs w:val="22"/>
          <w:lang w:val="en-GB" w:eastAsia="zh-CN"/>
        </w:rPr>
        <w:t xml:space="preserve">. For example, Faist </w:t>
      </w:r>
      <w:r w:rsidR="00EA4C95" w:rsidRPr="004E053C">
        <w:rPr>
          <w:rFonts w:cstheme="majorHAnsi"/>
          <w:sz w:val="22"/>
          <w:szCs w:val="22"/>
          <w:lang w:val="en-GB" w:eastAsia="zh-CN"/>
        </w:rPr>
        <w:fldChar w:fldCharType="begin" w:fldLock="1"/>
      </w:r>
      <w:r w:rsidR="00EA4C95" w:rsidRPr="004E053C">
        <w:rPr>
          <w:rFonts w:cstheme="majorHAnsi"/>
          <w:sz w:val="22"/>
          <w:szCs w:val="22"/>
          <w:lang w:val="en-GB" w:eastAsia="zh-CN"/>
        </w:rPr>
        <w:instrText>ADDIN CSL_CITATION {"citationItems":[{"id":"ITEM-1","itemData":{"author":[{"dropping-particle":"","family":"Faist","given":"Thomas","non-dropping-particle":"","parse-names":false,"suffix":""}],"id":"ITEM-1","issued":{"date-parts":[["2000"]]},"publisher":"Oxford University Press","publisher-place":"Oxford, UK","title":"The Volume and Dynamics of International Migration and Transnational Social Spaces","type":"book"},"uris":["http://www.mendeley.com/documents/?uuid=4f016a52-c8c3-4ad1-8d65-4fa281044f12"]}],"mendeley":{"formattedCitation":"(Faist, 2000)","manualFormatting":"(2000)","plainTextFormattedCitation":"(Faist, 2000)","previouslyFormattedCitation":"(Faist, 2000)"},"properties":{"noteIndex":0},"schema":"https://github.com/citation-style-language/schema/raw/master/csl-citation.json"}</w:instrText>
      </w:r>
      <w:r w:rsidR="00EA4C95" w:rsidRPr="004E053C">
        <w:rPr>
          <w:rFonts w:cstheme="majorHAnsi"/>
          <w:sz w:val="22"/>
          <w:szCs w:val="22"/>
          <w:lang w:val="en-GB" w:eastAsia="zh-CN"/>
        </w:rPr>
        <w:fldChar w:fldCharType="separate"/>
      </w:r>
      <w:r w:rsidR="00EA4C95" w:rsidRPr="004E053C">
        <w:rPr>
          <w:rFonts w:cstheme="majorHAnsi"/>
          <w:noProof/>
          <w:sz w:val="22"/>
          <w:szCs w:val="22"/>
          <w:lang w:val="en-GB" w:eastAsia="zh-CN"/>
        </w:rPr>
        <w:t>(2000)</w:t>
      </w:r>
      <w:r w:rsidR="00EA4C95" w:rsidRPr="004E053C">
        <w:rPr>
          <w:rFonts w:cstheme="majorHAnsi"/>
          <w:sz w:val="22"/>
          <w:szCs w:val="22"/>
          <w:lang w:val="en-GB" w:eastAsia="zh-CN"/>
        </w:rPr>
        <w:fldChar w:fldCharType="end"/>
      </w:r>
      <w:r w:rsidRPr="004E053C">
        <w:rPr>
          <w:rFonts w:cstheme="majorHAnsi"/>
          <w:sz w:val="22"/>
          <w:szCs w:val="22"/>
          <w:lang w:val="en-GB" w:eastAsia="zh-CN"/>
        </w:rPr>
        <w:t xml:space="preserve"> has noted how shared ideas, beliefs evaluations and symbols can lead to the expression of a collective identity, ‘we-feeling’ or ‘we-consciousness’, and refers to a social unit of action. However, thus far this has only really been explored in terms of a shared identity from the origin community, particular in relation to diaspora communities. </w:t>
      </w:r>
    </w:p>
    <w:p w14:paraId="729BBB3D" w14:textId="77777777" w:rsidR="00ED3EA5" w:rsidRPr="004E053C" w:rsidRDefault="00ED3EA5" w:rsidP="004E053C">
      <w:pPr>
        <w:spacing w:line="360" w:lineRule="auto"/>
        <w:jc w:val="both"/>
        <w:rPr>
          <w:rFonts w:cstheme="majorHAnsi"/>
          <w:sz w:val="22"/>
          <w:szCs w:val="22"/>
          <w:lang w:val="en-GB" w:eastAsia="zh-CN"/>
        </w:rPr>
      </w:pPr>
    </w:p>
    <w:p w14:paraId="54AAF1C1" w14:textId="1375C410"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To add to this conceptualisation, </w:t>
      </w:r>
      <w:r w:rsidR="00FD39B9" w:rsidRPr="004E053C">
        <w:rPr>
          <w:rFonts w:cstheme="majorHAnsi"/>
          <w:sz w:val="22"/>
          <w:szCs w:val="22"/>
          <w:lang w:val="en-GB" w:eastAsia="zh-CN"/>
        </w:rPr>
        <w:t>I borrow</w:t>
      </w:r>
      <w:r w:rsidRPr="004E053C">
        <w:rPr>
          <w:rFonts w:cstheme="majorHAnsi"/>
          <w:sz w:val="22"/>
          <w:szCs w:val="22"/>
          <w:lang w:val="en-GB" w:eastAsia="zh-CN"/>
        </w:rPr>
        <w:t xml:space="preserve"> from the transnationalism literature the understanding that total assimilation into a new place and enduring attachment to home are not binary opposites </w:t>
      </w:r>
      <w:r w:rsidR="00EA4C95" w:rsidRPr="004E053C">
        <w:rPr>
          <w:rFonts w:cstheme="majorHAnsi"/>
          <w:sz w:val="22"/>
          <w:szCs w:val="22"/>
          <w:lang w:val="en-GB" w:eastAsia="zh-CN"/>
        </w:rPr>
        <w:fldChar w:fldCharType="begin" w:fldLock="1"/>
      </w:r>
      <w:r w:rsidR="00AE11A5" w:rsidRPr="004E053C">
        <w:rPr>
          <w:rFonts w:cstheme="majorHAnsi"/>
          <w:sz w:val="22"/>
          <w:szCs w:val="22"/>
          <w:lang w:val="en-GB" w:eastAsia="zh-CN"/>
        </w:rPr>
        <w:instrText>ADDIN CSL_CITATION {"citationItems":[{"id":"ITEM-1","itemData":{"author":[{"dropping-particle":"","family":"Levitt","given":"Peggy","non-dropping-particle":"","parse-names":false,"suffix":""},{"dropping-particle":"","family":"Glick Schiller","given":"Nina","non-dropping-particle":"","parse-names":false,"suffix":""}],"container-title":"International Migration Review","id":"ITEM-1","issue":"3","issued":{"date-parts":[["2004"]]},"page":"1002-1039","title":"Conceptualizing Simultaneity: A Transnational Social Field Perspective on Society","type":"article-journal","volume":"38"},"uris":["http://www.mendeley.com/documents/?uuid=0fba9d75-8d2a-4773-971d-1b23f9a6edea"]}],"mendeley":{"formattedCitation":"(Levitt &amp; Glick Schiller, 2004)","plainTextFormattedCitation":"(Levitt &amp; Glick Schiller, 2004)","previouslyFormattedCitation":"(Levitt &amp; Glick Schiller, 2004)"},"properties":{"noteIndex":0},"schema":"https://github.com/citation-style-language/schema/raw/master/csl-citation.json"}</w:instrText>
      </w:r>
      <w:r w:rsidR="00EA4C95" w:rsidRPr="004E053C">
        <w:rPr>
          <w:rFonts w:cstheme="majorHAnsi"/>
          <w:sz w:val="22"/>
          <w:szCs w:val="22"/>
          <w:lang w:val="en-GB" w:eastAsia="zh-CN"/>
        </w:rPr>
        <w:fldChar w:fldCharType="separate"/>
      </w:r>
      <w:r w:rsidR="00EA4C95" w:rsidRPr="004E053C">
        <w:rPr>
          <w:rFonts w:cstheme="majorHAnsi"/>
          <w:noProof/>
          <w:sz w:val="22"/>
          <w:szCs w:val="22"/>
          <w:lang w:val="en-GB" w:eastAsia="zh-CN"/>
        </w:rPr>
        <w:t>(Levitt &amp; Glick Schiller, 2004)</w:t>
      </w:r>
      <w:r w:rsidR="00EA4C95" w:rsidRPr="004E053C">
        <w:rPr>
          <w:rFonts w:cstheme="majorHAnsi"/>
          <w:sz w:val="22"/>
          <w:szCs w:val="22"/>
          <w:lang w:val="en-GB" w:eastAsia="zh-CN"/>
        </w:rPr>
        <w:fldChar w:fldCharType="end"/>
      </w:r>
      <w:r w:rsidRPr="004E053C">
        <w:rPr>
          <w:rFonts w:cstheme="majorHAnsi"/>
          <w:sz w:val="22"/>
          <w:szCs w:val="22"/>
          <w:lang w:val="en-GB" w:eastAsia="zh-CN"/>
        </w:rPr>
        <w:t xml:space="preserve">. This is important, as it allows us to understand that while migrants become embedded in two social contexts, they tend to pivot between the two. Furthermore, that movement and attachment is not linear and changes over time </w:t>
      </w:r>
      <w:r w:rsidR="00AE11A5" w:rsidRPr="004E053C">
        <w:rPr>
          <w:rFonts w:cstheme="majorHAnsi"/>
          <w:sz w:val="22"/>
          <w:szCs w:val="22"/>
          <w:lang w:val="en-GB" w:eastAsia="zh-CN"/>
        </w:rPr>
        <w:fldChar w:fldCharType="begin" w:fldLock="1"/>
      </w:r>
      <w:r w:rsidR="00B67ED4" w:rsidRPr="004E053C">
        <w:rPr>
          <w:rFonts w:cstheme="majorHAnsi"/>
          <w:sz w:val="22"/>
          <w:szCs w:val="22"/>
          <w:lang w:val="en-GB" w:eastAsia="zh-CN"/>
        </w:rPr>
        <w:instrText>ADDIN CSL_CITATION {"citationItems":[{"id":"ITEM-1","itemData":{"author":[{"dropping-particle":"","family":"Levitt","given":"Peggy","non-dropping-particle":"","parse-names":false,"suffix":""},{"dropping-particle":"","family":"Glick Schiller","given":"Nina","non-dropping-particle":"","parse-names":false,"suffix":""}],"container-title":"International Migration Review","id":"ITEM-1","issue":"3","issued":{"date-parts":[["2004"]]},"page":"1002-1039","title":"Conceptualizing Simultaneity: A Transnational Social Field Perspective on Society","type":"article-journal","volume":"38"},"uris":["http://www.mendeley.com/documents/?uuid=0fba9d75-8d2a-4773-971d-1b23f9a6edea"]}],"mendeley":{"formattedCitation":"(Levitt &amp; Glick Schiller, 2004)","manualFormatting":"(Ibid.)","plainTextFormattedCitation":"(Levitt &amp; Glick Schiller, 2004)","previouslyFormattedCitation":"(Levitt &amp; Glick Schiller, 2004)"},"properties":{"noteIndex":0},"schema":"https://github.com/citation-style-language/schema/raw/master/csl-citation.json"}</w:instrText>
      </w:r>
      <w:r w:rsidR="00AE11A5" w:rsidRPr="004E053C">
        <w:rPr>
          <w:rFonts w:cstheme="majorHAnsi"/>
          <w:sz w:val="22"/>
          <w:szCs w:val="22"/>
          <w:lang w:val="en-GB" w:eastAsia="zh-CN"/>
        </w:rPr>
        <w:fldChar w:fldCharType="separate"/>
      </w:r>
      <w:r w:rsidR="00170378" w:rsidRPr="004E053C">
        <w:rPr>
          <w:rFonts w:cstheme="majorHAnsi"/>
          <w:noProof/>
          <w:sz w:val="22"/>
          <w:szCs w:val="22"/>
          <w:lang w:val="en-GB" w:eastAsia="zh-CN"/>
        </w:rPr>
        <w:t>(Ibid</w:t>
      </w:r>
      <w:r w:rsidR="00EC4FAE" w:rsidRPr="004E053C">
        <w:rPr>
          <w:rFonts w:cstheme="majorHAnsi"/>
          <w:noProof/>
          <w:sz w:val="22"/>
          <w:szCs w:val="22"/>
          <w:lang w:val="en-GB" w:eastAsia="zh-CN"/>
        </w:rPr>
        <w:t>.</w:t>
      </w:r>
      <w:r w:rsidR="00AE11A5" w:rsidRPr="004E053C">
        <w:rPr>
          <w:rFonts w:cstheme="majorHAnsi"/>
          <w:noProof/>
          <w:sz w:val="22"/>
          <w:szCs w:val="22"/>
          <w:lang w:val="en-GB" w:eastAsia="zh-CN"/>
        </w:rPr>
        <w:t>)</w:t>
      </w:r>
      <w:r w:rsidR="00AE11A5" w:rsidRPr="004E053C">
        <w:rPr>
          <w:rFonts w:cstheme="majorHAnsi"/>
          <w:sz w:val="22"/>
          <w:szCs w:val="22"/>
          <w:lang w:val="en-GB" w:eastAsia="zh-CN"/>
        </w:rPr>
        <w:fldChar w:fldCharType="end"/>
      </w:r>
      <w:r w:rsidRPr="004E053C">
        <w:rPr>
          <w:rFonts w:cstheme="majorHAnsi"/>
          <w:sz w:val="22"/>
          <w:szCs w:val="22"/>
          <w:lang w:val="en-GB" w:eastAsia="zh-CN"/>
        </w:rPr>
        <w:t xml:space="preserve">. Thus, it follows that people do not hold the same position within the translocal social fields, highlighting a differences that exist </w:t>
      </w:r>
      <w:r w:rsidRPr="004E053C">
        <w:rPr>
          <w:rFonts w:cstheme="majorHAnsi"/>
          <w:i/>
          <w:iCs/>
          <w:sz w:val="22"/>
          <w:szCs w:val="22"/>
          <w:lang w:val="en-GB" w:eastAsia="zh-CN"/>
        </w:rPr>
        <w:t>between</w:t>
      </w:r>
      <w:r w:rsidRPr="004E053C">
        <w:rPr>
          <w:rFonts w:cstheme="majorHAnsi"/>
          <w:sz w:val="22"/>
          <w:szCs w:val="22"/>
          <w:lang w:val="en-GB" w:eastAsia="zh-CN"/>
        </w:rPr>
        <w:t xml:space="preserve"> migrants. </w:t>
      </w:r>
      <w:r w:rsidR="00EA7F83" w:rsidRPr="004E053C">
        <w:rPr>
          <w:rFonts w:cstheme="majorHAnsi"/>
          <w:sz w:val="22"/>
          <w:szCs w:val="22"/>
          <w:lang w:val="en-GB" w:eastAsia="zh-CN"/>
        </w:rPr>
        <w:t>This</w:t>
      </w:r>
      <w:r w:rsidRPr="004E053C">
        <w:rPr>
          <w:rFonts w:cstheme="majorHAnsi"/>
          <w:sz w:val="22"/>
          <w:szCs w:val="22"/>
          <w:lang w:val="en-GB" w:eastAsia="zh-CN"/>
        </w:rPr>
        <w:t xml:space="preserve"> allows for a consideration of the ways that migrants, embedded as they are in in the various multi-sites within the translocal communities to different degrees, interact and what this means for the collective meaning that is attributed to those places. The various pathways to integration have been identified as an important area of research </w:t>
      </w:r>
      <w:r w:rsidR="00AE11A5" w:rsidRPr="004E053C">
        <w:rPr>
          <w:rFonts w:cstheme="majorHAnsi"/>
          <w:sz w:val="22"/>
          <w:szCs w:val="22"/>
          <w:lang w:val="en-GB" w:eastAsia="zh-CN"/>
        </w:rPr>
        <w:t>within the translocality</w:t>
      </w:r>
      <w:r w:rsidRPr="004E053C">
        <w:rPr>
          <w:rFonts w:cstheme="majorHAnsi"/>
          <w:sz w:val="22"/>
          <w:szCs w:val="22"/>
          <w:lang w:val="en-GB" w:eastAsia="zh-CN"/>
        </w:rPr>
        <w:t xml:space="preserve"> literature </w:t>
      </w:r>
      <w:r w:rsidR="00AE11A5" w:rsidRPr="004E053C">
        <w:rPr>
          <w:rFonts w:cstheme="majorHAnsi"/>
          <w:sz w:val="22"/>
          <w:szCs w:val="22"/>
          <w:lang w:val="en-GB" w:eastAsia="zh-CN"/>
        </w:rPr>
        <w:fldChar w:fldCharType="begin" w:fldLock="1"/>
      </w:r>
      <w:r w:rsidR="00F2183E" w:rsidRPr="004E053C">
        <w:rPr>
          <w:rFonts w:cstheme="majorHAnsi"/>
          <w:sz w:val="22"/>
          <w:szCs w:val="22"/>
          <w:lang w:val="en-GB" w:eastAsia="zh-CN"/>
        </w:rPr>
        <w:instrText>ADDIN CSL_CITATION {"citationItems":[{"id":"ITEM-1","itemData":{"author":[{"dropping-particle":"","family":"Schröder","given":"Philipp","non-dropping-particle":"","parse-names":false,"suffix":""},{"dropping-particle":"","family":"Stephen-Emmrich","given":"Manja","non-dropping-particle":"","parse-names":false,"suffix":""}],"container-title":"Mobilities","id":"ITEM-1","issue":"3","issued":{"date-parts":[["2014"]]},"page":"1-24","title":"The institutionalization of mobility: Wellbeing and social hierarchies in Central Asian translocal livelihoods","type":"article-journal","volume":"11"},"uris":["http://www.mendeley.com/documents/?uuid=b4081da4-aee7-49af-80ad-63f53d801a6b","http://www.mendeley.com/documents/?uuid=4dca37d9-cd4d-47ba-90fc-5e451484d02d"]}],"mendeley":{"formattedCitation":"(Schröder &amp; Stephen-Emmrich, 2014)","plainTextFormattedCitation":"(Schröder &amp; Stephen-Emmrich, 2014)","previouslyFormattedCitation":"(Schröder &amp; Stephen-Emmrich, 2014)"},"properties":{"noteIndex":0},"schema":"https://github.com/citation-style-language/schema/raw/master/csl-citation.json"}</w:instrText>
      </w:r>
      <w:r w:rsidR="00AE11A5" w:rsidRPr="004E053C">
        <w:rPr>
          <w:rFonts w:cstheme="majorHAnsi"/>
          <w:sz w:val="22"/>
          <w:szCs w:val="22"/>
          <w:lang w:val="en-GB" w:eastAsia="zh-CN"/>
        </w:rPr>
        <w:fldChar w:fldCharType="separate"/>
      </w:r>
      <w:r w:rsidR="00AE11A5" w:rsidRPr="004E053C">
        <w:rPr>
          <w:rFonts w:cstheme="majorHAnsi"/>
          <w:noProof/>
          <w:sz w:val="22"/>
          <w:szCs w:val="22"/>
          <w:lang w:val="en-GB" w:eastAsia="zh-CN"/>
        </w:rPr>
        <w:t>(Schröder &amp; Stephen-Emmrich, 2014)</w:t>
      </w:r>
      <w:r w:rsidR="00AE11A5" w:rsidRPr="004E053C">
        <w:rPr>
          <w:rFonts w:cstheme="majorHAnsi"/>
          <w:sz w:val="22"/>
          <w:szCs w:val="22"/>
          <w:lang w:val="en-GB" w:eastAsia="zh-CN"/>
        </w:rPr>
        <w:fldChar w:fldCharType="end"/>
      </w:r>
      <w:r w:rsidR="00AE11A5" w:rsidRPr="004E053C">
        <w:rPr>
          <w:rFonts w:cstheme="majorHAnsi"/>
          <w:sz w:val="22"/>
          <w:szCs w:val="22"/>
          <w:lang w:val="en-GB" w:eastAsia="zh-CN"/>
        </w:rPr>
        <w:t xml:space="preserve">. </w:t>
      </w:r>
    </w:p>
    <w:p w14:paraId="5B6B105D" w14:textId="77777777" w:rsidR="00ED3EA5" w:rsidRPr="004E053C" w:rsidRDefault="00ED3EA5" w:rsidP="004E053C">
      <w:pPr>
        <w:spacing w:line="360" w:lineRule="auto"/>
        <w:jc w:val="both"/>
        <w:rPr>
          <w:rFonts w:cstheme="majorHAnsi"/>
          <w:sz w:val="22"/>
          <w:szCs w:val="22"/>
          <w:lang w:val="en-GB" w:eastAsia="zh-CN"/>
        </w:rPr>
      </w:pPr>
    </w:p>
    <w:p w14:paraId="3D094BAF" w14:textId="35A81581"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This brings the discussion back to the issue of temporalit</w:t>
      </w:r>
      <w:r w:rsidR="00A6180E" w:rsidRPr="004E053C">
        <w:rPr>
          <w:rFonts w:cstheme="majorHAnsi"/>
          <w:sz w:val="22"/>
          <w:szCs w:val="22"/>
          <w:lang w:val="en-GB" w:eastAsia="zh-CN"/>
        </w:rPr>
        <w:t xml:space="preserve">y, which I argue is a crucial dimension of </w:t>
      </w:r>
      <w:r w:rsidRPr="004E053C">
        <w:rPr>
          <w:rFonts w:cstheme="majorHAnsi"/>
          <w:sz w:val="22"/>
          <w:szCs w:val="22"/>
          <w:lang w:val="en-GB" w:eastAsia="zh-CN"/>
        </w:rPr>
        <w:t>translocality</w:t>
      </w:r>
      <w:r w:rsidR="00A6180E" w:rsidRPr="004E053C">
        <w:rPr>
          <w:rFonts w:cstheme="majorHAnsi"/>
          <w:sz w:val="22"/>
          <w:szCs w:val="22"/>
          <w:lang w:val="en-GB" w:eastAsia="zh-CN"/>
        </w:rPr>
        <w:t xml:space="preserve"> that has hitherto been overlooked.</w:t>
      </w:r>
      <w:r w:rsidRPr="004E053C">
        <w:rPr>
          <w:rFonts w:cstheme="majorHAnsi"/>
          <w:sz w:val="22"/>
          <w:szCs w:val="22"/>
          <w:lang w:val="en-GB" w:eastAsia="zh-CN"/>
        </w:rPr>
        <w:t xml:space="preserve"> Migrants are known to not all have the same long-term outlook, with many seeing migration as a means to an end </w:t>
      </w:r>
      <w:r w:rsidR="00AE11A5" w:rsidRPr="004E053C">
        <w:rPr>
          <w:rFonts w:cstheme="majorHAnsi"/>
          <w:sz w:val="22"/>
          <w:szCs w:val="22"/>
          <w:lang w:val="en-GB" w:eastAsia="zh-CN"/>
        </w:rPr>
        <w:fldChar w:fldCharType="begin" w:fldLock="1"/>
      </w:r>
      <w:r w:rsidR="00AE11A5" w:rsidRPr="004E053C">
        <w:rPr>
          <w:rFonts w:cstheme="majorHAnsi"/>
          <w:sz w:val="22"/>
          <w:szCs w:val="22"/>
          <w:lang w:val="en-GB" w:eastAsia="zh-CN"/>
        </w:rPr>
        <w:instrText>ADDIN CSL_CITATION {"citationItems":[{"id":"ITEM-1","itemData":{"author":[{"dropping-particle":"","family":"Smith","given":"M.P","non-dropping-particle":"","parse-names":false,"suffix":""}],"chapter-number":"11","container-title":"Translocal Geographies: Spaces, Places, Connections","editor":[{"dropping-particle":"","family":"Brickell","given":"K","non-dropping-particle":"","parse-names":false,"suffix":""},{"dropping-particle":"","family":"Datta","given":"A","non-dropping-particle":"","parse-names":false,"suffix":""}],"id":"ITEM-1","issued":{"date-parts":[["2011"]]},"page":"181-198","publisher":"Ashgate Publishing Limited","publisher-place":"Farnham, UK","title":"Translocality: A critical reflection","type":"chapter"},"uris":["http://www.mendeley.com/documents/?uuid=a5d20b9a-a51c-4496-b138-83bc2d16c4c1"]}],"mendeley":{"formattedCitation":"(M. . Smith, 2011)","manualFormatting":"(Smith, 2011)","plainTextFormattedCitation":"(M. . Smith, 2011)","previouslyFormattedCitation":"(M. . Smith, 2011)"},"properties":{"noteIndex":0},"schema":"https://github.com/citation-style-language/schema/raw/master/csl-citation.json"}</w:instrText>
      </w:r>
      <w:r w:rsidR="00AE11A5" w:rsidRPr="004E053C">
        <w:rPr>
          <w:rFonts w:cstheme="majorHAnsi"/>
          <w:sz w:val="22"/>
          <w:szCs w:val="22"/>
          <w:lang w:val="en-GB" w:eastAsia="zh-CN"/>
        </w:rPr>
        <w:fldChar w:fldCharType="separate"/>
      </w:r>
      <w:r w:rsidR="00AE11A5" w:rsidRPr="004E053C">
        <w:rPr>
          <w:rFonts w:cstheme="majorHAnsi"/>
          <w:noProof/>
          <w:sz w:val="22"/>
          <w:szCs w:val="22"/>
          <w:lang w:val="en-GB" w:eastAsia="zh-CN"/>
        </w:rPr>
        <w:t>(Smith, 2011)</w:t>
      </w:r>
      <w:r w:rsidR="00AE11A5" w:rsidRPr="004E053C">
        <w:rPr>
          <w:rFonts w:cstheme="majorHAnsi"/>
          <w:sz w:val="22"/>
          <w:szCs w:val="22"/>
          <w:lang w:val="en-GB" w:eastAsia="zh-CN"/>
        </w:rPr>
        <w:fldChar w:fldCharType="end"/>
      </w:r>
      <w:r w:rsidRPr="004E053C">
        <w:rPr>
          <w:rFonts w:cstheme="majorHAnsi"/>
          <w:sz w:val="22"/>
          <w:szCs w:val="22"/>
          <w:lang w:val="en-GB" w:eastAsia="zh-CN"/>
        </w:rPr>
        <w:t xml:space="preserve"> </w:t>
      </w:r>
      <w:r w:rsidR="00A6180E" w:rsidRPr="004E053C">
        <w:rPr>
          <w:rFonts w:cstheme="majorHAnsi"/>
          <w:sz w:val="22"/>
          <w:szCs w:val="22"/>
          <w:lang w:val="en-GB" w:eastAsia="zh-CN"/>
        </w:rPr>
        <w:t xml:space="preserve">and </w:t>
      </w:r>
      <w:r w:rsidRPr="004E053C">
        <w:rPr>
          <w:rFonts w:cstheme="majorHAnsi"/>
          <w:sz w:val="22"/>
          <w:szCs w:val="22"/>
          <w:lang w:val="en-GB" w:eastAsia="zh-CN"/>
        </w:rPr>
        <w:t>having no desire to integrate permanently. This is likely</w:t>
      </w:r>
      <w:r w:rsidR="00A6180E" w:rsidRPr="004E053C">
        <w:rPr>
          <w:rFonts w:cstheme="majorHAnsi"/>
          <w:sz w:val="22"/>
          <w:szCs w:val="22"/>
          <w:lang w:val="en-GB" w:eastAsia="zh-CN"/>
        </w:rPr>
        <w:t xml:space="preserve"> to have implications for place </w:t>
      </w:r>
      <w:r w:rsidRPr="004E053C">
        <w:rPr>
          <w:rFonts w:cstheme="majorHAnsi"/>
          <w:sz w:val="22"/>
          <w:szCs w:val="22"/>
          <w:lang w:val="en-GB" w:eastAsia="zh-CN"/>
        </w:rPr>
        <w:t xml:space="preserve">identity and social embeddedness. If a migrant proposes to move away permanently, their personal commitment to the new location becomes more important than it will be for the migrant who plans to return home at </w:t>
      </w:r>
      <w:r w:rsidRPr="004E053C">
        <w:rPr>
          <w:rFonts w:cstheme="majorHAnsi"/>
          <w:sz w:val="22"/>
          <w:szCs w:val="22"/>
          <w:lang w:val="en-GB" w:eastAsia="zh-CN"/>
        </w:rPr>
        <w:lastRenderedPageBreak/>
        <w:t xml:space="preserve">some point </w:t>
      </w:r>
      <w:r w:rsidR="00AE11A5" w:rsidRPr="004E053C">
        <w:rPr>
          <w:rFonts w:cstheme="majorHAnsi"/>
          <w:sz w:val="22"/>
          <w:szCs w:val="22"/>
          <w:lang w:val="en-GB" w:eastAsia="zh-CN"/>
        </w:rPr>
        <w:fldChar w:fldCharType="begin" w:fldLock="1"/>
      </w:r>
      <w:r w:rsidR="007F27D0" w:rsidRPr="004E053C">
        <w:rPr>
          <w:rFonts w:cstheme="majorHAnsi"/>
          <w:sz w:val="22"/>
          <w:szCs w:val="22"/>
          <w:lang w:val="en-GB" w:eastAsia="zh-CN"/>
        </w:rPr>
        <w:instrText>ADDIN CSL_CITATION {"citationItems":[{"id":"ITEM-1","itemData":{"abstract":"This paper analyzes temporary migration, migration undertaken as a sojourn. Stressing migrant motivation, this paper shows that the institutionalization of intention, or what is here termed strategy, is an important aspect of all migrations. Using this perspective to distinguish between permanent and temporary migration, the author then analyzes the structural patterns and institutionalized sequence common to most temporary migrations. Four aspects of the sequence are discussed: (1) The structural conditions in societies in which temporary migration is most common, (2) Recruitment patterns and network formation linking home and host societies, (3) Patterns of settlement in host societies, and (4) Patternsof return migration. For each aspect, the paper shows that the institutionalization of motives is an important level of migration often left unanalyzed by theorists using social-psychological or macro-level push-pull theories of migration. © 1986.","author":[{"dropping-particle":"","family":"Hamilton","given":"Gary G.","non-dropping-particle":"","parse-names":false,"suffix":""}],"container-title":"International Journal of Intercultural Relations","id":"ITEM-1","issue":"4","issued":{"date-parts":[["1985"]]},"page":"405-425","title":"Temporary migration and the institutionalization of strategy","type":"article-journal","volume":"9"},"uris":["http://www.mendeley.com/documents/?uuid=17c00c85-bc1c-3e2e-bc42-e416d288504c"]}],"mendeley":{"formattedCitation":"(Hamilton, 1985)","plainTextFormattedCitation":"(Hamilton, 1985)","previouslyFormattedCitation":"(Hamilton, 1985)"},"properties":{"noteIndex":0},"schema":"https://github.com/citation-style-language/schema/raw/master/csl-citation.json"}</w:instrText>
      </w:r>
      <w:r w:rsidR="00AE11A5" w:rsidRPr="004E053C">
        <w:rPr>
          <w:rFonts w:cstheme="majorHAnsi"/>
          <w:sz w:val="22"/>
          <w:szCs w:val="22"/>
          <w:lang w:val="en-GB" w:eastAsia="zh-CN"/>
        </w:rPr>
        <w:fldChar w:fldCharType="separate"/>
      </w:r>
      <w:r w:rsidR="00AE11A5" w:rsidRPr="004E053C">
        <w:rPr>
          <w:rFonts w:cstheme="majorHAnsi"/>
          <w:noProof/>
          <w:sz w:val="22"/>
          <w:szCs w:val="22"/>
          <w:lang w:val="en-GB" w:eastAsia="zh-CN"/>
        </w:rPr>
        <w:t>(Hamilton, 1985)</w:t>
      </w:r>
      <w:r w:rsidR="00AE11A5" w:rsidRPr="004E053C">
        <w:rPr>
          <w:rFonts w:cstheme="majorHAnsi"/>
          <w:sz w:val="22"/>
          <w:szCs w:val="22"/>
          <w:lang w:val="en-GB" w:eastAsia="zh-CN"/>
        </w:rPr>
        <w:fldChar w:fldCharType="end"/>
      </w:r>
      <w:r w:rsidRPr="004E053C">
        <w:rPr>
          <w:rFonts w:cstheme="majorHAnsi"/>
          <w:sz w:val="22"/>
          <w:szCs w:val="22"/>
          <w:lang w:val="en-GB" w:eastAsia="zh-CN"/>
        </w:rPr>
        <w:t xml:space="preserve">. At the same time, even migrants who stay at their destination for long time may never completely ‘settle’, and this provides a strong motivation to maintain close relations to their places of origin </w:t>
      </w:r>
      <w:r w:rsidR="00AE11A5" w:rsidRPr="004E053C">
        <w:rPr>
          <w:rFonts w:cstheme="majorHAnsi"/>
          <w:sz w:val="22"/>
          <w:szCs w:val="22"/>
          <w:lang w:val="en-GB" w:eastAsia="zh-CN"/>
        </w:rPr>
        <w:fldChar w:fldCharType="begin" w:fldLock="1"/>
      </w:r>
      <w:r w:rsidR="00AE11A5" w:rsidRPr="004E053C">
        <w:rPr>
          <w:rFonts w:cstheme="majorHAnsi"/>
          <w:sz w:val="22"/>
          <w:szCs w:val="22"/>
          <w:lang w:val="en-GB" w:eastAsia="zh-CN"/>
        </w:rPr>
        <w:instrText>ADDIN CSL_CITATION {"citationItems":[{"id":"ITEM-1","itemData":{"author":[{"dropping-particle":"","family":"Peth","given":"Simon Alexander","non-dropping-particle":"","parse-names":false,"suffix":""},{"dropping-particle":"","family":"Sterly","given":"Harald","non-dropping-particle":"","parse-names":false,"suffix":""},{"dropping-particle":"","family":"Sakdapolrak","given":"Patrick","non-dropping-particle":"","parse-names":false,"suffix":""}],"container-title":"Mobilities","id":"ITEM-1","issue":"4","issued":{"date-parts":[["2018"]]},"page":"455-472","title":"Between the village and the global city: the production and decay of translocal spaces of Thai migrant workers in Singapore","type":"article-journal","volume":"13"},"uris":["http://www.mendeley.com/documents/?uuid=29f764b9-eec0-45ac-b9c3-9941072db745"]}],"mendeley":{"formattedCitation":"(Peth et al., 2018)","plainTextFormattedCitation":"(Peth et al., 2018)","previouslyFormattedCitation":"(Peth et al., 2018)"},"properties":{"noteIndex":0},"schema":"https://github.com/citation-style-language/schema/raw/master/csl-citation.json"}</w:instrText>
      </w:r>
      <w:r w:rsidR="00AE11A5" w:rsidRPr="004E053C">
        <w:rPr>
          <w:rFonts w:cstheme="majorHAnsi"/>
          <w:sz w:val="22"/>
          <w:szCs w:val="22"/>
          <w:lang w:val="en-GB" w:eastAsia="zh-CN"/>
        </w:rPr>
        <w:fldChar w:fldCharType="separate"/>
      </w:r>
      <w:r w:rsidR="00AE11A5" w:rsidRPr="004E053C">
        <w:rPr>
          <w:rFonts w:cstheme="majorHAnsi"/>
          <w:noProof/>
          <w:sz w:val="22"/>
          <w:szCs w:val="22"/>
          <w:lang w:val="en-GB" w:eastAsia="zh-CN"/>
        </w:rPr>
        <w:t>(Peth et al., 2018)</w:t>
      </w:r>
      <w:r w:rsidR="00AE11A5" w:rsidRPr="004E053C">
        <w:rPr>
          <w:rFonts w:cstheme="majorHAnsi"/>
          <w:sz w:val="22"/>
          <w:szCs w:val="22"/>
          <w:lang w:val="en-GB" w:eastAsia="zh-CN"/>
        </w:rPr>
        <w:fldChar w:fldCharType="end"/>
      </w:r>
      <w:r w:rsidRPr="004E053C">
        <w:rPr>
          <w:rFonts w:cstheme="majorHAnsi"/>
          <w:sz w:val="22"/>
          <w:szCs w:val="22"/>
          <w:lang w:val="en-GB" w:eastAsia="zh-CN"/>
        </w:rPr>
        <w:t xml:space="preserve">. As a result, imagined futures of migrants who become settled, return home or remain translocal are likely to vary considerably. I will highlight the implications of this in chapters </w:t>
      </w:r>
      <w:r w:rsidR="00F16371" w:rsidRPr="004E053C">
        <w:rPr>
          <w:rFonts w:cstheme="majorHAnsi"/>
          <w:sz w:val="22"/>
          <w:szCs w:val="22"/>
          <w:lang w:val="en-GB" w:eastAsia="zh-CN"/>
        </w:rPr>
        <w:t>8 and 9</w:t>
      </w:r>
      <w:r w:rsidRPr="004E053C">
        <w:rPr>
          <w:rFonts w:cstheme="majorHAnsi"/>
          <w:sz w:val="22"/>
          <w:szCs w:val="22"/>
          <w:lang w:val="en-GB" w:eastAsia="zh-CN"/>
        </w:rPr>
        <w:t xml:space="preserve">. </w:t>
      </w:r>
    </w:p>
    <w:p w14:paraId="355FADB5" w14:textId="77777777" w:rsidR="00ED3EA5" w:rsidRPr="004E053C" w:rsidRDefault="00ED3EA5" w:rsidP="004E053C">
      <w:pPr>
        <w:spacing w:line="360" w:lineRule="auto"/>
        <w:jc w:val="both"/>
        <w:rPr>
          <w:rFonts w:cstheme="majorHAnsi"/>
          <w:sz w:val="22"/>
          <w:szCs w:val="22"/>
          <w:lang w:val="en-GB" w:eastAsia="zh-CN"/>
        </w:rPr>
      </w:pPr>
    </w:p>
    <w:p w14:paraId="28A958DC" w14:textId="2FAA3822"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In the transnational literature, Faist </w:t>
      </w:r>
      <w:r w:rsidR="00AE11A5" w:rsidRPr="004E053C">
        <w:rPr>
          <w:rFonts w:cstheme="majorHAnsi"/>
          <w:sz w:val="22"/>
          <w:szCs w:val="22"/>
          <w:lang w:val="en-GB" w:eastAsia="zh-CN"/>
        </w:rPr>
        <w:fldChar w:fldCharType="begin" w:fldLock="1"/>
      </w:r>
      <w:r w:rsidR="00AE11A5" w:rsidRPr="004E053C">
        <w:rPr>
          <w:rFonts w:cstheme="majorHAnsi"/>
          <w:sz w:val="22"/>
          <w:szCs w:val="22"/>
          <w:lang w:val="en-GB" w:eastAsia="zh-CN"/>
        </w:rPr>
        <w:instrText>ADDIN CSL_CITATION {"citationItems":[{"id":"ITEM-1","itemData":{"author":[{"dropping-particle":"","family":"Faist","given":"Thomas","non-dropping-particle":"","parse-names":false,"suffix":""}],"id":"ITEM-1","issued":{"date-parts":[["2000"]]},"publisher":"Oxford University Press","publisher-place":"Oxford, UK","title":"The Volume and Dynamics of International Migration and Transnational Social Spaces","type":"book"},"uris":["http://www.mendeley.com/documents/?uuid=4f016a52-c8c3-4ad1-8d65-4fa281044f12"]}],"mendeley":{"formattedCitation":"(Faist, 2000)","manualFormatting":"(2000)","plainTextFormattedCitation":"(Faist, 2000)","previouslyFormattedCitation":"(Faist, 2000)"},"properties":{"noteIndex":0},"schema":"https://github.com/citation-style-language/schema/raw/master/csl-citation.json"}</w:instrText>
      </w:r>
      <w:r w:rsidR="00AE11A5" w:rsidRPr="004E053C">
        <w:rPr>
          <w:rFonts w:cstheme="majorHAnsi"/>
          <w:sz w:val="22"/>
          <w:szCs w:val="22"/>
          <w:lang w:val="en-GB" w:eastAsia="zh-CN"/>
        </w:rPr>
        <w:fldChar w:fldCharType="separate"/>
      </w:r>
      <w:r w:rsidR="00AE11A5" w:rsidRPr="004E053C">
        <w:rPr>
          <w:rFonts w:cstheme="majorHAnsi"/>
          <w:noProof/>
          <w:sz w:val="22"/>
          <w:szCs w:val="22"/>
          <w:lang w:val="en-GB" w:eastAsia="zh-CN"/>
        </w:rPr>
        <w:t>(2000)</w:t>
      </w:r>
      <w:r w:rsidR="00AE11A5" w:rsidRPr="004E053C">
        <w:rPr>
          <w:rFonts w:cstheme="majorHAnsi"/>
          <w:sz w:val="22"/>
          <w:szCs w:val="22"/>
          <w:lang w:val="en-GB" w:eastAsia="zh-CN"/>
        </w:rPr>
        <w:fldChar w:fldCharType="end"/>
      </w:r>
      <w:r w:rsidRPr="004E053C">
        <w:rPr>
          <w:rFonts w:cstheme="majorHAnsi"/>
          <w:sz w:val="22"/>
          <w:szCs w:val="22"/>
          <w:lang w:val="en-GB" w:eastAsia="zh-CN"/>
        </w:rPr>
        <w:t xml:space="preserve"> has argued that variations in spatial extension and temporal stability produce different topographies that affect both the extent to which migrants are embedded in origin and destination countries and the durability of the ties they make. Very recently, Peth et al </w:t>
      </w:r>
      <w:r w:rsidR="00AE11A5" w:rsidRPr="004E053C">
        <w:rPr>
          <w:rFonts w:cstheme="majorHAnsi"/>
          <w:sz w:val="22"/>
          <w:szCs w:val="22"/>
          <w:lang w:val="en-GB" w:eastAsia="zh-CN"/>
        </w:rPr>
        <w:fldChar w:fldCharType="begin" w:fldLock="1"/>
      </w:r>
      <w:r w:rsidR="00AE11A5" w:rsidRPr="004E053C">
        <w:rPr>
          <w:rFonts w:cstheme="majorHAnsi"/>
          <w:sz w:val="22"/>
          <w:szCs w:val="22"/>
          <w:lang w:val="en-GB" w:eastAsia="zh-CN"/>
        </w:rPr>
        <w:instrText>ADDIN CSL_CITATION {"citationItems":[{"id":"ITEM-1","itemData":{"author":[{"dropping-particle":"","family":"Peth","given":"Simon Alexander","non-dropping-particle":"","parse-names":false,"suffix":""},{"dropping-particle":"","family":"Sterly","given":"Harald","non-dropping-particle":"","parse-names":false,"suffix":""},{"dropping-particle":"","family":"Sakdapolrak","given":"Patrick","non-dropping-particle":"","parse-names":false,"suffix":""}],"container-title":"Mobilities","id":"ITEM-1","issue":"4","issued":{"date-parts":[["2018"]]},"page":"455-472","title":"Between the village and the global city: the production and decay of translocal spaces of Thai migrant workers in Singapore","type":"article-journal","volume":"13"},"uris":["http://www.mendeley.com/documents/?uuid=29f764b9-eec0-45ac-b9c3-9941072db745"]}],"mendeley":{"formattedCitation":"(Peth et al., 2018)","manualFormatting":"(2018)","plainTextFormattedCitation":"(Peth et al., 2018)","previouslyFormattedCitation":"(Peth et al., 2018)"},"properties":{"noteIndex":0},"schema":"https://github.com/citation-style-language/schema/raw/master/csl-citation.json"}</w:instrText>
      </w:r>
      <w:r w:rsidR="00AE11A5" w:rsidRPr="004E053C">
        <w:rPr>
          <w:rFonts w:cstheme="majorHAnsi"/>
          <w:sz w:val="22"/>
          <w:szCs w:val="22"/>
          <w:lang w:val="en-GB" w:eastAsia="zh-CN"/>
        </w:rPr>
        <w:fldChar w:fldCharType="separate"/>
      </w:r>
      <w:r w:rsidR="00AE11A5" w:rsidRPr="004E053C">
        <w:rPr>
          <w:rFonts w:cstheme="majorHAnsi"/>
          <w:noProof/>
          <w:sz w:val="22"/>
          <w:szCs w:val="22"/>
          <w:lang w:val="en-GB" w:eastAsia="zh-CN"/>
        </w:rPr>
        <w:t>(2018)</w:t>
      </w:r>
      <w:r w:rsidR="00AE11A5" w:rsidRPr="004E053C">
        <w:rPr>
          <w:rFonts w:cstheme="majorHAnsi"/>
          <w:sz w:val="22"/>
          <w:szCs w:val="22"/>
          <w:lang w:val="en-GB" w:eastAsia="zh-CN"/>
        </w:rPr>
        <w:fldChar w:fldCharType="end"/>
      </w:r>
      <w:r w:rsidRPr="004E053C">
        <w:rPr>
          <w:rFonts w:cstheme="majorHAnsi"/>
          <w:sz w:val="22"/>
          <w:szCs w:val="22"/>
          <w:lang w:val="en-GB" w:eastAsia="zh-CN"/>
        </w:rPr>
        <w:t xml:space="preserve"> have drawn attention to the gap in knowledge and started to conceptualise what this temporality may mean for translocal spaces. They have argued that the varying temporality of engagement in translocal spaces may eventually have an impact on the places within it, such as through ‘a loosening or decay of mobility and connectivity’, which is dependent on the subjective representations and practices of migrants and non-migrants </w:t>
      </w:r>
      <w:r w:rsidR="00AE11A5" w:rsidRPr="004E053C">
        <w:rPr>
          <w:rFonts w:cstheme="majorHAnsi"/>
          <w:sz w:val="22"/>
          <w:szCs w:val="22"/>
          <w:lang w:val="en-GB" w:eastAsia="zh-CN"/>
        </w:rPr>
        <w:fldChar w:fldCharType="begin" w:fldLock="1"/>
      </w:r>
      <w:r w:rsidR="00AE11A5" w:rsidRPr="004E053C">
        <w:rPr>
          <w:rFonts w:cstheme="majorHAnsi"/>
          <w:sz w:val="22"/>
          <w:szCs w:val="22"/>
          <w:lang w:val="en-GB" w:eastAsia="zh-CN"/>
        </w:rPr>
        <w:instrText>ADDIN CSL_CITATION {"citationItems":[{"id":"ITEM-1","itemData":{"author":[{"dropping-particle":"","family":"Peth","given":"Simon Alexander","non-dropping-particle":"","parse-names":false,"suffix":""},{"dropping-particle":"","family":"Sterly","given":"Harald","non-dropping-particle":"","parse-names":false,"suffix":""},{"dropping-particle":"","family":"Sakdapolrak","given":"Patrick","non-dropping-particle":"","parse-names":false,"suffix":""}],"container-title":"Mobilities","id":"ITEM-1","issue":"4","issued":{"date-parts":[["2018"]]},"page":"455-472","title":"Between the village and the global city: the production and decay of translocal spaces of Thai migrant workers in Singapore","type":"article-journal","volume":"13"},"uris":["http://www.mendeley.com/documents/?uuid=29f764b9-eec0-45ac-b9c3-9941072db745"]}],"mendeley":{"formattedCitation":"(Peth et al., 2018)","plainTextFormattedCitation":"(Peth et al., 2018)","previouslyFormattedCitation":"(Peth et al., 2018)"},"properties":{"noteIndex":0},"schema":"https://github.com/citation-style-language/schema/raw/master/csl-citation.json"}</w:instrText>
      </w:r>
      <w:r w:rsidR="00AE11A5" w:rsidRPr="004E053C">
        <w:rPr>
          <w:rFonts w:cstheme="majorHAnsi"/>
          <w:sz w:val="22"/>
          <w:szCs w:val="22"/>
          <w:lang w:val="en-GB" w:eastAsia="zh-CN"/>
        </w:rPr>
        <w:fldChar w:fldCharType="separate"/>
      </w:r>
      <w:r w:rsidR="00AE11A5" w:rsidRPr="004E053C">
        <w:rPr>
          <w:rFonts w:cstheme="majorHAnsi"/>
          <w:noProof/>
          <w:sz w:val="22"/>
          <w:szCs w:val="22"/>
          <w:lang w:val="en-GB" w:eastAsia="zh-CN"/>
        </w:rPr>
        <w:t>(Peth et al., 2018)</w:t>
      </w:r>
      <w:r w:rsidR="00AE11A5" w:rsidRPr="004E053C">
        <w:rPr>
          <w:rFonts w:cstheme="majorHAnsi"/>
          <w:sz w:val="22"/>
          <w:szCs w:val="22"/>
          <w:lang w:val="en-GB" w:eastAsia="zh-CN"/>
        </w:rPr>
        <w:fldChar w:fldCharType="end"/>
      </w:r>
      <w:r w:rsidRPr="004E053C">
        <w:rPr>
          <w:rFonts w:cstheme="majorHAnsi"/>
          <w:sz w:val="22"/>
          <w:szCs w:val="22"/>
          <w:lang w:val="en-GB" w:eastAsia="zh-CN"/>
        </w:rPr>
        <w:t xml:space="preserve">. Furthermore, while migrants transform the various locations they connect </w:t>
      </w:r>
      <w:r w:rsidR="00AE11A5"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transnationalism.","author":[{"dropping-particle":"","family":"Greiner","given":"Clemens","non-dropping-particle":"","parse-names":false,"suffix":""}],"container-title":"Sociologus","id":"ITEM-1","issue":"2","issued":{"date-parts":[["2010"]]},"page":"131-161","title":"Patterns of translocality: migration, livelihoods and identities in Northwest Namibia","type":"article-journal","volume":"60"},"uris":["http://www.mendeley.com/documents/?uuid=414887f7-c62a-48a7-b7bf-b65a4cc9aa41"]},{"id":"ITEM-2","itemData":{"author":[{"dropping-particle":"","family":"Long","given":"N","non-dropping-particle":"","parse-names":false,"suffix":""}],"container-title":"Migration and Development Within and Across Borders: Research and Policy Perspectives on Internal and International Migration","editor":[{"dropping-particle":"","family":"DeWind","given":"J","non-dropping-particle":"","parse-names":false,"suffix":""},{"dropping-particle":"","family":"Holdaway","given":"J.","non-dropping-particle":"","parse-names":false,"suffix":""}],"id":"ITEM-2","issued":{"date-parts":[["2008"]]},"page":"37-68","publisher":"International Organization for Migration","publisher-place":"Geneva/New York","title":"Translocal livelihoods, networks of family and community, and remmitances in Central Peru","type":"chapter"},"uris":["http://www.mendeley.com/documents/?uuid=74e4505d-80c8-44a1-bc39-ef72c7b77d58"]},{"id":"ITEM-3","itemData":{"author":[{"dropping-particle":"","family":"Etzold","given":"Benjamin","non-dropping-particle":"","parse-names":false,"suffix":""}],"chapter-number":"3","container-title":"Livelihoods and Development: New Perspectives","editor":[{"dropping-particle":"","family":"Leo de Haan","given":"","non-dropping-particle":"","parse-names":false,"suffix":""}],"id":"ITEM-3","issued":{"date-parts":[["2017"]]},"page":"44-68","publisher":"Brill","publisher-place":"Leiden","title":"Mobility, space and livelihood trajectories: new perspectives on migration, translocality and place-making for livelihood studies","type":"chapter"},"uris":["http://www.mendeley.com/documents/?uuid=8669327d-3056-4ab8-9bc0-8022e5d3152f"]},{"id":"ITEM-4","itemData":{"author":[{"dropping-particle":"","family":"Appadurai","given":"Arjun","non-dropping-particle":"","parse-names":false,"suffix":""}],"id":"ITEM-4","issued":{"date-parts":[["1996"]]},"publisher":"University of Minnesota Press","publisher-place":"Minneapolis, MN","title":"Modernity at Large: Cultural Dimensions of Globalisation","type":"book"},"uris":["http://www.mendeley.com/documents/?uuid=125f5a1c-faf4-4145-9f5c-7b8bc853f973","http://www.mendeley.com/documents/?uuid=c4efa86a-886f-4b5b-b7e0-b9aa83e93f95"]}],"mendeley":{"formattedCitation":"(Appadurai, 1996; Etzold, 2017; Greiner, 2010; N Long, 2008)","manualFormatting":"(Appadurai, 1996; Etzold, 2017; Greiner, 2010; Long, 2008)","plainTextFormattedCitation":"(Appadurai, 1996; Etzold, 2017; Greiner, 2010; N Long, 2008)","previouslyFormattedCitation":"(Appadurai, 1996; Etzold, 2017; Greiner, 2010; N Long, 2008)"},"properties":{"noteIndex":0},"schema":"https://github.com/citation-style-language/schema/raw/master/csl-citation.json"}</w:instrText>
      </w:r>
      <w:r w:rsidR="00AE11A5" w:rsidRPr="004E053C">
        <w:rPr>
          <w:rFonts w:cstheme="majorHAnsi"/>
          <w:sz w:val="22"/>
          <w:szCs w:val="22"/>
          <w:lang w:val="en-GB" w:eastAsia="zh-CN"/>
        </w:rPr>
        <w:fldChar w:fldCharType="separate"/>
      </w:r>
      <w:r w:rsidR="00EB10C1" w:rsidRPr="004E053C">
        <w:rPr>
          <w:rFonts w:cstheme="majorHAnsi"/>
          <w:noProof/>
          <w:sz w:val="22"/>
          <w:szCs w:val="22"/>
          <w:lang w:val="en-GB" w:eastAsia="zh-CN"/>
        </w:rPr>
        <w:t>(Appadurai, 1996;</w:t>
      </w:r>
      <w:r w:rsidR="00A6180E" w:rsidRPr="004E053C">
        <w:rPr>
          <w:rFonts w:cstheme="majorHAnsi"/>
          <w:noProof/>
          <w:sz w:val="22"/>
          <w:szCs w:val="22"/>
          <w:lang w:val="en-GB" w:eastAsia="zh-CN"/>
        </w:rPr>
        <w:t xml:space="preserve"> Etzold, 2017; Greiner, 2010; </w:t>
      </w:r>
      <w:r w:rsidR="00EB10C1" w:rsidRPr="004E053C">
        <w:rPr>
          <w:rFonts w:cstheme="majorHAnsi"/>
          <w:noProof/>
          <w:sz w:val="22"/>
          <w:szCs w:val="22"/>
          <w:lang w:val="en-GB" w:eastAsia="zh-CN"/>
        </w:rPr>
        <w:t>Long, 2008)</w:t>
      </w:r>
      <w:r w:rsidR="00AE11A5" w:rsidRPr="004E053C">
        <w:rPr>
          <w:rFonts w:cstheme="majorHAnsi"/>
          <w:sz w:val="22"/>
          <w:szCs w:val="22"/>
          <w:lang w:val="en-GB" w:eastAsia="zh-CN"/>
        </w:rPr>
        <w:fldChar w:fldCharType="end"/>
      </w:r>
      <w:r w:rsidRPr="004E053C">
        <w:rPr>
          <w:rFonts w:cstheme="majorHAnsi"/>
          <w:sz w:val="22"/>
          <w:szCs w:val="22"/>
          <w:lang w:val="en-GB" w:eastAsia="zh-CN"/>
        </w:rPr>
        <w:t xml:space="preserve">, it seems likely that these impacts will be bigger in smaller communities in which the residents are largely familiar with each other. However, as discussed earlier, the majority of translocality research focuses on migratory networks that bridge a rural-urban divide. Because of this, there is limited attention on the impact of non-permanent migration on destination communities, as researchers instead focus on the various ways immigrants create spaces of ‘belonging’ in their receiving communities </w:t>
      </w:r>
      <w:r w:rsidR="008B43B4"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{"citationItems":[{"id":"ITEM-1","itemData":{"author":[{"dropping-particle":"","family":"Hou","given":"J","non-dropping-particle":"","parse-names":false,"suffix":""}],"id":"ITEM-1","issued":{"date-parts":[["2013"]]},"publisher":"Routledge","publisher-place":"New York, NY","title":"Transcultural Cities: Border-Crossing and Placemaking","type":"book"},"uris":["http://www.mendeley.com/documents/?uuid=1b3fd999-3834-48c1-809c-826fe08f718e","http://www.mendeley.com/documents/?uuid=f845d1a4-c16d-4ebf-bafe-d3240af260c5"]},{"id":"ITEM-2","itemData":{"author":[{"dropping-particle":"","family":"Main","given":"Kelly","non-dropping-particle":"","parse-names":false,"suffix":""},{"dropping-particle":"","family":"Sandoval","given":"Gerardo Francisco","non-dropping-particle":"","parse-names":false,"suffix":""}],"container-title":"Urban Studies","id":"ITEM-2","issue":"1","issued":{"date-parts":[["2015"]]},"page":"71-86","title":"Placemaking in a translocal receiving community: the relevance of place to identity and agency","type":"article-journal","volume":"52"},"uris":["http://www.mendeley.com/documents/?uuid=9539534e-b689-405a-ba8e-a41ad6a098b8"]}],"mendeley":{"formattedCitation":"(Hou, 2013; Main &amp; Sandoval, 2015)","plainTextFormattedCitation":"(Hou, 2013; Main &amp; Sandoval, 2015)","previouslyFormattedCitation":"(Hou, 2013; Main &amp; Sandoval, 2015)"},"properties":{"noteIndex":0},"schema":"https://github.com/citation-style-language/schema/raw/master/csl-citation.json"}</w:instrText>
      </w:r>
      <w:r w:rsidR="008B43B4" w:rsidRPr="004E053C">
        <w:rPr>
          <w:rFonts w:cstheme="majorHAnsi"/>
          <w:sz w:val="22"/>
          <w:szCs w:val="22"/>
          <w:lang w:val="en-GB" w:eastAsia="zh-CN"/>
        </w:rPr>
        <w:fldChar w:fldCharType="separate"/>
      </w:r>
      <w:r w:rsidR="008B43B4" w:rsidRPr="004E053C">
        <w:rPr>
          <w:rFonts w:cstheme="majorHAnsi"/>
          <w:noProof/>
          <w:sz w:val="22"/>
          <w:szCs w:val="22"/>
          <w:lang w:val="en-GB" w:eastAsia="zh-CN"/>
        </w:rPr>
        <w:t>(Hou, 2013; Main &amp; Sandoval, 2015)</w:t>
      </w:r>
      <w:r w:rsidR="008B43B4" w:rsidRPr="004E053C">
        <w:rPr>
          <w:rFonts w:cstheme="majorHAnsi"/>
          <w:sz w:val="22"/>
          <w:szCs w:val="22"/>
          <w:lang w:val="en-GB" w:eastAsia="zh-CN"/>
        </w:rPr>
        <w:fldChar w:fldCharType="end"/>
      </w:r>
      <w:r w:rsidRPr="004E053C">
        <w:rPr>
          <w:rFonts w:cstheme="majorHAnsi"/>
          <w:sz w:val="22"/>
          <w:szCs w:val="22"/>
          <w:lang w:val="en-GB" w:eastAsia="zh-CN"/>
        </w:rPr>
        <w:t xml:space="preserve">. In small, almost emergent, rural and peri-urban places, such as those on resource frontiers, its impact is largely under researched. </w:t>
      </w:r>
    </w:p>
    <w:p w14:paraId="03C2B310" w14:textId="77777777" w:rsidR="00FE47C4" w:rsidRPr="004E053C" w:rsidRDefault="00FE47C4" w:rsidP="004E053C">
      <w:pPr>
        <w:spacing w:line="360" w:lineRule="auto"/>
        <w:jc w:val="both"/>
        <w:rPr>
          <w:rFonts w:cstheme="majorHAnsi"/>
          <w:sz w:val="22"/>
          <w:szCs w:val="22"/>
          <w:lang w:val="en-GB" w:eastAsia="zh-CN"/>
        </w:rPr>
      </w:pPr>
    </w:p>
    <w:p w14:paraId="5F5C16B2" w14:textId="72BB7368" w:rsidR="00FE47C4" w:rsidRPr="004E053C" w:rsidRDefault="00EA7F83" w:rsidP="004E053C">
      <w:pPr>
        <w:pStyle w:val="Heading2"/>
        <w:spacing w:before="0" w:line="360" w:lineRule="auto"/>
        <w:jc w:val="both"/>
        <w:rPr>
          <w:rFonts w:cstheme="majorHAnsi"/>
          <w:lang w:val="en-GB" w:eastAsia="zh-CN"/>
        </w:rPr>
      </w:pPr>
      <w:bookmarkStart w:id="49" w:name="_Toc33293095"/>
      <w:r w:rsidRPr="004E053C">
        <w:rPr>
          <w:rFonts w:cstheme="majorHAnsi"/>
          <w:lang w:val="en-GB" w:eastAsia="zh-CN"/>
        </w:rPr>
        <w:t>4</w:t>
      </w:r>
      <w:r w:rsidR="00FE47C4" w:rsidRPr="004E053C">
        <w:rPr>
          <w:rFonts w:cstheme="majorHAnsi"/>
          <w:lang w:val="en-GB" w:eastAsia="zh-CN"/>
        </w:rPr>
        <w:t>.5. Criminali</w:t>
      </w:r>
      <w:r w:rsidR="004A3EF1" w:rsidRPr="004E053C">
        <w:rPr>
          <w:rFonts w:cstheme="majorHAnsi"/>
          <w:lang w:val="en-GB" w:eastAsia="zh-CN"/>
        </w:rPr>
        <w:t>ty, collective i</w:t>
      </w:r>
      <w:r w:rsidR="00AF3CFC" w:rsidRPr="004E053C">
        <w:rPr>
          <w:rFonts w:cstheme="majorHAnsi"/>
          <w:lang w:val="en-GB" w:eastAsia="zh-CN"/>
        </w:rPr>
        <w:t xml:space="preserve">dentity and </w:t>
      </w:r>
      <w:r w:rsidR="004A3EF1" w:rsidRPr="004E053C">
        <w:rPr>
          <w:rFonts w:cstheme="majorHAnsi"/>
          <w:lang w:val="en-GB" w:eastAsia="zh-CN"/>
        </w:rPr>
        <w:t>translocal l</w:t>
      </w:r>
      <w:r w:rsidR="00FE47C4" w:rsidRPr="004E053C">
        <w:rPr>
          <w:rFonts w:cstheme="majorHAnsi"/>
          <w:lang w:val="en-GB" w:eastAsia="zh-CN"/>
        </w:rPr>
        <w:t>ivelihood</w:t>
      </w:r>
      <w:r w:rsidR="00AF3CFC" w:rsidRPr="004E053C">
        <w:rPr>
          <w:rFonts w:cstheme="majorHAnsi"/>
          <w:lang w:val="en-GB" w:eastAsia="zh-CN"/>
        </w:rPr>
        <w:t>s</w:t>
      </w:r>
      <w:bookmarkEnd w:id="49"/>
    </w:p>
    <w:p w14:paraId="6ADF991B" w14:textId="77777777" w:rsidR="00FE47C4" w:rsidRPr="004E053C" w:rsidRDefault="00FE47C4" w:rsidP="004E053C">
      <w:pPr>
        <w:spacing w:line="360" w:lineRule="auto"/>
        <w:jc w:val="both"/>
        <w:rPr>
          <w:rFonts w:cstheme="majorHAnsi"/>
          <w:lang w:val="en-GB" w:eastAsia="zh-CN"/>
        </w:rPr>
      </w:pPr>
    </w:p>
    <w:p w14:paraId="1F0196F9" w14:textId="4CF67C49"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The linking of place and translocal livelihoods highlights how the meaning ascribed to a particular place and the corresponding strength of place identity risks being undermined by the translocal nature of ASM livelihoods. This shows how </w:t>
      </w:r>
      <w:r w:rsidR="00A6180E" w:rsidRPr="004E053C">
        <w:rPr>
          <w:rFonts w:cstheme="majorHAnsi"/>
          <w:sz w:val="22"/>
          <w:szCs w:val="22"/>
          <w:lang w:val="en-GB"/>
        </w:rPr>
        <w:t>a useful model</w:t>
      </w:r>
      <w:r w:rsidRPr="004E053C">
        <w:rPr>
          <w:rFonts w:cstheme="majorHAnsi"/>
          <w:sz w:val="22"/>
          <w:szCs w:val="22"/>
          <w:lang w:val="en-GB"/>
        </w:rPr>
        <w:t xml:space="preserve"> of translocality must </w:t>
      </w:r>
      <w:r w:rsidR="00A6180E" w:rsidRPr="004E053C">
        <w:rPr>
          <w:rFonts w:cstheme="majorHAnsi"/>
          <w:sz w:val="22"/>
          <w:szCs w:val="22"/>
          <w:lang w:val="en-GB"/>
        </w:rPr>
        <w:t xml:space="preserve">incorporate </w:t>
      </w:r>
      <w:r w:rsidRPr="004E053C">
        <w:rPr>
          <w:rFonts w:cstheme="majorHAnsi"/>
          <w:sz w:val="22"/>
          <w:szCs w:val="22"/>
          <w:lang w:val="en-GB"/>
        </w:rPr>
        <w:t xml:space="preserve">temporal </w:t>
      </w:r>
      <w:r w:rsidR="00A6180E" w:rsidRPr="004E053C">
        <w:rPr>
          <w:rFonts w:cstheme="majorHAnsi"/>
          <w:sz w:val="22"/>
          <w:szCs w:val="22"/>
          <w:lang w:val="en-GB"/>
        </w:rPr>
        <w:t>dimension</w:t>
      </w:r>
      <w:r w:rsidRPr="004E053C">
        <w:rPr>
          <w:rFonts w:cstheme="majorHAnsi"/>
          <w:sz w:val="22"/>
          <w:szCs w:val="22"/>
          <w:lang w:val="en-GB"/>
        </w:rPr>
        <w:t xml:space="preserve">s as well as spatial ones. </w:t>
      </w:r>
      <w:r w:rsidR="00D37F47" w:rsidRPr="004E053C">
        <w:rPr>
          <w:rFonts w:cstheme="majorHAnsi"/>
          <w:sz w:val="22"/>
          <w:szCs w:val="22"/>
          <w:lang w:val="en-GB"/>
        </w:rPr>
        <w:t>This thesis intends to</w:t>
      </w:r>
      <w:r w:rsidR="00FD39B9" w:rsidRPr="004E053C">
        <w:rPr>
          <w:rFonts w:cstheme="majorHAnsi"/>
          <w:sz w:val="22"/>
          <w:szCs w:val="22"/>
          <w:lang w:val="en-GB"/>
        </w:rPr>
        <w:t xml:space="preserve"> apply this understanding of translocality to the</w:t>
      </w:r>
      <w:r w:rsidRPr="004E053C">
        <w:rPr>
          <w:rFonts w:cstheme="majorHAnsi"/>
          <w:sz w:val="22"/>
          <w:szCs w:val="22"/>
          <w:lang w:val="en-GB"/>
        </w:rPr>
        <w:t xml:space="preserve"> context of ASM, </w:t>
      </w:r>
      <w:r w:rsidR="005244BA" w:rsidRPr="004E053C">
        <w:rPr>
          <w:rFonts w:cstheme="majorHAnsi"/>
          <w:sz w:val="22"/>
          <w:szCs w:val="22"/>
          <w:lang w:val="en-GB"/>
        </w:rPr>
        <w:t xml:space="preserve">in order to examine </w:t>
      </w:r>
      <w:r w:rsidR="00D37F47" w:rsidRPr="004E053C">
        <w:rPr>
          <w:rFonts w:cstheme="majorHAnsi"/>
          <w:sz w:val="22"/>
          <w:szCs w:val="22"/>
          <w:lang w:val="en-GB"/>
        </w:rPr>
        <w:t xml:space="preserve">the </w:t>
      </w:r>
      <w:r w:rsidR="005244BA" w:rsidRPr="004E053C">
        <w:rPr>
          <w:rFonts w:cstheme="majorHAnsi"/>
          <w:sz w:val="22"/>
          <w:szCs w:val="22"/>
          <w:lang w:val="en-GB"/>
        </w:rPr>
        <w:t>impact of varying temporality on</w:t>
      </w:r>
      <w:r w:rsidR="00D37F47" w:rsidRPr="004E053C">
        <w:rPr>
          <w:rFonts w:cstheme="majorHAnsi"/>
          <w:sz w:val="22"/>
          <w:szCs w:val="22"/>
          <w:lang w:val="en-GB"/>
        </w:rPr>
        <w:t xml:space="preserve"> community dynamics. </w:t>
      </w:r>
      <w:r w:rsidR="00FD39B9" w:rsidRPr="004E053C">
        <w:rPr>
          <w:rFonts w:cstheme="majorHAnsi"/>
          <w:sz w:val="22"/>
          <w:szCs w:val="22"/>
          <w:lang w:val="en-GB"/>
        </w:rPr>
        <w:t>Drawing on a</w:t>
      </w:r>
      <w:r w:rsidRPr="004E053C">
        <w:rPr>
          <w:rFonts w:cstheme="majorHAnsi"/>
          <w:sz w:val="22"/>
          <w:szCs w:val="22"/>
          <w:lang w:val="en-GB"/>
        </w:rPr>
        <w:t xml:space="preserve"> Bourdieusian understanding of s</w:t>
      </w:r>
      <w:r w:rsidR="00A6180E" w:rsidRPr="004E053C">
        <w:rPr>
          <w:rFonts w:cstheme="majorHAnsi"/>
          <w:sz w:val="22"/>
          <w:szCs w:val="22"/>
          <w:lang w:val="en-GB"/>
        </w:rPr>
        <w:t>ocial fields</w:t>
      </w:r>
      <w:r w:rsidR="00FD39B9" w:rsidRPr="004E053C">
        <w:rPr>
          <w:rFonts w:cstheme="majorHAnsi"/>
          <w:sz w:val="22"/>
          <w:szCs w:val="22"/>
          <w:lang w:val="en-GB"/>
        </w:rPr>
        <w:t xml:space="preserve"> </w:t>
      </w:r>
      <w:r w:rsidRPr="004E053C">
        <w:rPr>
          <w:rFonts w:cstheme="majorHAnsi"/>
          <w:sz w:val="22"/>
          <w:szCs w:val="22"/>
          <w:lang w:val="en-GB"/>
        </w:rPr>
        <w:t xml:space="preserve">allows for a consideration of the contestations that emerge between miners occupying different social positions, as a result of the field’s internal power dynamics and hierarchies. However, the field </w:t>
      </w:r>
      <w:r w:rsidR="006F3B1A" w:rsidRPr="004E053C">
        <w:rPr>
          <w:rFonts w:cstheme="majorHAnsi"/>
          <w:sz w:val="22"/>
          <w:szCs w:val="22"/>
          <w:lang w:val="en-GB"/>
        </w:rPr>
        <w:t>is heavily</w:t>
      </w:r>
      <w:r w:rsidRPr="004E053C">
        <w:rPr>
          <w:rFonts w:cstheme="majorHAnsi"/>
          <w:sz w:val="22"/>
          <w:szCs w:val="22"/>
          <w:lang w:val="en-GB"/>
        </w:rPr>
        <w:t xml:space="preserve"> </w:t>
      </w:r>
      <w:r w:rsidRPr="004E053C">
        <w:rPr>
          <w:rFonts w:cstheme="majorHAnsi"/>
          <w:sz w:val="22"/>
          <w:szCs w:val="22"/>
          <w:lang w:val="en-GB"/>
        </w:rPr>
        <w:lastRenderedPageBreak/>
        <w:t xml:space="preserve">influenced by the power of regional </w:t>
      </w:r>
      <w:r w:rsidR="006F3B1A" w:rsidRPr="004E053C">
        <w:rPr>
          <w:rFonts w:cstheme="majorHAnsi"/>
          <w:sz w:val="22"/>
          <w:szCs w:val="22"/>
          <w:lang w:val="en-GB"/>
        </w:rPr>
        <w:t>and national-level government,</w:t>
      </w:r>
      <w:r w:rsidRPr="004E053C">
        <w:rPr>
          <w:rFonts w:cstheme="majorHAnsi"/>
          <w:sz w:val="22"/>
          <w:szCs w:val="22"/>
          <w:lang w:val="en-GB"/>
        </w:rPr>
        <w:t xml:space="preserve"> although </w:t>
      </w:r>
      <w:r w:rsidR="006F3B1A" w:rsidRPr="004E053C">
        <w:rPr>
          <w:rFonts w:cstheme="majorHAnsi"/>
          <w:sz w:val="22"/>
          <w:szCs w:val="22"/>
          <w:lang w:val="en-GB"/>
        </w:rPr>
        <w:t xml:space="preserve">they remain </w:t>
      </w:r>
      <w:r w:rsidRPr="004E053C">
        <w:rPr>
          <w:rFonts w:cstheme="majorHAnsi"/>
          <w:sz w:val="22"/>
          <w:szCs w:val="22"/>
          <w:lang w:val="en-GB"/>
        </w:rPr>
        <w:t xml:space="preserve">external to </w:t>
      </w:r>
      <w:r w:rsidR="006F3B1A" w:rsidRPr="004E053C">
        <w:rPr>
          <w:rFonts w:cstheme="majorHAnsi"/>
          <w:sz w:val="22"/>
          <w:szCs w:val="22"/>
          <w:lang w:val="en-GB"/>
        </w:rPr>
        <w:t>it</w:t>
      </w:r>
      <w:r w:rsidRPr="004E053C">
        <w:rPr>
          <w:rFonts w:cstheme="majorHAnsi"/>
          <w:sz w:val="22"/>
          <w:szCs w:val="22"/>
          <w:lang w:val="en-GB"/>
        </w:rPr>
        <w:t xml:space="preserve"> </w:t>
      </w:r>
      <w:r w:rsidR="008B43B4" w:rsidRPr="004E053C">
        <w:rPr>
          <w:rFonts w:cstheme="majorHAnsi"/>
          <w:sz w:val="22"/>
          <w:szCs w:val="22"/>
          <w:lang w:val="en-GB"/>
        </w:rPr>
        <w:fldChar w:fldCharType="begin" w:fldLock="1"/>
      </w:r>
      <w:r w:rsidR="008B43B4" w:rsidRPr="004E053C">
        <w:rPr>
          <w:rFonts w:cstheme="majorHAnsi"/>
          <w:sz w:val="22"/>
          <w:szCs w:val="22"/>
          <w:lang w:val="en-GB"/>
        </w:rPr>
        <w:instrText>ADDIN CSL_CITATION {"citationItems":[{"id":"ITEM-1","itemData":{"author":[{"dropping-particle":"","family":"Bourdieu","given":"Pierre","non-dropping-particle":"","parse-names":false,"suffix":""},{"dropping-particle":"","family":"Wacquant","given":"Loic","non-dropping-particle":"","parse-names":false,"suffix":""}],"id":"ITEM-1","issued":{"date-parts":[["1992"]]},"publisher":"University of Chicago Press","publisher-place":"Chicago","title":"An Invitation to Reflexive Sociology","type":"book"},"uris":["http://www.mendeley.com/documents/?uuid=c1429f32-90a2-3b41-90c4-9a470864a959"]},{"id":"ITEM-2","itemData":{"author":[{"dropping-particle":"","family":"Hilgers","given":"Mathieu","non-dropping-particle":"","parse-names":false,"suffix":""},{"dropping-particle":"","family":"Manguez","given":"Eric","non-dropping-particle":"","parse-names":false,"suffix":""}],"container-title":"Bourdieu's Theory of Social Fields: Concepts and Applications","editor":[{"dropping-particle":"","family":"Hilgers","given":"Mathieu","non-dropping-particle":"","parse-names":false,"suffix":""},{"dropping-particle":"","family":"Manguez","given":"Eric","non-dropping-particle":"","parse-names":false,"suffix":""}],"id":"ITEM-2","issued":{"date-parts":[["2015"]]},"page":"1-36","publisher":"Routledge","publisher-place":"Abingdon, UK","title":"Introduction to Pierre Bourdieu's theory of social fields","type":"chapter"},"uris":["http://www.mendeley.com/documents/?uuid=1990c678-91be-3578-9a7f-9af4596a0fe7"]}],"mendeley":{"formattedCitation":"(Bourdieu &amp; Wacquant, 1992; Hilgers &amp; Manguez, 2015)","plainTextFormattedCitation":"(Bourdieu &amp; Wacquant, 1992; Hilgers &amp; Manguez, 2015)","previouslyFormattedCitation":"(Bourdieu &amp; Wacquant, 1992; Hilgers &amp; Manguez, 2015)"},"properties":{"noteIndex":0},"schema":"https://github.com/citation-style-language/schema/raw/master/csl-citation.json"}</w:instrText>
      </w:r>
      <w:r w:rsidR="008B43B4" w:rsidRPr="004E053C">
        <w:rPr>
          <w:rFonts w:cstheme="majorHAnsi"/>
          <w:sz w:val="22"/>
          <w:szCs w:val="22"/>
          <w:lang w:val="en-GB"/>
        </w:rPr>
        <w:fldChar w:fldCharType="separate"/>
      </w:r>
      <w:r w:rsidR="008B43B4" w:rsidRPr="004E053C">
        <w:rPr>
          <w:rFonts w:cstheme="majorHAnsi"/>
          <w:noProof/>
          <w:sz w:val="22"/>
          <w:szCs w:val="22"/>
          <w:lang w:val="en-GB"/>
        </w:rPr>
        <w:t>(Bourdieu &amp; Wacquant, 1992; Hilgers &amp; Manguez, 2015)</w:t>
      </w:r>
      <w:r w:rsidR="008B43B4" w:rsidRPr="004E053C">
        <w:rPr>
          <w:rFonts w:cstheme="majorHAnsi"/>
          <w:sz w:val="22"/>
          <w:szCs w:val="22"/>
          <w:lang w:val="en-GB"/>
        </w:rPr>
        <w:fldChar w:fldCharType="end"/>
      </w:r>
      <w:r w:rsidRPr="004E053C">
        <w:rPr>
          <w:rFonts w:cstheme="majorHAnsi"/>
          <w:sz w:val="22"/>
          <w:szCs w:val="22"/>
          <w:lang w:val="en-GB"/>
        </w:rPr>
        <w:t xml:space="preserve">. </w:t>
      </w:r>
      <w:r w:rsidR="006F3B1A" w:rsidRPr="004E053C">
        <w:rPr>
          <w:rFonts w:cstheme="majorHAnsi"/>
          <w:sz w:val="22"/>
          <w:szCs w:val="22"/>
          <w:lang w:val="en-GB"/>
        </w:rPr>
        <w:t>An important aspect to note here is that ASM is an illicit livelihood. Therefore, u</w:t>
      </w:r>
      <w:r w:rsidRPr="004E053C">
        <w:rPr>
          <w:rFonts w:cstheme="majorHAnsi"/>
          <w:sz w:val="22"/>
          <w:szCs w:val="22"/>
          <w:lang w:val="en-GB"/>
        </w:rPr>
        <w:t>nlike struggles between miners, the contestations with the state primarily relate to definitions of</w:t>
      </w:r>
      <w:r w:rsidR="006F3B1A" w:rsidRPr="004E053C">
        <w:rPr>
          <w:rFonts w:cstheme="majorHAnsi"/>
          <w:sz w:val="22"/>
          <w:szCs w:val="22"/>
          <w:lang w:val="en-GB"/>
        </w:rPr>
        <w:t xml:space="preserve"> ilegality</w:t>
      </w:r>
      <w:r w:rsidRPr="004E053C">
        <w:rPr>
          <w:rFonts w:cstheme="majorHAnsi"/>
          <w:sz w:val="22"/>
          <w:szCs w:val="22"/>
          <w:lang w:val="en-GB"/>
        </w:rPr>
        <w:t xml:space="preserve">, as these may change depending on position of the actors in question and their perception of place. </w:t>
      </w:r>
    </w:p>
    <w:p w14:paraId="1B09932B" w14:textId="77777777" w:rsidR="00FE47C4" w:rsidRPr="004E053C" w:rsidRDefault="00FE47C4" w:rsidP="004E053C">
      <w:pPr>
        <w:spacing w:line="360" w:lineRule="auto"/>
        <w:jc w:val="both"/>
        <w:rPr>
          <w:rFonts w:cstheme="majorHAnsi"/>
          <w:sz w:val="22"/>
          <w:szCs w:val="22"/>
          <w:lang w:val="en-GB"/>
        </w:rPr>
      </w:pPr>
    </w:p>
    <w:p w14:paraId="595FA1C0" w14:textId="26D76FB5"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This section starts by disc</w:t>
      </w:r>
      <w:r w:rsidR="006F3B1A" w:rsidRPr="004E053C">
        <w:rPr>
          <w:rFonts w:cstheme="majorHAnsi"/>
          <w:sz w:val="22"/>
          <w:szCs w:val="22"/>
          <w:lang w:val="en-GB"/>
        </w:rPr>
        <w:t xml:space="preserve">ussing </w:t>
      </w:r>
      <w:r w:rsidRPr="004E053C">
        <w:rPr>
          <w:rFonts w:cstheme="majorHAnsi"/>
          <w:sz w:val="22"/>
          <w:szCs w:val="22"/>
          <w:lang w:val="en-GB"/>
        </w:rPr>
        <w:t xml:space="preserve">ASM livelihoods as constituting a social field and the power dynamics that are at play within the sector. </w:t>
      </w:r>
      <w:r w:rsidR="006F3B1A" w:rsidRPr="004E053C">
        <w:rPr>
          <w:rFonts w:cstheme="majorHAnsi"/>
          <w:sz w:val="22"/>
          <w:szCs w:val="22"/>
          <w:lang w:val="en-GB"/>
        </w:rPr>
        <w:t>Given the context of ASM as an illicit, informal and highly precarious livelihood, understanding the contestations within the social field require dra</w:t>
      </w:r>
      <w:r w:rsidR="004E7811" w:rsidRPr="004E053C">
        <w:rPr>
          <w:rFonts w:cstheme="majorHAnsi"/>
          <w:sz w:val="22"/>
          <w:szCs w:val="22"/>
          <w:lang w:val="en-GB"/>
        </w:rPr>
        <w:t>wing on other importance idea</w:t>
      </w:r>
      <w:r w:rsidR="006F3B1A" w:rsidRPr="004E053C">
        <w:rPr>
          <w:rFonts w:cstheme="majorHAnsi"/>
          <w:sz w:val="22"/>
          <w:szCs w:val="22"/>
          <w:lang w:val="en-GB"/>
        </w:rPr>
        <w:t xml:space="preserve">s from </w:t>
      </w:r>
      <w:r w:rsidR="004E7811" w:rsidRPr="004E053C">
        <w:rPr>
          <w:rFonts w:cstheme="majorHAnsi"/>
          <w:sz w:val="22"/>
          <w:szCs w:val="22"/>
          <w:lang w:val="en-GB"/>
        </w:rPr>
        <w:t>sociology. I first present the</w:t>
      </w:r>
      <w:r w:rsidRPr="004E053C">
        <w:rPr>
          <w:rFonts w:cstheme="majorHAnsi"/>
          <w:sz w:val="22"/>
          <w:szCs w:val="22"/>
          <w:lang w:val="en-GB"/>
        </w:rPr>
        <w:t xml:space="preserve"> concept of </w:t>
      </w:r>
      <w:r w:rsidR="00D3785B" w:rsidRPr="004E053C">
        <w:rPr>
          <w:rFonts w:cstheme="majorHAnsi"/>
          <w:sz w:val="22"/>
          <w:szCs w:val="22"/>
          <w:lang w:val="en-GB"/>
        </w:rPr>
        <w:t>labelling</w:t>
      </w:r>
      <w:r w:rsidR="004E7811" w:rsidRPr="004E053C">
        <w:rPr>
          <w:rFonts w:cstheme="majorHAnsi"/>
          <w:sz w:val="22"/>
          <w:szCs w:val="22"/>
          <w:lang w:val="en-GB"/>
        </w:rPr>
        <w:t xml:space="preserve">, which is used </w:t>
      </w:r>
      <w:r w:rsidRPr="004E053C">
        <w:rPr>
          <w:rFonts w:cstheme="majorHAnsi"/>
          <w:sz w:val="22"/>
          <w:szCs w:val="22"/>
          <w:lang w:val="en-GB"/>
        </w:rPr>
        <w:t xml:space="preserve">as way of thinking about how the state has criminalised miners in a bid to control activity within the field. I then go on </w:t>
      </w:r>
      <w:r w:rsidR="004E7811" w:rsidRPr="004E053C">
        <w:rPr>
          <w:rFonts w:cstheme="majorHAnsi"/>
          <w:sz w:val="22"/>
          <w:szCs w:val="22"/>
          <w:lang w:val="en-GB"/>
        </w:rPr>
        <w:t>to discuss the process of neutralisation, which is means through which</w:t>
      </w:r>
      <w:r w:rsidRPr="004E053C">
        <w:rPr>
          <w:rFonts w:cstheme="majorHAnsi"/>
          <w:sz w:val="22"/>
          <w:szCs w:val="22"/>
          <w:lang w:val="en-GB"/>
        </w:rPr>
        <w:t xml:space="preserve"> miners engage in</w:t>
      </w:r>
      <w:r w:rsidR="004E7811" w:rsidRPr="004E053C">
        <w:rPr>
          <w:rFonts w:cstheme="majorHAnsi"/>
          <w:sz w:val="22"/>
          <w:szCs w:val="22"/>
          <w:lang w:val="en-GB"/>
        </w:rPr>
        <w:t xml:space="preserve"> the discourses and narratives that surround ASM in Peru</w:t>
      </w:r>
      <w:r w:rsidRPr="004E053C">
        <w:rPr>
          <w:rFonts w:cstheme="majorHAnsi"/>
          <w:sz w:val="22"/>
          <w:szCs w:val="22"/>
          <w:lang w:val="en-GB"/>
        </w:rPr>
        <w:t>, along with other active forms of resistance that allow them to continue mi</w:t>
      </w:r>
      <w:r w:rsidR="004E7811" w:rsidRPr="004E053C">
        <w:rPr>
          <w:rFonts w:cstheme="majorHAnsi"/>
          <w:sz w:val="22"/>
          <w:szCs w:val="22"/>
          <w:lang w:val="en-GB"/>
        </w:rPr>
        <w:t xml:space="preserve">ning. Finally, I bring </w:t>
      </w:r>
      <w:r w:rsidRPr="004E053C">
        <w:rPr>
          <w:rFonts w:cstheme="majorHAnsi"/>
          <w:sz w:val="22"/>
          <w:szCs w:val="22"/>
          <w:lang w:val="en-GB"/>
        </w:rPr>
        <w:t xml:space="preserve">these concepts </w:t>
      </w:r>
      <w:r w:rsidR="004E7811" w:rsidRPr="004E053C">
        <w:rPr>
          <w:rFonts w:cstheme="majorHAnsi"/>
          <w:sz w:val="22"/>
          <w:szCs w:val="22"/>
          <w:lang w:val="en-GB"/>
        </w:rPr>
        <w:t xml:space="preserve">together with those </w:t>
      </w:r>
      <w:r w:rsidRPr="004E053C">
        <w:rPr>
          <w:rFonts w:cstheme="majorHAnsi"/>
          <w:sz w:val="22"/>
          <w:szCs w:val="22"/>
          <w:lang w:val="en-GB"/>
        </w:rPr>
        <w:t>of pla</w:t>
      </w:r>
      <w:r w:rsidR="004E7811" w:rsidRPr="004E053C">
        <w:rPr>
          <w:rFonts w:cstheme="majorHAnsi"/>
          <w:sz w:val="22"/>
          <w:szCs w:val="22"/>
          <w:lang w:val="en-GB"/>
        </w:rPr>
        <w:t>ce making and place identity to</w:t>
      </w:r>
      <w:r w:rsidRPr="004E053C">
        <w:rPr>
          <w:rFonts w:cstheme="majorHAnsi"/>
          <w:sz w:val="22"/>
          <w:szCs w:val="22"/>
          <w:lang w:val="en-GB"/>
        </w:rPr>
        <w:t xml:space="preserve"> illustrate how understanding shared collective identities is important for analysi</w:t>
      </w:r>
      <w:r w:rsidR="004E7811" w:rsidRPr="004E053C">
        <w:rPr>
          <w:rFonts w:cstheme="majorHAnsi"/>
          <w:sz w:val="22"/>
          <w:szCs w:val="22"/>
          <w:lang w:val="en-GB"/>
        </w:rPr>
        <w:t xml:space="preserve">ng the contestations within the the </w:t>
      </w:r>
      <w:r w:rsidRPr="004E053C">
        <w:rPr>
          <w:rFonts w:cstheme="majorHAnsi"/>
          <w:sz w:val="22"/>
          <w:szCs w:val="22"/>
          <w:lang w:val="en-GB"/>
        </w:rPr>
        <w:t xml:space="preserve">ASM sector. </w:t>
      </w:r>
    </w:p>
    <w:p w14:paraId="44CD2761" w14:textId="77777777" w:rsidR="00FE47C4" w:rsidRPr="004E053C" w:rsidRDefault="00FE47C4" w:rsidP="004E053C">
      <w:pPr>
        <w:spacing w:line="360" w:lineRule="auto"/>
        <w:jc w:val="both"/>
        <w:rPr>
          <w:rFonts w:cstheme="majorHAnsi"/>
          <w:sz w:val="22"/>
          <w:szCs w:val="22"/>
          <w:lang w:val="en-GB"/>
        </w:rPr>
      </w:pPr>
    </w:p>
    <w:p w14:paraId="18400AB1" w14:textId="1752D8E7" w:rsidR="00FE47C4" w:rsidRPr="004E053C" w:rsidRDefault="00EA7F83" w:rsidP="004E053C">
      <w:pPr>
        <w:pStyle w:val="Heading3"/>
        <w:rPr>
          <w:rFonts w:asciiTheme="minorHAnsi" w:hAnsiTheme="minorHAnsi"/>
        </w:rPr>
      </w:pPr>
      <w:r w:rsidRPr="004E053C">
        <w:rPr>
          <w:rFonts w:asciiTheme="minorHAnsi" w:hAnsiTheme="minorHAnsi"/>
        </w:rPr>
        <w:t>4</w:t>
      </w:r>
      <w:r w:rsidR="004A3EF1" w:rsidRPr="004E053C">
        <w:rPr>
          <w:rFonts w:asciiTheme="minorHAnsi" w:hAnsiTheme="minorHAnsi"/>
        </w:rPr>
        <w:t>.5.1. Illicit livelihoods on the f</w:t>
      </w:r>
      <w:r w:rsidR="00FE47C4" w:rsidRPr="004E053C">
        <w:rPr>
          <w:rFonts w:asciiTheme="minorHAnsi" w:hAnsiTheme="minorHAnsi"/>
        </w:rPr>
        <w:t>rontier</w:t>
      </w:r>
    </w:p>
    <w:p w14:paraId="4B611914" w14:textId="77777777" w:rsidR="00FE47C4" w:rsidRPr="004E053C" w:rsidRDefault="00FE47C4" w:rsidP="004E053C">
      <w:pPr>
        <w:spacing w:line="360" w:lineRule="auto"/>
        <w:jc w:val="both"/>
        <w:rPr>
          <w:rFonts w:cstheme="majorHAnsi"/>
          <w:lang w:val="en-GB"/>
        </w:rPr>
      </w:pPr>
    </w:p>
    <w:p w14:paraId="6BE6DFBF" w14:textId="07B181D9" w:rsidR="00FE47C4" w:rsidRPr="004E053C" w:rsidRDefault="00FD39B9" w:rsidP="004E053C">
      <w:pPr>
        <w:pStyle w:val="NoSpacing"/>
        <w:spacing w:line="360" w:lineRule="auto"/>
        <w:jc w:val="both"/>
        <w:rPr>
          <w:rFonts w:cstheme="majorHAnsi"/>
          <w:sz w:val="22"/>
          <w:szCs w:val="22"/>
          <w:lang w:val="en-GB"/>
        </w:rPr>
      </w:pPr>
      <w:r w:rsidRPr="004E053C">
        <w:rPr>
          <w:rFonts w:cstheme="majorHAnsi"/>
          <w:sz w:val="22"/>
          <w:szCs w:val="22"/>
          <w:lang w:val="en-GB"/>
        </w:rPr>
        <w:t>Conceptualising</w:t>
      </w:r>
      <w:r w:rsidR="00FE47C4" w:rsidRPr="004E053C">
        <w:rPr>
          <w:rFonts w:cstheme="majorHAnsi"/>
          <w:sz w:val="22"/>
          <w:szCs w:val="22"/>
          <w:lang w:val="en-GB"/>
        </w:rPr>
        <w:t xml:space="preserve"> the translocal</w:t>
      </w:r>
      <w:r w:rsidR="008B43B4" w:rsidRPr="004E053C">
        <w:rPr>
          <w:rFonts w:cstheme="majorHAnsi"/>
          <w:sz w:val="22"/>
          <w:szCs w:val="22"/>
          <w:lang w:val="en-GB"/>
        </w:rPr>
        <w:t xml:space="preserve"> </w:t>
      </w:r>
      <w:r w:rsidR="00FE47C4" w:rsidRPr="004E053C">
        <w:rPr>
          <w:rStyle w:val="CommentReference"/>
          <w:rFonts w:cstheme="majorHAnsi"/>
          <w:sz w:val="22"/>
          <w:szCs w:val="22"/>
          <w:lang w:val="en-GB"/>
        </w:rPr>
        <w:t xml:space="preserve">ASM community as a social field acknowledges that it is </w:t>
      </w:r>
      <w:r w:rsidR="00FE47C4" w:rsidRPr="004E053C">
        <w:rPr>
          <w:rFonts w:cstheme="majorHAnsi"/>
          <w:sz w:val="22"/>
          <w:szCs w:val="22"/>
          <w:lang w:val="en-GB"/>
        </w:rPr>
        <w:t xml:space="preserve">constituted by </w:t>
      </w:r>
      <w:r w:rsidR="00FE47C4" w:rsidRPr="004E053C">
        <w:rPr>
          <w:rFonts w:cstheme="majorHAnsi"/>
          <w:color w:val="333333"/>
          <w:sz w:val="22"/>
          <w:szCs w:val="22"/>
          <w:lang w:val="en-GB"/>
        </w:rPr>
        <w:t xml:space="preserve">power-laden relationships </w:t>
      </w:r>
      <w:r w:rsidR="008B43B4" w:rsidRPr="004E053C">
        <w:rPr>
          <w:rFonts w:cstheme="majorHAnsi"/>
          <w:color w:val="333333"/>
          <w:sz w:val="22"/>
          <w:szCs w:val="22"/>
          <w:lang w:val="en-GB"/>
        </w:rPr>
        <w:fldChar w:fldCharType="begin" w:fldLock="1"/>
      </w:r>
      <w:r w:rsidR="008B43B4" w:rsidRPr="004E053C">
        <w:rPr>
          <w:rFonts w:cstheme="majorHAnsi"/>
          <w:color w:val="333333"/>
          <w:sz w:val="22"/>
          <w:szCs w:val="22"/>
          <w:lang w:val="en-GB"/>
        </w:rPr>
        <w:instrText>ADDIN CSL_CITATION {"citationItems":[{"id":"ITEM-1","itemData":{"author":[{"dropping-particle":"","family":"Bourdieu","given":"Pierre","non-dropping-particle":"","parse-names":false,"suffix":""},{"dropping-particle":"","family":"Wacquant","given":"Loic","non-dropping-particle":"","parse-names":false,"suffix":""}],"id":"ITEM-1","issued":{"date-parts":[["1992"]]},"publisher":"University of Chicago Press","publisher-place":"Chicago","title":"An Invitation to Reflexive Sociology","type":"book"},"uris":["http://www.mendeley.com/documents/?uuid=c1429f32-90a2-3b41-90c4-9a470864a959"]}],"mendeley":{"formattedCitation":"(Bourdieu &amp; Wacquant, 1992)","plainTextFormattedCitation":"(Bourdieu &amp; Wacquant, 1992)","previouslyFormattedCitation":"(Bourdieu &amp; Wacquant, 1992)"},"properties":{"noteIndex":0},"schema":"https://github.com/citation-style-language/schema/raw/master/csl-citation.json"}</w:instrText>
      </w:r>
      <w:r w:rsidR="008B43B4" w:rsidRPr="004E053C">
        <w:rPr>
          <w:rFonts w:cstheme="majorHAnsi"/>
          <w:color w:val="333333"/>
          <w:sz w:val="22"/>
          <w:szCs w:val="22"/>
          <w:lang w:val="en-GB"/>
        </w:rPr>
        <w:fldChar w:fldCharType="separate"/>
      </w:r>
      <w:r w:rsidR="008B43B4" w:rsidRPr="004E053C">
        <w:rPr>
          <w:rFonts w:cstheme="majorHAnsi"/>
          <w:noProof/>
          <w:color w:val="333333"/>
          <w:sz w:val="22"/>
          <w:szCs w:val="22"/>
          <w:lang w:val="en-GB"/>
        </w:rPr>
        <w:t>(Bourdieu &amp; Wacquant, 1992)</w:t>
      </w:r>
      <w:r w:rsidR="008B43B4" w:rsidRPr="004E053C">
        <w:rPr>
          <w:rFonts w:cstheme="majorHAnsi"/>
          <w:color w:val="333333"/>
          <w:sz w:val="22"/>
          <w:szCs w:val="22"/>
          <w:lang w:val="en-GB"/>
        </w:rPr>
        <w:fldChar w:fldCharType="end"/>
      </w:r>
      <w:r w:rsidR="00FE47C4" w:rsidRPr="004E053C">
        <w:rPr>
          <w:rFonts w:cstheme="majorHAnsi"/>
          <w:color w:val="333333"/>
          <w:sz w:val="22"/>
          <w:szCs w:val="22"/>
          <w:lang w:val="en-GB"/>
        </w:rPr>
        <w:t xml:space="preserve">. </w:t>
      </w:r>
      <w:r w:rsidR="00FE47C4" w:rsidRPr="004E053C">
        <w:rPr>
          <w:rFonts w:cstheme="majorHAnsi"/>
          <w:sz w:val="22"/>
          <w:szCs w:val="22"/>
          <w:lang w:val="en-GB"/>
        </w:rPr>
        <w:t xml:space="preserve">The internal rules of social fields provide scope for the relatively marginalised to gain capital and bolster their position by going against mainstream norms </w:t>
      </w:r>
      <w:r w:rsidR="008B43B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{"citationItems":[{"id":"ITEM-1","itemData":{"abstract":"Most of Pierre Bourdieu’s work describes struggles over symbolic capital and hierarchies among the economic and cultural elite. However, his theories and concepts are not exclusive to studies of those with power. By using Bourdieu’s conceptualizations of social space, capital and habitus, the article discusses the hierarchies and struggles over symbolic capital at the bottom of societies. The analysis is grounded in interviews and fieldwork with ethnic minority youths on the streets of Oslo, Norway. Analysing the violence among the young men, the article argues that marginalized ethnic minorities and certain groups of refugees use particular strategies in order to accumulate symbolic capital. They have embodied experiences that can be transformed into forms of ‘street capital’ favourable in a violent street culture.","author":[{"dropping-particle":"","family":"Sandberg","given":"Sveinung","non-dropping-particle":"","parse-names":false,"suffix":""}],"container-title":"Theoretical Criminology","id":"ITEM-1","issue":"2","issued":{"date-parts":[["2008"]]},"page":"153-171","title":"Street capital: ethnicity and violence on the streets of Oslo","type":"article-journal","volume":"12"},"uris":["http://www.mendeley.com/documents/?uuid=adef821f-3946-4c33-bdec-ac47eca11b5b"]}],"mendeley":{"formattedCitation":"(Sandberg, 2008)","plainTextFormattedCitation":"(Sandberg, 2008)","previouslyFormattedCitation":"(Sandberg, 2008)"},"properties":{"noteIndex":0},"schema":"https://github.com/citation-style-language/schema/raw/master/csl-citation.json"}</w:instrText>
      </w:r>
      <w:r w:rsidR="008B43B4" w:rsidRPr="004E053C">
        <w:rPr>
          <w:rFonts w:cstheme="majorHAnsi"/>
          <w:sz w:val="22"/>
          <w:szCs w:val="22"/>
          <w:lang w:val="en-GB"/>
        </w:rPr>
        <w:fldChar w:fldCharType="separate"/>
      </w:r>
      <w:r w:rsidR="008B43B4" w:rsidRPr="004E053C">
        <w:rPr>
          <w:rFonts w:cstheme="majorHAnsi"/>
          <w:noProof/>
          <w:sz w:val="22"/>
          <w:szCs w:val="22"/>
          <w:lang w:val="en-GB"/>
        </w:rPr>
        <w:t>(Sandberg, 2008)</w:t>
      </w:r>
      <w:r w:rsidR="008B43B4" w:rsidRPr="004E053C">
        <w:rPr>
          <w:rFonts w:cstheme="majorHAnsi"/>
          <w:sz w:val="22"/>
          <w:szCs w:val="22"/>
          <w:lang w:val="en-GB"/>
        </w:rPr>
        <w:fldChar w:fldCharType="end"/>
      </w:r>
      <w:r w:rsidR="00FE47C4" w:rsidRPr="004E053C">
        <w:rPr>
          <w:rFonts w:cstheme="majorHAnsi"/>
          <w:sz w:val="22"/>
          <w:szCs w:val="22"/>
          <w:lang w:val="en-GB"/>
        </w:rPr>
        <w:t xml:space="preserve">, but the access to space, resources and power is highly contested </w:t>
      </w:r>
      <w:r w:rsidR="008B43B4"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{"citationItems":[{"id":"ITEM-1","itemData":{"abstract":"Twelve years after the discussions on development and institutions at the meeting of the Geographischer Arbeitskreis Entwicklungstheorien (GAE 2000) in Z?rich, this paper seeks to put institutions back on the research agenda in development geography. The authors explore recent trends in institutional theory and propose a dialectic understanding of \"doing institutions\" that positions social actors and their everyday practices at the center of institutional analysis. Institutions are the socially (re-)produced rules that enable, constrain and give meaning to the social practices of actors. Actors make institutions; at the same time institutions make actors do certain things. Based on this foundation, three central aspects of the institutional debate are elaborated: Institutional plurality, the legitimacy of institutions, and the role of the state. Two case studies from recent research in South Asia illustrate aspects of the conceptual considerations. The article ends with an outlook on the implications of \"doing institutions\" for future research in development geography.","author":[{"dropping-particle":"","family":"Etzold","given":"Benjamin","non-dropping-particle":"","parse-names":false,"suffix":""},{"dropping-particle":"","family":"Jülich","given":"Sebastian","non-dropping-particle":"","parse-names":false,"suffix":""},{"dropping-particle":"","family":"Keck","given":"Markus","non-dropping-particle":"","parse-names":false,"suffix":""},{"dropping-particle":"","family":"Sakdapolrak","given":"Patrick","non-dropping-particle":"","parse-names":false,"suffix":""},{"dropping-particle":"","family":"Schmitt","given":"Thomas","non-dropping-particle":"","parse-names":false,"suffix":""},{"dropping-particle":"","family":"Zimmer","given":"Anna","non-dropping-particle":"","parse-names":false,"suffix":""}],"container-title":"Erdkunde","id":"ITEM-1","issue":"3","issued":{"date-parts":[["2012"]]},"page":"185-195","title":"Doing institutions: a dialectic reading of institutions and social practices and its relevance for development geography","type":"article-journal","volume":"66"},"uris":["http://www.mendeley.com/documents/?uuid=940c35f7-3268-3f8b-9eb7-0fc3320c0a7e"]}],"mendeley":{"formattedCitation":"(Etzold et al., 2012)","plainTextFormattedCitation":"(Etzold et al., 2012)","previouslyFormattedCitation":"(Etzold et al., 2012)"},"properties":{"noteIndex":0},"schema":"https://github.com/citation-style-language/schema/raw/master/csl-citation.json"}</w:instrText>
      </w:r>
      <w:r w:rsidR="008B43B4" w:rsidRPr="004E053C">
        <w:rPr>
          <w:rFonts w:cstheme="majorHAnsi"/>
          <w:sz w:val="22"/>
          <w:szCs w:val="22"/>
          <w:lang w:val="en-GB"/>
        </w:rPr>
        <w:fldChar w:fldCharType="separate"/>
      </w:r>
      <w:r w:rsidR="008B43B4" w:rsidRPr="004E053C">
        <w:rPr>
          <w:rFonts w:cstheme="majorHAnsi"/>
          <w:noProof/>
          <w:sz w:val="22"/>
          <w:szCs w:val="22"/>
          <w:lang w:val="en-GB"/>
        </w:rPr>
        <w:t>(Etzold et al., 2012)</w:t>
      </w:r>
      <w:r w:rsidR="008B43B4" w:rsidRPr="004E053C">
        <w:rPr>
          <w:rFonts w:cstheme="majorHAnsi"/>
          <w:sz w:val="22"/>
          <w:szCs w:val="22"/>
          <w:lang w:val="en-GB"/>
        </w:rPr>
        <w:fldChar w:fldCharType="end"/>
      </w:r>
      <w:r w:rsidR="00FE47C4" w:rsidRPr="004E053C">
        <w:rPr>
          <w:rFonts w:cstheme="majorHAnsi"/>
          <w:sz w:val="22"/>
          <w:szCs w:val="22"/>
          <w:lang w:val="en-GB"/>
        </w:rPr>
        <w:t xml:space="preserve">. Relationships and norms are heavily influenced by powerful actors, policies and discourses </w:t>
      </w:r>
      <w:r w:rsidR="008B43B4"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{"citationItems":[{"id":"ITEM-1","itemData":{"abstract":"Twelve years after the discussions on development and institutions at the meeting of the Geographischer Arbeitskreis Entwicklungstheorien (GAE 2000) in Z?rich, this paper seeks to put institutions back on the research agenda in development geography. The authors explore recent trends in institutional theory and propose a dialectic understanding of \"doing institutions\" that positions social actors and their everyday practices at the center of institutional analysis. Institutions are the socially (re-)produced rules that enable, constrain and give meaning to the social practices of actors. Actors make institutions; at the same time institutions make actors do certain things. Based on this foundation, three central aspects of the institutional debate are elaborated: Institutional plurality, the legitimacy of institutions, and the role of the state. Two case studies from recent research in South Asia illustrate aspects of the conceptual considerations. The article ends with an outlook on the implications of \"doing institutions\" for future research in development geography.","author":[{"dropping-particle":"","family":"Etzold","given":"Benjamin","non-dropping-particle":"","parse-names":false,"suffix":""},{"dropping-particle":"","family":"Jülich","given":"Sebastian","non-dropping-particle":"","parse-names":false,"suffix":""},{"dropping-particle":"","family":"Keck","given":"Markus","non-dropping-particle":"","parse-names":false,"suffix":""},{"dropping-particle":"","family":"Sakdapolrak","given":"Patrick","non-dropping-particle":"","parse-names":false,"suffix":""},{"dropping-particle":"","family":"Schmitt","given":"Thomas","non-dropping-particle":"","parse-names":false,"suffix":""},{"dropping-particle":"","family":"Zimmer","given":"Anna","non-dropping-particle":"","parse-names":false,"suffix":""}],"container-title":"Erdkunde","id":"ITEM-1","issue":"3","issued":{"date-parts":[["2012"]]},"page":"185-195","title":"Doing institutions: a dialectic reading of institutions and social practices and its relevance for development geography","type":"article-journal","volume":"66"},"uris":["http://www.mendeley.com/documents/?uuid=940c35f7-3268-3f8b-9eb7-0fc3320c0a7e"]},{"id":"ITEM-2","itemData":{"author":[{"dropping-particle":"","family":"Sakdapolrak","given":"P","non-dropping-particle":"","parse-names":false,"suffix":""}],"container-title":"Geographica Helvetica","id":"ITEM-2","issued":{"date-parts":[["2014"]]},"page":"19-28","title":"Livelihoods as social practices: re-energising livelihoods research with Bordieu’s theory of practice","type":"article-journal","volume":"69"},"uris":["http://www.mendeley.com/documents/?uuid=5c558648-6b19-4867-92d5-24033fabb968"]},{"id":"ITEM-3","itemData":{"author":[{"dropping-particle":"","family":"Hilgers","given":"Mathieu","non-dropping-particle":"","parse-names":false,"suffix":""},{"dropping-particle":"","family":"Manguez","given":"Eric","non-dropping-particle":"","parse-names":false,"suffix":""}],"container-title":"Bourdieu's Theory of Social Fields: Concepts and Applications","editor":[{"dropping-particle":"","family":"Hilgers","given":"Mathieu","non-dropping-particle":"","parse-names":false,"suffix":""},{"dropping-particle":"","family":"Manguez","given":"Eric","non-dropping-particle":"","parse-names":false,"suffix":""}],"id":"ITEM-3","issued":{"date-parts":[["2015"]]},"page":"1-36","publisher":"Routledge","publisher-place":"Abingdon, UK","title":"Introduction to Pierre Bourdieu's theory of social fields","type":"chapter"},"uris":["http://www.mendeley.com/documents/?uuid=1990c678-91be-3578-9a7f-9af4596a0fe7"]}],"mendeley":{"formattedCitation":"(Etzold et al., 2012; Hilgers &amp; Manguez, 2015; P Sakdapolrak, 2014)","manualFormatting":"(Etzold et al., 2012; Hilgers &amp; Manguez, 2015; Sakdapolrak, 2014)","plainTextFormattedCitation":"(Etzold et al., 2012; Hilgers &amp; Manguez, 2015; P Sakdapolrak, 2014)","previouslyFormattedCitation":"(Etzold et al., 2012; Hilgers &amp; Manguez, 2015; P Sakdapolrak, 2014)"},"properties":{"noteIndex":0},"schema":"https://github.com/citation-style-language/schema/raw/master/csl-citation.json"}</w:instrText>
      </w:r>
      <w:r w:rsidR="008B43B4" w:rsidRPr="004E053C">
        <w:rPr>
          <w:rFonts w:cstheme="majorHAnsi"/>
          <w:sz w:val="22"/>
          <w:szCs w:val="22"/>
          <w:lang w:val="en-GB"/>
        </w:rPr>
        <w:fldChar w:fldCharType="separate"/>
      </w:r>
      <w:r w:rsidR="008B43B4" w:rsidRPr="004E053C">
        <w:rPr>
          <w:rFonts w:cstheme="majorHAnsi"/>
          <w:noProof/>
          <w:sz w:val="22"/>
          <w:szCs w:val="22"/>
          <w:lang w:val="en-GB"/>
        </w:rPr>
        <w:t>(Etzold et al., 2012; Hilgers &amp; Manguez, 2015; Sakdapolrak, 2014)</w:t>
      </w:r>
      <w:r w:rsidR="008B43B4" w:rsidRPr="004E053C">
        <w:rPr>
          <w:rFonts w:cstheme="majorHAnsi"/>
          <w:sz w:val="22"/>
          <w:szCs w:val="22"/>
          <w:lang w:val="en-GB"/>
        </w:rPr>
        <w:fldChar w:fldCharType="end"/>
      </w:r>
      <w:r w:rsidR="00FE47C4" w:rsidRPr="004E053C">
        <w:rPr>
          <w:rFonts w:cstheme="majorHAnsi"/>
          <w:sz w:val="22"/>
          <w:szCs w:val="22"/>
          <w:lang w:val="en-GB"/>
        </w:rPr>
        <w:t xml:space="preserve">, but this elite dominance can generate resistance </w:t>
      </w:r>
      <w:r w:rsidR="008B43B4" w:rsidRPr="004E053C">
        <w:rPr>
          <w:rFonts w:cstheme="majorHAnsi"/>
          <w:sz w:val="22"/>
          <w:szCs w:val="22"/>
          <w:lang w:val="en-GB"/>
        </w:rPr>
        <w:fldChar w:fldCharType="begin" w:fldLock="1"/>
      </w:r>
      <w:r w:rsidR="008B43B4" w:rsidRPr="004E053C">
        <w:rPr>
          <w:rFonts w:cstheme="majorHAnsi"/>
          <w:sz w:val="22"/>
          <w:szCs w:val="22"/>
          <w:lang w:val="en-GB"/>
        </w:rPr>
        <w:instrText>ADDIN CSL_CITATION {"citationItems":[{"id":"ITEM-1","itemData":{"author":[{"dropping-particle":"","family":"Bourdieu","given":"Pierre","non-dropping-particle":"","parse-names":false,"suffix":""},{"dropping-particle":"","family":"Wacquant","given":"Loic","non-dropping-particle":"","parse-names":false,"suffix":""}],"id":"ITEM-1","issued":{"date-parts":[["1992"]]},"publisher":"University of Chicago Press","publisher-place":"Chicago","title":"An Invitation to Reflexive Sociology","type":"book"},"uris":["http://www.mendeley.com/documents/?uuid=c1429f32-90a2-3b41-90c4-9a470864a959"]}],"mendeley":{"formattedCitation":"(Bourdieu &amp; Wacquant, 1992)","plainTextFormattedCitation":"(Bourdieu &amp; Wacquant, 1992)","previouslyFormattedCitation":"(Bourdieu &amp; Wacquant, 1992)"},"properties":{"noteIndex":0},"schema":"https://github.com/citation-style-language/schema/raw/master/csl-citation.json"}</w:instrText>
      </w:r>
      <w:r w:rsidR="008B43B4" w:rsidRPr="004E053C">
        <w:rPr>
          <w:rFonts w:cstheme="majorHAnsi"/>
          <w:sz w:val="22"/>
          <w:szCs w:val="22"/>
          <w:lang w:val="en-GB"/>
        </w:rPr>
        <w:fldChar w:fldCharType="separate"/>
      </w:r>
      <w:r w:rsidR="008B43B4" w:rsidRPr="004E053C">
        <w:rPr>
          <w:rFonts w:cstheme="majorHAnsi"/>
          <w:noProof/>
          <w:sz w:val="22"/>
          <w:szCs w:val="22"/>
          <w:lang w:val="en-GB"/>
        </w:rPr>
        <w:t>(Bourdieu &amp; Wacquant, 1992)</w:t>
      </w:r>
      <w:r w:rsidR="008B43B4" w:rsidRPr="004E053C">
        <w:rPr>
          <w:rFonts w:cstheme="majorHAnsi"/>
          <w:sz w:val="22"/>
          <w:szCs w:val="22"/>
          <w:lang w:val="en-GB"/>
        </w:rPr>
        <w:fldChar w:fldCharType="end"/>
      </w:r>
      <w:r w:rsidR="00FE47C4" w:rsidRPr="004E053C">
        <w:rPr>
          <w:rFonts w:cstheme="majorHAnsi"/>
          <w:sz w:val="22"/>
          <w:szCs w:val="22"/>
          <w:lang w:val="en-GB"/>
        </w:rPr>
        <w:t xml:space="preserve">. As a result, the rules of the field are reinterpreted constantly, as each actor reassesses the changing situation with regard to their own personal capital and habitus </w:t>
      </w:r>
      <w:r w:rsidR="008B43B4"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{"citationItems":[{"id":"ITEM-1","itemData":{"abstract":"Twelve years after the discussions on development and institutions at the meeting of the Geographischer Arbeitskreis Entwicklungstheorien (GAE 2000) in Z?rich, this paper seeks to put institutions back on the research agenda in development geography. The authors explore recent trends in institutional theory and propose a dialectic understanding of \"doing institutions\" that positions social actors and their everyday practices at the center of institutional analysis. Institutions are the socially (re-)produced rules that enable, constrain and give meaning to the social practices of actors. Actors make institutions; at the same time institutions make actors do certain things. Based on this foundation, three central aspects of the institutional debate are elaborated: Institutional plurality, the legitimacy of institutions, and the role of the state. Two case studies from recent research in South Asia illustrate aspects of the conceptual considerations. The article ends with an outlook on the implications of \"doing institutions\" for future research in development geography.","author":[{"dropping-particle":"","family":"Etzold","given":"Benjamin","non-dropping-particle":"","parse-names":false,"suffix":""},{"dropping-particle":"","family":"Jülich","given":"Sebastian","non-dropping-particle":"","parse-names":false,"suffix":""},{"dropping-particle":"","family":"Keck","given":"Markus","non-dropping-particle":"","parse-names":false,"suffix":""},{"dropping-particle":"","family":"Sakdapolrak","given":"Patrick","non-dropping-particle":"","parse-names":false,"suffix":""},{"dropping-particle":"","family":"Schmitt","given":"Thomas","non-dropping-particle":"","parse-names":false,"suffix":""},{"dropping-particle":"","family":"Zimmer","given":"Anna","non-dropping-particle":"","parse-names":false,"suffix":""}],"container-title":"Erdkunde","id":"ITEM-1","issue":"3","issued":{"date-parts":[["2012"]]},"page":"185-195","title":"Doing institutions: a dialectic reading of institutions and social practices and its relevance for development geography","type":"article-journal","volume":"66"},"uris":["http://www.mendeley.com/documents/?uuid=940c35f7-3268-3f8b-9eb7-0fc3320c0a7e"]}],"mendeley":{"formattedCitation":"(Etzold et al., 2012)","plainTextFormattedCitation":"(Etzold et al., 2012)","previouslyFormattedCitation":"(Etzold et al., 2012)"},"properties":{"noteIndex":0},"schema":"https://github.com/citation-style-language/schema/raw/master/csl-citation.json"}</w:instrText>
      </w:r>
      <w:r w:rsidR="008B43B4" w:rsidRPr="004E053C">
        <w:rPr>
          <w:rFonts w:cstheme="majorHAnsi"/>
          <w:sz w:val="22"/>
          <w:szCs w:val="22"/>
          <w:lang w:val="en-GB"/>
        </w:rPr>
        <w:fldChar w:fldCharType="separate"/>
      </w:r>
      <w:r w:rsidR="008B43B4" w:rsidRPr="004E053C">
        <w:rPr>
          <w:rFonts w:cstheme="majorHAnsi"/>
          <w:noProof/>
          <w:sz w:val="22"/>
          <w:szCs w:val="22"/>
          <w:lang w:val="en-GB"/>
        </w:rPr>
        <w:t>(Etzold et al., 2012)</w:t>
      </w:r>
      <w:r w:rsidR="008B43B4" w:rsidRPr="004E053C">
        <w:rPr>
          <w:rFonts w:cstheme="majorHAnsi"/>
          <w:sz w:val="22"/>
          <w:szCs w:val="22"/>
          <w:lang w:val="en-GB"/>
        </w:rPr>
        <w:fldChar w:fldCharType="end"/>
      </w:r>
      <w:r w:rsidR="00FE47C4" w:rsidRPr="004E053C">
        <w:rPr>
          <w:rFonts w:cstheme="majorHAnsi"/>
          <w:sz w:val="22"/>
          <w:szCs w:val="22"/>
          <w:lang w:val="en-GB"/>
        </w:rPr>
        <w:t xml:space="preserve">. Livelihood practices may therefore deviate from the norms of the social field, as actors struggle to adapt to changes within the field or anticipate them ahead of time </w:t>
      </w:r>
      <w:r w:rsidR="008B43B4" w:rsidRPr="004E053C">
        <w:rPr>
          <w:rFonts w:cstheme="majorHAnsi"/>
          <w:sz w:val="22"/>
          <w:szCs w:val="22"/>
          <w:lang w:val="en-GB"/>
        </w:rPr>
        <w:fldChar w:fldCharType="begin" w:fldLock="1"/>
      </w:r>
      <w:r w:rsidR="00456B3F" w:rsidRPr="004E053C">
        <w:rPr>
          <w:rFonts w:cstheme="majorHAnsi"/>
          <w:sz w:val="22"/>
          <w:szCs w:val="22"/>
          <w:lang w:val="en-GB"/>
        </w:rPr>
        <w:instrText>ADDIN CSL_CITATION {"citationItems":[{"id":"ITEM-1","itemData":{"author":[{"dropping-particle":"","family":"Bourdieu","given":"Pierre","non-dropping-particle":"","parse-names":false,"suffix":""}],"id":"ITEM-1","issued":{"date-parts":[["1990"]]},"publisher":"Stanford University Press","publisher-place":"Stanford, CA","title":"The Logic of Practice","type":"book"},"uris":["http://www.mendeley.com/documents/?uuid=3ef07790-15a1-4eb3-8d1a-2132f359d8ca"]},{"id":"ITEM-2","itemData":{"author":[{"dropping-particle":"","family":"Hilgers","given":"Mathieu","non-dropping-particle":"","parse-names":false,"suffix":""},{"dropping-particle":"","family":"Manguez","given":"Eric","non-dropping-particle":"","parse-names":false,"suffix":""}],"container-title":"Bourdieu's Theory of Social Fields: Concepts and Applications","editor":[{"dropping-particle":"","family":"Hilgers","given":"Mathieu","non-dropping-particle":"","parse-names":false,"suffix":""},{"dropping-particle":"","family":"Manguez","given":"Eric","non-dropping-particle":"","parse-names":false,"suffix":""}],"id":"ITEM-2","issued":{"date-parts":[["2015"]]},"page":"1-36","publisher":"Routledge","publisher-place":"Abingdon, UK","title":"Introduction to Pierre Bourdieu's theory of social fields","type":"chapter"},"uris":["http://www.mendeley.com/documents/?uuid=1990c678-91be-3578-9a7f-9af4596a0fe7"]}],"mendeley":{"formattedCitation":"(Bourdieu, 1990; Hilgers &amp; Manguez, 2015)","plainTextFormattedCitation":"(Bourdieu, 1990; Hilgers &amp; Manguez, 2015)","previouslyFormattedCitation":"(Bourdieu, 1990; Hilgers &amp; Manguez, 2015)"},"properties":{"noteIndex":0},"schema":"https://github.com/citation-style-language/schema/raw/master/csl-citation.json"}</w:instrText>
      </w:r>
      <w:r w:rsidR="008B43B4" w:rsidRPr="004E053C">
        <w:rPr>
          <w:rFonts w:cstheme="majorHAnsi"/>
          <w:sz w:val="22"/>
          <w:szCs w:val="22"/>
          <w:lang w:val="en-GB"/>
        </w:rPr>
        <w:fldChar w:fldCharType="separate"/>
      </w:r>
      <w:r w:rsidR="008B43B4" w:rsidRPr="004E053C">
        <w:rPr>
          <w:rFonts w:cstheme="majorHAnsi"/>
          <w:noProof/>
          <w:sz w:val="22"/>
          <w:szCs w:val="22"/>
          <w:lang w:val="en-GB"/>
        </w:rPr>
        <w:t>(Bourdieu, 1990; Hilgers &amp; Manguez, 2015)</w:t>
      </w:r>
      <w:r w:rsidR="008B43B4" w:rsidRPr="004E053C">
        <w:rPr>
          <w:rFonts w:cstheme="majorHAnsi"/>
          <w:sz w:val="22"/>
          <w:szCs w:val="22"/>
          <w:lang w:val="en-GB"/>
        </w:rPr>
        <w:fldChar w:fldCharType="end"/>
      </w:r>
      <w:r w:rsidR="00FE47C4" w:rsidRPr="004E053C">
        <w:rPr>
          <w:rFonts w:cstheme="majorHAnsi"/>
          <w:sz w:val="22"/>
          <w:szCs w:val="22"/>
          <w:lang w:val="en-GB"/>
        </w:rPr>
        <w:t xml:space="preserve">. In particular, newcomers have an incentive to implement strategies that subvert the current order rather than recognising the legitimacy of an order that is unfavourable to them </w:t>
      </w:r>
      <w:r w:rsidR="00456B3F" w:rsidRPr="004E053C">
        <w:rPr>
          <w:rFonts w:cstheme="majorHAnsi"/>
          <w:sz w:val="22"/>
          <w:szCs w:val="22"/>
          <w:lang w:val="en-GB"/>
        </w:rPr>
        <w:fldChar w:fldCharType="begin" w:fldLock="1"/>
      </w:r>
      <w:r w:rsidR="00213BCE" w:rsidRPr="004E053C">
        <w:rPr>
          <w:rFonts w:cstheme="majorHAnsi"/>
          <w:sz w:val="22"/>
          <w:szCs w:val="22"/>
          <w:lang w:val="en-GB"/>
        </w:rPr>
        <w:instrText>ADDIN CSL_CITATION {"citationItems":[{"id":"ITEM-1","itemData":{"author":[{"dropping-particle":"","family":"Hilgers","given":"Mathieu","non-dropping-particle":"","parse-names":false,"suffix":""},{"dropping-particle":"","family":"Manguez","given":"Eric","non-dropping-particle":"","parse-names":false,"suffix":""}],"container-title":"Bourdieu's Theory of Social Fields: Concepts and Applications","editor":[{"dropping-particle":"","family":"Hilgers","given":"Mathieu","non-dropping-particle":"","parse-names":false,"suffix":""},{"dropping-particle":"","family":"Manguez","given":"Eric","non-dropping-particle":"","parse-names":false,"suffix":""}],"id":"ITEM-1","issued":{"date-parts":[["2015"]]},"page":"1-36","publisher":"Routledge","publisher-place":"Abingdon, UK","title":"Introduction to Pierre Bourdieu's theory of social fields","type":"chapter"},"uris":["http://www.mendeley.com/documents/?uuid=1990c678-91be-3578-9a7f-9af4596a0fe7"]}],"mendeley":{"formattedCitation":"(Hilgers &amp; Manguez, 2015)","plainTextFormattedCitation":"(Hilgers &amp; Manguez, 2015)","previouslyFormattedCitation":"(Hilgers &amp; Manguez, 2015)"},"properties":{"noteIndex":0},"schema":"https://github.com/citation-style-language/schema/raw/master/csl-citation.json"}</w:instrText>
      </w:r>
      <w:r w:rsidR="00456B3F" w:rsidRPr="004E053C">
        <w:rPr>
          <w:rFonts w:cstheme="majorHAnsi"/>
          <w:sz w:val="22"/>
          <w:szCs w:val="22"/>
          <w:lang w:val="en-GB"/>
        </w:rPr>
        <w:fldChar w:fldCharType="separate"/>
      </w:r>
      <w:r w:rsidR="00456B3F" w:rsidRPr="004E053C">
        <w:rPr>
          <w:rFonts w:cstheme="majorHAnsi"/>
          <w:noProof/>
          <w:sz w:val="22"/>
          <w:szCs w:val="22"/>
          <w:lang w:val="en-GB"/>
        </w:rPr>
        <w:t>(Hilgers &amp; Manguez, 2015)</w:t>
      </w:r>
      <w:r w:rsidR="00456B3F" w:rsidRPr="004E053C">
        <w:rPr>
          <w:rFonts w:cstheme="majorHAnsi"/>
          <w:sz w:val="22"/>
          <w:szCs w:val="22"/>
          <w:lang w:val="en-GB"/>
        </w:rPr>
        <w:fldChar w:fldCharType="end"/>
      </w:r>
      <w:r w:rsidR="00FE47C4" w:rsidRPr="004E053C">
        <w:rPr>
          <w:rFonts w:cstheme="majorHAnsi"/>
          <w:sz w:val="22"/>
          <w:szCs w:val="22"/>
          <w:lang w:val="en-GB"/>
        </w:rPr>
        <w:t xml:space="preserve">. For example, ASM operatives without concessions may choose to move further into illegality, even if this is against the </w:t>
      </w:r>
      <w:r w:rsidR="00FE47C4" w:rsidRPr="004E053C">
        <w:rPr>
          <w:rFonts w:cstheme="majorHAnsi"/>
          <w:sz w:val="22"/>
          <w:szCs w:val="22"/>
          <w:lang w:val="en-GB"/>
        </w:rPr>
        <w:lastRenderedPageBreak/>
        <w:t xml:space="preserve">accepted norms of the field. The result is a divergence in practices within the field, which highlights how Bourdieu’s theory effectively accounts for changes in social practice over time </w:t>
      </w:r>
      <w:r w:rsidR="00213BCE" w:rsidRPr="004E053C">
        <w:rPr>
          <w:rFonts w:cstheme="majorHAnsi"/>
          <w:sz w:val="22"/>
          <w:szCs w:val="22"/>
          <w:lang w:val="en-GB"/>
        </w:rPr>
        <w:fldChar w:fldCharType="begin" w:fldLock="1"/>
      </w:r>
      <w:r w:rsidR="00071C60" w:rsidRPr="004E053C">
        <w:rPr>
          <w:rFonts w:cstheme="majorHAnsi"/>
          <w:sz w:val="22"/>
          <w:szCs w:val="22"/>
          <w:lang w:val="en-GB"/>
        </w:rPr>
        <w:instrText>ADDIN CSL_CITATION {"citationItems":[{"id":"ITEM-1","itemData":{"author":[{"dropping-particle":"","family":"Hilgers","given":"Mathieu","non-dropping-particle":"","parse-names":false,"suffix":""},{"dropping-particle":"","family":"Manguez","given":"Eric","non-dropping-particle":"","parse-names":false,"suffix":""}],"container-title":"Bourdieu's Theory of Social Fields: Concepts and Applications","editor":[{"dropping-particle":"","family":"Hilgers","given":"Mathieu","non-dropping-particle":"","parse-names":false,"suffix":""},{"dropping-particle":"","family":"Manguez","given":"Eric","non-dropping-particle":"","parse-names":false,"suffix":""}],"id":"ITEM-1","issued":{"date-parts":[["2015"]]},"page":"1-36","publisher":"Routledge","publisher-place":"Abingdon, UK","title":"Introduction to Pierre Bourdieu's theory of social fields","type":"chapter"},"uris":["http://www.mendeley.com/documents/?uuid=1990c678-91be-3578-9a7f-9af4596a0fe7"]}],"mendeley":{"formattedCitation":"(Hilgers &amp; Manguez, 2015)","manualFormatting":"(Ibid.)","plainTextFormattedCitation":"(Hilgers &amp; Manguez, 2015)","previouslyFormattedCitation":"(Hilgers &amp; Manguez, 2015)"},"properties":{"noteIndex":0},"schema":"https://github.com/citation-style-language/schema/raw/master/csl-citation.json"}</w:instrText>
      </w:r>
      <w:r w:rsidR="00213BCE" w:rsidRPr="004E053C">
        <w:rPr>
          <w:rFonts w:cstheme="majorHAnsi"/>
          <w:sz w:val="22"/>
          <w:szCs w:val="22"/>
          <w:lang w:val="en-GB"/>
        </w:rPr>
        <w:fldChar w:fldCharType="separate"/>
      </w:r>
      <w:r w:rsidR="00213BCE" w:rsidRPr="004E053C">
        <w:rPr>
          <w:rFonts w:cstheme="majorHAnsi"/>
          <w:noProof/>
          <w:sz w:val="22"/>
          <w:szCs w:val="22"/>
          <w:lang w:val="en-GB"/>
        </w:rPr>
        <w:t>(Ibid</w:t>
      </w:r>
      <w:r w:rsidR="00EC4FAE" w:rsidRPr="004E053C">
        <w:rPr>
          <w:rFonts w:cstheme="majorHAnsi"/>
          <w:noProof/>
          <w:sz w:val="22"/>
          <w:szCs w:val="22"/>
          <w:lang w:val="en-GB"/>
        </w:rPr>
        <w:t>.</w:t>
      </w:r>
      <w:r w:rsidR="00213BCE" w:rsidRPr="004E053C">
        <w:rPr>
          <w:rFonts w:cstheme="majorHAnsi"/>
          <w:noProof/>
          <w:sz w:val="22"/>
          <w:szCs w:val="22"/>
          <w:lang w:val="en-GB"/>
        </w:rPr>
        <w:t>)</w:t>
      </w:r>
      <w:r w:rsidR="00213BCE" w:rsidRPr="004E053C">
        <w:rPr>
          <w:rFonts w:cstheme="majorHAnsi"/>
          <w:sz w:val="22"/>
          <w:szCs w:val="22"/>
          <w:lang w:val="en-GB"/>
        </w:rPr>
        <w:fldChar w:fldCharType="end"/>
      </w:r>
      <w:r w:rsidR="00213BCE" w:rsidRPr="004E053C">
        <w:rPr>
          <w:rFonts w:cstheme="majorHAnsi"/>
          <w:sz w:val="22"/>
          <w:szCs w:val="22"/>
          <w:lang w:val="en-GB"/>
        </w:rPr>
        <w:t xml:space="preserve">. </w:t>
      </w:r>
      <w:r w:rsidR="00FE47C4" w:rsidRPr="004E053C">
        <w:rPr>
          <w:rFonts w:cstheme="majorHAnsi"/>
          <w:sz w:val="22"/>
          <w:szCs w:val="22"/>
          <w:lang w:val="en-GB"/>
        </w:rPr>
        <w:t xml:space="preserve"> </w:t>
      </w:r>
    </w:p>
    <w:p w14:paraId="3297BE23" w14:textId="77777777" w:rsidR="00ED3EA5" w:rsidRPr="004E053C" w:rsidRDefault="00ED3EA5" w:rsidP="004E053C">
      <w:pPr>
        <w:pStyle w:val="NoSpacing"/>
        <w:spacing w:line="360" w:lineRule="auto"/>
        <w:jc w:val="both"/>
        <w:rPr>
          <w:rFonts w:cstheme="majorHAnsi"/>
          <w:sz w:val="22"/>
          <w:szCs w:val="22"/>
          <w:lang w:val="en-GB"/>
        </w:rPr>
      </w:pPr>
    </w:p>
    <w:p w14:paraId="13228C1D" w14:textId="056F3EC2"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eastAsia="zh-CN"/>
        </w:rPr>
        <w:t xml:space="preserve">ASM </w:t>
      </w:r>
      <w:r w:rsidR="00071C60" w:rsidRPr="004E053C">
        <w:rPr>
          <w:rFonts w:cstheme="majorHAnsi"/>
          <w:sz w:val="22"/>
          <w:szCs w:val="22"/>
          <w:lang w:val="en-GB" w:eastAsia="zh-CN"/>
        </w:rPr>
        <w:t xml:space="preserve">often </w:t>
      </w:r>
      <w:r w:rsidRPr="004E053C">
        <w:rPr>
          <w:rFonts w:cstheme="majorHAnsi"/>
          <w:sz w:val="22"/>
          <w:szCs w:val="22"/>
          <w:lang w:val="en-GB" w:eastAsia="zh-CN"/>
        </w:rPr>
        <w:t>occurs at the margins of legitimacy, away from state control</w:t>
      </w:r>
      <w:r w:rsidR="00071C60" w:rsidRPr="004E053C">
        <w:rPr>
          <w:rFonts w:cstheme="majorHAnsi"/>
          <w:sz w:val="22"/>
          <w:szCs w:val="22"/>
          <w:lang w:val="en-GB" w:eastAsia="zh-CN"/>
        </w:rPr>
        <w:t xml:space="preserve"> </w:t>
      </w:r>
      <w:r w:rsidR="00071C60"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Amazon","type":"article-journal","volume":"48"},"uris":["http://www.mendeley.com/documents/?uuid=fc7d8531-86b5-35b7-a817-8d0034336ad3"]},{"id":"ITEM-2","itemData":{"abstract":"This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Change","id":"ITEM-2","issue":"4","issued":{"date-parts":[["2007"]]},"page":"735-760","title":"Occupying the Margins: Labour Integration and Social Exclusion in Artisanal Mining in Tanzania","type":"article-journal","volume":"38"},"uris":["http://www.mendeley.com/documents/?uuid=ff3b0073-6334-3642-aaf4-12090b595d93"]}],"mendeley":{"formattedCitation":"(Damonte, 2016; Fisher, 2007)","manualFormatting":"(Damonte, 2016; Fisher, 2007)","plainTextFormattedCitation":"(Damonte, 2016; Fisher, 2007)","previouslyFormattedCitation":"(Damonte, 2016; Fisher, 2007)"},"properties":{"noteIndex":0},"schema":"https://github.com/citation-style-language/schema/raw/master/csl-citation.json"}</w:instrText>
      </w:r>
      <w:r w:rsidR="00071C60" w:rsidRPr="004E053C">
        <w:rPr>
          <w:rFonts w:cstheme="majorHAnsi"/>
          <w:sz w:val="22"/>
          <w:szCs w:val="22"/>
          <w:lang w:val="en-GB" w:eastAsia="zh-CN"/>
        </w:rPr>
        <w:fldChar w:fldCharType="separate"/>
      </w:r>
      <w:r w:rsidR="00071C60" w:rsidRPr="004E053C">
        <w:rPr>
          <w:rFonts w:cstheme="majorHAnsi"/>
          <w:noProof/>
          <w:sz w:val="22"/>
          <w:szCs w:val="22"/>
          <w:lang w:val="en-GB" w:eastAsia="zh-CN"/>
        </w:rPr>
        <w:t>(Damonte, 2016; Fisher, 2007)</w:t>
      </w:r>
      <w:r w:rsidR="00071C60" w:rsidRPr="004E053C">
        <w:rPr>
          <w:rFonts w:cstheme="majorHAnsi"/>
          <w:sz w:val="22"/>
          <w:szCs w:val="22"/>
          <w:lang w:val="en-GB" w:eastAsia="zh-CN"/>
        </w:rPr>
        <w:fldChar w:fldCharType="end"/>
      </w:r>
      <w:r w:rsidR="00071C60" w:rsidRPr="004E053C">
        <w:rPr>
          <w:rFonts w:cstheme="majorHAnsi"/>
          <w:sz w:val="22"/>
          <w:szCs w:val="22"/>
          <w:lang w:val="en-GB" w:eastAsia="zh-CN"/>
        </w:rPr>
        <w:t xml:space="preserve">. </w:t>
      </w:r>
      <w:r w:rsidRPr="004E053C">
        <w:rPr>
          <w:rFonts w:cstheme="majorHAnsi"/>
          <w:sz w:val="22"/>
          <w:szCs w:val="22"/>
          <w:lang w:val="en-GB" w:eastAsia="zh-CN"/>
        </w:rPr>
        <w:t xml:space="preserve">However, while this implies the imposition of </w:t>
      </w:r>
      <w:r w:rsidRPr="004E053C">
        <w:rPr>
          <w:rFonts w:cstheme="majorHAnsi"/>
          <w:sz w:val="22"/>
          <w:szCs w:val="22"/>
          <w:lang w:val="en-GB"/>
        </w:rPr>
        <w:t xml:space="preserve">internal norms and sanctions, social fields can never be completely autonomous. Bourdieu suggested the existence of a ‘field of power’, referring to </w:t>
      </w:r>
      <w:r w:rsidRPr="004E053C">
        <w:rPr>
          <w:rFonts w:cstheme="majorHAnsi"/>
          <w:sz w:val="22"/>
          <w:szCs w:val="22"/>
          <w:lang w:val="en-GB" w:eastAsia="zh-CN"/>
        </w:rPr>
        <w:t xml:space="preserve">the agents and institutions that were dominant within their </w:t>
      </w:r>
      <w:r w:rsidR="00D3785B" w:rsidRPr="004E053C">
        <w:rPr>
          <w:rFonts w:cstheme="majorHAnsi"/>
          <w:sz w:val="22"/>
          <w:szCs w:val="22"/>
          <w:lang w:val="en-GB" w:eastAsia="zh-CN"/>
        </w:rPr>
        <w:t>individual</w:t>
      </w:r>
      <w:r w:rsidRPr="004E053C">
        <w:rPr>
          <w:rFonts w:cstheme="majorHAnsi"/>
          <w:sz w:val="22"/>
          <w:szCs w:val="22"/>
          <w:lang w:val="en-GB" w:eastAsia="zh-CN"/>
        </w:rPr>
        <w:t xml:space="preserve"> social fields </w:t>
      </w:r>
      <w:r w:rsidR="00213BCE" w:rsidRPr="004E053C">
        <w:rPr>
          <w:rFonts w:cstheme="majorHAnsi"/>
          <w:sz w:val="22"/>
          <w:szCs w:val="22"/>
          <w:lang w:val="en-GB" w:eastAsia="zh-CN"/>
        </w:rPr>
        <w:fldChar w:fldCharType="begin" w:fldLock="1"/>
      </w:r>
      <w:r w:rsidR="00213BCE" w:rsidRPr="004E053C">
        <w:rPr>
          <w:rFonts w:cstheme="majorHAnsi"/>
          <w:sz w:val="22"/>
          <w:szCs w:val="22"/>
          <w:lang w:val="en-GB" w:eastAsia="zh-CN"/>
        </w:rPr>
        <w:instrText>ADDIN CSL_CITATION {"citationItems":[{"id":"ITEM-1","itemData":{"author":[{"dropping-particle":"","family":"Bourdieu","given":"Pierre","non-dropping-particle":"","parse-names":false,"suffix":""}],"container-title":"Source: Theory and Society","id":"ITEM-1","issue":"6","issued":{"date-parts":[["1985"]]},"number-of-pages":"723-744","title":"The Social Space and the Genesis of Groups","type":"report","volume":"14"},"uris":["http://www.mendeley.com/documents/?uuid=f0c35b42-1dca-3e1c-80e1-fc37c7ba756a"]},{"id":"ITEM-2","itemData":{"author":[{"dropping-particle":"","family":"Bourdieu","given":"Pierre","non-dropping-particle":"","parse-names":false,"suffix":""},{"dropping-particle":"","family":"Wacquant","given":"Loic","non-dropping-particle":"","parse-names":false,"suffix":""}],"id":"ITEM-2","issued":{"date-parts":[["1992"]]},"publisher":"University of Chicago Press","publisher-place":"Chicago","title":"An Invitation to Reflexive Sociology","type":"book"},"uris":["http://www.mendeley.com/documents/?uuid=c1429f32-90a2-3b41-90c4-9a470864a959"]},{"id":"ITEM-3","itemData":{"author":[{"dropping-particle":"","family":"Bourdieu","given":"Pierre","non-dropping-particle":"","parse-names":false,"suffix":""}],"id":"ITEM-3","issued":{"date-parts":[["1996"]]},"publisher":"Stanford University Press","publisher-place":"Palo Alto, CA","title":"Rules of Art: Genesis and Structure of the Literary Field","type":"book"},"uris":["http://www.mendeley.com/documents/?uuid=3022829c-8f84-3423-a908-b1e7d881be13"]}],"mendeley":{"formattedCitation":"(Bourdieu, 1985, 1996; Bourdieu &amp; Wacquant, 1992)","plainTextFormattedCitation":"(Bourdieu, 1985, 1996; Bourdieu &amp; Wacquant, 1992)","previouslyFormattedCitation":"(Bourdieu, 1985, 1996; Bourdieu &amp; Wacquant, 1992)"},"properties":{"noteIndex":0},"schema":"https://github.com/citation-style-language/schema/raw/master/csl-citation.json"}</w:instrText>
      </w:r>
      <w:r w:rsidR="00213BCE" w:rsidRPr="004E053C">
        <w:rPr>
          <w:rFonts w:cstheme="majorHAnsi"/>
          <w:sz w:val="22"/>
          <w:szCs w:val="22"/>
          <w:lang w:val="en-GB" w:eastAsia="zh-CN"/>
        </w:rPr>
        <w:fldChar w:fldCharType="separate"/>
      </w:r>
      <w:r w:rsidR="00213BCE" w:rsidRPr="004E053C">
        <w:rPr>
          <w:rFonts w:cstheme="majorHAnsi"/>
          <w:noProof/>
          <w:sz w:val="22"/>
          <w:szCs w:val="22"/>
          <w:lang w:val="en-GB" w:eastAsia="zh-CN"/>
        </w:rPr>
        <w:t>(Bourdieu, 1985, 1996; Bourdieu &amp; Wacquant, 1992)</w:t>
      </w:r>
      <w:r w:rsidR="00213BCE" w:rsidRPr="004E053C">
        <w:rPr>
          <w:rFonts w:cstheme="majorHAnsi"/>
          <w:sz w:val="22"/>
          <w:szCs w:val="22"/>
          <w:lang w:val="en-GB" w:eastAsia="zh-CN"/>
        </w:rPr>
        <w:fldChar w:fldCharType="end"/>
      </w:r>
      <w:r w:rsidRPr="004E053C">
        <w:rPr>
          <w:rFonts w:cstheme="majorHAnsi"/>
          <w:sz w:val="22"/>
          <w:szCs w:val="22"/>
          <w:lang w:val="en-GB" w:eastAsia="zh-CN"/>
        </w:rPr>
        <w:t xml:space="preserve">, but also on occasion, explicitly to the ‘state’ </w:t>
      </w:r>
      <w:r w:rsidR="00213BCE" w:rsidRPr="004E053C">
        <w:rPr>
          <w:rFonts w:cstheme="majorHAnsi"/>
          <w:sz w:val="22"/>
          <w:szCs w:val="22"/>
          <w:lang w:val="en-GB" w:eastAsia="zh-CN"/>
        </w:rPr>
        <w:fldChar w:fldCharType="begin" w:fldLock="1"/>
      </w:r>
      <w:r w:rsidR="007F27D0" w:rsidRPr="004E053C">
        <w:rPr>
          <w:rFonts w:cstheme="majorHAnsi"/>
          <w:sz w:val="22"/>
          <w:szCs w:val="22"/>
          <w:lang w:val="en-GB" w:eastAsia="zh-CN"/>
        </w:rPr>
        <w:instrText>ADDIN CSL_CITATION {"citationItems":[{"id":"ITEM-1","itemData":{"author":[{"dropping-particle":"","family":"Bourdieu","given":"Pierre","non-dropping-particle":"","parse-names":false,"suffix":""}],"container-title":"The Study of State Formation After the Cultural Turn","id":"ITEM-1","issued":{"date-parts":[["1999"]]},"page":"53-75","publisher":"Cornell University Press","publisher-place":"Ithaca, NY","title":"Rethinking the State: Genesis and structure of the bureaucratic field","type":"chapter"},"uris":["http://www.mendeley.com/documents/?uuid=f1e033b7-8a6d-3930-98bf-900ec5d21687"]},{"id":"ITEM-2","itemData":{"author":[{"dropping-particle":"","family":"Schmitz","given":"Andreas","non-dropping-particle":"","parse-names":false,"suffix":""},{"dropping-particle":"","family":"Witte","given":"Daniel","non-dropping-particle":"","parse-names":false,"suffix":""},{"dropping-particle":"","family":"Gengnagel","given":"Vincent","non-dropping-particle":"","parse-names":false,"suffix":""}],"container-title":"Social Science Information","id":"ITEM-2","issue":"1","issued":{"date-parts":[["2017","3","1"]]},"page":"49-73","publisher":"SAGE Publications Ltd","title":"Pluralizing field analysis: Toward a relational understanding of the field of power","type":"article-journal","volume":"56"},"uris":["http://www.mendeley.com/documents/?uuid=62ef98ef-cba5-3c07-9134-fd3ed91e7f6a"]}],"mendeley":{"formattedCitation":"(Bourdieu, 1999; Schmitz, Witte, &amp; Gengnagel, 2017)","manualFormatting":"(Bourdieu, 1999; Schmitz et al, 2017)","plainTextFormattedCitation":"(Bourdieu, 1999; Schmitz, Witte, &amp; Gengnagel, 2017)","previouslyFormattedCitation":"(Bourdieu, 1999; Schmitz, Witte, &amp; Gengnagel, 2017)"},"properties":{"noteIndex":0},"schema":"https://github.com/citation-style-language/schema/raw/master/csl-citation.json"}</w:instrText>
      </w:r>
      <w:r w:rsidR="00213BCE" w:rsidRPr="004E053C">
        <w:rPr>
          <w:rFonts w:cstheme="majorHAnsi"/>
          <w:sz w:val="22"/>
          <w:szCs w:val="22"/>
          <w:lang w:val="en-GB" w:eastAsia="zh-CN"/>
        </w:rPr>
        <w:fldChar w:fldCharType="separate"/>
      </w:r>
      <w:r w:rsidR="00213BCE" w:rsidRPr="004E053C">
        <w:rPr>
          <w:rFonts w:cstheme="majorHAnsi"/>
          <w:noProof/>
          <w:sz w:val="22"/>
          <w:szCs w:val="22"/>
          <w:lang w:val="en-GB" w:eastAsia="zh-CN"/>
        </w:rPr>
        <w:t>(Bourdieu, 1999; Schmitz et al, 2017)</w:t>
      </w:r>
      <w:r w:rsidR="00213BCE" w:rsidRPr="004E053C">
        <w:rPr>
          <w:rFonts w:cstheme="majorHAnsi"/>
          <w:sz w:val="22"/>
          <w:szCs w:val="22"/>
          <w:lang w:val="en-GB" w:eastAsia="zh-CN"/>
        </w:rPr>
        <w:fldChar w:fldCharType="end"/>
      </w:r>
      <w:r w:rsidRPr="004E053C">
        <w:rPr>
          <w:rFonts w:cstheme="majorHAnsi"/>
          <w:sz w:val="22"/>
          <w:szCs w:val="22"/>
          <w:lang w:val="en-GB" w:eastAsia="zh-CN"/>
        </w:rPr>
        <w:t xml:space="preserve">. The latter is often achieved through the imposition of criminal legislation </w:t>
      </w:r>
      <w:r w:rsidR="00213BCE"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2016)","plainTextFormattedCitation":"(Shammus &amp; Sandberg, 2016)","previouslyFormattedCitation":"(Shammus &amp; Sandberg, 2016)"},"properties":{"noteIndex":0},"schema":"https://github.com/citation-style-language/schema/raw/master/csl-citation.json"}</w:instrText>
      </w:r>
      <w:r w:rsidR="00213BCE" w:rsidRPr="004E053C">
        <w:rPr>
          <w:rFonts w:cstheme="majorHAnsi"/>
          <w:sz w:val="22"/>
          <w:szCs w:val="22"/>
          <w:lang w:val="en-GB" w:eastAsia="zh-CN"/>
        </w:rPr>
        <w:fldChar w:fldCharType="separate"/>
      </w:r>
      <w:r w:rsidR="00213BCE" w:rsidRPr="004E053C">
        <w:rPr>
          <w:rFonts w:cstheme="majorHAnsi"/>
          <w:noProof/>
          <w:sz w:val="22"/>
          <w:szCs w:val="22"/>
          <w:lang w:val="en-GB" w:eastAsia="zh-CN"/>
        </w:rPr>
        <w:t>(Shammus &amp; Sandberg, 2016)</w:t>
      </w:r>
      <w:r w:rsidR="00213BCE" w:rsidRPr="004E053C">
        <w:rPr>
          <w:rFonts w:cstheme="majorHAnsi"/>
          <w:sz w:val="22"/>
          <w:szCs w:val="22"/>
          <w:lang w:val="en-GB" w:eastAsia="zh-CN"/>
        </w:rPr>
        <w:fldChar w:fldCharType="end"/>
      </w:r>
      <w:r w:rsidRPr="004E053C">
        <w:rPr>
          <w:rFonts w:cstheme="majorHAnsi"/>
          <w:sz w:val="22"/>
          <w:szCs w:val="22"/>
          <w:lang w:val="en-GB" w:eastAsia="zh-CN"/>
        </w:rPr>
        <w:t>. Interestingly, in the context of ASM, the ambiguity of who might be incorporated into the field of power seems fitting; the widespread corruption in the sector often makes it difficult to ascertain who holds sufficient power to exert influence over the field</w:t>
      </w:r>
      <w:r w:rsidRPr="004E053C">
        <w:rPr>
          <w:rFonts w:cstheme="majorHAnsi"/>
          <w:sz w:val="22"/>
          <w:szCs w:val="22"/>
          <w:lang w:val="en-GB"/>
        </w:rPr>
        <w:t xml:space="preserve">. These external forces do not just include local and regional government, but also the way in which the sector is embedded in public discourse, particularly concerning the issue of conservation </w:t>
      </w:r>
      <w:r w:rsidR="00213BCE"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Schmitz","given":"Andreas","non-dropping-particle":"","parse-names":false,"suffix":""},{"dropping-particle":"","family":"Witte","given":"Daniel","non-dropping-particle":"","parse-names":false,"suffix":""},{"dropping-particle":"","family":"Gengnagel","given":"Vincent","non-dropping-particle":"","parse-names":false,"suffix":""}],"container-title":"Social Science Information","id":"ITEM-1","issue":"1","issued":{"date-parts":[["2017","3","1"]]},"page":"49-73","publisher":"SAGE Publications Ltd","title":"Pluralizing field analysis: Toward a relational understanding of the field of power","type":"article-journal","volume":"56"},"uris":["http://www.mendeley.com/documents/?uuid=62ef98ef-cba5-3c07-9134-fd3ed91e7f6a"]}],"mendeley":{"formattedCitation":"(Schmitz et al., 2017)","manualFormatting":"(Schmitz et al, 2017)","plainTextFormattedCitation":"(Schmitz et al., 2017)","previouslyFormattedCitation":"(Schmitz et al., 2017)"},"properties":{"noteIndex":0},"schema":"https://github.com/citation-style-language/schema/raw/master/csl-citation.json"}</w:instrText>
      </w:r>
      <w:r w:rsidR="00213BCE" w:rsidRPr="004E053C">
        <w:rPr>
          <w:rFonts w:cstheme="majorHAnsi"/>
          <w:sz w:val="22"/>
          <w:szCs w:val="22"/>
          <w:lang w:val="en-GB"/>
        </w:rPr>
        <w:fldChar w:fldCharType="separate"/>
      </w:r>
      <w:r w:rsidR="00213BCE" w:rsidRPr="004E053C">
        <w:rPr>
          <w:rFonts w:cstheme="majorHAnsi"/>
          <w:noProof/>
          <w:sz w:val="22"/>
          <w:szCs w:val="22"/>
          <w:lang w:val="en-GB"/>
        </w:rPr>
        <w:t>(Schmitz et al, 2017)</w:t>
      </w:r>
      <w:r w:rsidR="00213BCE" w:rsidRPr="004E053C">
        <w:rPr>
          <w:rFonts w:cstheme="majorHAnsi"/>
          <w:sz w:val="22"/>
          <w:szCs w:val="22"/>
          <w:lang w:val="en-GB"/>
        </w:rPr>
        <w:fldChar w:fldCharType="end"/>
      </w:r>
      <w:r w:rsidRPr="004E053C">
        <w:rPr>
          <w:rFonts w:cstheme="majorHAnsi"/>
          <w:sz w:val="22"/>
          <w:szCs w:val="22"/>
          <w:lang w:val="en-GB"/>
        </w:rPr>
        <w:t xml:space="preserve">. </w:t>
      </w:r>
      <w:r w:rsidR="00213BCE" w:rsidRPr="004E053C">
        <w:rPr>
          <w:rFonts w:cstheme="majorHAnsi"/>
          <w:sz w:val="22"/>
          <w:szCs w:val="22"/>
          <w:lang w:val="en-GB"/>
        </w:rPr>
        <w:t xml:space="preserve">Thus, </w:t>
      </w:r>
      <w:r w:rsidRPr="004E053C">
        <w:rPr>
          <w:rFonts w:cstheme="majorHAnsi"/>
          <w:sz w:val="22"/>
          <w:szCs w:val="22"/>
          <w:lang w:val="en-GB"/>
        </w:rPr>
        <w:t xml:space="preserve">struggles over the definition of legitimacy within the field </w:t>
      </w:r>
      <w:r w:rsidR="00213BCE" w:rsidRPr="004E053C">
        <w:rPr>
          <w:rFonts w:cstheme="majorHAnsi"/>
          <w:sz w:val="22"/>
          <w:szCs w:val="22"/>
          <w:lang w:val="en-GB"/>
        </w:rPr>
        <w:fldChar w:fldCharType="begin" w:fldLock="1"/>
      </w:r>
      <w:r w:rsidR="00213BCE" w:rsidRPr="004E053C">
        <w:rPr>
          <w:rFonts w:cstheme="majorHAnsi"/>
          <w:sz w:val="22"/>
          <w:szCs w:val="22"/>
          <w:lang w:val="en-GB"/>
        </w:rPr>
        <w:instrText>ADDIN CSL_CITATION {"citationItems":[{"id":"ITEM-1","itemData":{"author":[{"dropping-particle":"","family":"Hilgers","given":"Mathieu","non-dropping-particle":"","parse-names":false,"suffix":""},{"dropping-particle":"","family":"Manguez","given":"Eric","non-dropping-particle":"","parse-names":false,"suffix":""}],"container-title":"Bourdieu's Theory of Social Fields: Concepts and Applications","editor":[{"dropping-particle":"","family":"Hilgers","given":"Mathieu","non-dropping-particle":"","parse-names":false,"suffix":""},{"dropping-particle":"","family":"Manguez","given":"Eric","non-dropping-particle":"","parse-names":false,"suffix":""}],"id":"ITEM-1","issued":{"date-parts":[["2015"]]},"page":"1-36","publisher":"Routledge","publisher-place":"Abingdon, UK","title":"Introduction to Pierre Bourdieu's theory of social fields","type":"chapter"},"uris":["http://www.mendeley.com/documents/?uuid=1990c678-91be-3578-9a7f-9af4596a0fe7"]}],"mendeley":{"formattedCitation":"(Hilgers &amp; Manguez, 2015)","plainTextFormattedCitation":"(Hilgers &amp; Manguez, 2015)","previouslyFormattedCitation":"(Hilgers &amp; Manguez, 2015)"},"properties":{"noteIndex":0},"schema":"https://github.com/citation-style-language/schema/raw/master/csl-citation.json"}</w:instrText>
      </w:r>
      <w:r w:rsidR="00213BCE" w:rsidRPr="004E053C">
        <w:rPr>
          <w:rFonts w:cstheme="majorHAnsi"/>
          <w:sz w:val="22"/>
          <w:szCs w:val="22"/>
          <w:lang w:val="en-GB"/>
        </w:rPr>
        <w:fldChar w:fldCharType="separate"/>
      </w:r>
      <w:r w:rsidR="00213BCE" w:rsidRPr="004E053C">
        <w:rPr>
          <w:rFonts w:cstheme="majorHAnsi"/>
          <w:noProof/>
          <w:sz w:val="22"/>
          <w:szCs w:val="22"/>
          <w:lang w:val="en-GB"/>
        </w:rPr>
        <w:t>(Hilgers &amp; Manguez, 2015)</w:t>
      </w:r>
      <w:r w:rsidR="00213BCE" w:rsidRPr="004E053C">
        <w:rPr>
          <w:rFonts w:cstheme="majorHAnsi"/>
          <w:sz w:val="22"/>
          <w:szCs w:val="22"/>
          <w:lang w:val="en-GB"/>
        </w:rPr>
        <w:fldChar w:fldCharType="end"/>
      </w:r>
      <w:r w:rsidRPr="004E053C">
        <w:rPr>
          <w:rFonts w:cstheme="majorHAnsi"/>
          <w:sz w:val="22"/>
          <w:szCs w:val="22"/>
          <w:lang w:val="en-GB"/>
        </w:rPr>
        <w:t xml:space="preserve"> incorporate these external forces just as much as the agents within it. </w:t>
      </w:r>
      <w:r w:rsidRPr="004E053C">
        <w:rPr>
          <w:rFonts w:cstheme="majorHAnsi"/>
          <w:sz w:val="22"/>
          <w:szCs w:val="22"/>
          <w:lang w:val="en-GB"/>
        </w:rPr>
        <w:tab/>
      </w:r>
    </w:p>
    <w:p w14:paraId="36FB4A45" w14:textId="77777777" w:rsidR="00FD39B9" w:rsidRPr="004E053C" w:rsidRDefault="00FD39B9" w:rsidP="004E053C">
      <w:pPr>
        <w:spacing w:line="360" w:lineRule="auto"/>
        <w:jc w:val="both"/>
        <w:rPr>
          <w:rFonts w:cstheme="majorHAnsi"/>
          <w:sz w:val="20"/>
          <w:szCs w:val="20"/>
          <w:lang w:val="en-GB"/>
        </w:rPr>
      </w:pPr>
    </w:p>
    <w:p w14:paraId="2F65F367" w14:textId="05666843"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The power-dynamics theorised by Bourdieu are clearly observable within ASM livelihoods. Arguably, the most important is the imposed regulation by the state, which often seeks to reduce or eliminate informal mining activity. As discussed in Chapter 2, in Peru this has taken the form of increased regulation and violent interdictions, which has effectively criminalised ASM operatives. The Government’s </w:t>
      </w:r>
      <w:r w:rsidR="00D3785B" w:rsidRPr="004E053C">
        <w:rPr>
          <w:rFonts w:cstheme="majorHAnsi"/>
          <w:sz w:val="22"/>
          <w:szCs w:val="22"/>
          <w:lang w:val="en-GB"/>
        </w:rPr>
        <w:t>labelling</w:t>
      </w:r>
      <w:r w:rsidRPr="004E053C">
        <w:rPr>
          <w:rFonts w:cstheme="majorHAnsi"/>
          <w:sz w:val="22"/>
          <w:szCs w:val="22"/>
          <w:lang w:val="en-GB"/>
        </w:rPr>
        <w:t xml:space="preserve"> of those who engage in ASM activity as criminal is an example of controlling the agents within the field by attempting to restrict their ability to engage in other legal activities. This was theorised by Cohen </w:t>
      </w:r>
      <w:r w:rsidR="00213BCE"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{"citationItems":[{"id":"ITEM-1","itemData":{"author":[{"dropping-particle":"","family":"Cohen","given":"Albert K","non-dropping-particle":"","parse-names":false,"suffix":""}],"container-title":"American Sociological Review","id":"ITEM-1","issue":"1","issued":{"date-parts":[["1965"]]},"page":"5-14","title":"The sociology of the deviant act: anomie theory and beyond","type":"article-journal","volume":"30"},"uris":["http://www.mendeley.com/documents/?uuid=c1c2c79d-efa2-4293-a531-e2f85a0cf3a3"]}],"mendeley":{"formattedCitation":"(Cohen, 1965)","manualFormatting":"(1965)","plainTextFormattedCitation":"(Cohen, 1965)","previouslyFormattedCitation":"(Cohen, 1965)"},"properties":{"noteIndex":0},"schema":"https://github.com/citation-style-language/schema/raw/master/csl-citation.json"}</w:instrText>
      </w:r>
      <w:r w:rsidR="00213BCE" w:rsidRPr="004E053C">
        <w:rPr>
          <w:rFonts w:cstheme="majorHAnsi"/>
          <w:sz w:val="22"/>
          <w:szCs w:val="22"/>
          <w:lang w:val="en-GB"/>
        </w:rPr>
        <w:fldChar w:fldCharType="separate"/>
      </w:r>
      <w:r w:rsidR="00213BCE" w:rsidRPr="004E053C">
        <w:rPr>
          <w:rFonts w:cstheme="majorHAnsi"/>
          <w:noProof/>
          <w:sz w:val="22"/>
          <w:szCs w:val="22"/>
          <w:lang w:val="en-GB"/>
        </w:rPr>
        <w:t>(1965)</w:t>
      </w:r>
      <w:r w:rsidR="00213BCE" w:rsidRPr="004E053C">
        <w:rPr>
          <w:rFonts w:cstheme="majorHAnsi"/>
          <w:sz w:val="22"/>
          <w:szCs w:val="22"/>
          <w:lang w:val="en-GB"/>
        </w:rPr>
        <w:fldChar w:fldCharType="end"/>
      </w:r>
      <w:r w:rsidRPr="004E053C">
        <w:rPr>
          <w:rFonts w:cstheme="majorHAnsi"/>
          <w:sz w:val="22"/>
          <w:szCs w:val="22"/>
          <w:lang w:val="en-GB"/>
        </w:rPr>
        <w:t xml:space="preserve"> as one of the main ways states attempt to engage with deviant behaviour. This is important for the analysis, because it implies some degree of discourse around the illegality of ASM and the people who carry out ASM activities. What constitutes a deviant activity is generally defined by the dominant society, usu</w:t>
      </w:r>
      <w:r w:rsidR="00213BCE" w:rsidRPr="004E053C">
        <w:rPr>
          <w:rFonts w:cstheme="majorHAnsi"/>
          <w:sz w:val="22"/>
          <w:szCs w:val="22"/>
          <w:lang w:val="en-GB"/>
        </w:rPr>
        <w:t>ally the state. As Becker</w:t>
      </w:r>
      <w:r w:rsidRPr="004E053C">
        <w:rPr>
          <w:rFonts w:cstheme="majorHAnsi"/>
          <w:sz w:val="22"/>
          <w:szCs w:val="22"/>
          <w:lang w:val="en-GB"/>
        </w:rPr>
        <w:t xml:space="preserve"> pointed out, ‘social groups create deviance by making the rules whose infraction constitutes deviance and by applying those rules to particular people and </w:t>
      </w:r>
      <w:r w:rsidR="00D3785B" w:rsidRPr="004E053C">
        <w:rPr>
          <w:rFonts w:cstheme="majorHAnsi"/>
          <w:sz w:val="22"/>
          <w:szCs w:val="22"/>
          <w:lang w:val="en-GB"/>
        </w:rPr>
        <w:t>labelling</w:t>
      </w:r>
      <w:r w:rsidRPr="004E053C">
        <w:rPr>
          <w:rFonts w:cstheme="majorHAnsi"/>
          <w:sz w:val="22"/>
          <w:szCs w:val="22"/>
          <w:lang w:val="en-GB"/>
        </w:rPr>
        <w:t xml:space="preserve"> them as outsiders’ </w:t>
      </w:r>
      <w:r w:rsidR="00213BCE" w:rsidRPr="004E053C">
        <w:rPr>
          <w:rFonts w:cstheme="majorHAnsi"/>
          <w:sz w:val="22"/>
          <w:szCs w:val="22"/>
          <w:lang w:val="en-GB"/>
        </w:rPr>
        <w:fldChar w:fldCharType="begin" w:fldLock="1"/>
      </w:r>
      <w:r w:rsidR="00BD2031" w:rsidRPr="004E053C">
        <w:rPr>
          <w:rFonts w:cstheme="majorHAnsi"/>
          <w:sz w:val="22"/>
          <w:szCs w:val="22"/>
          <w:lang w:val="en-GB"/>
        </w:rPr>
        <w:instrText>ADDIN CSL_CITATION {"citationItems":[{"id":"ITEM-1","itemData":{"author":[{"dropping-particle":"","family":"Becker","given":"Howard. S.","non-dropping-particle":"","parse-names":false,"suffix":""}],"id":"ITEM-1","issued":{"date-parts":[["1963"]]},"number-of-pages":"213","publisher":"The Free Press","publisher-place":"New York","title":"Outsiders: Studies in the Sociology of Deviance","type":"book"},"uris":["http://www.mendeley.com/documents/?uuid=a0af309e-d110-40cc-907a-12b4892a474b"]}],"mendeley":{"formattedCitation":"(H. S. Becker, 1963)","manualFormatting":"(1963, p.9)","plainTextFormattedCitation":"(H. S. Becker, 1963)","previouslyFormattedCitation":"(H. S. Becker, 1963)"},"properties":{"noteIndex":0},"schema":"https://github.com/citation-style-language/schema/raw/master/csl-citation.json"}</w:instrText>
      </w:r>
      <w:r w:rsidR="00213BCE" w:rsidRPr="004E053C">
        <w:rPr>
          <w:rFonts w:cstheme="majorHAnsi"/>
          <w:sz w:val="22"/>
          <w:szCs w:val="22"/>
          <w:lang w:val="en-GB"/>
        </w:rPr>
        <w:fldChar w:fldCharType="separate"/>
      </w:r>
      <w:r w:rsidR="00213BCE" w:rsidRPr="004E053C">
        <w:rPr>
          <w:rFonts w:cstheme="majorHAnsi"/>
          <w:noProof/>
          <w:sz w:val="22"/>
          <w:szCs w:val="22"/>
          <w:lang w:val="en-GB"/>
        </w:rPr>
        <w:t>(1963, p.9)</w:t>
      </w:r>
      <w:r w:rsidR="00213BCE" w:rsidRPr="004E053C">
        <w:rPr>
          <w:rFonts w:cstheme="majorHAnsi"/>
          <w:sz w:val="22"/>
          <w:szCs w:val="22"/>
          <w:lang w:val="en-GB"/>
        </w:rPr>
        <w:fldChar w:fldCharType="end"/>
      </w:r>
      <w:r w:rsidRPr="004E053C">
        <w:rPr>
          <w:rFonts w:cstheme="majorHAnsi"/>
          <w:sz w:val="22"/>
          <w:szCs w:val="22"/>
          <w:lang w:val="en-GB"/>
        </w:rPr>
        <w:t xml:space="preserve">, or in the case of ASM, criminals. </w:t>
      </w:r>
    </w:p>
    <w:p w14:paraId="7537791A" w14:textId="77777777" w:rsidR="00FE47C4" w:rsidRPr="004E053C" w:rsidRDefault="00FE47C4" w:rsidP="004E053C">
      <w:pPr>
        <w:spacing w:line="360" w:lineRule="auto"/>
        <w:jc w:val="both"/>
        <w:rPr>
          <w:rFonts w:cstheme="majorHAnsi"/>
          <w:b/>
          <w:bCs/>
          <w:sz w:val="22"/>
          <w:szCs w:val="22"/>
          <w:lang w:val="en-GB"/>
        </w:rPr>
      </w:pPr>
    </w:p>
    <w:p w14:paraId="6C2DCD9C" w14:textId="031E6D68"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Although these regulations are clearly linked to livelihood and therefore the social practices that occur within the specific social field, they can also be linked to place in three key ways. Firstly, the </w:t>
      </w:r>
      <w:r w:rsidR="00D3785B" w:rsidRPr="004E053C">
        <w:rPr>
          <w:rFonts w:cstheme="majorHAnsi"/>
          <w:sz w:val="22"/>
          <w:szCs w:val="22"/>
          <w:lang w:val="en-GB"/>
        </w:rPr>
        <w:t>labelling</w:t>
      </w:r>
      <w:r w:rsidRPr="004E053C">
        <w:rPr>
          <w:rFonts w:cstheme="majorHAnsi"/>
          <w:sz w:val="22"/>
          <w:szCs w:val="22"/>
          <w:lang w:val="en-GB"/>
        </w:rPr>
        <w:t xml:space="preserve"> of both behaviours and people as deviant depends upon where certain actions take place</w:t>
      </w:r>
      <w:r w:rsidR="00170378" w:rsidRPr="004E053C">
        <w:rPr>
          <w:rFonts w:cstheme="majorHAnsi"/>
          <w:sz w:val="22"/>
          <w:szCs w:val="22"/>
          <w:lang w:val="en-GB"/>
        </w:rPr>
        <w:t xml:space="preserve"> </w:t>
      </w:r>
      <w:r w:rsidR="00213BCE" w:rsidRPr="004E053C">
        <w:rPr>
          <w:rFonts w:cstheme="majorHAnsi"/>
          <w:sz w:val="22"/>
          <w:szCs w:val="22"/>
          <w:lang w:val="en-GB"/>
        </w:rPr>
        <w:fldChar w:fldCharType="begin" w:fldLock="1"/>
      </w:r>
      <w:r w:rsidR="00213BCE" w:rsidRPr="004E053C">
        <w:rPr>
          <w:rFonts w:cstheme="majorHAnsi"/>
          <w:sz w:val="22"/>
          <w:szCs w:val="22"/>
          <w:lang w:val="en-GB"/>
        </w:rPr>
        <w:instrText>ADDIN CSL_CITATION {"citationItems":[{"id":"ITEM-1","itemData":{"abstract":"Sociological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Sociology","id":"ITEM-1","issued":{"date-parts":[["2000"]]},"page":"463-496","title":"A space for place in sociology","type":"article-journal","volume":"26"},"uris":["http://www.mendeley.com/documents/?uuid=40055a61-4bab-46a9-a28c-e073dfac7680"]}],"mendeley":{"formattedCitation":"(Gieryn, 2000)","plainTextFormattedCitation":"(Gieryn, 2000)","previouslyFormattedCitation":"(Gieryn, 2000)"},"properties":{"noteIndex":0},"schema":"https://github.com/citation-style-language/schema/raw/master/csl-citation.json"}</w:instrText>
      </w:r>
      <w:r w:rsidR="00213BCE" w:rsidRPr="004E053C">
        <w:rPr>
          <w:rFonts w:cstheme="majorHAnsi"/>
          <w:sz w:val="22"/>
          <w:szCs w:val="22"/>
          <w:lang w:val="en-GB"/>
        </w:rPr>
        <w:fldChar w:fldCharType="separate"/>
      </w:r>
      <w:r w:rsidR="00213BCE" w:rsidRPr="004E053C">
        <w:rPr>
          <w:rFonts w:cstheme="majorHAnsi"/>
          <w:noProof/>
          <w:sz w:val="22"/>
          <w:szCs w:val="22"/>
          <w:lang w:val="en-GB"/>
        </w:rPr>
        <w:t>(Gieryn, 2000)</w:t>
      </w:r>
      <w:r w:rsidR="00213BCE" w:rsidRPr="004E053C">
        <w:rPr>
          <w:rFonts w:cstheme="majorHAnsi"/>
          <w:sz w:val="22"/>
          <w:szCs w:val="22"/>
          <w:lang w:val="en-GB"/>
        </w:rPr>
        <w:fldChar w:fldCharType="end"/>
      </w:r>
      <w:r w:rsidRPr="004E053C">
        <w:rPr>
          <w:rFonts w:cstheme="majorHAnsi"/>
          <w:sz w:val="22"/>
          <w:szCs w:val="22"/>
          <w:lang w:val="en-GB"/>
        </w:rPr>
        <w:t xml:space="preserve">. For example, homosexuality is illegal in some countries and not others, while </w:t>
      </w:r>
      <w:r w:rsidRPr="004E053C">
        <w:rPr>
          <w:rFonts w:cstheme="majorHAnsi"/>
          <w:sz w:val="22"/>
          <w:szCs w:val="22"/>
          <w:lang w:val="en-GB"/>
        </w:rPr>
        <w:lastRenderedPageBreak/>
        <w:t xml:space="preserve">drinking alcohol may be illegal on the street but not inside a house or a pub. Similarly in Peru, ASM is permitted in some areas and not in others, as the Government allocates some mining concessions in the mining corridor, but has banned all mining activity in the national parks or in the park’s buffer zones. To some extent therefore, mining activities within these areas can be considered an ‘out of place’ practice </w:t>
      </w:r>
      <w:r w:rsidR="00213BCE"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{"citationItems":[{"id":"ITEM-1","itemData":{"author":[{"dropping-particle":"","family":"Cresswell","given":"Tim","non-dropping-particle":"","parse-names":false,"suffix":""}],"id":"ITEM-1","issued":{"date-parts":[["1996"]]},"publisher":"University of Minnesota Press","publisher-place":"Minneapolis, MN","title":"In Place/Out of Place: Geography, Ideology and Transgression","type":"book"},"uris":["http://www.mendeley.com/documents/?uuid=17f6312b-970a-4412-9f2f-c45c38fbb6d0"]}],"mendeley":{"formattedCitation":"(Cresswell, 1996)","manualFormatting":"(Creswell, 1996)","plainTextFormattedCitation":"(Cresswell, 1996)","previouslyFormattedCitation":"(Cresswell, 1996)"},"properties":{"noteIndex":0},"schema":"https://github.com/citation-style-language/schema/raw/master/csl-citation.json"}</w:instrText>
      </w:r>
      <w:r w:rsidR="00213BCE" w:rsidRPr="004E053C">
        <w:rPr>
          <w:rFonts w:cstheme="majorHAnsi"/>
          <w:sz w:val="22"/>
          <w:szCs w:val="22"/>
          <w:lang w:val="en-GB"/>
        </w:rPr>
        <w:fldChar w:fldCharType="separate"/>
      </w:r>
      <w:r w:rsidR="00170378" w:rsidRPr="004E053C">
        <w:rPr>
          <w:rFonts w:cstheme="majorHAnsi"/>
          <w:noProof/>
          <w:sz w:val="22"/>
          <w:szCs w:val="22"/>
          <w:lang w:val="en-GB"/>
        </w:rPr>
        <w:t>(</w:t>
      </w:r>
      <w:r w:rsidR="00F2183E" w:rsidRPr="004E053C">
        <w:rPr>
          <w:rFonts w:cstheme="majorHAnsi"/>
          <w:noProof/>
          <w:sz w:val="22"/>
          <w:szCs w:val="22"/>
          <w:lang w:val="en-GB"/>
        </w:rPr>
        <w:t>Creswell, 1996)</w:t>
      </w:r>
      <w:r w:rsidR="00213BCE" w:rsidRPr="004E053C">
        <w:rPr>
          <w:rFonts w:cstheme="majorHAnsi"/>
          <w:sz w:val="22"/>
          <w:szCs w:val="22"/>
          <w:lang w:val="en-GB"/>
        </w:rPr>
        <w:fldChar w:fldCharType="end"/>
      </w:r>
      <w:r w:rsidRPr="004E053C">
        <w:rPr>
          <w:rFonts w:cstheme="majorHAnsi"/>
          <w:sz w:val="22"/>
          <w:szCs w:val="22"/>
          <w:lang w:val="en-GB"/>
        </w:rPr>
        <w:t xml:space="preserve">, which some argue constitutes an act of resistance </w:t>
      </w:r>
      <w:r w:rsidR="00E433EA"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{"citationItems":[{"id":"ITEM-1","itemData":{"author":[{"dropping-particle":"","family":"Certeau","given":"Michel","non-dropping-particle":"de","parse-names":false,"suffix":""}],"id":"ITEM-1","issued":{"date-parts":[["1984"]]},"publisher":"University of California Press","publisher-place":"Berkeley, CA","title":"The Practice of Everyday Life","type":"book"},"uris":["http://www.mendeley.com/documents/?uuid=3a89273e-860e-45a2-b8df-b62a5d11e140"]},{"id":"ITEM-2","itemData":{"author":[{"dropping-particle":"","family":"Pile","given":"Steve","non-dropping-particle":"","parse-names":false,"suffix":""},{"dropping-particle":"","family":"Keith","given":"Michael","non-dropping-particle":"","parse-names":false,"suffix":""}],"editor":[{"dropping-particle":"","family":"Routledge","given":"","non-dropping-particle":"","parse-names":false,"suffix":""}],"id":"ITEM-2","issued":{"date-parts":[["1997"]]},"publisher-place":"London, UK","title":"Geographies of Resistance","type":"book"},"uris":["http://www.mendeley.com/documents/?uuid=6eab1917-1fa5-4c7a-a8fd-2073f3fdd973"]}],"mendeley":{"formattedCitation":"(de Certeau, 1984; Pile &amp; Keith, 1997)","plainTextFormattedCitation":"(de Certeau, 1984; Pile &amp; Keith, 1997)","previouslyFormattedCitation":"(de Certeau, 1984; Pile &amp; Keith, 1997)"},"properties":{"noteIndex":0},"schema":"https://github.com/citation-style-language/schema/raw/master/csl-citation.json"}</w:instrText>
      </w:r>
      <w:r w:rsidR="00E433EA" w:rsidRPr="004E053C">
        <w:rPr>
          <w:rFonts w:cstheme="majorHAnsi"/>
          <w:sz w:val="22"/>
          <w:szCs w:val="22"/>
          <w:lang w:val="en-GB"/>
        </w:rPr>
        <w:fldChar w:fldCharType="separate"/>
      </w:r>
      <w:r w:rsidR="00F2183E" w:rsidRPr="004E053C">
        <w:rPr>
          <w:rFonts w:cstheme="majorHAnsi"/>
          <w:noProof/>
          <w:sz w:val="22"/>
          <w:szCs w:val="22"/>
          <w:lang w:val="en-GB"/>
        </w:rPr>
        <w:t>(de Certeau, 1984; Pile &amp; Keith, 1997)</w:t>
      </w:r>
      <w:r w:rsidR="00E433EA" w:rsidRPr="004E053C">
        <w:rPr>
          <w:rFonts w:cstheme="majorHAnsi"/>
          <w:sz w:val="22"/>
          <w:szCs w:val="22"/>
          <w:lang w:val="en-GB"/>
        </w:rPr>
        <w:fldChar w:fldCharType="end"/>
      </w:r>
      <w:r w:rsidRPr="004E053C">
        <w:rPr>
          <w:rFonts w:cstheme="majorHAnsi"/>
          <w:sz w:val="22"/>
          <w:szCs w:val="22"/>
          <w:lang w:val="en-GB"/>
        </w:rPr>
        <w:t>. Secondly, the characteristics of certain places lend themselves to illicit livelihoods. For example, ASM flourishes on the frontier and in peripheral and rem</w:t>
      </w:r>
      <w:r w:rsidR="008C68C5" w:rsidRPr="004E053C">
        <w:rPr>
          <w:rFonts w:cstheme="majorHAnsi"/>
          <w:sz w:val="22"/>
          <w:szCs w:val="22"/>
          <w:lang w:val="en-GB"/>
        </w:rPr>
        <w:t>ote places far from urban centre</w:t>
      </w:r>
      <w:r w:rsidRPr="004E053C">
        <w:rPr>
          <w:rFonts w:cstheme="majorHAnsi"/>
          <w:sz w:val="22"/>
          <w:szCs w:val="22"/>
          <w:lang w:val="en-GB"/>
        </w:rPr>
        <w:t xml:space="preserve">s. It is claimed that this is because the existence of lucrative low-barrier resources converges with the insufficient institutional leadership and capacity that is characteristic of frontier zones </w:t>
      </w:r>
      <w:r w:rsidR="00E433EA"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{"citationItems":[{"id":"ITEM-1","itemData":{"abstract":"Resource wars face greater difficulties to end conflict, as well as greater probabilities of relapse. In part, this is due to the persistence of resource-fueled criminal networks developed under the auspices of armed conflict. In this paper we focus on the Colombian armed conflict, one of the longest-lasting conflicts in the world. Recent evidence suggests that gold mining in Colombia has been permeated by illegal organizations linked to the drug trade, driving armed conflict and criminality. This reveals that attention to drugs alone as a conflict resource in this particular case has overshadowed the degree to which legal resources and economic activities have been permeated by illegal organizations and interests. This paper provides a framework of the gold-drugs relationship, which reveals the existence of resource portfolios, or the parallel participation and exchangeability of resources in the provision of funding for illegal organizations. We argue that, in addition to the impact of each resource on armed conflict and criminality, illegal organizations develop abilities to extract benefits of different resources at once or interchangeably (a resource portfolio), which should be taken into account when analyzing the consequences of war on countries' social and economic institutions. In addition, political or reputational factors have been insufficiently considered in analyzing groups' decisions to engage in or abandon specific economic activities. We show that, along with expectations of revenue, resource portfolios may also respond to political conditions, as illegal organizations accustomed to deriving income from coercive practices such as kidnappings-until recently a widespread phenomenon in Colombia-have caused increasing international and domestic outrage followed by pressure to stop this brutal violation of Human Rights. Based on field research in gold mining Colombian regions-combining more than seventy semi-structured interviews with first-hand observation during field trips-and a careful review of press, non-governmental organizations' and official reports in local, regional, and national media, the paper provides a general framework of this complex relationship, paying specific attention to the evolution of the links and interchangeable nature of gold and drugs as conflict resources throughout the production phases of the gold extraction process. At a time when Colombia's ongoing peace process is likely to put an end to the armed confront…","author":[{"dropping-particle":"","family":"Rettberg","given":"Angelika","non-dropping-particle":"","parse-names":false,"suffix":""},{"dropping-particle":"","family":"Ortiz-Riomalo","given":"Juan Felipe","non-dropping-particle":"","parse-names":false,"suffix":""}],"container-title":"World Development","id":"ITEM-1","issued":{"date-parts":[["2016"]]},"page":"82-96","publisher":"Elsevier Ltd","title":"Golden Opportunity, or a New Twist on the Resource-Conflict Relationship: Links Between the Drug Trade and Illegal Gold Mining in Colombia","type":"article-journal","volume":"84"},"uris":["http://www.mendeley.com/documents/?uuid=fec55f35-def3-4f00-816d-7e727197fd7e"]}],"mendeley":{"formattedCitation":"(Rettberg &amp; Ortiz-Riomalo, 2016)","plainTextFormattedCitation":"(Rettberg &amp; Ortiz-Riomalo, 2016)","previouslyFormattedCitation":"(Rettberg &amp; Ortiz-Riomalo, 2016)"},"properties":{"noteIndex":0},"schema":"https://github.com/citation-style-language/schema/raw/master/csl-citation.json"}</w:instrText>
      </w:r>
      <w:r w:rsidR="00E433EA" w:rsidRPr="004E053C">
        <w:rPr>
          <w:rFonts w:cstheme="majorHAnsi"/>
          <w:sz w:val="22"/>
          <w:szCs w:val="22"/>
          <w:lang w:val="en-GB"/>
        </w:rPr>
        <w:fldChar w:fldCharType="separate"/>
      </w:r>
      <w:r w:rsidR="00E433EA" w:rsidRPr="004E053C">
        <w:rPr>
          <w:rFonts w:cstheme="majorHAnsi"/>
          <w:noProof/>
          <w:sz w:val="22"/>
          <w:szCs w:val="22"/>
          <w:lang w:val="en-GB"/>
        </w:rPr>
        <w:t>(Rettberg &amp; Ortiz-Riomalo, 2016)</w:t>
      </w:r>
      <w:r w:rsidR="00E433EA" w:rsidRPr="004E053C">
        <w:rPr>
          <w:rFonts w:cstheme="majorHAnsi"/>
          <w:sz w:val="22"/>
          <w:szCs w:val="22"/>
          <w:lang w:val="en-GB"/>
        </w:rPr>
        <w:fldChar w:fldCharType="end"/>
      </w:r>
      <w:r w:rsidRPr="004E053C">
        <w:rPr>
          <w:rFonts w:cstheme="majorHAnsi"/>
          <w:sz w:val="22"/>
          <w:szCs w:val="22"/>
          <w:lang w:val="en-GB"/>
        </w:rPr>
        <w:t xml:space="preserve">. Thirdly, deviance can also come to define place. For example, mass murder, terrorist violence and other atrocities can become associated with a place in the national psyche </w:t>
      </w:r>
      <w:r w:rsidR="00E433EA"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{"citationItems":[{"id":"ITEM-1","itemData":{"author":[{"dropping-particle":"","family":"Foote","given":"KE","non-dropping-particle":"","parse-names":false,"suffix":""}],"id":"ITEM-1","issued":{"date-parts":[["1997"]]},"publisher":"University of Texas Press","publisher-place":"Austin, TX","title":"Shadowed Ground: America's Landscapes of Violence and Tragedy","type":"book"},"uris":["http://www.mendeley.com/documents/?uuid=ddd013fc-673e-4baf-b7e3-a7fb33893889"]},{"id":"ITEM-2","itemData":{"author":[{"dropping-particle":"","family":"Gregory","given":"SW","non-dropping-particle":"","parse-names":false,"suffix":""},{"dropping-particle":"","family":"Lewis","given":"JM","non-dropping-particle":"","parse-names":false,"suffix":""}],"container-title":"Symbolic Interact","id":"ITEM-2","issued":{"date-parts":[["1988"]]},"page":"213-33","title":"Symbols of collective memory: the social process of memorializing","type":"article-journal","volume":"11"},"uris":["http://www.mendeley.com/documents/?uuid=96285b1d-f1fb-4b57-8808-ef6ca2b98970"]},{"id":"ITEM-3","itemData":{"abstract":"Sociological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Sociology","id":"ITEM-3","issued":{"date-parts":[["2000"]]},"page":"463-496","title":"A space for place in sociology","type":"article-journal","volume":"26"},"uris":["http://www.mendeley.com/documents/?uuid=40055a61-4bab-46a9-a28c-e073dfac7680"]}],"mendeley":{"formattedCitation":"(Foote, 1997; Gieryn, 2000; Gregory &amp; Lewis, 1988)","plainTextFormattedCitation":"(Foote, 1997; Gieryn, 2000; Gregory &amp; Lewis, 1988)","previouslyFormattedCitation":"(Foote, 1997; Gieryn, 2000; Gregory &amp; Lewis, 1988)"},"properties":{"noteIndex":0},"schema":"https://github.com/citation-style-language/schema/raw/master/csl-citation.json"}</w:instrText>
      </w:r>
      <w:r w:rsidR="00E433EA" w:rsidRPr="004E053C">
        <w:rPr>
          <w:rFonts w:cstheme="majorHAnsi"/>
          <w:sz w:val="22"/>
          <w:szCs w:val="22"/>
          <w:lang w:val="en-GB"/>
        </w:rPr>
        <w:fldChar w:fldCharType="separate"/>
      </w:r>
      <w:r w:rsidR="00E433EA" w:rsidRPr="004E053C">
        <w:rPr>
          <w:rFonts w:cstheme="majorHAnsi"/>
          <w:noProof/>
          <w:sz w:val="22"/>
          <w:szCs w:val="22"/>
          <w:lang w:val="en-GB"/>
        </w:rPr>
        <w:t>(Foote, 1997; Gieryn, 2000; Gregory &amp; Lewis, 1988)</w:t>
      </w:r>
      <w:r w:rsidR="00E433EA" w:rsidRPr="004E053C">
        <w:rPr>
          <w:rFonts w:cstheme="majorHAnsi"/>
          <w:sz w:val="22"/>
          <w:szCs w:val="22"/>
          <w:lang w:val="en-GB"/>
        </w:rPr>
        <w:fldChar w:fldCharType="end"/>
      </w:r>
      <w:r w:rsidRPr="004E053C">
        <w:rPr>
          <w:rFonts w:cstheme="majorHAnsi"/>
          <w:sz w:val="22"/>
          <w:szCs w:val="22"/>
          <w:lang w:val="en-GB"/>
        </w:rPr>
        <w:t xml:space="preserve">. </w:t>
      </w:r>
      <w:r w:rsidR="009E7E3E" w:rsidRPr="004E053C">
        <w:rPr>
          <w:rFonts w:cstheme="majorHAnsi"/>
          <w:sz w:val="22"/>
          <w:szCs w:val="22"/>
          <w:lang w:val="en-GB"/>
        </w:rPr>
        <w:t>In Madre de Dios</w:t>
      </w:r>
      <w:r w:rsidRPr="004E053C">
        <w:rPr>
          <w:rFonts w:cstheme="majorHAnsi"/>
          <w:sz w:val="22"/>
          <w:szCs w:val="22"/>
          <w:lang w:val="en-GB"/>
        </w:rPr>
        <w:t xml:space="preserve"> the </w:t>
      </w:r>
      <w:r w:rsidRPr="004E053C">
        <w:rPr>
          <w:rFonts w:cstheme="majorHAnsi"/>
          <w:color w:val="000000" w:themeColor="text1"/>
          <w:sz w:val="22"/>
          <w:szCs w:val="22"/>
          <w:lang w:val="en-GB"/>
        </w:rPr>
        <w:t>violence in certain areas has come to define the whole province and the miners who work within it</w:t>
      </w:r>
      <w:r w:rsidR="00E433EA" w:rsidRPr="004E053C">
        <w:rPr>
          <w:rFonts w:cstheme="majorHAnsi"/>
          <w:color w:val="000000" w:themeColor="text1"/>
          <w:sz w:val="22"/>
          <w:szCs w:val="22"/>
          <w:lang w:val="en-GB"/>
        </w:rPr>
        <w:t xml:space="preserve">. </w:t>
      </w:r>
    </w:p>
    <w:p w14:paraId="3435BA8E" w14:textId="77777777" w:rsidR="00FE47C4" w:rsidRPr="004E053C" w:rsidRDefault="00FE47C4" w:rsidP="004E053C">
      <w:pPr>
        <w:spacing w:line="360" w:lineRule="auto"/>
        <w:jc w:val="both"/>
        <w:rPr>
          <w:rFonts w:cstheme="majorHAnsi"/>
          <w:color w:val="000000" w:themeColor="text1"/>
          <w:sz w:val="22"/>
          <w:szCs w:val="22"/>
          <w:lang w:val="en-GB"/>
        </w:rPr>
      </w:pPr>
    </w:p>
    <w:p w14:paraId="0C42AE2F" w14:textId="6BB8004B" w:rsidR="00FE47C4" w:rsidRPr="004E053C" w:rsidRDefault="00EA7F83" w:rsidP="004E053C">
      <w:pPr>
        <w:pStyle w:val="Heading3"/>
        <w:rPr>
          <w:rFonts w:asciiTheme="minorHAnsi" w:hAnsiTheme="minorHAnsi"/>
        </w:rPr>
      </w:pPr>
      <w:r w:rsidRPr="004E053C">
        <w:rPr>
          <w:rFonts w:asciiTheme="minorHAnsi" w:hAnsiTheme="minorHAnsi"/>
        </w:rPr>
        <w:t>4</w:t>
      </w:r>
      <w:r w:rsidR="004A3EF1" w:rsidRPr="004E053C">
        <w:rPr>
          <w:rFonts w:asciiTheme="minorHAnsi" w:hAnsiTheme="minorHAnsi"/>
        </w:rPr>
        <w:t>.5.2. Contesting c</w:t>
      </w:r>
      <w:r w:rsidR="00FE47C4" w:rsidRPr="004E053C">
        <w:rPr>
          <w:rFonts w:asciiTheme="minorHAnsi" w:hAnsiTheme="minorHAnsi"/>
        </w:rPr>
        <w:t xml:space="preserve">riminality  </w:t>
      </w:r>
    </w:p>
    <w:p w14:paraId="7520F752" w14:textId="77777777" w:rsidR="00FE47C4" w:rsidRPr="004E053C" w:rsidRDefault="00FE47C4" w:rsidP="004E053C">
      <w:pPr>
        <w:spacing w:line="360" w:lineRule="auto"/>
        <w:jc w:val="both"/>
        <w:rPr>
          <w:rFonts w:cstheme="majorHAnsi"/>
          <w:lang w:val="en-GB"/>
        </w:rPr>
      </w:pPr>
    </w:p>
    <w:p w14:paraId="0CBCF21D" w14:textId="1301CD22"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As we have seen, while social fields have their own rules and logic, which constrain the social practices of the agents acting within them, these logics can be contested </w:t>
      </w:r>
      <w:r w:rsidR="00170378" w:rsidRPr="004E053C">
        <w:rPr>
          <w:rFonts w:cstheme="majorHAnsi"/>
          <w:sz w:val="22"/>
          <w:szCs w:val="22"/>
          <w:lang w:val="en-GB" w:eastAsia="zh-CN"/>
        </w:rPr>
        <w:fldChar w:fldCharType="begin" w:fldLock="1"/>
      </w:r>
      <w:r w:rsidR="00170378" w:rsidRPr="004E053C">
        <w:rPr>
          <w:rFonts w:cstheme="majorHAnsi"/>
          <w:sz w:val="22"/>
          <w:szCs w:val="22"/>
          <w:lang w:val="en-GB" w:eastAsia="zh-CN"/>
        </w:rPr>
        <w:instrText>ADDIN CSL_CITATION {"citationItems":[{"id":"ITEM-1","itemData":{"author":[{"dropping-particle":"","family":"Bourdieu","given":"Pierre","non-dropping-particle":"","parse-names":false,"suffix":""}],"container-title":"Source: Theory and Society","id":"ITEM-1","issue":"6","issued":{"date-parts":[["1985"]]},"number-of-pages":"723-744","title":"The Social Space and the Genesis of Groups","type":"report","volume":"14"},"uris":["http://www.mendeley.com/documents/?uuid=f0c35b42-1dca-3e1c-80e1-fc37c7ba756a"]},{"id":"ITEM-2","itemData":{"author":[{"dropping-particle":"","family":"Bourdieu","given":"Pierre","non-dropping-particle":"","parse-names":false,"suffix":""},{"dropping-particle":"","family":"Wacquant","given":"Loic","non-dropping-particle":"","parse-names":false,"suffix":""}],"id":"ITEM-2","issued":{"date-parts":[["1992"]]},"publisher":"University of Chicago Press","publisher-place":"Chicago","title":"An Invitation to Reflexive Sociology","type":"book"},"uris":["http://www.mendeley.com/documents/?uuid=c1429f32-90a2-3b41-90c4-9a470864a959"]},{"id":"ITEM-3","itemData":{"author":[{"dropping-particle":"","family":"Sakdapolrak","given":"P","non-dropping-particle":"","parse-names":false,"suffix":""}],"container-title":"Geographica Helvetica","id":"ITEM-3","issued":{"date-parts":[["2014"]]},"page":"19-28","title":"Livelihoods as social practices: re-energising livelihoods research with Bordieu’s theory of practice","type":"article-journal","volume":"69"},"uris":["http://www.mendeley.com/documents/?uuid=5c558648-6b19-4867-92d5-24033fabb968"]}],"mendeley":{"formattedCitation":"(Bourdieu, 1985; Bourdieu &amp; Wacquant, 1992; P Sakdapolrak, 2014)","manualFormatting":"(Bourdieu, 1985; Bourdieu &amp; Wacquant, 1992; Sakdapolrak, 2014)","plainTextFormattedCitation":"(Bourdieu, 1985; Bourdieu &amp; Wacquant, 1992; P Sakdapolrak, 2014)","previouslyFormattedCitation":"(Bourdieu, 1985; Bourdieu &amp; Wacquant, 1992; P Sakdapolrak, 2014)"},"properties":{"noteIndex":0},"schema":"https://github.com/citation-style-language/schema/raw/master/csl-citation.json"}</w:instrText>
      </w:r>
      <w:r w:rsidR="00170378" w:rsidRPr="004E053C">
        <w:rPr>
          <w:rFonts w:cstheme="majorHAnsi"/>
          <w:sz w:val="22"/>
          <w:szCs w:val="22"/>
          <w:lang w:val="en-GB" w:eastAsia="zh-CN"/>
        </w:rPr>
        <w:fldChar w:fldCharType="separate"/>
      </w:r>
      <w:r w:rsidR="00170378" w:rsidRPr="004E053C">
        <w:rPr>
          <w:rFonts w:cstheme="majorHAnsi"/>
          <w:noProof/>
          <w:sz w:val="22"/>
          <w:szCs w:val="22"/>
          <w:lang w:val="en-GB" w:eastAsia="zh-CN"/>
        </w:rPr>
        <w:t>(Bourdieu, 1985; Bourdieu &amp; Wacquant, 1992; Sakdapolrak, 2014)</w:t>
      </w:r>
      <w:r w:rsidR="00170378" w:rsidRPr="004E053C">
        <w:rPr>
          <w:rFonts w:cstheme="majorHAnsi"/>
          <w:sz w:val="22"/>
          <w:szCs w:val="22"/>
          <w:lang w:val="en-GB" w:eastAsia="zh-CN"/>
        </w:rPr>
        <w:fldChar w:fldCharType="end"/>
      </w:r>
      <w:r w:rsidR="00170378" w:rsidRPr="004E053C">
        <w:rPr>
          <w:rFonts w:cstheme="majorHAnsi"/>
          <w:sz w:val="22"/>
          <w:szCs w:val="22"/>
          <w:lang w:val="en-GB" w:eastAsia="zh-CN"/>
        </w:rPr>
        <w:t xml:space="preserve">. </w:t>
      </w:r>
      <w:r w:rsidRPr="004E053C">
        <w:rPr>
          <w:rFonts w:cstheme="majorHAnsi"/>
          <w:sz w:val="22"/>
          <w:szCs w:val="22"/>
          <w:lang w:val="en-GB"/>
        </w:rPr>
        <w:t xml:space="preserve">Furthermore, while the state’s position in the field of power allows it to set the rules of the social field, these are also open to reinterpretation and contestation and are often only selectively enforced </w:t>
      </w:r>
      <w:r w:rsidR="00170378"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{"citationItems":[{"id":"ITEM-1","itemData":{"abstract":"Twelve years after the discussions on development and institutions at the meeting of the Geographischer Arbeitskreis Entwicklungstheorien (GAE 2000) in Z?rich, this paper seeks to put institutions back on the research agenda in development geography. The authors explore recent trends in institutional theory and propose a dialectic understanding of \"doing institutions\" that positions social actors and their everyday practices at the center of institutional analysis. Institutions are the socially (re-)produced rules that enable, constrain and give meaning to the social practices of actors. Actors make institutions; at the same time institutions make actors do certain things. Based on this foundation, three central aspects of the institutional debate are elaborated: Institutional plurality, the legitimacy of institutions, and the role of the state. Two case studies from recent research in South Asia illustrate aspects of the conceptual considerations. The article ends with an outlook on the implications of \"doing institutions\" for future research in development geography.","author":[{"dropping-particle":"","family":"Etzold","given":"Benjamin","non-dropping-particle":"","parse-names":false,"suffix":""},{"dropping-particle":"","family":"Jülich","given":"Sebastian","non-dropping-particle":"","parse-names":false,"suffix":""},{"dropping-particle":"","family":"Keck","given":"Markus","non-dropping-particle":"","parse-names":false,"suffix":""},{"dropping-particle":"","family":"Sakdapolrak","given":"Patrick","non-dropping-particle":"","parse-names":false,"suffix":""},{"dropping-particle":"","family":"Schmitt","given":"Thomas","non-dropping-particle":"","parse-names":false,"suffix":""},{"dropping-particle":"","family":"Zimmer","given":"Anna","non-dropping-particle":"","parse-names":false,"suffix":""}],"container-title":"Erdkunde","id":"ITEM-1","issue":"3","issued":{"date-parts":[["2012"]]},"page":"185-195","title":"Doing institutions: a dialectic reading of institutions and social practices and its relevance for development geography","type":"article-journal","volume":"66"},"uris":["http://www.mendeley.com/documents/?uuid=940c35f7-3268-3f8b-9eb7-0fc3320c0a7e"]}],"mendeley":{"formattedCitation":"(Etzold et al., 2012)","plainTextFormattedCitation":"(Etzold et al., 2012)","previouslyFormattedCitation":"(Etzold et al., 2012)"},"properties":{"noteIndex":0},"schema":"https://github.com/citation-style-language/schema/raw/master/csl-citation.json"}</w:instrText>
      </w:r>
      <w:r w:rsidR="00170378" w:rsidRPr="004E053C">
        <w:rPr>
          <w:rFonts w:cstheme="majorHAnsi"/>
          <w:sz w:val="22"/>
          <w:szCs w:val="22"/>
          <w:lang w:val="en-GB"/>
        </w:rPr>
        <w:fldChar w:fldCharType="separate"/>
      </w:r>
      <w:r w:rsidR="00170378" w:rsidRPr="004E053C">
        <w:rPr>
          <w:rFonts w:cstheme="majorHAnsi"/>
          <w:noProof/>
          <w:sz w:val="22"/>
          <w:szCs w:val="22"/>
          <w:lang w:val="en-GB"/>
        </w:rPr>
        <w:t>(Etzold et al., 2012)</w:t>
      </w:r>
      <w:r w:rsidR="00170378" w:rsidRPr="004E053C">
        <w:rPr>
          <w:rFonts w:cstheme="majorHAnsi"/>
          <w:sz w:val="22"/>
          <w:szCs w:val="22"/>
          <w:lang w:val="en-GB"/>
        </w:rPr>
        <w:fldChar w:fldCharType="end"/>
      </w:r>
      <w:r w:rsidR="00170378" w:rsidRPr="004E053C">
        <w:rPr>
          <w:rFonts w:cstheme="majorHAnsi"/>
          <w:sz w:val="22"/>
          <w:szCs w:val="22"/>
          <w:lang w:val="en-GB"/>
        </w:rPr>
        <w:t xml:space="preserve">. </w:t>
      </w:r>
      <w:r w:rsidRPr="004E053C">
        <w:rPr>
          <w:rFonts w:cstheme="majorHAnsi"/>
          <w:sz w:val="22"/>
          <w:szCs w:val="22"/>
          <w:lang w:val="en-GB"/>
        </w:rPr>
        <w:t>A Bourdieusian perspective focuses on the rationalities of soci</w:t>
      </w:r>
      <w:r w:rsidR="00170378" w:rsidRPr="004E053C">
        <w:rPr>
          <w:rFonts w:cstheme="majorHAnsi"/>
          <w:sz w:val="22"/>
          <w:szCs w:val="22"/>
          <w:lang w:val="en-GB"/>
        </w:rPr>
        <w:t xml:space="preserve">al practices </w:t>
      </w:r>
      <w:r w:rsidR="0017037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{"citationItems":[{"id":"ITEM-1","itemData":{"author":[{"dropping-particle":"","family":"Sakdapolrak","given":"P","non-dropping-particle":"","parse-names":false,"suffix":""}],"container-title":"Geographica Helvetica","id":"ITEM-1","issued":{"date-parts":[["2014"]]},"page":"19-28","title":"Livelihoods as social practices: re-energising livelihoods research with Bordieu’s theory of practice","type":"article-journal","volume":"69"},"uris":["http://www.mendeley.com/documents/?uuid=5c558648-6b19-4867-92d5-24033fabb968"]}],"mendeley":{"formattedCitation":"(P Sakdapolrak, 2014)","manualFormatting":"(Sakdapolrak, 2014)","plainTextFormattedCitation":"(P Sakdapolrak, 2014)","previouslyFormattedCitation":"(P Sakdapolrak, 2014)"},"properties":{"noteIndex":0},"schema":"https://github.com/citation-style-language/schema/raw/master/csl-citation.json"}</w:instrText>
      </w:r>
      <w:r w:rsidR="00170378" w:rsidRPr="004E053C">
        <w:rPr>
          <w:rFonts w:cstheme="majorHAnsi"/>
          <w:sz w:val="22"/>
          <w:szCs w:val="22"/>
          <w:lang w:val="en-GB"/>
        </w:rPr>
        <w:fldChar w:fldCharType="separate"/>
      </w:r>
      <w:r w:rsidR="00170378" w:rsidRPr="004E053C">
        <w:rPr>
          <w:rFonts w:cstheme="majorHAnsi"/>
          <w:noProof/>
          <w:sz w:val="22"/>
          <w:szCs w:val="22"/>
          <w:lang w:val="en-GB"/>
        </w:rPr>
        <w:t>(Sakdapolrak, 2014)</w:t>
      </w:r>
      <w:r w:rsidR="00170378" w:rsidRPr="004E053C">
        <w:rPr>
          <w:rFonts w:cstheme="majorHAnsi"/>
          <w:sz w:val="22"/>
          <w:szCs w:val="22"/>
          <w:lang w:val="en-GB"/>
        </w:rPr>
        <w:fldChar w:fldCharType="end"/>
      </w:r>
      <w:r w:rsidRPr="004E053C">
        <w:rPr>
          <w:rFonts w:cstheme="majorHAnsi"/>
          <w:sz w:val="22"/>
          <w:szCs w:val="22"/>
          <w:lang w:val="en-GB"/>
        </w:rPr>
        <w:t xml:space="preserve">. This is particular interesting with regard to ASM because it is an illicit livelihood. The rules of the field are heavily influenced by the Government and powerful gangs, which means these social practices occur within an extremely insecure context, yet the practices continue. The continuation of this ‘deviant’ ASM livelihood activity, along with the associated police corruption, is very similar to the conceptualisation of ‘gray space’ in urban areas, where populations are indefinitely positioned between the ‘lightness’ of legality, safety and full membership, and the ‘darkness’ of eviction, destruction and death </w:t>
      </w:r>
      <w:r w:rsidR="00781E91" w:rsidRPr="004E053C">
        <w:rPr>
          <w:rFonts w:cstheme="majorHAnsi"/>
          <w:sz w:val="22"/>
          <w:szCs w:val="22"/>
          <w:lang w:val="en-GB"/>
        </w:rPr>
        <w:fldChar w:fldCharType="begin" w:fldLock="1"/>
      </w:r>
      <w:r w:rsidR="00781E91" w:rsidRPr="004E053C">
        <w:rPr>
          <w:rFonts w:cstheme="majorHAnsi"/>
          <w:sz w:val="22"/>
          <w:szCs w:val="22"/>
          <w:lang w:val="en-GB"/>
        </w:rPr>
        <w:instrText>ADDIN CSL_CITATION {"citationItems":[{"id":"ITEM-1","itemData":{"author":[{"dropping-particle":"","family":"Yiftachel","given":"Oren","non-dropping-particle":"","parse-names":false,"suffix":""}],"container-title":"City","id":"ITEM-1","issue":"2-3","issued":{"date-parts":[["2010"]]},"page":"246-263","title":"Critical theory and ‘gray space’: Mobilization of the colonized’","type":"article-journal","volume":"13"},"uris":["http://www.mendeley.com/documents/?uuid=fc0aafec-c405-4ab7-b194-f8cc4fd16e2c"]}],"mendeley":{"formattedCitation":"(Yiftachel, 2010)","plainTextFormattedCitation":"(Yiftachel, 2010)","previouslyFormattedCitation":"(Yiftachel, 2010)"},"properties":{"noteIndex":0},"schema":"https://github.com/citation-style-language/schema/raw/master/csl-citation.json"}</w:instrText>
      </w:r>
      <w:r w:rsidR="00781E91" w:rsidRPr="004E053C">
        <w:rPr>
          <w:rFonts w:cstheme="majorHAnsi"/>
          <w:sz w:val="22"/>
          <w:szCs w:val="22"/>
          <w:lang w:val="en-GB"/>
        </w:rPr>
        <w:fldChar w:fldCharType="separate"/>
      </w:r>
      <w:r w:rsidR="00781E91" w:rsidRPr="004E053C">
        <w:rPr>
          <w:rFonts w:cstheme="majorHAnsi"/>
          <w:noProof/>
          <w:sz w:val="22"/>
          <w:szCs w:val="22"/>
          <w:lang w:val="en-GB"/>
        </w:rPr>
        <w:t>(Yiftachel, 2010)</w:t>
      </w:r>
      <w:r w:rsidR="00781E91" w:rsidRPr="004E053C">
        <w:rPr>
          <w:rFonts w:cstheme="majorHAnsi"/>
          <w:sz w:val="22"/>
          <w:szCs w:val="22"/>
          <w:lang w:val="en-GB"/>
        </w:rPr>
        <w:fldChar w:fldCharType="end"/>
      </w:r>
      <w:r w:rsidRPr="004E053C">
        <w:rPr>
          <w:rFonts w:cstheme="majorHAnsi"/>
          <w:sz w:val="22"/>
          <w:szCs w:val="22"/>
          <w:lang w:val="en-GB"/>
        </w:rPr>
        <w:t>. As Van Bockstael illustrates:</w:t>
      </w:r>
    </w:p>
    <w:p w14:paraId="47A0F69C" w14:textId="77777777" w:rsidR="00FE47C4" w:rsidRPr="004E053C" w:rsidRDefault="00FE47C4" w:rsidP="004E053C">
      <w:pPr>
        <w:spacing w:line="360" w:lineRule="auto"/>
        <w:jc w:val="both"/>
        <w:rPr>
          <w:rFonts w:cstheme="majorHAnsi"/>
          <w:sz w:val="22"/>
          <w:szCs w:val="22"/>
          <w:lang w:val="en-GB" w:eastAsia="zh-CN"/>
        </w:rPr>
      </w:pPr>
    </w:p>
    <w:p w14:paraId="0521A1BB" w14:textId="7F31ACF6" w:rsidR="00FE47C4" w:rsidRPr="004E053C" w:rsidRDefault="00FE47C4" w:rsidP="004E053C">
      <w:pPr>
        <w:ind w:left="720"/>
        <w:jc w:val="both"/>
        <w:rPr>
          <w:rFonts w:cstheme="majorHAnsi"/>
          <w:sz w:val="22"/>
          <w:szCs w:val="22"/>
          <w:lang w:val="en-GB" w:eastAsia="zh-CN"/>
        </w:rPr>
      </w:pPr>
      <w:r w:rsidRPr="004E053C">
        <w:rPr>
          <w:rFonts w:cstheme="majorHAnsi"/>
          <w:sz w:val="22"/>
          <w:szCs w:val="22"/>
          <w:lang w:val="en-GB" w:eastAsia="zh-CN"/>
        </w:rPr>
        <w:t>‘While only a small minority of miners deliberately mine illegally, most still lack the necessary legal paperwork and are therefore classified as illegal. In reality, however, we find that many miners operate in the gray zone between legal and illegal status, a space where miners, customary authorities, and government representatives are engaged in a constant negotiation over governance of the artisanal mining a</w:t>
      </w:r>
      <w:r w:rsidR="00781E91" w:rsidRPr="004E053C">
        <w:rPr>
          <w:rFonts w:cstheme="majorHAnsi"/>
          <w:sz w:val="22"/>
          <w:szCs w:val="22"/>
          <w:lang w:val="en-GB" w:eastAsia="zh-CN"/>
        </w:rPr>
        <w:t xml:space="preserve">ctivities’ </w:t>
      </w:r>
      <w:r w:rsidR="00781E91"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{"citationItems":[{"id":"ITEM-1","itemData":{"abstract":"Throughout most of the developing world, the artisanal and small-scale exploitation of high-value resources such as gold and diamonds, often takes place informally, without the proper legal authorization. Government officials often blame this informality on miners' unwillingness to comply with legal requirements. However, the lack of government capacity to adequately enforce such legislation, and the question of whether or not that legislation is actually feasible, is rarely considered to be a relevant factor determining the level of informality of artisanal mining operations. Drawing on field research in Liberia, this paper argues that many artisanal miners are in fact operating at various stages of legality, through payment of informal taxes, and following informal agreements made with local government officials. This kind of informal taxation can be seen as a locally grounded formalization, benefiting both cash-strapped artisanal miners who are unable to pay the full fees required by the Mining Code, and underpaid government officials who are presented with an opportunity to supplement their incomes. While illegal in absolute terms, these practices raise important questions regarding the feasibility and legitimacy of the current Mining Code, and the ways in which this crucial economic activity should be regulated in the future. © 2014 Elsevier Ltd.","author":[{"dropping-particle":"","family":"Bockstael","given":"Steven","non-dropping-particle":"Van","parse-names":false,"suffix":""}],"container-title":"Futures","id":"ITEM-1","issue":"Part A","issued":{"date-parts":[["2014"]]},"page":"10-20","publisher":"Elsevier Ltd","title":"The persistence of informality: perspectives on the future of artisanal mining in Liberia","type":"article-journal","volume":"62"},"uris":["http://www.mendeley.com/documents/?uuid=1a0454ab-0fb3-4815-905f-0f01306a6132"]}],"mendeley":{"formattedCitation":"(Van Bockstael, 2014)","plainTextFormattedCitation":"(Van Bockstael, 2014)","previouslyFormattedCitation":"(Van Bockstael, 2014)"},"properties":{"noteIndex":0},"schema":"https://github.com/citation-style-language/schema/raw/master/csl-citation.json"}</w:instrText>
      </w:r>
      <w:r w:rsidR="00781E91" w:rsidRPr="004E053C">
        <w:rPr>
          <w:rFonts w:cstheme="majorHAnsi"/>
          <w:sz w:val="22"/>
          <w:szCs w:val="22"/>
          <w:lang w:val="en-GB" w:eastAsia="zh-CN"/>
        </w:rPr>
        <w:fldChar w:fldCharType="separate"/>
      </w:r>
      <w:r w:rsidR="00781E91" w:rsidRPr="004E053C">
        <w:rPr>
          <w:rFonts w:cstheme="majorHAnsi"/>
          <w:noProof/>
          <w:sz w:val="22"/>
          <w:szCs w:val="22"/>
          <w:lang w:val="en-GB" w:eastAsia="zh-CN"/>
        </w:rPr>
        <w:t>(Van Bockstael, 2014)</w:t>
      </w:r>
      <w:r w:rsidR="00781E91" w:rsidRPr="004E053C">
        <w:rPr>
          <w:rFonts w:cstheme="majorHAnsi"/>
          <w:sz w:val="22"/>
          <w:szCs w:val="22"/>
          <w:lang w:val="en-GB" w:eastAsia="zh-CN"/>
        </w:rPr>
        <w:fldChar w:fldCharType="end"/>
      </w:r>
      <w:r w:rsidRPr="004E053C">
        <w:rPr>
          <w:rFonts w:cstheme="majorHAnsi"/>
          <w:sz w:val="22"/>
          <w:szCs w:val="22"/>
          <w:lang w:val="en-GB" w:eastAsia="zh-CN"/>
        </w:rPr>
        <w:t xml:space="preserve">. </w:t>
      </w:r>
    </w:p>
    <w:p w14:paraId="76463B5A" w14:textId="77777777" w:rsidR="00FE47C4" w:rsidRPr="004E053C" w:rsidRDefault="00FE47C4" w:rsidP="004E053C">
      <w:pPr>
        <w:spacing w:line="360" w:lineRule="auto"/>
        <w:jc w:val="both"/>
        <w:rPr>
          <w:rFonts w:cstheme="majorHAnsi"/>
          <w:sz w:val="22"/>
          <w:szCs w:val="22"/>
          <w:lang w:val="en-GB" w:eastAsia="zh-CN"/>
        </w:rPr>
      </w:pPr>
    </w:p>
    <w:p w14:paraId="7F5FE347" w14:textId="4FCE523B" w:rsidR="00FE47C4" w:rsidRPr="004E053C" w:rsidRDefault="00493151" w:rsidP="004E053C">
      <w:pPr>
        <w:spacing w:line="360" w:lineRule="auto"/>
        <w:jc w:val="both"/>
        <w:rPr>
          <w:rFonts w:cstheme="majorHAnsi"/>
          <w:sz w:val="22"/>
          <w:szCs w:val="22"/>
          <w:lang w:val="en-GB"/>
        </w:rPr>
      </w:pPr>
      <w:r w:rsidRPr="004E053C">
        <w:rPr>
          <w:rFonts w:cstheme="majorHAnsi"/>
          <w:sz w:val="22"/>
          <w:szCs w:val="22"/>
          <w:lang w:val="en-GB"/>
        </w:rPr>
        <w:lastRenderedPageBreak/>
        <w:t>T</w:t>
      </w:r>
      <w:r w:rsidR="00FE47C4" w:rsidRPr="004E053C">
        <w:rPr>
          <w:rFonts w:cstheme="majorHAnsi"/>
          <w:sz w:val="22"/>
          <w:szCs w:val="22"/>
          <w:lang w:val="en-GB"/>
        </w:rPr>
        <w:t xml:space="preserve">he notion that </w:t>
      </w:r>
      <w:r w:rsidRPr="004E053C">
        <w:rPr>
          <w:rFonts w:cstheme="majorHAnsi"/>
          <w:sz w:val="22"/>
          <w:szCs w:val="22"/>
          <w:lang w:val="en-GB"/>
        </w:rPr>
        <w:t xml:space="preserve">informality in ASM continues </w:t>
      </w:r>
      <w:r w:rsidR="00FE47C4" w:rsidRPr="004E053C">
        <w:rPr>
          <w:rFonts w:cstheme="majorHAnsi"/>
          <w:sz w:val="22"/>
          <w:szCs w:val="22"/>
          <w:lang w:val="en-GB"/>
        </w:rPr>
        <w:t xml:space="preserve">simply </w:t>
      </w:r>
      <w:r w:rsidRPr="004E053C">
        <w:rPr>
          <w:rFonts w:cstheme="majorHAnsi"/>
          <w:sz w:val="22"/>
          <w:szCs w:val="22"/>
          <w:lang w:val="en-GB"/>
        </w:rPr>
        <w:t>because</w:t>
      </w:r>
      <w:r w:rsidR="00FE47C4" w:rsidRPr="004E053C">
        <w:rPr>
          <w:rFonts w:cstheme="majorHAnsi"/>
          <w:sz w:val="22"/>
          <w:szCs w:val="22"/>
          <w:lang w:val="en-GB"/>
        </w:rPr>
        <w:t xml:space="preserve"> miners</w:t>
      </w:r>
      <w:r w:rsidRPr="004E053C">
        <w:rPr>
          <w:rFonts w:cstheme="majorHAnsi"/>
          <w:sz w:val="22"/>
          <w:szCs w:val="22"/>
          <w:lang w:val="en-GB"/>
        </w:rPr>
        <w:t xml:space="preserve"> are</w:t>
      </w:r>
      <w:r w:rsidR="00FE47C4" w:rsidRPr="004E053C">
        <w:rPr>
          <w:rFonts w:cstheme="majorHAnsi"/>
          <w:sz w:val="22"/>
          <w:szCs w:val="22"/>
          <w:lang w:val="en-GB"/>
        </w:rPr>
        <w:t xml:space="preserve"> unwilling to comply with legal requirements</w:t>
      </w:r>
      <w:r w:rsidRPr="004E053C">
        <w:rPr>
          <w:rFonts w:cstheme="majorHAnsi"/>
          <w:sz w:val="22"/>
          <w:szCs w:val="22"/>
          <w:lang w:val="en-GB"/>
        </w:rPr>
        <w:t xml:space="preserve"> has been</w:t>
      </w:r>
      <w:r w:rsidR="00B41A6B" w:rsidRPr="004E053C">
        <w:rPr>
          <w:rFonts w:cstheme="majorHAnsi"/>
          <w:sz w:val="22"/>
          <w:szCs w:val="22"/>
          <w:lang w:val="en-GB"/>
        </w:rPr>
        <w:t xml:space="preserve"> rightly</w:t>
      </w:r>
      <w:r w:rsidRPr="004E053C">
        <w:rPr>
          <w:rFonts w:cstheme="majorHAnsi"/>
          <w:sz w:val="22"/>
          <w:szCs w:val="22"/>
          <w:lang w:val="en-GB"/>
        </w:rPr>
        <w:t xml:space="preserve"> questioned</w:t>
      </w:r>
      <w:r w:rsidR="00FE47C4" w:rsidRPr="004E053C">
        <w:rPr>
          <w:rFonts w:cstheme="majorHAnsi"/>
          <w:sz w:val="22"/>
          <w:szCs w:val="22"/>
          <w:lang w:val="en-GB"/>
        </w:rPr>
        <w:t xml:space="preserve"> </w:t>
      </w:r>
      <w:r w:rsidR="00781E91"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{"citationItems":[{"id":"ITEM-1","itemData":{"abstract":"Throughout most of the developing world, the artisanal and small-scale exploitation of high-value resources such as gold and diamonds, often takes place informally, without the proper legal authorization. Government officials often blame this informality on miners' unwillingness to comply with legal requirements. However, the lack of government capacity to adequately enforce such legislation, and the question of whether or not that legislation is actually feasible, is rarely considered to be a relevant factor determining the level of informality of artisanal mining operations. Drawing on field research in Liberia, this paper argues that many artisanal miners are in fact operating at various stages of legality, through payment of informal taxes, and following informal agreements made with local government officials. This kind of informal taxation can be seen as a locally grounded formalization, benefiting both cash-strapped artisanal miners who are unable to pay the full fees required by the Mining Code, and underpaid government officials who are presented with an opportunity to supplement their incomes. While illegal in absolute terms, these practices raise important questions regarding the feasibility and legitimacy of the current Mining Code, and the ways in which this crucial economic activity should be regulated in the future. © 2014 Elsevier Ltd.","author":[{"dropping-particle":"","family":"Bockstael","given":"Steven","non-dropping-particle":"Van","parse-names":false,"suffix":""}],"container-title":"Futures","id":"ITEM-1","issue":"Part A","issued":{"date-parts":[["2014"]]},"page":"10-20","publisher":"Elsevier Ltd","title":"The persistence of informality: perspectives on the future of artisanal mining in Liberia","type":"article-journal","volume":"62"},"uris":["http://www.mendeley.com/documents/?uuid=1a0454ab-0fb3-4815-905f-0f01306a6132"]},{"id":"ITEM-2","itemData":{"abstract":"This article critically evaluates existing causal explanations for the persistence of informality in artisanal and small-scale mining (ASM). These explanations share a legalistic focus on entry barriers and political impediments that prevent or discourage the formalization of poverty-driven ASM operators: however, they fail to fully explain cases such as that of the Philippines, where ASM is characterized by differentiation between a poverty-driven workforce and a dominant stratum of ASM entrepreneurs. Even where limited formalization frameworks provide ASM with a degree of legal recognition, this recognition is usually restricted to these more powerful ASM interests, while excluding the workforce at large. This article therefore proposes an integrative approach to analysing informality in ASM, which complements the existing legalistic focus on entry barriers with a structuralist concern over the exploitation of informal labour. Seen from this perspective, the massive expansion of ASM in the Philippines can be seen as the product of a transition away from capital-intensive large-scale mining to a flexible regime of accumulation built around the exploitation of informal ASM labour. This observation highlights the need to pay more critical attention to the economic logic and the vested interests underlying the (selective) persistence of informality in the workforce.","author":[{"dropping-particle":"","family":"Verbrugge","given":"Boris","non-dropping-particle":"","parse-names":false,"suffix":""}],"container-title":"Development and Change","id":"ITEM-2","issue":"5","issued":{"date-parts":[["2015"]]},"page":"1023-1046","title":"The economic logic of persistent informality: artisanal and small-scale mining in the Southern Philippines","type":"article-journal","volume":"46"},"uris":["http://www.mendeley.com/documents/?uuid=ea2a3549-433b-4412-ba6d-6c99ae5ab0c8"]}],"mendeley":{"formattedCitation":"(Van Bockstael, 2014; Verbrugge, 2015)","plainTextFormattedCitation":"(Van Bockstael, 2014; Verbrugge, 2015)","previouslyFormattedCitation":"(Van Bockstael, 2014; Verbrugge, 2015)"},"properties":{"noteIndex":0},"schema":"https://github.com/citation-style-language/schema/raw/master/csl-citation.json"}</w:instrText>
      </w:r>
      <w:r w:rsidR="00781E91" w:rsidRPr="004E053C">
        <w:rPr>
          <w:rFonts w:cstheme="majorHAnsi"/>
          <w:sz w:val="22"/>
          <w:szCs w:val="22"/>
          <w:lang w:val="en-GB"/>
        </w:rPr>
        <w:fldChar w:fldCharType="separate"/>
      </w:r>
      <w:r w:rsidR="00781E91" w:rsidRPr="004E053C">
        <w:rPr>
          <w:rFonts w:cstheme="majorHAnsi"/>
          <w:noProof/>
          <w:sz w:val="22"/>
          <w:szCs w:val="22"/>
          <w:lang w:val="en-GB"/>
        </w:rPr>
        <w:t>(Van Bockstael, 2014; Verbrugge, 2015)</w:t>
      </w:r>
      <w:r w:rsidR="00781E91" w:rsidRPr="004E053C">
        <w:rPr>
          <w:rFonts w:cstheme="majorHAnsi"/>
          <w:sz w:val="22"/>
          <w:szCs w:val="22"/>
          <w:lang w:val="en-GB"/>
        </w:rPr>
        <w:fldChar w:fldCharType="end"/>
      </w:r>
      <w:r w:rsidR="00FE47C4" w:rsidRPr="004E053C">
        <w:rPr>
          <w:rFonts w:cstheme="majorHAnsi"/>
          <w:sz w:val="22"/>
          <w:szCs w:val="22"/>
          <w:lang w:val="en-GB"/>
        </w:rPr>
        <w:t xml:space="preserve">. Campbell’s </w:t>
      </w:r>
      <w:r w:rsidR="00781E91" w:rsidRPr="004E053C">
        <w:rPr>
          <w:rFonts w:cstheme="majorHAnsi"/>
          <w:sz w:val="22"/>
          <w:szCs w:val="22"/>
          <w:lang w:val="en-GB"/>
        </w:rPr>
        <w:fldChar w:fldCharType="begin" w:fldLock="1"/>
      </w:r>
      <w:r w:rsidR="00781E91" w:rsidRPr="004E053C">
        <w:rPr>
          <w:rFonts w:cstheme="majorHAnsi"/>
          <w:sz w:val="22"/>
          <w:szCs w:val="22"/>
          <w:lang w:val="en-GB"/>
        </w:rPr>
        <w:instrText>ADDIN CSL_CITATION {"citationItems":[{"id":"ITEM-1","itemData":{"author":[{"dropping-particle":"","family":"Campbell","given":"Jeremy M","non-dropping-particle":"","parse-names":false,"suffix":""}],"id":"ITEM-1","issued":{"date-parts":[["2015"]]},"number-of-pages":"231","publisher":"University of Washington Press","publisher-place":"Seattle, WA","title":"Conjuring Property: Speculation and Environmental Futures in the Brazilian Amazon","type":"book"},"uris":["http://www.mendeley.com/documents/?uuid=4a505b05-99c8-425c-a771-8e87362968d3"]}],"mendeley":{"formattedCitation":"(Campbell, 2015)","manualFormatting":"(2015)","plainTextFormattedCitation":"(Campbell, 2015)","previouslyFormattedCitation":"(Campbell, 2015)"},"properties":{"noteIndex":0},"schema":"https://github.com/citation-style-language/schema/raw/master/csl-citation.json"}</w:instrText>
      </w:r>
      <w:r w:rsidR="00781E91" w:rsidRPr="004E053C">
        <w:rPr>
          <w:rFonts w:cstheme="majorHAnsi"/>
          <w:sz w:val="22"/>
          <w:szCs w:val="22"/>
          <w:lang w:val="en-GB"/>
        </w:rPr>
        <w:fldChar w:fldCharType="separate"/>
      </w:r>
      <w:r w:rsidR="00781E91" w:rsidRPr="004E053C">
        <w:rPr>
          <w:rFonts w:cstheme="majorHAnsi"/>
          <w:noProof/>
          <w:sz w:val="22"/>
          <w:szCs w:val="22"/>
          <w:lang w:val="en-GB"/>
        </w:rPr>
        <w:t>(2015)</w:t>
      </w:r>
      <w:r w:rsidR="00781E91" w:rsidRPr="004E053C">
        <w:rPr>
          <w:rFonts w:cstheme="majorHAnsi"/>
          <w:sz w:val="22"/>
          <w:szCs w:val="22"/>
          <w:lang w:val="en-GB"/>
        </w:rPr>
        <w:fldChar w:fldCharType="end"/>
      </w:r>
      <w:r w:rsidR="00FE47C4" w:rsidRPr="004E053C">
        <w:rPr>
          <w:rFonts w:cstheme="majorHAnsi"/>
          <w:sz w:val="22"/>
          <w:szCs w:val="22"/>
          <w:lang w:val="en-GB"/>
        </w:rPr>
        <w:t xml:space="preserve"> study of property rights in the Brazilian Amazon has highlighted the importance of understanding the influence local people can have over the state if one is to give a holistic analysis of the trajectory of governance and policy on the frontier. This is particularly important for ASM livelihoods, because if formalisation processes are to be successful they must incorporate the competing viewpoints, ideologies and values of the miners, the state and other stakeholders </w:t>
      </w:r>
      <w:r w:rsidR="00781E91"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{"citationItems":[{"id":"ITEM-1","itemData":{"author":[{"dropping-particle":"","family":"Spiegel","given":"S.J","non-dropping-particle":"","parse-names":false,"suffix":""}],"container-title":"World Development","id":"ITEM-1","issue":"1","issued":{"date-parts":[["2012"]]},"page":"189-205","title":"Governance institutions, resource rights regimes and the informal mining sector: regulatory complexities in Indonesia","type":"article-journal","volume":"40"},"uris":["http://www.mendeley.com/documents/?uuid=b1e039d3-5920-4bb2-81ff-6d18fd5382e7"]},{"id":"ITEM-2","itemData":{"abstract":"A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Society","id":"ITEM-2","issue":"4","issued":{"date-parts":[["2016"]]},"page":"1058-1066","publisher":"Elsevier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 Spiegel, 2012)","plainTextFormattedCitation":"(Salo et al., 2016; Spiegel, 2012)","previouslyFormattedCitation":"(Salo et al., 2016; Spiegel, 2012)"},"properties":{"noteIndex":0},"schema":"https://github.com/citation-style-language/schema/raw/master/csl-citation.json"}</w:instrText>
      </w:r>
      <w:r w:rsidR="00781E91" w:rsidRPr="004E053C">
        <w:rPr>
          <w:rFonts w:cstheme="majorHAnsi"/>
          <w:sz w:val="22"/>
          <w:szCs w:val="22"/>
          <w:lang w:val="en-GB"/>
        </w:rPr>
        <w:fldChar w:fldCharType="separate"/>
      </w:r>
      <w:r w:rsidR="00781E91" w:rsidRPr="004E053C">
        <w:rPr>
          <w:rFonts w:cstheme="majorHAnsi"/>
          <w:noProof/>
          <w:sz w:val="22"/>
          <w:szCs w:val="22"/>
          <w:lang w:val="en-GB"/>
        </w:rPr>
        <w:t>(Salo et al., 2016; Spiegel, 2012)</w:t>
      </w:r>
      <w:r w:rsidR="00781E91" w:rsidRPr="004E053C">
        <w:rPr>
          <w:rFonts w:cstheme="majorHAnsi"/>
          <w:sz w:val="22"/>
          <w:szCs w:val="22"/>
          <w:lang w:val="en-GB"/>
        </w:rPr>
        <w:fldChar w:fldCharType="end"/>
      </w:r>
      <w:r w:rsidR="00FE47C4" w:rsidRPr="004E053C">
        <w:rPr>
          <w:rFonts w:cstheme="majorHAnsi"/>
          <w:sz w:val="22"/>
          <w:szCs w:val="22"/>
          <w:lang w:val="en-GB"/>
        </w:rPr>
        <w:t xml:space="preserve">. </w:t>
      </w:r>
    </w:p>
    <w:p w14:paraId="1C9F171A" w14:textId="77777777" w:rsidR="00FE47C4" w:rsidRPr="004E053C" w:rsidRDefault="00FE47C4" w:rsidP="004E053C">
      <w:pPr>
        <w:spacing w:line="360" w:lineRule="auto"/>
        <w:jc w:val="both"/>
        <w:rPr>
          <w:rFonts w:cstheme="majorHAnsi"/>
          <w:sz w:val="22"/>
          <w:szCs w:val="22"/>
          <w:lang w:val="en-GB"/>
        </w:rPr>
      </w:pPr>
    </w:p>
    <w:p w14:paraId="1E46011C" w14:textId="122EC10C" w:rsidR="00FE47C4" w:rsidRPr="004E053C" w:rsidRDefault="00FE47C4" w:rsidP="004E053C">
      <w:pPr>
        <w:spacing w:line="360" w:lineRule="auto"/>
        <w:contextualSpacing/>
        <w:jc w:val="both"/>
        <w:rPr>
          <w:rFonts w:cstheme="majorHAnsi"/>
          <w:sz w:val="22"/>
          <w:szCs w:val="22"/>
          <w:lang w:val="en-GB"/>
        </w:rPr>
      </w:pPr>
      <w:r w:rsidRPr="004E053C">
        <w:rPr>
          <w:rFonts w:cstheme="majorHAnsi"/>
          <w:sz w:val="22"/>
          <w:szCs w:val="22"/>
          <w:lang w:val="en-GB" w:eastAsia="zh-CN"/>
        </w:rPr>
        <w:t xml:space="preserve">While the meaning the dominant society has attributed to Madre de Dios and the livelihoods and other social practices within it, has become one of deviance, this does not necessarily mean that those within the social field share this view. </w:t>
      </w:r>
      <w:r w:rsidRPr="004E053C">
        <w:rPr>
          <w:rFonts w:cstheme="majorHAnsi"/>
          <w:sz w:val="22"/>
          <w:szCs w:val="22"/>
          <w:lang w:val="en-GB"/>
        </w:rPr>
        <w:t xml:space="preserve">Van Dijk </w:t>
      </w:r>
      <w:r w:rsidR="00781E91" w:rsidRPr="004E053C">
        <w:rPr>
          <w:rFonts w:cstheme="majorHAnsi"/>
          <w:sz w:val="22"/>
          <w:szCs w:val="22"/>
          <w:lang w:val="en-GB"/>
        </w:rPr>
        <w:fldChar w:fldCharType="begin" w:fldLock="1"/>
      </w:r>
      <w:r w:rsidR="00781E91" w:rsidRPr="004E053C">
        <w:rPr>
          <w:rFonts w:cstheme="majorHAnsi"/>
          <w:sz w:val="22"/>
          <w:szCs w:val="22"/>
          <w:lang w:val="en-GB"/>
        </w:rPr>
        <w:instrText>ADDIN CSL_CITATION {"citationItems":[{"id":"ITEM-1","itemData":{"abstract":"To move urban livelihoods approaches beyond description to strategic action, its core concepts of livelihoods, capitals and livelihood outcomes (termed here as trajectories) need a more comprehensive and sociological conceptualisation. First, social structures are unpacked to show how livelihoods need to be thought of in terms of livelihood arrangements. Then, the problems with the present use of capitals, assets and resources (CARs) are discussed and their substantive, relational–contingent and embodied aspects outlined. Lastly, the article sketches a Sayer–Bourdieuian inspired approach.","author":[{"dropping-particle":"","family":"Dijk","given":"Tara","non-dropping-particle":"van","parse-names":false,"suffix":""}],"container-title":"Progress in Development Studies","id":"ITEM-1","issue":"2","issued":{"date-parts":[["2011"]]},"page":"101-117 ","title":"Livelihoods, capitals and livelihood trajectories: a more sociological conceptualisation","type":"article-journal","volume":"11"},"uris":["http://www.mendeley.com/documents/?uuid=c9dc3b17-1b4a-3205-a570-4e5cc77aaa43"]}],"mendeley":{"formattedCitation":"(van Dijk, 2011)","manualFormatting":"(2011)","plainTextFormattedCitation":"(van Dijk, 2011)","previouslyFormattedCitation":"(van Dijk, 2011)"},"properties":{"noteIndex":0},"schema":"https://github.com/citation-style-language/schema/raw/master/csl-citation.json"}</w:instrText>
      </w:r>
      <w:r w:rsidR="00781E91" w:rsidRPr="004E053C">
        <w:rPr>
          <w:rFonts w:cstheme="majorHAnsi"/>
          <w:sz w:val="22"/>
          <w:szCs w:val="22"/>
          <w:lang w:val="en-GB"/>
        </w:rPr>
        <w:fldChar w:fldCharType="separate"/>
      </w:r>
      <w:r w:rsidR="00781E91" w:rsidRPr="004E053C">
        <w:rPr>
          <w:rFonts w:cstheme="majorHAnsi"/>
          <w:noProof/>
          <w:sz w:val="22"/>
          <w:szCs w:val="22"/>
          <w:lang w:val="en-GB"/>
        </w:rPr>
        <w:t>(2011)</w:t>
      </w:r>
      <w:r w:rsidR="00781E91" w:rsidRPr="004E053C">
        <w:rPr>
          <w:rFonts w:cstheme="majorHAnsi"/>
          <w:sz w:val="22"/>
          <w:szCs w:val="22"/>
          <w:lang w:val="en-GB"/>
        </w:rPr>
        <w:fldChar w:fldCharType="end"/>
      </w:r>
      <w:r w:rsidRPr="004E053C">
        <w:rPr>
          <w:rFonts w:cstheme="majorHAnsi"/>
          <w:sz w:val="22"/>
          <w:szCs w:val="22"/>
          <w:lang w:val="en-GB"/>
        </w:rPr>
        <w:t xml:space="preserve"> has argued that while habitus informs how we see the world and act in it, it also crucially determines what seems fair to us. Furthermore, the basis of any given actor or institution’s authority depends on other actors within the field judging them as legitimate </w:t>
      </w:r>
      <w:r w:rsidR="00781E91"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{"citationItems":[{"id":"ITEM-1","itemData":{"abstract":"Twelve years after the discussions on development and institutions at the meeting of the Geographischer Arbeitskreis Entwicklungstheorien (GAE 2000) in Z?rich, this paper seeks to put institutions back on the research agenda in development geography. The authors explore recent trends in institutional theory and propose a dialectic understanding of \"doing institutions\" that positions social actors and their everyday practices at the center of institutional analysis. Institutions are the socially (re-)produced rules that enable, constrain and give meaning to the social practices of actors. Actors make institutions; at the same time institutions make actors do certain things. Based on this foundation, three central aspects of the institutional debate are elaborated: Institutional plurality, the legitimacy of institutions, and the role of the state. Two case studies from recent research in South Asia illustrate aspects of the conceptual considerations. The article ends with an outlook on the implications of \"doing institutions\" for future research in development geography.","author":[{"dropping-particle":"","family":"Etzold","given":"Benjamin","non-dropping-particle":"","parse-names":false,"suffix":""},{"dropping-particle":"","family":"Jülich","given":"Sebastian","non-dropping-particle":"","parse-names":false,"suffix":""},{"dropping-particle":"","family":"Keck","given":"Markus","non-dropping-particle":"","parse-names":false,"suffix":""},{"dropping-particle":"","family":"Sakdapolrak","given":"Patrick","non-dropping-particle":"","parse-names":false,"suffix":""},{"dropping-particle":"","family":"Schmitt","given":"Thomas","non-dropping-particle":"","parse-names":false,"suffix":""},{"dropping-particle":"","family":"Zimmer","given":"Anna","non-dropping-particle":"","parse-names":false,"suffix":""}],"container-title":"Erdkunde","id":"ITEM-1","issue":"3","issued":{"date-parts":[["2012"]]},"page":"185-195","title":"Doing institutions: a dialectic reading of institutions and social practices and its relevance for development geography","type":"article-journal","volume":"66"},"uris":["http://www.mendeley.com/documents/?uuid=940c35f7-3268-3f8b-9eb7-0fc3320c0a7e"]}],"mendeley":{"formattedCitation":"(Etzold et al., 2012)","plainTextFormattedCitation":"(Etzold et al., 2012)","previouslyFormattedCitation":"(Etzold et al., 2012)"},"properties":{"noteIndex":0},"schema":"https://github.com/citation-style-language/schema/raw/master/csl-citation.json"}</w:instrText>
      </w:r>
      <w:r w:rsidR="00781E91" w:rsidRPr="004E053C">
        <w:rPr>
          <w:rFonts w:cstheme="majorHAnsi"/>
          <w:sz w:val="22"/>
          <w:szCs w:val="22"/>
          <w:lang w:val="en-GB"/>
        </w:rPr>
        <w:fldChar w:fldCharType="separate"/>
      </w:r>
      <w:r w:rsidR="00781E91" w:rsidRPr="004E053C">
        <w:rPr>
          <w:rFonts w:cstheme="majorHAnsi"/>
          <w:noProof/>
          <w:sz w:val="22"/>
          <w:szCs w:val="22"/>
          <w:lang w:val="en-GB"/>
        </w:rPr>
        <w:t>(Etzold et al., 2012)</w:t>
      </w:r>
      <w:r w:rsidR="00781E91" w:rsidRPr="004E053C">
        <w:rPr>
          <w:rFonts w:cstheme="majorHAnsi"/>
          <w:sz w:val="22"/>
          <w:szCs w:val="22"/>
          <w:lang w:val="en-GB"/>
        </w:rPr>
        <w:fldChar w:fldCharType="end"/>
      </w:r>
      <w:r w:rsidRPr="004E053C">
        <w:rPr>
          <w:rFonts w:cstheme="majorHAnsi"/>
          <w:sz w:val="22"/>
          <w:szCs w:val="22"/>
          <w:lang w:val="en-GB"/>
        </w:rPr>
        <w:t xml:space="preserve">. For example, Etzold </w:t>
      </w:r>
      <w:r w:rsidR="00781E91"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{"citationItems":[{"id":"ITEM-1","itemData":{"author":[{"dropping-particle":"","family":"Etzold","given":"Benjamin","non-dropping-particle":"","parse-names":false,"suffix":""}],"id":"ITEM-1","issued":{"date-parts":[["2011"]]},"publisher-place":"Amsterdam","title":"Street food goverenance in Dhaka (Bangladesh): the appropriation of street vending spaces and the informal politics of exploitation","type":"report"},"uris":["http://www.mendeley.com/documents/?uuid=06d7ec71-4559-36e7-9bd3-39f2e9d55f54"]}],"mendeley":{"formattedCitation":"(Etzold, 2011)","manualFormatting":"(2011)","plainTextFormattedCitation":"(Etzold, 2011)","previouslyFormattedCitation":"(Etzold, 2011)"},"properties":{"noteIndex":0},"schema":"https://github.com/citation-style-language/schema/raw/master/csl-citation.json"}</w:instrText>
      </w:r>
      <w:r w:rsidR="00781E91" w:rsidRPr="004E053C">
        <w:rPr>
          <w:rFonts w:cstheme="majorHAnsi"/>
          <w:sz w:val="22"/>
          <w:szCs w:val="22"/>
          <w:lang w:val="en-GB"/>
        </w:rPr>
        <w:fldChar w:fldCharType="separate"/>
      </w:r>
      <w:r w:rsidR="00781E91" w:rsidRPr="004E053C">
        <w:rPr>
          <w:rFonts w:cstheme="majorHAnsi"/>
          <w:noProof/>
          <w:sz w:val="22"/>
          <w:szCs w:val="22"/>
          <w:lang w:val="en-GB"/>
        </w:rPr>
        <w:t>(2011)</w:t>
      </w:r>
      <w:r w:rsidR="00781E91" w:rsidRPr="004E053C">
        <w:rPr>
          <w:rFonts w:cstheme="majorHAnsi"/>
          <w:sz w:val="22"/>
          <w:szCs w:val="22"/>
          <w:lang w:val="en-GB"/>
        </w:rPr>
        <w:fldChar w:fldCharType="end"/>
      </w:r>
      <w:r w:rsidRPr="004E053C">
        <w:rPr>
          <w:rFonts w:cstheme="majorHAnsi"/>
          <w:sz w:val="22"/>
          <w:szCs w:val="22"/>
          <w:lang w:val="en-GB"/>
        </w:rPr>
        <w:t xml:space="preserve"> has used the example of informal street food vendors in Bangladesh to show how within a social field, formal rules may not be considered legitimate and thus often ignored by the actors operating within it. </w:t>
      </w:r>
      <w:r w:rsidRPr="004E053C">
        <w:rPr>
          <w:rFonts w:cstheme="majorHAnsi"/>
          <w:sz w:val="22"/>
          <w:szCs w:val="22"/>
          <w:lang w:val="en-GB" w:eastAsia="zh-CN"/>
        </w:rPr>
        <w:t xml:space="preserve">A key point of contestation within the ASM social field is then defining what, and who, is legal and what is not. Such definitions are often contested, particularly in places such as borderlands, mines and gold trade points </w:t>
      </w:r>
      <w:r w:rsidR="00781E91" w:rsidRPr="004E053C">
        <w:rPr>
          <w:rFonts w:cstheme="majorHAnsi"/>
          <w:sz w:val="22"/>
          <w:szCs w:val="22"/>
          <w:lang w:val="en-GB" w:eastAsia="zh-CN"/>
        </w:rPr>
        <w:fldChar w:fldCharType="begin" w:fldLock="1"/>
      </w:r>
      <w:r w:rsidR="00781E91" w:rsidRPr="004E053C">
        <w:rPr>
          <w:rFonts w:cstheme="majorHAnsi"/>
          <w:sz w:val="22"/>
          <w:szCs w:val="22"/>
          <w:lang w:val="en-GB" w:eastAsia="zh-CN"/>
        </w:rPr>
        <w:instrText>ADDIN CSL_CITATION {"citationItems":[{"id":"ITEM-1","itemData":{"author":[{"dropping-particle":"","family":"Titeca","given":"Kristof","non-dropping-particle":"","parse-names":false,"suffix":""},{"dropping-particle":"","family":"Herdt","given":"Tom","non-dropping-particle":"de","parse-names":false,"suffix":""}],"container-title":"Africa: Journal of the International African Institute","id":"ITEM-1","issue":"4","issued":{"date-parts":[["2010"]]},"page":"573-594","title":"Regulation, Cross-border Trade and Practical Norms in West Nile, North-Western Uganda","type":"article-journal","volume":"80"},"uris":["http://www.mendeley.com/documents/?uuid=ff20204b-1a7f-4f82-ad17-590df89e13b5"]}],"mendeley":{"formattedCitation":"(Titeca &amp; de Herdt, 2010)","plainTextFormattedCitation":"(Titeca &amp; de Herdt, 2010)","previouslyFormattedCitation":"(Titeca &amp; de Herdt, 2010)"},"properties":{"noteIndex":0},"schema":"https://github.com/citation-style-language/schema/raw/master/csl-citation.json"}</w:instrText>
      </w:r>
      <w:r w:rsidR="00781E91" w:rsidRPr="004E053C">
        <w:rPr>
          <w:rFonts w:cstheme="majorHAnsi"/>
          <w:sz w:val="22"/>
          <w:szCs w:val="22"/>
          <w:lang w:val="en-GB" w:eastAsia="zh-CN"/>
        </w:rPr>
        <w:fldChar w:fldCharType="separate"/>
      </w:r>
      <w:r w:rsidR="00781E91" w:rsidRPr="004E053C">
        <w:rPr>
          <w:rFonts w:cstheme="majorHAnsi"/>
          <w:noProof/>
          <w:sz w:val="22"/>
          <w:szCs w:val="22"/>
          <w:lang w:val="en-GB" w:eastAsia="zh-CN"/>
        </w:rPr>
        <w:t>(Titeca &amp; de Herdt, 2010)</w:t>
      </w:r>
      <w:r w:rsidR="00781E91" w:rsidRPr="004E053C">
        <w:rPr>
          <w:rFonts w:cstheme="majorHAnsi"/>
          <w:sz w:val="22"/>
          <w:szCs w:val="22"/>
          <w:lang w:val="en-GB" w:eastAsia="zh-CN"/>
        </w:rPr>
        <w:fldChar w:fldCharType="end"/>
      </w:r>
      <w:r w:rsidRPr="004E053C">
        <w:rPr>
          <w:rFonts w:cstheme="majorHAnsi"/>
          <w:sz w:val="22"/>
          <w:szCs w:val="22"/>
          <w:lang w:val="en-GB" w:eastAsia="zh-CN"/>
        </w:rPr>
        <w:t xml:space="preserve">. </w:t>
      </w:r>
      <w:r w:rsidRPr="004E053C">
        <w:rPr>
          <w:rFonts w:eastAsia="Times New Roman" w:cstheme="majorHAnsi"/>
          <w:sz w:val="22"/>
          <w:szCs w:val="22"/>
          <w:lang w:val="en-GB" w:eastAsia="zh-CN"/>
        </w:rPr>
        <w:t xml:space="preserve">While social rules may define behaviour that goes against social norms as ‘wrong’ or ‘deviant’, those who find themselves labelled as such may see the situation quite differently </w:t>
      </w:r>
      <w:r w:rsidR="00781E91" w:rsidRPr="004E053C">
        <w:rPr>
          <w:rFonts w:eastAsia="Times New Roman" w:cstheme="majorHAnsi"/>
          <w:sz w:val="22"/>
          <w:szCs w:val="22"/>
          <w:lang w:val="en-GB" w:eastAsia="zh-CN"/>
        </w:rPr>
        <w:fldChar w:fldCharType="begin" w:fldLock="1"/>
      </w:r>
      <w:r w:rsidR="00DB3DA8" w:rsidRPr="004E053C">
        <w:rPr>
          <w:rFonts w:eastAsia="Times New Roman" w:cstheme="majorHAnsi"/>
          <w:sz w:val="22"/>
          <w:szCs w:val="22"/>
          <w:lang w:val="en-GB" w:eastAsia="zh-CN"/>
        </w:rPr>
        <w:instrText>ADDIN CSL_CITATION {"citationItems":[{"id":"ITEM-1","itemData":{"author":[{"dropping-particle":"","family":"Becker","given":"Howard. S.","non-dropping-particle":"","parse-names":false,"suffix":""}],"id":"ITEM-1","issued":{"date-parts":[["1963"]]},"number-of-pages":"213","publisher":"The Free Press","publisher-place":"New York","title":"Outsiders: Studies in the Sociology of Deviance","type":"book"},"uris":["http://www.mendeley.com/documents/?uuid=a0af309e-d110-40cc-907a-12b4892a474b"]}],"mendeley":{"formattedCitation":"(H. S. Becker, 1963)","manualFormatting":"(Becker, 1963)","plainTextFormattedCitation":"(H. S. Becker, 1963)","previouslyFormattedCitation":"(H. S. Becker, 1963)"},"properties":{"noteIndex":0},"schema":"https://github.com/citation-style-language/schema/raw/master/csl-citation.json"}</w:instrText>
      </w:r>
      <w:r w:rsidR="00781E91" w:rsidRPr="004E053C">
        <w:rPr>
          <w:rFonts w:eastAsia="Times New Roman" w:cstheme="majorHAnsi"/>
          <w:sz w:val="22"/>
          <w:szCs w:val="22"/>
          <w:lang w:val="en-GB" w:eastAsia="zh-CN"/>
        </w:rPr>
        <w:fldChar w:fldCharType="separate"/>
      </w:r>
      <w:r w:rsidR="00071C60" w:rsidRPr="004E053C">
        <w:rPr>
          <w:rFonts w:eastAsia="Times New Roman" w:cstheme="majorHAnsi"/>
          <w:noProof/>
          <w:sz w:val="22"/>
          <w:szCs w:val="22"/>
          <w:lang w:val="en-GB" w:eastAsia="zh-CN"/>
        </w:rPr>
        <w:t>(</w:t>
      </w:r>
      <w:r w:rsidR="00BD2031" w:rsidRPr="004E053C">
        <w:rPr>
          <w:rFonts w:eastAsia="Times New Roman" w:cstheme="majorHAnsi"/>
          <w:noProof/>
          <w:sz w:val="22"/>
          <w:szCs w:val="22"/>
          <w:lang w:val="en-GB" w:eastAsia="zh-CN"/>
        </w:rPr>
        <w:t>Becker, 1963)</w:t>
      </w:r>
      <w:r w:rsidR="00781E91" w:rsidRPr="004E053C">
        <w:rPr>
          <w:rFonts w:eastAsia="Times New Roman" w:cstheme="majorHAnsi"/>
          <w:sz w:val="22"/>
          <w:szCs w:val="22"/>
          <w:lang w:val="en-GB" w:eastAsia="zh-CN"/>
        </w:rPr>
        <w:fldChar w:fldCharType="end"/>
      </w:r>
      <w:r w:rsidRPr="004E053C">
        <w:rPr>
          <w:rFonts w:eastAsia="Times New Roman" w:cstheme="majorHAnsi"/>
          <w:sz w:val="22"/>
          <w:szCs w:val="22"/>
          <w:lang w:val="en-GB" w:eastAsia="zh-CN"/>
        </w:rPr>
        <w:t xml:space="preserve">. Similarly, with reference to ASM, Geenen </w:t>
      </w:r>
      <w:r w:rsidR="00781E91" w:rsidRPr="004E053C">
        <w:rPr>
          <w:rFonts w:eastAsia="Times New Roman" w:cstheme="majorHAnsi"/>
          <w:sz w:val="22"/>
          <w:szCs w:val="22"/>
          <w:lang w:val="en-GB" w:eastAsia="zh-CN"/>
        </w:rPr>
        <w:fldChar w:fldCharType="begin" w:fldLock="1"/>
      </w:r>
      <w:r w:rsidR="008E3918" w:rsidRPr="004E053C">
        <w:rPr>
          <w:rFonts w:eastAsia="Times New Roman" w:cstheme="majorHAnsi"/>
          <w:sz w:val="22"/>
          <w:szCs w:val="22"/>
          <w:lang w:val="en-GB" w:eastAsia="zh-CN"/>
        </w:rPr>
        <w:instrText>ADDIN CSL_CITATION {"citationItems":[{"id":"ITEM-1","itemData":{"abstract":"This article aims to contribute to a better understanding of the local gold trade in Eastern DRC, a sector in which most activities are not officially registered and take place outside the regulatory framework of the state. Starting with the research on informal economies and networks, we find that in the absence of strong public and market institutions, personal relations are valued higher than pure market exchange. This is also demonstrated in the study of the local gold trade network. On the basis of fieldwork and in-depth interviews with traders and diggers, we describe how and why relationships are built in this context, what their nature is (credit and debt) and how they are maintained, reinforced and regulated. In order to fully understand the functioning of the network we also have to frame it in its specific local and historical context. The close connection between context and network dynamics is epitomized in a number of structural characteristics, which shape and are given shape by the network dynamics. This connection, and the specific relations and regulations in the network, need to be recognized if we want to make sense of formalization, a topical issue in Eastern DRC.","author":[{"dropping-particle":"","family":"Geenen","given":"Sara","non-dropping-particle":"","parse-names":false,"suffix":""}],"container-title":"Journal of Eastern African Studies","id":"ITEM-1","issue":"3","issued":{"date-parts":[["2011"]]},"page":"427-446","title":"Relations and regulations in local gold trade networks in South Kivu, Democratic Republic of Congo","type":"article-journal","volume":"5"},"uris":["http://www.mendeley.com/documents/?uuid=d82f790c-e779-4c83-8aaa-370da48bfd6a"]}],"mendeley":{"formattedCitation":"(Geenen, 2011)","manualFormatting":"(2011)","plainTextFormattedCitation":"(Geenen, 2011)","previouslyFormattedCitation":"(Geenen, 2011)"},"properties":{"noteIndex":0},"schema":"https://github.com/citation-style-language/schema/raw/master/csl-citation.json"}</w:instrText>
      </w:r>
      <w:r w:rsidR="00781E91" w:rsidRPr="004E053C">
        <w:rPr>
          <w:rFonts w:eastAsia="Times New Roman" w:cstheme="majorHAnsi"/>
          <w:sz w:val="22"/>
          <w:szCs w:val="22"/>
          <w:lang w:val="en-GB" w:eastAsia="zh-CN"/>
        </w:rPr>
        <w:fldChar w:fldCharType="separate"/>
      </w:r>
      <w:r w:rsidR="00781E91" w:rsidRPr="004E053C">
        <w:rPr>
          <w:rFonts w:eastAsia="Times New Roman" w:cstheme="majorHAnsi"/>
          <w:noProof/>
          <w:sz w:val="22"/>
          <w:szCs w:val="22"/>
          <w:lang w:val="en-GB" w:eastAsia="zh-CN"/>
        </w:rPr>
        <w:t>(2011)</w:t>
      </w:r>
      <w:r w:rsidR="00781E91" w:rsidRPr="004E053C">
        <w:rPr>
          <w:rFonts w:eastAsia="Times New Roman" w:cstheme="majorHAnsi"/>
          <w:sz w:val="22"/>
          <w:szCs w:val="22"/>
          <w:lang w:val="en-GB" w:eastAsia="zh-CN"/>
        </w:rPr>
        <w:fldChar w:fldCharType="end"/>
      </w:r>
      <w:r w:rsidRPr="004E053C">
        <w:rPr>
          <w:rFonts w:eastAsia="Times New Roman" w:cstheme="majorHAnsi"/>
          <w:sz w:val="22"/>
          <w:szCs w:val="22"/>
          <w:lang w:val="en-GB" w:eastAsia="zh-CN"/>
        </w:rPr>
        <w:t xml:space="preserve"> has pointed out that activities that often qualify as ‘illegal’ can be considered to be very legitimate in the eyes of the people involved, particularly when they are livelihood activities framed as a legitimate source of survival </w:t>
      </w:r>
      <w:r w:rsidR="00781E91" w:rsidRPr="004E053C">
        <w:rPr>
          <w:rFonts w:cstheme="majorHAnsi"/>
          <w:sz w:val="22"/>
          <w:szCs w:val="22"/>
          <w:lang w:val="en-GB" w:eastAsia="zh-CN"/>
        </w:rPr>
        <w:fldChar w:fldCharType="begin" w:fldLock="1"/>
      </w:r>
      <w:r w:rsidR="00781E91" w:rsidRPr="004E053C">
        <w:rPr>
          <w:rFonts w:cstheme="majorHAnsi"/>
          <w:sz w:val="22"/>
          <w:szCs w:val="22"/>
          <w:lang w:val="en-GB" w:eastAsia="zh-CN"/>
        </w:rPr>
        <w:instrText>ADDIN CSL_CITATION {"citationItems":[{"id":"ITEM-1","itemData":{"author":[{"dropping-particle":"","family":"Titeca","given":"Kristof","non-dropping-particle":"","parse-names":false,"suffix":""},{"dropping-particle":"","family":"Herdt","given":"Tom","non-dropping-particle":"de","parse-names":false,"suffix":""}],"container-title":"Africa: Journal of the International African Institute","id":"ITEM-1","issue":"4","issued":{"date-parts":[["2010"]]},"page":"573-594","title":"Regulation, Cross-border Trade and Practical Norms in West Nile, North-Western Uganda","type":"article-journal","volume":"80"},"uris":["http://www.mendeley.com/documents/?uuid=ff20204b-1a7f-4f82-ad17-590df89e13b5"]}],"mendeley":{"formattedCitation":"(Titeca &amp; de Herdt, 2010)","plainTextFormattedCitation":"(Titeca &amp; de Herdt, 2010)","previouslyFormattedCitation":"(Titeca &amp; de Herdt, 2010)"},"properties":{"noteIndex":0},"schema":"https://github.com/citation-style-language/schema/raw/master/csl-citation.json"}</w:instrText>
      </w:r>
      <w:r w:rsidR="00781E91" w:rsidRPr="004E053C">
        <w:rPr>
          <w:rFonts w:cstheme="majorHAnsi"/>
          <w:sz w:val="22"/>
          <w:szCs w:val="22"/>
          <w:lang w:val="en-GB" w:eastAsia="zh-CN"/>
        </w:rPr>
        <w:fldChar w:fldCharType="separate"/>
      </w:r>
      <w:r w:rsidR="00781E91" w:rsidRPr="004E053C">
        <w:rPr>
          <w:rFonts w:cstheme="majorHAnsi"/>
          <w:noProof/>
          <w:sz w:val="22"/>
          <w:szCs w:val="22"/>
          <w:lang w:val="en-GB" w:eastAsia="zh-CN"/>
        </w:rPr>
        <w:t>(Titeca &amp; de Herdt, 2010)</w:t>
      </w:r>
      <w:r w:rsidR="00781E91" w:rsidRPr="004E053C">
        <w:rPr>
          <w:rFonts w:cstheme="majorHAnsi"/>
          <w:sz w:val="22"/>
          <w:szCs w:val="22"/>
          <w:lang w:val="en-GB" w:eastAsia="zh-CN"/>
        </w:rPr>
        <w:fldChar w:fldCharType="end"/>
      </w:r>
      <w:r w:rsidR="00781E91" w:rsidRPr="004E053C">
        <w:rPr>
          <w:rFonts w:cstheme="majorHAnsi"/>
          <w:sz w:val="22"/>
          <w:szCs w:val="22"/>
          <w:lang w:val="en-GB" w:eastAsia="zh-CN"/>
        </w:rPr>
        <w:t xml:space="preserve">. </w:t>
      </w:r>
      <w:r w:rsidRPr="004E053C">
        <w:rPr>
          <w:rFonts w:eastAsia="Times New Roman" w:cstheme="majorHAnsi"/>
          <w:sz w:val="22"/>
          <w:szCs w:val="22"/>
          <w:lang w:val="en-GB" w:eastAsia="zh-CN"/>
        </w:rPr>
        <w:t xml:space="preserve">In such cases, the deviant, either an individual or a group, often rejects the rule by which they are being judged and, in some cases, may even regard those who have made these judgements as being either incompetent or not legitimately entitled to do so </w:t>
      </w:r>
      <w:r w:rsidR="00781E91" w:rsidRPr="004E053C">
        <w:rPr>
          <w:rFonts w:eastAsia="Times New Roman" w:cstheme="majorHAnsi"/>
          <w:sz w:val="22"/>
          <w:szCs w:val="22"/>
          <w:lang w:val="en-GB" w:eastAsia="zh-CN"/>
        </w:rPr>
        <w:fldChar w:fldCharType="begin" w:fldLock="1"/>
      </w:r>
      <w:r w:rsidR="00BD2031" w:rsidRPr="004E053C">
        <w:rPr>
          <w:rFonts w:eastAsia="Times New Roman" w:cstheme="majorHAnsi"/>
          <w:sz w:val="22"/>
          <w:szCs w:val="22"/>
          <w:lang w:val="en-GB" w:eastAsia="zh-CN"/>
        </w:rPr>
        <w:instrText>ADDIN CSL_CITATION {"citationItems":[{"id":"ITEM-1","itemData":{"author":[{"dropping-particle":"","family":"Becker","given":"Howard. S.","non-dropping-particle":"","parse-names":false,"suffix":""}],"id":"ITEM-1","issued":{"date-parts":[["1963"]]},"number-of-pages":"213","publisher":"The Free Press","publisher-place":"New York","title":"Outsiders: Studies in the Sociology of Deviance","type":"book"},"uris":["http://www.mendeley.com/documents/?uuid=a0af309e-d110-40cc-907a-12b4892a474b"]}],"mendeley":{"formattedCitation":"(H. S. Becker, 1963)","plainTextFormattedCitation":"(H. S. Becker, 1963)","previouslyFormattedCitation":"(H. S. Becker, 1963)"},"properties":{"noteIndex":0},"schema":"https://github.com/citation-style-language/schema/raw/master/csl-citation.json"}</w:instrText>
      </w:r>
      <w:r w:rsidR="00781E91" w:rsidRPr="004E053C">
        <w:rPr>
          <w:rFonts w:eastAsia="Times New Roman" w:cstheme="majorHAnsi"/>
          <w:sz w:val="22"/>
          <w:szCs w:val="22"/>
          <w:lang w:val="en-GB" w:eastAsia="zh-CN"/>
        </w:rPr>
        <w:fldChar w:fldCharType="separate"/>
      </w:r>
      <w:r w:rsidR="00BD2031" w:rsidRPr="004E053C">
        <w:rPr>
          <w:rFonts w:eastAsia="Times New Roman" w:cstheme="majorHAnsi"/>
          <w:noProof/>
          <w:sz w:val="22"/>
          <w:szCs w:val="22"/>
          <w:lang w:val="en-GB" w:eastAsia="zh-CN"/>
        </w:rPr>
        <w:t>(H. S. Becker, 1963)</w:t>
      </w:r>
      <w:r w:rsidR="00781E91" w:rsidRPr="004E053C">
        <w:rPr>
          <w:rFonts w:eastAsia="Times New Roman" w:cstheme="majorHAnsi"/>
          <w:sz w:val="22"/>
          <w:szCs w:val="22"/>
          <w:lang w:val="en-GB" w:eastAsia="zh-CN"/>
        </w:rPr>
        <w:fldChar w:fldCharType="end"/>
      </w:r>
      <w:r w:rsidRPr="004E053C">
        <w:rPr>
          <w:rFonts w:eastAsia="Times New Roman" w:cstheme="majorHAnsi"/>
          <w:sz w:val="22"/>
          <w:szCs w:val="22"/>
          <w:lang w:val="en-GB" w:eastAsia="zh-CN"/>
        </w:rPr>
        <w:t xml:space="preserve">. This results in the competing discourses of illegality that are observed in relation to ASM in Madre de Dios and numerous other countries where ASM is a viable livelihood option </w:t>
      </w:r>
      <w:r w:rsidR="00781E91" w:rsidRPr="004E053C">
        <w:rPr>
          <w:rFonts w:eastAsia="Times New Roman" w:cstheme="majorHAnsi"/>
          <w:sz w:val="22"/>
          <w:szCs w:val="22"/>
          <w:lang w:val="en-GB" w:eastAsia="zh-CN"/>
        </w:rPr>
        <w:fldChar w:fldCharType="begin" w:fldLock="1"/>
      </w:r>
      <w:r w:rsidR="007F27D0" w:rsidRPr="004E053C">
        <w:rPr>
          <w:rFonts w:eastAsia="Times New Roman" w:cstheme="majorHAnsi"/>
          <w:sz w:val="22"/>
          <w:szCs w:val="22"/>
          <w:lang w:val="en-GB" w:eastAsia="zh-CN"/>
        </w:rPr>
        <w:instrText>ADDIN CSL_CITATION {"citationItems":[{"id":"ITEM-1","itemData":{"abstract":"Contrary to views of South African government officials and the media, illegal miners (. zamazama) in South Africa are better described as 'artisanal' miners and entrepreneurs who create significant numbers of jobs and economic value for many local communities. For the most part, they are not ignorant desperados, nor especially violent. They have unusual non-standard mining skills and knowledge that is distinctly different from industrial miners. They exploit gold resources that major mines cannot access and interact directly with global markets. With better legislation and, possibly, training, they could be economic assets and elements of the national heritage.","author":[{"dropping-particle":"","family":"Thornton","given":"Robert","non-dropping-particle":"","parse-names":false,"suffix":""}],"container-title":"Extractive Industries and Society","id":"ITEM-1","issue":"2","issued":{"date-parts":[["2014"]]},"page":"127-129","publisher":"Elsevier Ltd","title":"Zamazama, \"illegal\" artisanal miners, misrepresented by the South African Press and Government","type":"article-journal","volume":"1"},"uris":["http://www.mendeley.com/documents/?uuid=e5f815be-8d68-4df2-a3e5-b010b5bdc70c"]}],"mendeley":{"formattedCitation":"(Thornton, 2014)","manualFormatting":"(see for example Thornton, 2014)","plainTextFormattedCitation":"(Thornton, 2014)","previouslyFormattedCitation":"(Thornton, 2014)"},"properties":{"noteIndex":0},"schema":"https://github.com/citation-style-language/schema/raw/master/csl-citation.json"}</w:instrText>
      </w:r>
      <w:r w:rsidR="00781E91" w:rsidRPr="004E053C">
        <w:rPr>
          <w:rFonts w:eastAsia="Times New Roman" w:cstheme="majorHAnsi"/>
          <w:sz w:val="22"/>
          <w:szCs w:val="22"/>
          <w:lang w:val="en-GB" w:eastAsia="zh-CN"/>
        </w:rPr>
        <w:fldChar w:fldCharType="separate"/>
      </w:r>
      <w:r w:rsidR="00781E91" w:rsidRPr="004E053C">
        <w:rPr>
          <w:rFonts w:eastAsia="Times New Roman" w:cstheme="majorHAnsi"/>
          <w:noProof/>
          <w:sz w:val="22"/>
          <w:szCs w:val="22"/>
          <w:lang w:val="en-GB" w:eastAsia="zh-CN"/>
        </w:rPr>
        <w:t>(see for example Thornton, 2014)</w:t>
      </w:r>
      <w:r w:rsidR="00781E91" w:rsidRPr="004E053C">
        <w:rPr>
          <w:rFonts w:eastAsia="Times New Roman" w:cstheme="majorHAnsi"/>
          <w:sz w:val="22"/>
          <w:szCs w:val="22"/>
          <w:lang w:val="en-GB" w:eastAsia="zh-CN"/>
        </w:rPr>
        <w:fldChar w:fldCharType="end"/>
      </w:r>
      <w:r w:rsidR="00071C60" w:rsidRPr="004E053C">
        <w:rPr>
          <w:rFonts w:eastAsia="Times New Roman" w:cstheme="majorHAnsi"/>
          <w:sz w:val="22"/>
          <w:szCs w:val="22"/>
          <w:lang w:val="en-GB" w:eastAsia="zh-CN"/>
        </w:rPr>
        <w:t>.</w:t>
      </w:r>
      <w:r w:rsidR="00781E91" w:rsidRPr="004E053C">
        <w:rPr>
          <w:rFonts w:eastAsia="Times New Roman" w:cstheme="majorHAnsi"/>
          <w:sz w:val="22"/>
          <w:szCs w:val="22"/>
          <w:lang w:val="en-GB" w:eastAsia="zh-CN"/>
        </w:rPr>
        <w:t xml:space="preserve"> </w:t>
      </w:r>
      <w:r w:rsidRPr="004E053C">
        <w:rPr>
          <w:rFonts w:eastAsia="Times New Roman" w:cstheme="majorHAnsi"/>
          <w:sz w:val="22"/>
          <w:szCs w:val="22"/>
          <w:lang w:val="en-GB" w:eastAsia="zh-CN"/>
        </w:rPr>
        <w:t xml:space="preserve"> </w:t>
      </w:r>
    </w:p>
    <w:p w14:paraId="7EA55FA4" w14:textId="77777777" w:rsidR="00FE47C4" w:rsidRPr="004E053C" w:rsidRDefault="00FE47C4" w:rsidP="004E053C">
      <w:pPr>
        <w:spacing w:line="360" w:lineRule="auto"/>
        <w:jc w:val="both"/>
        <w:rPr>
          <w:rFonts w:eastAsia="Times New Roman" w:cstheme="majorHAnsi"/>
          <w:sz w:val="22"/>
          <w:szCs w:val="22"/>
          <w:lang w:val="en-GB" w:eastAsia="zh-CN"/>
        </w:rPr>
      </w:pPr>
    </w:p>
    <w:p w14:paraId="295319EE" w14:textId="48AA5A7D"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Focusing on the competing discourses of illegality that may arise from these contestations requires an understanding of Sykes and Matza’s </w:t>
      </w:r>
      <w:r w:rsidR="00D44E2C"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{"citationItems":[{"id":"ITEM-1","itemData":{"author":[{"dropping-particle":"","family":"Sykes","given":"Gresham M","non-dropping-particle":"","parse-names":false,"suffix":""},{"dropping-particle":"","family":"Matza","given":"David","non-dropping-particle":"","parse-names":false,"suffix":""}],"container-title":"American Sociological Review","id":"ITEM-1","issue":"6","issued":{"date-parts":[["1957"]]},"page":"664-670","title":"Techniques of neutralization: a theory of delinquency","type":"article-journal","volume":"22"},"uris":["http://www.mendeley.com/documents/?uuid=4564a176-a7ed-4562-a9a7-7e232d4c5ac5"]}],"mendeley":{"formattedCitation":"(Sykes &amp; Matza, 1957)","manualFormatting":"(1957)","plainTextFormattedCitation":"(Sykes &amp; Matza, 1957)","previouslyFormattedCitation":"(Sykes &amp; Matza, 1957)"},"properties":{"noteIndex":0},"schema":"https://github.com/citation-style-language/schema/raw/master/csl-citation.json"}</w:instrText>
      </w:r>
      <w:r w:rsidR="00D44E2C" w:rsidRPr="004E053C">
        <w:rPr>
          <w:rFonts w:cstheme="majorHAnsi"/>
          <w:sz w:val="22"/>
          <w:szCs w:val="22"/>
          <w:lang w:val="en-GB" w:eastAsia="zh-CN"/>
        </w:rPr>
        <w:fldChar w:fldCharType="separate"/>
      </w:r>
      <w:r w:rsidR="00D44E2C" w:rsidRPr="004E053C">
        <w:rPr>
          <w:rFonts w:cstheme="majorHAnsi"/>
          <w:noProof/>
          <w:sz w:val="22"/>
          <w:szCs w:val="22"/>
          <w:lang w:val="en-GB" w:eastAsia="zh-CN"/>
        </w:rPr>
        <w:t>(1957)</w:t>
      </w:r>
      <w:r w:rsidR="00D44E2C" w:rsidRPr="004E053C">
        <w:rPr>
          <w:rFonts w:cstheme="majorHAnsi"/>
          <w:sz w:val="22"/>
          <w:szCs w:val="22"/>
          <w:lang w:val="en-GB" w:eastAsia="zh-CN"/>
        </w:rPr>
        <w:fldChar w:fldCharType="end"/>
      </w:r>
      <w:r w:rsidRPr="004E053C">
        <w:rPr>
          <w:rFonts w:cstheme="majorHAnsi"/>
          <w:sz w:val="22"/>
          <w:szCs w:val="22"/>
          <w:lang w:val="en-GB" w:eastAsia="zh-CN"/>
        </w:rPr>
        <w:t xml:space="preserve"> theory of neutralisation, as it shows how deviants and criminals make justifications for their own behaviour that are designed to protect themselves from self-blame and the blame of others. In doing so, disapproval from both internalised norms and the </w:t>
      </w:r>
      <w:r w:rsidRPr="004E053C">
        <w:rPr>
          <w:rFonts w:cstheme="majorHAnsi"/>
          <w:sz w:val="22"/>
          <w:szCs w:val="22"/>
          <w:lang w:val="en-GB" w:eastAsia="zh-CN"/>
        </w:rPr>
        <w:lastRenderedPageBreak/>
        <w:t xml:space="preserve">norms of the dominant society are neutralised, turned back, or deflected in advance. Sykes and Matza </w:t>
      </w:r>
      <w:r w:rsidR="00D44E2C"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{"citationItems":[{"id":"ITEM-1","itemData":{"author":[{"dropping-particle":"","family":"Sykes","given":"Gresham M","non-dropping-particle":"","parse-names":false,"suffix":""},{"dropping-particle":"","family":"Matza","given":"David","non-dropping-particle":"","parse-names":false,"suffix":""}],"container-title":"American Sociological Review","id":"ITEM-1","issue":"6","issued":{"date-parts":[["1957"]]},"page":"664-670","title":"Techniques of neutralization: a theory of delinquency","type":"article-journal","volume":"22"},"uris":["http://www.mendeley.com/documents/?uuid=4564a176-a7ed-4562-a9a7-7e232d4c5ac5"]}],"mendeley":{"formattedCitation":"(Sykes &amp; Matza, 1957)","manualFormatting":"(1957)","plainTextFormattedCitation":"(Sykes &amp; Matza, 1957)","previouslyFormattedCitation":"(Sykes &amp; Matza, 1957)"},"properties":{"noteIndex":0},"schema":"https://github.com/citation-style-language/schema/raw/master/csl-citation.json"}</w:instrText>
      </w:r>
      <w:r w:rsidR="00D44E2C" w:rsidRPr="004E053C">
        <w:rPr>
          <w:rFonts w:cstheme="majorHAnsi"/>
          <w:sz w:val="22"/>
          <w:szCs w:val="22"/>
          <w:lang w:val="en-GB" w:eastAsia="zh-CN"/>
        </w:rPr>
        <w:fldChar w:fldCharType="separate"/>
      </w:r>
      <w:r w:rsidR="00D44E2C" w:rsidRPr="004E053C">
        <w:rPr>
          <w:rFonts w:cstheme="majorHAnsi"/>
          <w:noProof/>
          <w:sz w:val="22"/>
          <w:szCs w:val="22"/>
          <w:lang w:val="en-GB" w:eastAsia="zh-CN"/>
        </w:rPr>
        <w:t>(1957)</w:t>
      </w:r>
      <w:r w:rsidR="00D44E2C" w:rsidRPr="004E053C">
        <w:rPr>
          <w:rFonts w:cstheme="majorHAnsi"/>
          <w:sz w:val="22"/>
          <w:szCs w:val="22"/>
          <w:lang w:val="en-GB" w:eastAsia="zh-CN"/>
        </w:rPr>
        <w:fldChar w:fldCharType="end"/>
      </w:r>
      <w:r w:rsidR="00D44E2C" w:rsidRPr="004E053C">
        <w:rPr>
          <w:rFonts w:cstheme="majorHAnsi"/>
          <w:sz w:val="22"/>
          <w:szCs w:val="22"/>
          <w:lang w:val="en-GB" w:eastAsia="zh-CN"/>
        </w:rPr>
        <w:t xml:space="preserve"> </w:t>
      </w:r>
      <w:r w:rsidRPr="004E053C">
        <w:rPr>
          <w:rFonts w:cstheme="majorHAnsi"/>
          <w:sz w:val="22"/>
          <w:szCs w:val="22"/>
          <w:lang w:val="en-GB" w:eastAsia="zh-CN"/>
        </w:rPr>
        <w:t xml:space="preserve">identified five major types of neutralisation; the denial of responsibility; the denial of injury; the denial of the victim; the condemnation of the condemners and; the appeal to higher loyalties. </w:t>
      </w:r>
      <w:r w:rsidRPr="004E053C">
        <w:rPr>
          <w:rFonts w:eastAsia="Times New Roman" w:cstheme="majorHAnsi"/>
          <w:sz w:val="22"/>
          <w:szCs w:val="22"/>
          <w:lang w:val="en-GB" w:eastAsia="zh-CN"/>
        </w:rPr>
        <w:t xml:space="preserve">For example, in order to neutralise their own deviant behaviour, contraband vendors in a study by Cross and Hernandez </w:t>
      </w:r>
      <w:r w:rsidR="00D44E2C" w:rsidRPr="004E053C">
        <w:rPr>
          <w:rFonts w:eastAsia="Times New Roman" w:cstheme="majorHAnsi"/>
          <w:sz w:val="22"/>
          <w:szCs w:val="22"/>
          <w:lang w:val="en-GB" w:eastAsia="zh-CN"/>
        </w:rPr>
        <w:fldChar w:fldCharType="begin" w:fldLock="1"/>
      </w:r>
      <w:r w:rsidR="0004146F" w:rsidRPr="004E053C">
        <w:rPr>
          <w:rFonts w:eastAsia="Times New Roman" w:cstheme="majorHAnsi"/>
          <w:sz w:val="22"/>
          <w:szCs w:val="22"/>
          <w:lang w:val="en-GB" w:eastAsia="zh-CN"/>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2011)","manualFormatting":"(2011)","plainTextFormattedCitation":"(J. C. Cross &amp; Hernández, 2011)","previouslyFormattedCitation":"(J. C. Cross &amp; Hernández, 2011)"},"properties":{"noteIndex":0},"schema":"https://github.com/citation-style-language/schema/raw/master/csl-citation.json"}</w:instrText>
      </w:r>
      <w:r w:rsidR="00D44E2C" w:rsidRPr="004E053C">
        <w:rPr>
          <w:rFonts w:eastAsia="Times New Roman" w:cstheme="majorHAnsi"/>
          <w:sz w:val="22"/>
          <w:szCs w:val="22"/>
          <w:lang w:val="en-GB" w:eastAsia="zh-CN"/>
        </w:rPr>
        <w:fldChar w:fldCharType="separate"/>
      </w:r>
      <w:r w:rsidR="00D44E2C" w:rsidRPr="004E053C">
        <w:rPr>
          <w:rFonts w:eastAsia="Times New Roman" w:cstheme="majorHAnsi"/>
          <w:noProof/>
          <w:sz w:val="22"/>
          <w:szCs w:val="22"/>
          <w:lang w:val="en-GB" w:eastAsia="zh-CN"/>
        </w:rPr>
        <w:t>(2011)</w:t>
      </w:r>
      <w:r w:rsidR="00D44E2C" w:rsidRPr="004E053C">
        <w:rPr>
          <w:rFonts w:eastAsia="Times New Roman" w:cstheme="majorHAnsi"/>
          <w:sz w:val="22"/>
          <w:szCs w:val="22"/>
          <w:lang w:val="en-GB" w:eastAsia="zh-CN"/>
        </w:rPr>
        <w:fldChar w:fldCharType="end"/>
      </w:r>
      <w:r w:rsidRPr="004E053C">
        <w:rPr>
          <w:rFonts w:eastAsia="Times New Roman" w:cstheme="majorHAnsi"/>
          <w:sz w:val="22"/>
          <w:szCs w:val="22"/>
          <w:lang w:val="en-GB" w:eastAsia="zh-CN"/>
        </w:rPr>
        <w:t xml:space="preserve"> used techniques of denying both victim and injury, claiming the corporations were so rich it didn’t matter and that their actions were providing music and films to those who could otherwise not afford it. </w:t>
      </w:r>
      <w:r w:rsidRPr="004E053C">
        <w:rPr>
          <w:rFonts w:cstheme="majorHAnsi"/>
          <w:sz w:val="22"/>
          <w:szCs w:val="22"/>
          <w:lang w:val="en-GB" w:eastAsia="zh-CN"/>
        </w:rPr>
        <w:t xml:space="preserve">Hall et al </w:t>
      </w:r>
      <w:r w:rsidR="00972817" w:rsidRPr="004E053C">
        <w:rPr>
          <w:rFonts w:cstheme="majorHAnsi"/>
          <w:sz w:val="22"/>
          <w:szCs w:val="22"/>
          <w:lang w:val="en-GB" w:eastAsia="zh-CN"/>
        </w:rPr>
        <w:fldChar w:fldCharType="begin" w:fldLock="1"/>
      </w:r>
      <w:r w:rsidR="00972817" w:rsidRPr="004E053C">
        <w:rPr>
          <w:rFonts w:cstheme="majorHAnsi"/>
          <w:sz w:val="22"/>
          <w:szCs w:val="22"/>
          <w:lang w:val="en-GB" w:eastAsia="zh-CN"/>
        </w:rPr>
        <w:instrText>ADDIN CSL_CITATION {"citationItems":[{"id":"ITEM-1","itemData":{"author":[{"dropping-particle":"","family":"Hall","given":"Derek","non-dropping-particle":"","parse-names":false,"suffix":""},{"dropping-particle":"","family":"Hirsch","given":"Philip","non-dropping-particle":"","parse-names":false,"suffix":""},{"dropping-particle":"","family":"Li","given":"Tania","non-dropping-particle":"","parse-names":false,"suffix":""}],"id":"ITEM-1","issued":{"date-parts":[["2011"]]},"publisher":"NUS Press","publisher-place":"Singapore","title":"Powers of Exclusion: Land Dilemmas in Southeast Asia","type":"book"},"uris":["http://www.mendeley.com/documents/?uuid=f240f0c5-5e6a-4f4e-a904-6ae9e07f530d"]}],"mendeley":{"formattedCitation":"(Hall, Hirsch, &amp; Li, 2011)","manualFormatting":"(2011)","plainTextFormattedCitation":"(Hall, Hirsch, &amp; Li, 2011)","previouslyFormattedCitation":"(Hall, Hirsch, &amp; Li, 2011)"},"properties":{"noteIndex":0},"schema":"https://github.com/citation-style-language/schema/raw/master/csl-citation.json"}</w:instrText>
      </w:r>
      <w:r w:rsidR="00972817" w:rsidRPr="004E053C">
        <w:rPr>
          <w:rFonts w:cstheme="majorHAnsi"/>
          <w:sz w:val="22"/>
          <w:szCs w:val="22"/>
          <w:lang w:val="en-GB" w:eastAsia="zh-CN"/>
        </w:rPr>
        <w:fldChar w:fldCharType="separate"/>
      </w:r>
      <w:r w:rsidR="00972817" w:rsidRPr="004E053C">
        <w:rPr>
          <w:rFonts w:cstheme="majorHAnsi"/>
          <w:noProof/>
          <w:sz w:val="22"/>
          <w:szCs w:val="22"/>
          <w:lang w:val="en-GB" w:eastAsia="zh-CN"/>
        </w:rPr>
        <w:t>(2011)</w:t>
      </w:r>
      <w:r w:rsidR="00972817" w:rsidRPr="004E053C">
        <w:rPr>
          <w:rFonts w:cstheme="majorHAnsi"/>
          <w:sz w:val="22"/>
          <w:szCs w:val="22"/>
          <w:lang w:val="en-GB" w:eastAsia="zh-CN"/>
        </w:rPr>
        <w:fldChar w:fldCharType="end"/>
      </w:r>
      <w:r w:rsidR="00DB3DA8" w:rsidRPr="004E053C">
        <w:rPr>
          <w:rFonts w:cstheme="majorHAnsi"/>
          <w:sz w:val="22"/>
          <w:szCs w:val="22"/>
          <w:lang w:val="en-GB" w:eastAsia="zh-CN"/>
        </w:rPr>
        <w:t xml:space="preserve"> </w:t>
      </w:r>
      <w:r w:rsidRPr="004E053C">
        <w:rPr>
          <w:rFonts w:cstheme="majorHAnsi"/>
          <w:sz w:val="22"/>
          <w:szCs w:val="22"/>
          <w:lang w:val="en-GB" w:eastAsia="zh-CN"/>
        </w:rPr>
        <w:t xml:space="preserve">has drawn attention to situations where local livelihoods have been effectively criminalised through the creation of conservation areas and the resulting counter-movements have stressed the social function of the land for the same group of people </w:t>
      </w:r>
      <w:r w:rsidR="00972817" w:rsidRPr="004E053C">
        <w:rPr>
          <w:rFonts w:cstheme="majorHAnsi"/>
          <w:sz w:val="22"/>
          <w:szCs w:val="22"/>
          <w:lang w:val="en-GB" w:eastAsia="zh-CN"/>
        </w:rPr>
        <w:fldChar w:fldCharType="begin" w:fldLock="1"/>
      </w:r>
      <w:r w:rsidR="00972817" w:rsidRPr="004E053C">
        <w:rPr>
          <w:rFonts w:cstheme="majorHAnsi"/>
          <w:sz w:val="22"/>
          <w:szCs w:val="22"/>
          <w:lang w:val="en-GB" w:eastAsia="zh-CN"/>
        </w:rPr>
        <w:instrText>ADDIN CSL_CITATION {"citationItems":[{"id":"ITEM-1","itemData":{"author":[{"dropping-particle":"","family":"Polanyi","given":"Karl","non-dropping-particle":"","parse-names":false,"suffix":""}],"id":"ITEM-1","issued":{"date-parts":[["1957"]]},"publisher":"Beacon Press","publisher-place":"Boston, MA.","title":"The Great Transformation: The Political and Economic Origins of Our Time","type":"book"},"uris":["http://www.mendeley.com/documents/?uuid=1ca5186a-ab4e-4984-8884-a2a1e3ff02bb"]}],"mendeley":{"formattedCitation":"(Polanyi, 1957)","manualFormatting":"(see also Polanyi, 1957)","plainTextFormattedCitation":"(Polanyi, 1957)","previouslyFormattedCitation":"(Polanyi, 1957)"},"properties":{"noteIndex":0},"schema":"https://github.com/citation-style-language/schema/raw/master/csl-citation.json"}</w:instrText>
      </w:r>
      <w:r w:rsidR="00972817" w:rsidRPr="004E053C">
        <w:rPr>
          <w:rFonts w:cstheme="majorHAnsi"/>
          <w:sz w:val="22"/>
          <w:szCs w:val="22"/>
          <w:lang w:val="en-GB" w:eastAsia="zh-CN"/>
        </w:rPr>
        <w:fldChar w:fldCharType="separate"/>
      </w:r>
      <w:r w:rsidR="00972817" w:rsidRPr="004E053C">
        <w:rPr>
          <w:rFonts w:cstheme="majorHAnsi"/>
          <w:noProof/>
          <w:sz w:val="22"/>
          <w:szCs w:val="22"/>
          <w:lang w:val="en-GB" w:eastAsia="zh-CN"/>
        </w:rPr>
        <w:t>(see also Polanyi, 1957)</w:t>
      </w:r>
      <w:r w:rsidR="00972817" w:rsidRPr="004E053C">
        <w:rPr>
          <w:rFonts w:cstheme="majorHAnsi"/>
          <w:sz w:val="22"/>
          <w:szCs w:val="22"/>
          <w:lang w:val="en-GB" w:eastAsia="zh-CN"/>
        </w:rPr>
        <w:fldChar w:fldCharType="end"/>
      </w:r>
      <w:r w:rsidR="00972817" w:rsidRPr="004E053C">
        <w:rPr>
          <w:rFonts w:cstheme="majorHAnsi"/>
          <w:sz w:val="22"/>
          <w:szCs w:val="22"/>
          <w:lang w:val="en-GB" w:eastAsia="zh-CN"/>
        </w:rPr>
        <w:t xml:space="preserve">. Similarly, Campbell </w:t>
      </w:r>
      <w:r w:rsidR="00972817" w:rsidRPr="004E053C">
        <w:rPr>
          <w:rFonts w:cstheme="majorHAnsi"/>
          <w:sz w:val="22"/>
          <w:szCs w:val="22"/>
          <w:lang w:val="en-GB" w:eastAsia="zh-CN"/>
        </w:rPr>
        <w:fldChar w:fldCharType="begin" w:fldLock="1"/>
      </w:r>
      <w:r w:rsidR="00972817" w:rsidRPr="004E053C">
        <w:rPr>
          <w:rFonts w:cstheme="majorHAnsi"/>
          <w:sz w:val="22"/>
          <w:szCs w:val="22"/>
          <w:lang w:val="en-GB" w:eastAsia="zh-CN"/>
        </w:rPr>
        <w:instrText>ADDIN CSL_CITATION {"citationItems":[{"id":"ITEM-1","itemData":{"author":[{"dropping-particle":"","family":"Campbell","given":"Jeremy M","non-dropping-particle":"","parse-names":false,"suffix":""}],"id":"ITEM-1","issued":{"date-parts":[["2015"]]},"number-of-pages":"231","publisher":"University of Washington Press","publisher-place":"Seattle, WA","title":"Conjuring Property: Speculation and Environmental Futures in the Brazilian Amazon","type":"book"},"uris":["http://www.mendeley.com/documents/?uuid=4a505b05-99c8-425c-a771-8e87362968d3"]}],"mendeley":{"formattedCitation":"(Campbell, 2015)","manualFormatting":"(2015)","plainTextFormattedCitation":"(Campbell, 2015)","previouslyFormattedCitation":"(Campbell, 2015)"},"properties":{"noteIndex":0},"schema":"https://github.com/citation-style-language/schema/raw/master/csl-citation.json"}</w:instrText>
      </w:r>
      <w:r w:rsidR="00972817" w:rsidRPr="004E053C">
        <w:rPr>
          <w:rFonts w:cstheme="majorHAnsi"/>
          <w:sz w:val="22"/>
          <w:szCs w:val="22"/>
          <w:lang w:val="en-GB" w:eastAsia="zh-CN"/>
        </w:rPr>
        <w:fldChar w:fldCharType="separate"/>
      </w:r>
      <w:r w:rsidR="00972817" w:rsidRPr="004E053C">
        <w:rPr>
          <w:rFonts w:cstheme="majorHAnsi"/>
          <w:noProof/>
          <w:sz w:val="22"/>
          <w:szCs w:val="22"/>
          <w:lang w:val="en-GB" w:eastAsia="zh-CN"/>
        </w:rPr>
        <w:t>(2015)</w:t>
      </w:r>
      <w:r w:rsidR="00972817" w:rsidRPr="004E053C">
        <w:rPr>
          <w:rFonts w:cstheme="majorHAnsi"/>
          <w:sz w:val="22"/>
          <w:szCs w:val="22"/>
          <w:lang w:val="en-GB" w:eastAsia="zh-CN"/>
        </w:rPr>
        <w:fldChar w:fldCharType="end"/>
      </w:r>
      <w:r w:rsidRPr="004E053C">
        <w:rPr>
          <w:rFonts w:cstheme="majorHAnsi"/>
          <w:sz w:val="22"/>
          <w:szCs w:val="22"/>
          <w:lang w:val="en-GB" w:eastAsia="zh-CN"/>
        </w:rPr>
        <w:t xml:space="preserve"> argued that recent migrants in the Brazilian Amazon strategically co-opted the </w:t>
      </w:r>
      <w:r w:rsidRPr="004E053C">
        <w:rPr>
          <w:rFonts w:eastAsia="Times New Roman" w:cstheme="majorHAnsi"/>
          <w:sz w:val="22"/>
          <w:szCs w:val="22"/>
          <w:lang w:val="en-GB" w:eastAsia="zh-CN"/>
        </w:rPr>
        <w:t>dominant narratives of conservation and environmental protection to shore up private property rights and legitimise their behaviour</w:t>
      </w:r>
      <w:r w:rsidRPr="004E053C">
        <w:rPr>
          <w:rFonts w:cstheme="majorHAnsi"/>
          <w:sz w:val="22"/>
          <w:szCs w:val="22"/>
          <w:lang w:val="en-GB" w:eastAsia="zh-CN"/>
        </w:rPr>
        <w:t xml:space="preserve">. While </w:t>
      </w:r>
      <w:r w:rsidR="00A825D9" w:rsidRPr="004E053C">
        <w:rPr>
          <w:rFonts w:cstheme="majorHAnsi"/>
          <w:sz w:val="22"/>
          <w:szCs w:val="22"/>
          <w:lang w:val="en-GB" w:eastAsia="zh-CN"/>
        </w:rPr>
        <w:t>I</w:t>
      </w:r>
      <w:r w:rsidRPr="004E053C">
        <w:rPr>
          <w:rFonts w:cstheme="majorHAnsi"/>
          <w:sz w:val="22"/>
          <w:szCs w:val="22"/>
          <w:lang w:val="en-GB" w:eastAsia="zh-CN"/>
        </w:rPr>
        <w:t xml:space="preserve"> draw on the idea of neutralisation in its a</w:t>
      </w:r>
      <w:r w:rsidR="00A825D9" w:rsidRPr="004E053C">
        <w:rPr>
          <w:rFonts w:cstheme="majorHAnsi"/>
          <w:sz w:val="22"/>
          <w:szCs w:val="22"/>
          <w:lang w:val="en-GB" w:eastAsia="zh-CN"/>
        </w:rPr>
        <w:t>nalysis of miners’ narratives, I acknowledge</w:t>
      </w:r>
      <w:r w:rsidRPr="004E053C">
        <w:rPr>
          <w:rFonts w:cstheme="majorHAnsi"/>
          <w:sz w:val="22"/>
          <w:szCs w:val="22"/>
          <w:lang w:val="en-GB" w:eastAsia="zh-CN"/>
        </w:rPr>
        <w:t xml:space="preserve"> that language and narratives are also influenced by habitus and existence within a social field and thus are also closely linked to identity and belonging </w:t>
      </w:r>
      <w:r w:rsidR="00972817"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{"citationItems":[{"id":"ITEM-1","itemData":{"author":[{"dropping-particle":"","family":"Fleetwood","given":"Jennifer","non-dropping-particle":"","parse-names":false,"suffix":""}],"container-title":"Crime, Media, Culture","id":"ITEM-1","issue":"2","issued":{"date-parts":[["2016"]]},"page":"173-192","title":"Narrative habitus: thinking through structure/agency in the narratives of offenders","type":"article-journal","volume":"12"},"uris":["http://www.mendeley.com/documents/?uuid=3db1ed2b-b7a1-4eaa-89c4-87d42343c878"]}],"mendeley":{"formattedCitation":"(Fleetwood, 2016)","plainTextFormattedCitation":"(Fleetwood, 2016)","previouslyFormattedCitation":"(Fleetwood, 2016)"},"properties":{"noteIndex":0},"schema":"https://github.com/citation-style-language/schema/raw/master/csl-citation.json"}</w:instrText>
      </w:r>
      <w:r w:rsidR="00972817" w:rsidRPr="004E053C">
        <w:rPr>
          <w:rFonts w:cstheme="majorHAnsi"/>
          <w:sz w:val="22"/>
          <w:szCs w:val="22"/>
          <w:lang w:val="en-GB" w:eastAsia="zh-CN"/>
        </w:rPr>
        <w:fldChar w:fldCharType="separate"/>
      </w:r>
      <w:r w:rsidR="00972817" w:rsidRPr="004E053C">
        <w:rPr>
          <w:rFonts w:cstheme="majorHAnsi"/>
          <w:noProof/>
          <w:sz w:val="22"/>
          <w:szCs w:val="22"/>
          <w:lang w:val="en-GB" w:eastAsia="zh-CN"/>
        </w:rPr>
        <w:t>(Fleetwood, 2016)</w:t>
      </w:r>
      <w:r w:rsidR="00972817" w:rsidRPr="004E053C">
        <w:rPr>
          <w:rFonts w:cstheme="majorHAnsi"/>
          <w:sz w:val="22"/>
          <w:szCs w:val="22"/>
          <w:lang w:val="en-GB" w:eastAsia="zh-CN"/>
        </w:rPr>
        <w:fldChar w:fldCharType="end"/>
      </w:r>
      <w:r w:rsidRPr="004E053C">
        <w:rPr>
          <w:rFonts w:cstheme="majorHAnsi"/>
          <w:sz w:val="22"/>
          <w:szCs w:val="22"/>
          <w:lang w:val="en-GB" w:eastAsia="zh-CN"/>
        </w:rPr>
        <w:t xml:space="preserve">. </w:t>
      </w:r>
    </w:p>
    <w:p w14:paraId="741682F8" w14:textId="77777777" w:rsidR="00FE47C4" w:rsidRPr="004E053C" w:rsidRDefault="00FE47C4" w:rsidP="004E053C">
      <w:pPr>
        <w:spacing w:line="360" w:lineRule="auto"/>
        <w:jc w:val="both"/>
        <w:rPr>
          <w:rFonts w:cstheme="majorHAnsi"/>
          <w:sz w:val="22"/>
          <w:szCs w:val="22"/>
          <w:lang w:val="en-GB" w:eastAsia="zh-CN"/>
        </w:rPr>
      </w:pPr>
    </w:p>
    <w:p w14:paraId="1EAB5730" w14:textId="160723AA" w:rsidR="00FE47C4" w:rsidRPr="004E053C" w:rsidRDefault="00EA7F83" w:rsidP="004E053C">
      <w:pPr>
        <w:pStyle w:val="Heading3"/>
        <w:rPr>
          <w:rFonts w:asciiTheme="minorHAnsi" w:hAnsiTheme="minorHAnsi"/>
          <w:lang w:eastAsia="zh-CN"/>
        </w:rPr>
      </w:pPr>
      <w:r w:rsidRPr="004E053C">
        <w:rPr>
          <w:rFonts w:asciiTheme="minorHAnsi" w:hAnsiTheme="minorHAnsi"/>
          <w:lang w:eastAsia="zh-CN"/>
        </w:rPr>
        <w:t>4</w:t>
      </w:r>
      <w:r w:rsidR="004A3EF1" w:rsidRPr="004E053C">
        <w:rPr>
          <w:rFonts w:asciiTheme="minorHAnsi" w:hAnsiTheme="minorHAnsi"/>
          <w:lang w:eastAsia="zh-CN"/>
        </w:rPr>
        <w:t>.5.3. Collective identity and t</w:t>
      </w:r>
      <w:r w:rsidR="00FE47C4" w:rsidRPr="004E053C">
        <w:rPr>
          <w:rFonts w:asciiTheme="minorHAnsi" w:hAnsiTheme="minorHAnsi"/>
          <w:lang w:eastAsia="zh-CN"/>
        </w:rPr>
        <w:t>ranslocality</w:t>
      </w:r>
    </w:p>
    <w:p w14:paraId="2E3C7FEA" w14:textId="77777777" w:rsidR="00FE47C4" w:rsidRPr="004E053C" w:rsidRDefault="00FE47C4" w:rsidP="004E053C">
      <w:pPr>
        <w:spacing w:line="360" w:lineRule="auto"/>
        <w:jc w:val="both"/>
        <w:rPr>
          <w:rFonts w:cstheme="majorHAnsi"/>
          <w:sz w:val="22"/>
          <w:szCs w:val="22"/>
          <w:lang w:val="en-GB"/>
        </w:rPr>
      </w:pPr>
    </w:p>
    <w:p w14:paraId="620405AE" w14:textId="45FC0DBA" w:rsidR="00FE47C4" w:rsidRPr="004E053C" w:rsidRDefault="00FE47C4" w:rsidP="004E053C">
      <w:pPr>
        <w:spacing w:line="360" w:lineRule="auto"/>
        <w:jc w:val="both"/>
        <w:rPr>
          <w:rFonts w:eastAsia="Times New Roman" w:cstheme="majorHAnsi"/>
          <w:sz w:val="22"/>
          <w:szCs w:val="22"/>
          <w:lang w:val="en-GB" w:eastAsia="zh-CN"/>
        </w:rPr>
      </w:pPr>
      <w:r w:rsidRPr="004E053C">
        <w:rPr>
          <w:rFonts w:cstheme="majorHAnsi"/>
          <w:sz w:val="22"/>
          <w:szCs w:val="22"/>
          <w:lang w:val="en-GB"/>
        </w:rPr>
        <w:t xml:space="preserve">Given the different position of actors within the social field, it follows that they have different capacities to influence rule-making processes </w:t>
      </w:r>
      <w:r w:rsidR="003B41E5"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{"citationItems":[{"id":"ITEM-1","itemData":{"abstract":"Twelve years after the discussions on development and institutions at the meeting of the Geographischer Arbeitskreis Entwicklungstheorien (GAE 2000) in Z?rich, this paper seeks to put institutions back on the research agenda in development geography. The authors explore recent trends in institutional theory and propose a dialectic understanding of \"doing institutions\" that positions social actors and their everyday practices at the center of institutional analysis. Institutions are the socially (re-)produced rules that enable, constrain and give meaning to the social practices of actors. Actors make institutions; at the same time institutions make actors do certain things. Based on this foundation, three central aspects of the institutional debate are elaborated: Institutional plurality, the legitimacy of institutions, and the role of the state. Two case studies from recent research in South Asia illustrate aspects of the conceptual considerations. The article ends with an outlook on the implications of \"doing institutions\" for future research in development geography.","author":[{"dropping-particle":"","family":"Etzold","given":"Benjamin","non-dropping-particle":"","parse-names":false,"suffix":""},{"dropping-particle":"","family":"Jülich","given":"Sebastian","non-dropping-particle":"","parse-names":false,"suffix":""},{"dropping-particle":"","family":"Keck","given":"Markus","non-dropping-particle":"","parse-names":false,"suffix":""},{"dropping-particle":"","family":"Sakdapolrak","given":"Patrick","non-dropping-particle":"","parse-names":false,"suffix":""},{"dropping-particle":"","family":"Schmitt","given":"Thomas","non-dropping-particle":"","parse-names":false,"suffix":""},{"dropping-particle":"","family":"Zimmer","given":"Anna","non-dropping-particle":"","parse-names":false,"suffix":""}],"container-title":"Erdkunde","id":"ITEM-1","issue":"3","issued":{"date-parts":[["2012"]]},"page":"185-195","title":"Doing institutions: a dialectic reading of institutions and social practices and its relevance for development geography","type":"article-journal","volume":"66"},"uris":["http://www.mendeley.com/documents/?uuid=940c35f7-3268-3f8b-9eb7-0fc3320c0a7e"]}],"mendeley":{"formattedCitation":"(Etzold et al., 2012)","plainTextFormattedCitation":"(Etzold et al., 2012)","previouslyFormattedCitation":"(Etzold et al., 2012)"},"properties":{"noteIndex":0},"schema":"https://github.com/citation-style-language/schema/raw/master/csl-citation.json"}</w:instrText>
      </w:r>
      <w:r w:rsidR="003B41E5" w:rsidRPr="004E053C">
        <w:rPr>
          <w:rFonts w:cstheme="majorHAnsi"/>
          <w:sz w:val="22"/>
          <w:szCs w:val="22"/>
          <w:lang w:val="en-GB"/>
        </w:rPr>
        <w:fldChar w:fldCharType="separate"/>
      </w:r>
      <w:r w:rsidR="003B41E5" w:rsidRPr="004E053C">
        <w:rPr>
          <w:rFonts w:cstheme="majorHAnsi"/>
          <w:noProof/>
          <w:sz w:val="22"/>
          <w:szCs w:val="22"/>
          <w:lang w:val="en-GB"/>
        </w:rPr>
        <w:t>(Etzold et al., 2012)</w:t>
      </w:r>
      <w:r w:rsidR="003B41E5" w:rsidRPr="004E053C">
        <w:rPr>
          <w:rFonts w:cstheme="majorHAnsi"/>
          <w:sz w:val="22"/>
          <w:szCs w:val="22"/>
          <w:lang w:val="en-GB"/>
        </w:rPr>
        <w:fldChar w:fldCharType="end"/>
      </w:r>
      <w:r w:rsidRPr="004E053C">
        <w:rPr>
          <w:rFonts w:cstheme="majorHAnsi"/>
          <w:sz w:val="22"/>
          <w:szCs w:val="22"/>
          <w:lang w:val="en-GB"/>
        </w:rPr>
        <w:t xml:space="preserve">. However, </w:t>
      </w:r>
      <w:r w:rsidRPr="004E053C">
        <w:rPr>
          <w:rFonts w:eastAsia="Times New Roman" w:cstheme="majorHAnsi"/>
          <w:sz w:val="22"/>
          <w:szCs w:val="22"/>
          <w:lang w:val="en-GB" w:eastAsia="zh-CN"/>
        </w:rPr>
        <w:t xml:space="preserve">rather than simply focusing on individual contestations, </w:t>
      </w:r>
      <w:r w:rsidR="00A825D9" w:rsidRPr="004E053C">
        <w:rPr>
          <w:rFonts w:eastAsia="Times New Roman" w:cstheme="majorHAnsi"/>
          <w:sz w:val="22"/>
          <w:szCs w:val="22"/>
          <w:lang w:val="en-GB" w:eastAsia="zh-CN"/>
        </w:rPr>
        <w:t>I am interested in the importance of group acts as these</w:t>
      </w:r>
      <w:r w:rsidRPr="004E053C">
        <w:rPr>
          <w:rFonts w:eastAsia="Times New Roman" w:cstheme="majorHAnsi"/>
          <w:sz w:val="22"/>
          <w:szCs w:val="22"/>
          <w:lang w:val="en-GB" w:eastAsia="zh-CN"/>
        </w:rPr>
        <w:t xml:space="preserve"> have been particularly important in the political conflict that surrounds ASM in Madre de Dios. Collective identities generally define their group existence as right and good </w:t>
      </w:r>
      <w:r w:rsidR="003B41E5" w:rsidRPr="004E053C">
        <w:rPr>
          <w:rFonts w:eastAsia="Times New Roman" w:cstheme="majorHAnsi"/>
          <w:sz w:val="22"/>
          <w:szCs w:val="22"/>
          <w:lang w:val="en-GB" w:eastAsia="zh-CN"/>
        </w:rPr>
        <w:fldChar w:fldCharType="begin" w:fldLock="1"/>
      </w:r>
      <w:r w:rsidR="0004146F" w:rsidRPr="004E053C">
        <w:rPr>
          <w:rFonts w:eastAsia="Times New Roman" w:cstheme="majorHAnsi"/>
          <w:sz w:val="22"/>
          <w:szCs w:val="22"/>
          <w:lang w:val="en-GB" w:eastAsia="zh-CN"/>
        </w:rPr>
        <w:instrText>ADDIN CSL_CITATION {"citationItems":[{"id":"ITEM-1","itemData":{"author":[{"dropping-particle":"","family":"Cerulo","given":"Karen A","non-dropping-particle":"","parse-names":false,"suffix":""}],"container-title":"Annual Review of Sociology","id":"ITEM-1","issued":{"date-parts":[["1997"]]},"page":"385-409","title":"Identity construction: new issues, new directions","type":"article-journal","volume":"23"},"uris":["http://www.mendeley.com/documents/?uuid=df4f33c9-7716-427e-bf3a-fadbf1013e51"]}],"mendeley":{"formattedCitation":"(Cerulo, 1997)","plainTextFormattedCitation":"(Cerulo, 1997)","previouslyFormattedCitation":"(Cerulo, 1997)"},"properties":{"noteIndex":0},"schema":"https://github.com/citation-style-language/schema/raw/master/csl-citation.json"}</w:instrText>
      </w:r>
      <w:r w:rsidR="003B41E5" w:rsidRPr="004E053C">
        <w:rPr>
          <w:rFonts w:eastAsia="Times New Roman" w:cstheme="majorHAnsi"/>
          <w:sz w:val="22"/>
          <w:szCs w:val="22"/>
          <w:lang w:val="en-GB" w:eastAsia="zh-CN"/>
        </w:rPr>
        <w:fldChar w:fldCharType="separate"/>
      </w:r>
      <w:r w:rsidR="003B41E5" w:rsidRPr="004E053C">
        <w:rPr>
          <w:rFonts w:eastAsia="Times New Roman" w:cstheme="majorHAnsi"/>
          <w:noProof/>
          <w:sz w:val="22"/>
          <w:szCs w:val="22"/>
          <w:lang w:val="en-GB" w:eastAsia="zh-CN"/>
        </w:rPr>
        <w:t>(Cerulo, 1997)</w:t>
      </w:r>
      <w:r w:rsidR="003B41E5" w:rsidRPr="004E053C">
        <w:rPr>
          <w:rFonts w:eastAsia="Times New Roman" w:cstheme="majorHAnsi"/>
          <w:sz w:val="22"/>
          <w:szCs w:val="22"/>
          <w:lang w:val="en-GB" w:eastAsia="zh-CN"/>
        </w:rPr>
        <w:fldChar w:fldCharType="end"/>
      </w:r>
      <w:r w:rsidR="002077F0" w:rsidRPr="004E053C">
        <w:rPr>
          <w:rFonts w:eastAsia="Times New Roman" w:cstheme="majorHAnsi"/>
          <w:sz w:val="22"/>
          <w:szCs w:val="22"/>
          <w:lang w:val="en-GB" w:eastAsia="zh-CN"/>
        </w:rPr>
        <w:t>, t</w:t>
      </w:r>
      <w:r w:rsidRPr="004E053C">
        <w:rPr>
          <w:rFonts w:eastAsia="Times New Roman" w:cstheme="majorHAnsi"/>
          <w:sz w:val="22"/>
          <w:szCs w:val="22"/>
          <w:lang w:val="en-GB" w:eastAsia="zh-CN"/>
        </w:rPr>
        <w:t xml:space="preserve">hus viewing themselves in a positive light. In Lahiri-Dutt’s </w:t>
      </w:r>
      <w:r w:rsidR="003B41E5" w:rsidRPr="004E053C">
        <w:rPr>
          <w:rFonts w:eastAsia="Times New Roman" w:cstheme="majorHAnsi"/>
          <w:sz w:val="22"/>
          <w:szCs w:val="22"/>
          <w:lang w:val="en-GB" w:eastAsia="zh-CN"/>
        </w:rPr>
        <w:fldChar w:fldCharType="begin" w:fldLock="1"/>
      </w:r>
      <w:r w:rsidR="003B41E5" w:rsidRPr="004E053C">
        <w:rPr>
          <w:rFonts w:eastAsia="Times New Roman" w:cstheme="majorHAnsi"/>
          <w:sz w:val="22"/>
          <w:szCs w:val="22"/>
          <w:lang w:val="en-GB" w:eastAsia="zh-CN"/>
        </w:rPr>
        <w:instrText>ADDIN CSL_CITATION {"citationItems":[{"id":"ITEM-1","itemData":{"author":[{"dropping-particle":"","family":"Lahiri-Dutt","given":"Kuntala","non-dropping-particle":"","parse-names":false,"suffix":""}],"container-title":"South Asia: Journal of South Asian Studies","id":"ITEM-1","issue":"4","issued":{"date-parts":[["2017"]]},"page":"792-809","title":"Resources and the politics of sovereignty: the moral and immoral economies of coal mining in India","type":"article-journal","volume":"40"},"uris":["http://www.mendeley.com/documents/?uuid=bd0a25c2-89b9-4e48-87f6-cd8042d78247"]}],"mendeley":{"formattedCitation":"(Kuntala Lahiri-Dutt, 2017)","manualFormatting":"(2017)","plainTextFormattedCitation":"(Kuntala Lahiri-Dutt, 2017)","previouslyFormattedCitation":"(Kuntala Lahiri-Dutt, 2017)"},"properties":{"noteIndex":0},"schema":"https://github.com/citation-style-language/schema/raw/master/csl-citation.json"}</w:instrText>
      </w:r>
      <w:r w:rsidR="003B41E5" w:rsidRPr="004E053C">
        <w:rPr>
          <w:rFonts w:eastAsia="Times New Roman" w:cstheme="majorHAnsi"/>
          <w:sz w:val="22"/>
          <w:szCs w:val="22"/>
          <w:lang w:val="en-GB" w:eastAsia="zh-CN"/>
        </w:rPr>
        <w:fldChar w:fldCharType="separate"/>
      </w:r>
      <w:r w:rsidR="003B41E5" w:rsidRPr="004E053C">
        <w:rPr>
          <w:rFonts w:eastAsia="Times New Roman" w:cstheme="majorHAnsi"/>
          <w:noProof/>
          <w:sz w:val="22"/>
          <w:szCs w:val="22"/>
          <w:lang w:val="en-GB" w:eastAsia="zh-CN"/>
        </w:rPr>
        <w:t>(2017)</w:t>
      </w:r>
      <w:r w:rsidR="003B41E5" w:rsidRPr="004E053C">
        <w:rPr>
          <w:rFonts w:eastAsia="Times New Roman" w:cstheme="majorHAnsi"/>
          <w:sz w:val="22"/>
          <w:szCs w:val="22"/>
          <w:lang w:val="en-GB" w:eastAsia="zh-CN"/>
        </w:rPr>
        <w:fldChar w:fldCharType="end"/>
      </w:r>
      <w:r w:rsidRPr="004E053C">
        <w:rPr>
          <w:rFonts w:eastAsia="Times New Roman" w:cstheme="majorHAnsi"/>
          <w:sz w:val="22"/>
          <w:szCs w:val="22"/>
          <w:lang w:val="en-GB" w:eastAsia="zh-CN"/>
        </w:rPr>
        <w:t xml:space="preserve"> analysis of coal miners in India, she points out that the moral man – as against the economic man – did not just protest, but also acted to legitimise his perspectives and actions. Collective agency can therefore been seen to be enacted in a moral space </w:t>
      </w:r>
      <w:r w:rsidR="003B41E5" w:rsidRPr="004E053C">
        <w:rPr>
          <w:rFonts w:eastAsia="Times New Roman" w:cstheme="majorHAnsi"/>
          <w:sz w:val="22"/>
          <w:szCs w:val="22"/>
          <w:lang w:val="en-GB" w:eastAsia="zh-CN"/>
        </w:rPr>
        <w:fldChar w:fldCharType="begin" w:fldLock="1"/>
      </w:r>
      <w:r w:rsidR="0004146F" w:rsidRPr="004E053C">
        <w:rPr>
          <w:rFonts w:eastAsia="Times New Roman" w:cstheme="majorHAnsi"/>
          <w:sz w:val="22"/>
          <w:szCs w:val="22"/>
          <w:lang w:val="en-GB" w:eastAsia="zh-CN"/>
        </w:rPr>
        <w:instrText>ADDIN CSL_CITATION {"citationItems":[{"id":"ITEM-1","itemData":{"author":[{"dropping-particle":"","family":"Cerulo","given":"Karen A","non-dropping-particle":"","parse-names":false,"suffix":""}],"container-title":"Annual Review of Sociology","id":"ITEM-1","issued":{"date-parts":[["1997"]]},"page":"385-409","title":"Identity construction: new issues, new directions","type":"article-journal","volume":"23"},"uris":["http://www.mendeley.com/documents/?uuid=df4f33c9-7716-427e-bf3a-fadbf1013e51"]}],"mendeley":{"formattedCitation":"(Cerulo, 1997)","plainTextFormattedCitation":"(Cerulo, 1997)","previouslyFormattedCitation":"(Cerulo, 1997)"},"properties":{"noteIndex":0},"schema":"https://github.com/citation-style-language/schema/raw/master/csl-citation.json"}</w:instrText>
      </w:r>
      <w:r w:rsidR="003B41E5" w:rsidRPr="004E053C">
        <w:rPr>
          <w:rFonts w:eastAsia="Times New Roman" w:cstheme="majorHAnsi"/>
          <w:sz w:val="22"/>
          <w:szCs w:val="22"/>
          <w:lang w:val="en-GB" w:eastAsia="zh-CN"/>
        </w:rPr>
        <w:fldChar w:fldCharType="separate"/>
      </w:r>
      <w:r w:rsidR="003B41E5" w:rsidRPr="004E053C">
        <w:rPr>
          <w:rFonts w:eastAsia="Times New Roman" w:cstheme="majorHAnsi"/>
          <w:noProof/>
          <w:sz w:val="22"/>
          <w:szCs w:val="22"/>
          <w:lang w:val="en-GB" w:eastAsia="zh-CN"/>
        </w:rPr>
        <w:t>(Cerulo, 1997)</w:t>
      </w:r>
      <w:r w:rsidR="003B41E5" w:rsidRPr="004E053C">
        <w:rPr>
          <w:rFonts w:eastAsia="Times New Roman" w:cstheme="majorHAnsi"/>
          <w:sz w:val="22"/>
          <w:szCs w:val="22"/>
          <w:lang w:val="en-GB" w:eastAsia="zh-CN"/>
        </w:rPr>
        <w:fldChar w:fldCharType="end"/>
      </w:r>
      <w:r w:rsidRPr="004E053C">
        <w:rPr>
          <w:rFonts w:eastAsia="Times New Roman" w:cstheme="majorHAnsi"/>
          <w:sz w:val="22"/>
          <w:szCs w:val="22"/>
          <w:lang w:val="en-GB" w:eastAsia="zh-CN"/>
        </w:rPr>
        <w:t>, particularly in situations where the group in question is considered deviant by the dominant society. While Bourdieu’s theory allows for forms of resistance and contestation, I intend to elaborate on this further by exploring the role of a shared identity within the translocal social field of ASM.</w:t>
      </w:r>
    </w:p>
    <w:p w14:paraId="3C46AA90" w14:textId="77777777" w:rsidR="00ED3EA5" w:rsidRPr="004E053C" w:rsidRDefault="00ED3EA5" w:rsidP="004E053C">
      <w:pPr>
        <w:spacing w:line="360" w:lineRule="auto"/>
        <w:jc w:val="both"/>
        <w:rPr>
          <w:rFonts w:eastAsia="Times New Roman" w:cstheme="majorHAnsi"/>
          <w:sz w:val="22"/>
          <w:szCs w:val="22"/>
          <w:lang w:val="en-GB" w:eastAsia="zh-CN"/>
        </w:rPr>
      </w:pPr>
    </w:p>
    <w:p w14:paraId="4F5ABD9A" w14:textId="1310FDE3" w:rsidR="00FE47C4" w:rsidRPr="004E053C" w:rsidRDefault="00FE47C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The ASM literature has often focused on how a shared professional identity may develop through close working relationships </w:t>
      </w:r>
      <w:r w:rsidRPr="004E053C">
        <w:rPr>
          <w:rFonts w:eastAsia="Times New Roman" w:cstheme="majorHAnsi"/>
          <w:color w:val="2A2A2A"/>
          <w:sz w:val="22"/>
          <w:szCs w:val="22"/>
          <w:shd w:val="clear" w:color="auto" w:fill="FFFFFF"/>
          <w:lang w:val="en-GB"/>
        </w:rPr>
        <w:t>through a process of skill acquisition, economic exchange, psychological reorientation and social positioning which results in mutually respected professional norms</w:t>
      </w:r>
      <w:r w:rsidR="003B41E5" w:rsidRPr="004E053C">
        <w:rPr>
          <w:rFonts w:cstheme="majorHAnsi"/>
          <w:sz w:val="22"/>
          <w:szCs w:val="22"/>
          <w:lang w:val="en-GB" w:eastAsia="zh-CN"/>
        </w:rPr>
        <w:t xml:space="preserve"> </w:t>
      </w:r>
      <w:r w:rsidR="003B41E5" w:rsidRPr="004E053C">
        <w:rPr>
          <w:rFonts w:cstheme="majorHAnsi"/>
          <w:sz w:val="22"/>
          <w:szCs w:val="22"/>
          <w:lang w:val="en-GB" w:eastAsia="zh-CN"/>
        </w:rPr>
        <w:lastRenderedPageBreak/>
        <w:fldChar w:fldCharType="begin" w:fldLock="1"/>
      </w:r>
      <w:r w:rsidR="003B41E5" w:rsidRPr="004E053C">
        <w:rPr>
          <w:rFonts w:cstheme="majorHAnsi"/>
          <w:sz w:val="22"/>
          <w:szCs w:val="22"/>
          <w:lang w:val="en-GB" w:eastAsia="zh-CN"/>
        </w:rPr>
        <w:instrText>ADDIN CSL_CITATION {"citationItems":[{"id":"ITEM-1","itemData":{"abstract":"This article studies the transformative nature of ‘artisanal frontier mining’ in view of sub-Saharan Africa's mining history. Artisanal gold production has generated livelihood earnings for millions of people in sub-Saharan Africa. Yet we must go beyond a study of artisanal mining as an individual livelihood choice and consider the sector's internal dynamics. In this sense, the concept of ‘labour transformation’ is helpful. It refers to a process in which individuals' skill acquisition, economic exchange, psychological reorientation, and social positioning evolve towards a shared occupational identity and collective professional norms, leaving considerable scope for self-governance amongst artisanal miners. This process is captured in the notion of the ‘frontier’, which in our case refers to occupational rather than geographic locational change. However, the frontier is necessarily of limited temporal duration given the existence of gold as a non-renewable resource, the depth of the gold supply sinking beyond the exploratory and extractive reach of artisanal miners, and the expanding interests of foreign mining corporations and the state. Our argument is illustrated through a comparison of the artisanal mining experiences of two neighbouring countries, Tanzania and the Democratic Republic of Congo (DRC), whose artisanal labour patterns are remarkably similar to each other despite their very different national political contexts and the DRC's recent experience of conflict mineral production.","author":[{"dropping-particle":"","family":"Bryceson","given":"D.","non-dropping-particle":"","parse-names":false,"suffix":""},{"dropping-particle":"","family":"Geenen","given":"S.","non-dropping-particle":"","parse-names":false,"suffix":""}],"container-title":"African Affairs","id":"ITEM-1","issue":"459","issued":{"date-parts":[["2016"]]},"page":"296-317","title":"Artisanal frontier mining of gold in Africa: Labour transformation in Tanzania and the Democratic Republic of Congo","type":"article-journal","volume":"115"},"uris":["http://www.mendeley.com/documents/?uuid=e8db07fb-4578-4ee3-9200-60a5775cc168"]}],"mendeley":{"formattedCitation":"(D. Bryceson &amp; Geenen, 2016)","manualFormatting":"(Bryceson &amp; Geenen, 2016)","plainTextFormattedCitation":"(D. Bryceson &amp; Geenen, 2016)","previouslyFormattedCitation":"(D. Bryceson &amp; Geenen, 2016)"},"properties":{"noteIndex":0},"schema":"https://github.com/citation-style-language/schema/raw/master/csl-citation.json"}</w:instrText>
      </w:r>
      <w:r w:rsidR="003B41E5" w:rsidRPr="004E053C">
        <w:rPr>
          <w:rFonts w:cstheme="majorHAnsi"/>
          <w:sz w:val="22"/>
          <w:szCs w:val="22"/>
          <w:lang w:val="en-GB" w:eastAsia="zh-CN"/>
        </w:rPr>
        <w:fldChar w:fldCharType="separate"/>
      </w:r>
      <w:r w:rsidR="003B41E5" w:rsidRPr="004E053C">
        <w:rPr>
          <w:rFonts w:cstheme="majorHAnsi"/>
          <w:noProof/>
          <w:sz w:val="22"/>
          <w:szCs w:val="22"/>
          <w:lang w:val="en-GB" w:eastAsia="zh-CN"/>
        </w:rPr>
        <w:t>(Bryceson &amp; Geenen, 2016)</w:t>
      </w:r>
      <w:r w:rsidR="003B41E5" w:rsidRPr="004E053C">
        <w:rPr>
          <w:rFonts w:cstheme="majorHAnsi"/>
          <w:sz w:val="22"/>
          <w:szCs w:val="22"/>
          <w:lang w:val="en-GB" w:eastAsia="zh-CN"/>
        </w:rPr>
        <w:fldChar w:fldCharType="end"/>
      </w:r>
      <w:r w:rsidRPr="004E053C">
        <w:rPr>
          <w:rFonts w:cstheme="majorHAnsi"/>
          <w:sz w:val="22"/>
          <w:szCs w:val="22"/>
          <w:lang w:val="en-GB" w:eastAsia="zh-CN"/>
        </w:rPr>
        <w:t xml:space="preserve">. However, what is missing is an understanding of how concepts of deviance linked to the practice of illicit livelihoods may shape the formation of this identity, particularly at the community level. Furthermore, if the place that one identifies with carries different meanings in the dominant society, this can also lead to contestation </w:t>
      </w:r>
      <w:r w:rsidR="003B41E5"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{"citationItems":[{"id":"ITEM-1","itemData":{"author":[{"dropping-particle":"","family":"Etzold","given":"Benjamin","non-dropping-particle":"","parse-names":false,"suffix":""}],"chapter-number":"3","container-title":"Livelihoods and Development: New Perspectives","editor":[{"dropping-particle":"","family":"Leo de Haan","given":"","non-dropping-particle":"","parse-names":false,"suffix":""}],"id":"ITEM-1","issued":{"date-parts":[["2017"]]},"page":"44-68","publisher":"Brill","publisher-place":"Leiden","title":"Mobility, space and livelihood trajectories: new perspectives on migration, translocality and place-making for livelihood studies","type":"chapter"},"uris":["http://www.mendeley.com/documents/?uuid=8669327d-3056-4ab8-9bc0-8022e5d3152f"]}],"mendeley":{"formattedCitation":"(Etzold, 2017)","plainTextFormattedCitation":"(Etzold, 2017)","previouslyFormattedCitation":"(Etzold, 2017)"},"properties":{"noteIndex":0},"schema":"https://github.com/citation-style-language/schema/raw/master/csl-citation.json"}</w:instrText>
      </w:r>
      <w:r w:rsidR="003B41E5" w:rsidRPr="004E053C">
        <w:rPr>
          <w:rFonts w:cstheme="majorHAnsi"/>
          <w:sz w:val="22"/>
          <w:szCs w:val="22"/>
          <w:lang w:val="en-GB" w:eastAsia="zh-CN"/>
        </w:rPr>
        <w:fldChar w:fldCharType="separate"/>
      </w:r>
      <w:r w:rsidR="003B41E5" w:rsidRPr="004E053C">
        <w:rPr>
          <w:rFonts w:cstheme="majorHAnsi"/>
          <w:noProof/>
          <w:sz w:val="22"/>
          <w:szCs w:val="22"/>
          <w:lang w:val="en-GB" w:eastAsia="zh-CN"/>
        </w:rPr>
        <w:t>(Etzold, 2017)</w:t>
      </w:r>
      <w:r w:rsidR="003B41E5" w:rsidRPr="004E053C">
        <w:rPr>
          <w:rFonts w:cstheme="majorHAnsi"/>
          <w:sz w:val="22"/>
          <w:szCs w:val="22"/>
          <w:lang w:val="en-GB" w:eastAsia="zh-CN"/>
        </w:rPr>
        <w:fldChar w:fldCharType="end"/>
      </w:r>
      <w:r w:rsidRPr="004E053C">
        <w:rPr>
          <w:rFonts w:cstheme="majorHAnsi"/>
          <w:sz w:val="22"/>
          <w:szCs w:val="22"/>
          <w:lang w:val="en-GB" w:eastAsia="zh-CN"/>
        </w:rPr>
        <w:t xml:space="preserve">. </w:t>
      </w:r>
      <w:r w:rsidRPr="004E053C">
        <w:rPr>
          <w:rFonts w:eastAsia="Times New Roman" w:cstheme="majorHAnsi"/>
          <w:sz w:val="22"/>
          <w:szCs w:val="22"/>
          <w:lang w:val="en-GB" w:eastAsia="zh-CN"/>
        </w:rPr>
        <w:t xml:space="preserve">This chapter has already discussed how place is central to an individual’s identity, yet local populations often develop a strong shared identity. This is particularly true when that identity is built around a shared deviance. </w:t>
      </w:r>
      <w:r w:rsidRPr="004E053C">
        <w:rPr>
          <w:rFonts w:cstheme="majorHAnsi"/>
          <w:sz w:val="22"/>
          <w:szCs w:val="22"/>
          <w:lang w:val="en-GB" w:eastAsia="zh-CN"/>
        </w:rPr>
        <w:t xml:space="preserve">Cross and Hernandez </w:t>
      </w:r>
      <w:r w:rsidR="003B41E5"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2011)","manualFormatting":"(2011)","plainTextFormattedCitation":"(J. C. Cross &amp; Hernández, 2011)","previouslyFormattedCitation":"(J. C. Cross &amp; Hernández, 2011)"},"properties":{"noteIndex":0},"schema":"https://github.com/citation-style-language/schema/raw/master/csl-citation.json"}</w:instrText>
      </w:r>
      <w:r w:rsidR="003B41E5" w:rsidRPr="004E053C">
        <w:rPr>
          <w:rFonts w:cstheme="majorHAnsi"/>
          <w:sz w:val="22"/>
          <w:szCs w:val="22"/>
          <w:lang w:val="en-GB" w:eastAsia="zh-CN"/>
        </w:rPr>
        <w:fldChar w:fldCharType="separate"/>
      </w:r>
      <w:r w:rsidR="003B41E5" w:rsidRPr="004E053C">
        <w:rPr>
          <w:rFonts w:cstheme="majorHAnsi"/>
          <w:noProof/>
          <w:sz w:val="22"/>
          <w:szCs w:val="22"/>
          <w:lang w:val="en-GB" w:eastAsia="zh-CN"/>
        </w:rPr>
        <w:t>(2011)</w:t>
      </w:r>
      <w:r w:rsidR="003B41E5" w:rsidRPr="004E053C">
        <w:rPr>
          <w:rFonts w:cstheme="majorHAnsi"/>
          <w:sz w:val="22"/>
          <w:szCs w:val="22"/>
          <w:lang w:val="en-GB" w:eastAsia="zh-CN"/>
        </w:rPr>
        <w:fldChar w:fldCharType="end"/>
      </w:r>
      <w:r w:rsidRPr="004E053C">
        <w:rPr>
          <w:rFonts w:cstheme="majorHAnsi"/>
          <w:sz w:val="22"/>
          <w:szCs w:val="22"/>
          <w:lang w:val="en-GB" w:eastAsia="zh-CN"/>
        </w:rPr>
        <w:t xml:space="preserve"> have shown how the concept of place as a social construction can evoke a communal deviant identity and an alternative set of norms as a form of resistance to the dominant society. While identity is a key aspect of many theories of deviance, Cross and Hernandez link it with social movement theory in order to analyse ‘the ways in which deviance can be legitimised as a form of resistance to what is seen locally as illegitimate dominant normative systems’ </w:t>
      </w:r>
      <w:r w:rsidR="003B41E5"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2011)","manualFormatting":"(Ibid., p.509)","plainTextFormattedCitation":"(J. C. Cross &amp; Hernández, 2011)","previouslyFormattedCitation":"(J. C. Cross &amp; Hernández, 2011)"},"properties":{"noteIndex":0},"schema":"https://github.com/citation-style-language/schema/raw/master/csl-citation.json"}</w:instrText>
      </w:r>
      <w:r w:rsidR="003B41E5" w:rsidRPr="004E053C">
        <w:rPr>
          <w:rFonts w:cstheme="majorHAnsi"/>
          <w:sz w:val="22"/>
          <w:szCs w:val="22"/>
          <w:lang w:val="en-GB" w:eastAsia="zh-CN"/>
        </w:rPr>
        <w:fldChar w:fldCharType="separate"/>
      </w:r>
      <w:r w:rsidR="003B41E5" w:rsidRPr="004E053C">
        <w:rPr>
          <w:rFonts w:cstheme="majorHAnsi"/>
          <w:noProof/>
          <w:sz w:val="22"/>
          <w:szCs w:val="22"/>
          <w:lang w:val="en-GB" w:eastAsia="zh-CN"/>
        </w:rPr>
        <w:t>(Ibid</w:t>
      </w:r>
      <w:r w:rsidR="00EC4FAE" w:rsidRPr="004E053C">
        <w:rPr>
          <w:rFonts w:cstheme="majorHAnsi"/>
          <w:noProof/>
          <w:sz w:val="22"/>
          <w:szCs w:val="22"/>
          <w:lang w:val="en-GB" w:eastAsia="zh-CN"/>
        </w:rPr>
        <w:t>.,</w:t>
      </w:r>
      <w:r w:rsidR="003B41E5" w:rsidRPr="004E053C">
        <w:rPr>
          <w:rFonts w:cstheme="majorHAnsi"/>
          <w:noProof/>
          <w:sz w:val="22"/>
          <w:szCs w:val="22"/>
          <w:lang w:val="en-GB" w:eastAsia="zh-CN"/>
        </w:rPr>
        <w:t xml:space="preserve"> p.509)</w:t>
      </w:r>
      <w:r w:rsidR="003B41E5" w:rsidRPr="004E053C">
        <w:rPr>
          <w:rFonts w:cstheme="majorHAnsi"/>
          <w:sz w:val="22"/>
          <w:szCs w:val="22"/>
          <w:lang w:val="en-GB" w:eastAsia="zh-CN"/>
        </w:rPr>
        <w:fldChar w:fldCharType="end"/>
      </w:r>
      <w:r w:rsidRPr="004E053C">
        <w:rPr>
          <w:rFonts w:cstheme="majorHAnsi"/>
          <w:sz w:val="22"/>
          <w:szCs w:val="22"/>
          <w:lang w:val="en-GB" w:eastAsia="zh-CN"/>
        </w:rPr>
        <w:t xml:space="preserve">. </w:t>
      </w:r>
    </w:p>
    <w:p w14:paraId="241400F8" w14:textId="77777777" w:rsidR="00A825D9" w:rsidRPr="004E053C" w:rsidRDefault="00A825D9" w:rsidP="004E053C">
      <w:pPr>
        <w:spacing w:line="360" w:lineRule="auto"/>
        <w:jc w:val="both"/>
        <w:rPr>
          <w:rFonts w:cstheme="majorHAnsi"/>
          <w:lang w:val="en-GB"/>
        </w:rPr>
      </w:pPr>
    </w:p>
    <w:p w14:paraId="67288B2B" w14:textId="578872B7" w:rsidR="00FE47C4" w:rsidRPr="004E053C" w:rsidRDefault="00FE47C4"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Cross and Hernandez use </w:t>
      </w:r>
      <w:r w:rsidRPr="004E053C">
        <w:rPr>
          <w:rFonts w:cstheme="majorHAnsi"/>
          <w:sz w:val="22"/>
          <w:szCs w:val="22"/>
          <w:lang w:val="en-GB"/>
        </w:rPr>
        <w:t xml:space="preserve">the inner-city neighbourhood of Tepito in Mexico City to illustrate how forms of deviance can be ‘rooted in community processes of resistance against the dominant normative system’ </w:t>
      </w:r>
      <w:r w:rsidR="003B41E5"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2011)","manualFormatting":"(2011, p.504)","plainTextFormattedCitation":"(J. C. Cross &amp; Hernández, 2011)","previouslyFormattedCitation":"(J. C. Cross &amp; Hernández, 2011)"},"properties":{"noteIndex":0},"schema":"https://github.com/citation-style-language/schema/raw/master/csl-citation.json"}</w:instrText>
      </w:r>
      <w:r w:rsidR="003B41E5" w:rsidRPr="004E053C">
        <w:rPr>
          <w:rFonts w:cstheme="majorHAnsi"/>
          <w:sz w:val="22"/>
          <w:szCs w:val="22"/>
          <w:lang w:val="en-GB" w:eastAsia="zh-CN"/>
        </w:rPr>
        <w:fldChar w:fldCharType="separate"/>
      </w:r>
      <w:r w:rsidR="003B41E5" w:rsidRPr="004E053C">
        <w:rPr>
          <w:rFonts w:cstheme="majorHAnsi"/>
          <w:noProof/>
          <w:sz w:val="22"/>
          <w:szCs w:val="22"/>
          <w:lang w:val="en-GB" w:eastAsia="zh-CN"/>
        </w:rPr>
        <w:t>(2011, p.504)</w:t>
      </w:r>
      <w:r w:rsidR="003B41E5" w:rsidRPr="004E053C">
        <w:rPr>
          <w:rFonts w:cstheme="majorHAnsi"/>
          <w:sz w:val="22"/>
          <w:szCs w:val="22"/>
          <w:lang w:val="en-GB" w:eastAsia="zh-CN"/>
        </w:rPr>
        <w:fldChar w:fldCharType="end"/>
      </w:r>
      <w:r w:rsidRPr="004E053C">
        <w:rPr>
          <w:rFonts w:cstheme="majorHAnsi"/>
          <w:sz w:val="22"/>
          <w:szCs w:val="22"/>
          <w:lang w:val="en-GB"/>
        </w:rPr>
        <w:t xml:space="preserve">. In Bourdieu’s terminology, this dominant system would constitute the field of power but also encompass the wider society external to the ASM social field. Tepito is characterised by behaviour seen as deviant by outsiders, most notably the widespread reliance on the illicit sale of contraband as means of livelihood. </w:t>
      </w:r>
      <w:r w:rsidRPr="004E053C">
        <w:rPr>
          <w:rFonts w:eastAsia="Times New Roman" w:cstheme="majorHAnsi"/>
          <w:sz w:val="22"/>
          <w:szCs w:val="22"/>
          <w:lang w:val="en-GB"/>
        </w:rPr>
        <w:t xml:space="preserve">Cross and Hernandez argue that, ‘the ability to claim control over a specific territory – a ‘place’- is often central to create a sense of collective identity’ </w:t>
      </w:r>
      <w:r w:rsidR="003B41E5"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2011)","manualFormatting":"(Ibid., p.519)","plainTextFormattedCitation":"(J. C. Cross &amp; Hernández, 2011)","previouslyFormattedCitation":"(J. C. Cross &amp; Hernández, 2011)"},"properties":{"noteIndex":0},"schema":"https://github.com/citation-style-language/schema/raw/master/csl-citation.json"}</w:instrText>
      </w:r>
      <w:r w:rsidR="003B41E5" w:rsidRPr="004E053C">
        <w:rPr>
          <w:rFonts w:cstheme="majorHAnsi"/>
          <w:sz w:val="22"/>
          <w:szCs w:val="22"/>
          <w:lang w:val="en-GB" w:eastAsia="zh-CN"/>
        </w:rPr>
        <w:fldChar w:fldCharType="separate"/>
      </w:r>
      <w:r w:rsidR="003B41E5" w:rsidRPr="004E053C">
        <w:rPr>
          <w:rFonts w:cstheme="majorHAnsi"/>
          <w:noProof/>
          <w:sz w:val="22"/>
          <w:szCs w:val="22"/>
          <w:lang w:val="en-GB" w:eastAsia="zh-CN"/>
        </w:rPr>
        <w:t>(Ibid</w:t>
      </w:r>
      <w:r w:rsidR="00EC4FAE" w:rsidRPr="004E053C">
        <w:rPr>
          <w:rFonts w:cstheme="majorHAnsi"/>
          <w:noProof/>
          <w:sz w:val="22"/>
          <w:szCs w:val="22"/>
          <w:lang w:val="en-GB" w:eastAsia="zh-CN"/>
        </w:rPr>
        <w:t>.</w:t>
      </w:r>
      <w:r w:rsidR="003B41E5" w:rsidRPr="004E053C">
        <w:rPr>
          <w:rFonts w:cstheme="majorHAnsi"/>
          <w:noProof/>
          <w:sz w:val="22"/>
          <w:szCs w:val="22"/>
          <w:lang w:val="en-GB" w:eastAsia="zh-CN"/>
        </w:rPr>
        <w:t>, p.519)</w:t>
      </w:r>
      <w:r w:rsidR="003B41E5" w:rsidRPr="004E053C">
        <w:rPr>
          <w:rFonts w:cstheme="majorHAnsi"/>
          <w:sz w:val="22"/>
          <w:szCs w:val="22"/>
          <w:lang w:val="en-GB" w:eastAsia="zh-CN"/>
        </w:rPr>
        <w:fldChar w:fldCharType="end"/>
      </w:r>
      <w:r w:rsidR="003B41E5" w:rsidRPr="004E053C">
        <w:rPr>
          <w:rFonts w:cstheme="majorHAnsi"/>
          <w:sz w:val="22"/>
          <w:szCs w:val="22"/>
          <w:lang w:val="en-GB" w:eastAsia="zh-CN"/>
        </w:rPr>
        <w:t xml:space="preserve">. </w:t>
      </w:r>
      <w:r w:rsidRPr="004E053C">
        <w:rPr>
          <w:rFonts w:eastAsia="Times New Roman" w:cstheme="majorHAnsi"/>
          <w:sz w:val="22"/>
          <w:szCs w:val="22"/>
          <w:lang w:val="en-GB"/>
        </w:rPr>
        <w:t xml:space="preserve">Furthermore, the nature of market-based livelihoods in Tepito meant that residents worked closely together and were then able to act collectively to resist the constant attempts by authorities to control them, which fed into the development of a shared identity. This highlights the role of the structural form of place </w:t>
      </w:r>
      <w:r w:rsidR="003B41E5" w:rsidRPr="004E053C">
        <w:rPr>
          <w:rFonts w:eastAsia="Times New Roman" w:cstheme="majorHAnsi"/>
          <w:sz w:val="22"/>
          <w:szCs w:val="22"/>
          <w:lang w:val="en-GB"/>
        </w:rPr>
        <w:fldChar w:fldCharType="begin" w:fldLock="1"/>
      </w:r>
      <w:r w:rsidR="003B41E5" w:rsidRPr="004E053C">
        <w:rPr>
          <w:rFonts w:eastAsia="Times New Roman" w:cstheme="majorHAnsi"/>
          <w:sz w:val="22"/>
          <w:szCs w:val="22"/>
          <w:lang w:val="en-GB"/>
        </w:rPr>
        <w:instrText>ADDIN CSL_CITATION {"citationItems":[{"id":"ITEM-1","itemData":{"abstract":"Sociological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Sociology","id":"ITEM-1","issued":{"date-parts":[["2000"]]},"page":"463-496","title":"A space for place in sociology","type":"article-journal","volume":"26"},"uris":["http://www.mendeley.com/documents/?uuid=40055a61-4bab-46a9-a28c-e073dfac7680"]}],"mendeley":{"formattedCitation":"(Gieryn, 2000)","plainTextFormattedCitation":"(Gieryn, 2000)","previouslyFormattedCitation":"(Gieryn, 2000)"},"properties":{"noteIndex":0},"schema":"https://github.com/citation-style-language/schema/raw/master/csl-citation.json"}</w:instrText>
      </w:r>
      <w:r w:rsidR="003B41E5" w:rsidRPr="004E053C">
        <w:rPr>
          <w:rFonts w:eastAsia="Times New Roman" w:cstheme="majorHAnsi"/>
          <w:sz w:val="22"/>
          <w:szCs w:val="22"/>
          <w:lang w:val="en-GB"/>
        </w:rPr>
        <w:fldChar w:fldCharType="separate"/>
      </w:r>
      <w:r w:rsidR="003B41E5" w:rsidRPr="004E053C">
        <w:rPr>
          <w:rFonts w:eastAsia="Times New Roman" w:cstheme="majorHAnsi"/>
          <w:noProof/>
          <w:sz w:val="22"/>
          <w:szCs w:val="22"/>
          <w:lang w:val="en-GB"/>
        </w:rPr>
        <w:t>(Gieryn, 2000)</w:t>
      </w:r>
      <w:r w:rsidR="003B41E5"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and is also reminiscent of descriptions of life in mining towns and settlements, given the open nature of mining activity and the close working relationships that develop as a result.</w:t>
      </w:r>
      <w:r w:rsidRPr="004E053C">
        <w:rPr>
          <w:rFonts w:cstheme="majorHAnsi"/>
          <w:sz w:val="22"/>
          <w:szCs w:val="22"/>
          <w:lang w:val="en-GB"/>
        </w:rPr>
        <w:t xml:space="preserve"> Cross and Hernandez </w:t>
      </w:r>
      <w:r w:rsidR="003B41E5"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2011)","manualFormatting":"(2011)","plainTextFormattedCitation":"(J. C. Cross &amp; Hernández, 2011)","previouslyFormattedCitation":"(J. C. Cross &amp; Hernández, 2011)"},"properties":{"noteIndex":0},"schema":"https://github.com/citation-style-language/schema/raw/master/csl-citation.json"}</w:instrText>
      </w:r>
      <w:r w:rsidR="003B41E5" w:rsidRPr="004E053C">
        <w:rPr>
          <w:rFonts w:cstheme="majorHAnsi"/>
          <w:sz w:val="22"/>
          <w:szCs w:val="22"/>
          <w:lang w:val="en-GB"/>
        </w:rPr>
        <w:fldChar w:fldCharType="separate"/>
      </w:r>
      <w:r w:rsidR="003B41E5" w:rsidRPr="004E053C">
        <w:rPr>
          <w:rFonts w:cstheme="majorHAnsi"/>
          <w:noProof/>
          <w:sz w:val="22"/>
          <w:szCs w:val="22"/>
          <w:lang w:val="en-GB"/>
        </w:rPr>
        <w:t>(2011)</w:t>
      </w:r>
      <w:r w:rsidR="003B41E5" w:rsidRPr="004E053C">
        <w:rPr>
          <w:rFonts w:cstheme="majorHAnsi"/>
          <w:sz w:val="22"/>
          <w:szCs w:val="22"/>
          <w:lang w:val="en-GB"/>
        </w:rPr>
        <w:fldChar w:fldCharType="end"/>
      </w:r>
      <w:r w:rsidRPr="004E053C">
        <w:rPr>
          <w:rFonts w:cstheme="majorHAnsi"/>
          <w:sz w:val="22"/>
          <w:szCs w:val="22"/>
          <w:lang w:val="en-GB"/>
        </w:rPr>
        <w:t xml:space="preserve"> further argued that the emergence of a collective identity at the community level strong enough to resist dominant norms required a unifying ideology to legitimise their alternative identity and the acts of resistance they engaged in. They argued that in the community context, this required:</w:t>
      </w:r>
    </w:p>
    <w:p w14:paraId="196FE2BD" w14:textId="77777777" w:rsidR="00FE47C4" w:rsidRPr="004E053C" w:rsidRDefault="00FE47C4" w:rsidP="004E053C">
      <w:pPr>
        <w:spacing w:line="360" w:lineRule="auto"/>
        <w:jc w:val="both"/>
        <w:rPr>
          <w:rFonts w:cstheme="majorHAnsi"/>
          <w:sz w:val="22"/>
          <w:szCs w:val="22"/>
          <w:lang w:val="en-GB"/>
        </w:rPr>
      </w:pPr>
    </w:p>
    <w:p w14:paraId="443BA619" w14:textId="396BDD0E" w:rsidR="00FE47C4" w:rsidRPr="004E053C" w:rsidRDefault="00FE47C4" w:rsidP="004E053C">
      <w:pPr>
        <w:ind w:left="720"/>
        <w:jc w:val="both"/>
        <w:rPr>
          <w:rFonts w:cstheme="majorHAnsi"/>
          <w:sz w:val="22"/>
          <w:szCs w:val="22"/>
          <w:lang w:val="en-GB"/>
        </w:rPr>
      </w:pPr>
      <w:r w:rsidRPr="004E053C">
        <w:rPr>
          <w:rFonts w:cstheme="majorHAnsi"/>
          <w:sz w:val="22"/>
          <w:szCs w:val="22"/>
          <w:lang w:val="en-GB"/>
        </w:rPr>
        <w:t>‘an</w:t>
      </w:r>
      <w:r w:rsidRPr="004E053C">
        <w:rPr>
          <w:rFonts w:cstheme="majorHAnsi"/>
          <w:i/>
          <w:iCs/>
          <w:sz w:val="22"/>
          <w:szCs w:val="22"/>
          <w:lang w:val="en-GB"/>
        </w:rPr>
        <w:t xml:space="preserve"> ideology </w:t>
      </w:r>
      <w:r w:rsidRPr="004E053C">
        <w:rPr>
          <w:rFonts w:cstheme="majorHAnsi"/>
          <w:sz w:val="22"/>
          <w:szCs w:val="22"/>
          <w:lang w:val="en-GB"/>
        </w:rPr>
        <w:t xml:space="preserve">that unifies the members and allows the group to believe that not only are they </w:t>
      </w:r>
      <w:r w:rsidRPr="004E053C">
        <w:rPr>
          <w:rFonts w:cstheme="majorHAnsi"/>
          <w:i/>
          <w:iCs/>
          <w:sz w:val="22"/>
          <w:szCs w:val="22"/>
          <w:lang w:val="en-GB"/>
        </w:rPr>
        <w:t>different</w:t>
      </w:r>
      <w:r w:rsidRPr="004E053C">
        <w:rPr>
          <w:rFonts w:cstheme="majorHAnsi"/>
          <w:sz w:val="22"/>
          <w:szCs w:val="22"/>
          <w:lang w:val="en-GB"/>
        </w:rPr>
        <w:t xml:space="preserve"> from the dominant society due to the arbitrary features of geography, but in a meaningful social sense that somehow makes them </w:t>
      </w:r>
      <w:r w:rsidRPr="004E053C">
        <w:rPr>
          <w:rFonts w:cstheme="majorHAnsi"/>
          <w:i/>
          <w:iCs/>
          <w:sz w:val="22"/>
          <w:szCs w:val="22"/>
          <w:lang w:val="en-GB"/>
        </w:rPr>
        <w:t>better</w:t>
      </w:r>
      <w:r w:rsidRPr="004E053C">
        <w:rPr>
          <w:rFonts w:cstheme="majorHAnsi"/>
          <w:sz w:val="22"/>
          <w:szCs w:val="22"/>
          <w:lang w:val="en-GB"/>
        </w:rPr>
        <w:t xml:space="preserve"> than those living elsewhere, a necessary ingredient in order to allow the group members to reject the dominant society’s negative image of the group’ </w:t>
      </w:r>
      <w:r w:rsidR="003B41E5"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2011)","manualFormatting":"(Cross &amp; Hernández, 2011, p.522)","plainTextFormattedCitation":"(J. C. Cross &amp; Hernández, 2011)","previouslyFormattedCitation":"(J. C. Cross &amp; Hernández, 2011)"},"properties":{"noteIndex":0},"schema":"https://github.com/citation-style-language/schema/raw/master/csl-citation.json"}</w:instrText>
      </w:r>
      <w:r w:rsidR="003B41E5" w:rsidRPr="004E053C">
        <w:rPr>
          <w:rFonts w:cstheme="majorHAnsi"/>
          <w:sz w:val="22"/>
          <w:szCs w:val="22"/>
          <w:lang w:val="en-GB" w:eastAsia="zh-CN"/>
        </w:rPr>
        <w:fldChar w:fldCharType="separate"/>
      </w:r>
      <w:r w:rsidR="003B41E5" w:rsidRPr="004E053C">
        <w:rPr>
          <w:rFonts w:cstheme="majorHAnsi"/>
          <w:noProof/>
          <w:sz w:val="22"/>
          <w:szCs w:val="22"/>
          <w:lang w:val="en-GB" w:eastAsia="zh-CN"/>
        </w:rPr>
        <w:t>(Cross &amp; Hernández, 2011, p.522)</w:t>
      </w:r>
      <w:r w:rsidR="003B41E5" w:rsidRPr="004E053C">
        <w:rPr>
          <w:rFonts w:cstheme="majorHAnsi"/>
          <w:sz w:val="22"/>
          <w:szCs w:val="22"/>
          <w:lang w:val="en-GB" w:eastAsia="zh-CN"/>
        </w:rPr>
        <w:fldChar w:fldCharType="end"/>
      </w:r>
      <w:r w:rsidR="003B41E5" w:rsidRPr="004E053C">
        <w:rPr>
          <w:rFonts w:cstheme="majorHAnsi"/>
          <w:sz w:val="22"/>
          <w:szCs w:val="22"/>
          <w:lang w:val="en-GB"/>
        </w:rPr>
        <w:t>.</w:t>
      </w:r>
    </w:p>
    <w:p w14:paraId="4EDDFF17" w14:textId="77777777" w:rsidR="003B41E5" w:rsidRPr="004E053C" w:rsidRDefault="003B41E5" w:rsidP="004E053C">
      <w:pPr>
        <w:spacing w:line="360" w:lineRule="auto"/>
        <w:jc w:val="both"/>
        <w:rPr>
          <w:rFonts w:cstheme="majorHAnsi"/>
          <w:sz w:val="22"/>
          <w:szCs w:val="22"/>
          <w:lang w:val="en-GB"/>
        </w:rPr>
      </w:pPr>
    </w:p>
    <w:p w14:paraId="3F5FE1AD" w14:textId="46DDA492"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lastRenderedPageBreak/>
        <w:t xml:space="preserve">They suggest that this may be a shared history through which local people constructed an identity that excludes the ‘other’ and provides a sense of communal pride in their deviance from the dominant norm </w:t>
      </w:r>
      <w:r w:rsidR="003B41E5"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2011)","manualFormatting":"(Cross &amp; Hernández, 2011)","plainTextFormattedCitation":"(J. C. Cross &amp; Hernández, 2011)","previouslyFormattedCitation":"(J. C. Cross &amp; Hernández, 2011)"},"properties":{"noteIndex":0},"schema":"https://github.com/citation-style-language/schema/raw/master/csl-citation.json"}</w:instrText>
      </w:r>
      <w:r w:rsidR="003B41E5" w:rsidRPr="004E053C">
        <w:rPr>
          <w:rFonts w:cstheme="majorHAnsi"/>
          <w:sz w:val="22"/>
          <w:szCs w:val="22"/>
          <w:lang w:val="en-GB" w:eastAsia="zh-CN"/>
        </w:rPr>
        <w:fldChar w:fldCharType="separate"/>
      </w:r>
      <w:r w:rsidR="003B41E5" w:rsidRPr="004E053C">
        <w:rPr>
          <w:rFonts w:cstheme="majorHAnsi"/>
          <w:noProof/>
          <w:sz w:val="22"/>
          <w:szCs w:val="22"/>
          <w:lang w:val="en-GB" w:eastAsia="zh-CN"/>
        </w:rPr>
        <w:t>(Cross &amp; Hernández, 2011)</w:t>
      </w:r>
      <w:r w:rsidR="003B41E5" w:rsidRPr="004E053C">
        <w:rPr>
          <w:rFonts w:cstheme="majorHAnsi"/>
          <w:sz w:val="22"/>
          <w:szCs w:val="22"/>
          <w:lang w:val="en-GB" w:eastAsia="zh-CN"/>
        </w:rPr>
        <w:fldChar w:fldCharType="end"/>
      </w:r>
      <w:r w:rsidR="003B41E5" w:rsidRPr="004E053C">
        <w:rPr>
          <w:rFonts w:cstheme="majorHAnsi"/>
          <w:sz w:val="22"/>
          <w:szCs w:val="22"/>
          <w:lang w:val="en-GB" w:eastAsia="zh-CN"/>
        </w:rPr>
        <w:t xml:space="preserve">. </w:t>
      </w:r>
      <w:r w:rsidRPr="004E053C">
        <w:rPr>
          <w:rFonts w:cstheme="majorHAnsi"/>
          <w:sz w:val="22"/>
          <w:szCs w:val="22"/>
          <w:lang w:val="en-GB"/>
        </w:rPr>
        <w:t xml:space="preserve">In frontier mining </w:t>
      </w:r>
      <w:r w:rsidR="00A825D9" w:rsidRPr="004E053C">
        <w:rPr>
          <w:rFonts w:cstheme="majorHAnsi"/>
          <w:sz w:val="22"/>
          <w:szCs w:val="22"/>
          <w:lang w:val="en-GB"/>
        </w:rPr>
        <w:t>towns,</w:t>
      </w:r>
      <w:r w:rsidRPr="004E053C">
        <w:rPr>
          <w:rFonts w:cstheme="majorHAnsi"/>
          <w:sz w:val="22"/>
          <w:szCs w:val="22"/>
          <w:lang w:val="en-GB"/>
        </w:rPr>
        <w:t xml:space="preserve"> there is of course no shared history because due to the translocality of mining livelihoods, the majority of inhabitants are migrants from different locations of origin. Instead, it may be threats to both the social practices involved in ASM and the ‘place’ in which they live and work that contributes to this collective identity. Cross and Hernandez </w:t>
      </w:r>
      <w:r w:rsidR="003B41E5"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2011)","manualFormatting":"(2011)","plainTextFormattedCitation":"(J. C. Cross &amp; Hernández, 2011)","previouslyFormattedCitation":"(J. C. Cross &amp; Hernández, 2011)"},"properties":{"noteIndex":0},"schema":"https://github.com/citation-style-language/schema/raw/master/csl-citation.json"}</w:instrText>
      </w:r>
      <w:r w:rsidR="003B41E5" w:rsidRPr="004E053C">
        <w:rPr>
          <w:rFonts w:cstheme="majorHAnsi"/>
          <w:sz w:val="22"/>
          <w:szCs w:val="22"/>
          <w:lang w:val="en-GB"/>
        </w:rPr>
        <w:fldChar w:fldCharType="separate"/>
      </w:r>
      <w:r w:rsidR="003B41E5" w:rsidRPr="004E053C">
        <w:rPr>
          <w:rFonts w:cstheme="majorHAnsi"/>
          <w:noProof/>
          <w:sz w:val="22"/>
          <w:szCs w:val="22"/>
          <w:lang w:val="en-GB"/>
        </w:rPr>
        <w:t>(2011)</w:t>
      </w:r>
      <w:r w:rsidR="003B41E5" w:rsidRPr="004E053C">
        <w:rPr>
          <w:rFonts w:cstheme="majorHAnsi"/>
          <w:sz w:val="22"/>
          <w:szCs w:val="22"/>
          <w:lang w:val="en-GB"/>
        </w:rPr>
        <w:fldChar w:fldCharType="end"/>
      </w:r>
      <w:r w:rsidR="003B41E5" w:rsidRPr="004E053C">
        <w:rPr>
          <w:rFonts w:cstheme="majorHAnsi"/>
          <w:sz w:val="22"/>
          <w:szCs w:val="22"/>
          <w:lang w:val="en-GB"/>
        </w:rPr>
        <w:t xml:space="preserve"> </w:t>
      </w:r>
      <w:r w:rsidRPr="004E053C">
        <w:rPr>
          <w:rFonts w:cstheme="majorHAnsi"/>
          <w:sz w:val="22"/>
          <w:szCs w:val="22"/>
          <w:lang w:val="en-GB"/>
        </w:rPr>
        <w:t xml:space="preserve">also suggest that some form of organisational force is necessary to successfully integrate local people. </w:t>
      </w:r>
    </w:p>
    <w:p w14:paraId="5C618675" w14:textId="77777777" w:rsidR="00FE47C4" w:rsidRPr="004E053C" w:rsidRDefault="00FE47C4" w:rsidP="004E053C">
      <w:pPr>
        <w:spacing w:line="360" w:lineRule="auto"/>
        <w:jc w:val="both"/>
        <w:rPr>
          <w:rFonts w:cstheme="majorHAnsi"/>
          <w:sz w:val="22"/>
          <w:szCs w:val="22"/>
          <w:lang w:val="en-GB"/>
        </w:rPr>
      </w:pPr>
    </w:p>
    <w:p w14:paraId="247023D4" w14:textId="739EBC9C" w:rsidR="00FE47C4" w:rsidRPr="004E053C" w:rsidRDefault="00FE47C4" w:rsidP="004E053C">
      <w:pPr>
        <w:spacing w:line="360" w:lineRule="auto"/>
        <w:jc w:val="both"/>
        <w:rPr>
          <w:rFonts w:cstheme="majorHAnsi"/>
          <w:sz w:val="22"/>
          <w:szCs w:val="22"/>
          <w:lang w:val="en-GB"/>
        </w:rPr>
      </w:pPr>
      <w:r w:rsidRPr="004E053C">
        <w:rPr>
          <w:rFonts w:cstheme="majorHAnsi"/>
          <w:sz w:val="22"/>
          <w:szCs w:val="22"/>
          <w:lang w:val="en-GB"/>
        </w:rPr>
        <w:t xml:space="preserve">A local population’s own </w:t>
      </w:r>
      <w:r w:rsidR="00D3785B" w:rsidRPr="004E053C">
        <w:rPr>
          <w:rFonts w:cstheme="majorHAnsi"/>
          <w:sz w:val="22"/>
          <w:szCs w:val="22"/>
          <w:lang w:val="en-GB"/>
        </w:rPr>
        <w:t>labelling</w:t>
      </w:r>
      <w:r w:rsidRPr="004E053C">
        <w:rPr>
          <w:rFonts w:cstheme="majorHAnsi"/>
          <w:sz w:val="22"/>
          <w:szCs w:val="22"/>
          <w:lang w:val="en-GB"/>
        </w:rPr>
        <w:t xml:space="preserve"> of another out-group can bolster their in-group identity, and notions of place have been shown to be central to conceptualisations of ‘otherness’ </w:t>
      </w:r>
      <w:r w:rsidR="009C0675"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{"citationItems":[{"id":"ITEM-1","itemData":{"author":[{"dropping-particle":"","family":"Cohen","given":"Albert K","non-dropping-particle":"","parse-names":false,"suffix":""}],"container-title":"American Sociological Review","id":"ITEM-1","issue":"1","issued":{"date-parts":[["1965"]]},"page":"5-14","title":"The sociology of the deviant act: anomie theory and beyond","type":"article-journal","volume":"30"},"uris":["http://www.mendeley.com/documents/?uuid=c1c2c79d-efa2-4293-a531-e2f85a0cf3a3"]}],"mendeley":{"formattedCitation":"(Cohen, 1965)","plainTextFormattedCitation":"(Cohen, 1965)","previouslyFormattedCitation":"(Cohen, 1965)"},"properties":{"noteIndex":0},"schema":"https://github.com/citation-style-language/schema/raw/master/csl-citation.json"}</w:instrText>
      </w:r>
      <w:r w:rsidR="009C0675" w:rsidRPr="004E053C">
        <w:rPr>
          <w:rFonts w:cstheme="majorHAnsi"/>
          <w:sz w:val="22"/>
          <w:szCs w:val="22"/>
          <w:lang w:val="en-GB"/>
        </w:rPr>
        <w:fldChar w:fldCharType="separate"/>
      </w:r>
      <w:r w:rsidR="009C0675" w:rsidRPr="004E053C">
        <w:rPr>
          <w:rFonts w:cstheme="majorHAnsi"/>
          <w:noProof/>
          <w:sz w:val="22"/>
          <w:szCs w:val="22"/>
          <w:lang w:val="en-GB"/>
        </w:rPr>
        <w:t>(Cohen, 1965)</w:t>
      </w:r>
      <w:r w:rsidR="009C0675" w:rsidRPr="004E053C">
        <w:rPr>
          <w:rFonts w:cstheme="majorHAnsi"/>
          <w:sz w:val="22"/>
          <w:szCs w:val="22"/>
          <w:lang w:val="en-GB"/>
        </w:rPr>
        <w:fldChar w:fldCharType="end"/>
      </w:r>
      <w:r w:rsidR="009C0675" w:rsidRPr="004E053C">
        <w:rPr>
          <w:rFonts w:cstheme="majorHAnsi"/>
          <w:sz w:val="22"/>
          <w:szCs w:val="22"/>
          <w:lang w:val="en-GB"/>
        </w:rPr>
        <w:t xml:space="preserve">. </w:t>
      </w:r>
      <w:r w:rsidRPr="004E053C">
        <w:rPr>
          <w:rFonts w:cstheme="majorHAnsi"/>
          <w:sz w:val="22"/>
          <w:szCs w:val="22"/>
          <w:lang w:val="en-GB"/>
        </w:rPr>
        <w:t xml:space="preserve">This is important as it is likely to influence the ways in which miners interact with state actors in the negotiation of ASM policy, particularly as challenges with formalising ASM have been shown to be connected with issues such as pre-existing identities and memories in particular places </w:t>
      </w:r>
      <w:r w:rsidR="009C0675"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Salman","given":"T","non-dropping-particle":"","parse-names":false,"suffix":""},{"dropping-particle":"","family":"Carillo","given":"F","non-dropping-particle":"","parse-names":false,"suffix":""},{"dropping-particle":"","family":"Soruco","given":"C","non-dropping-particle":"","parse-names":false,"suffix":""}],"container-title":"The Extractive Industries and Society","id":"ITEM-1","issue":"2","issued":{"date-parts":[["2015"]]},"page":"360-367","title":"Small-scale mining cooperatives and the state in Bolivia: their histories and negotiation strategies","type":"article-journal","volume":"2"},"uris":["http://www.mendeley.com/documents/?uuid=d1258be0-6b0c-4770-9778-0fe6b4f3f638"]},{"id":"ITEM-2","itemData":{"abstract":"A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Society","id":"ITEM-2","issue":"4","issued":{"date-parts":[["2016"]]},"page":"1058-1066","publisher":"Elsevier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Peru","type":"article-journal","volume":"3"},"uris":["http://www.mendeley.com/documents/?uuid=c58e85fb-cf81-4a8b-acb3-317eb51efe53"]}],"mendeley":{"formattedCitation":"(Salman et al., 2015; Salo et al., 2016)","plainTextFormattedCitation":"(Salman et al., 2015; Salo et al., 2016)","previouslyFormattedCitation":"(Salman et al., 2015; Salo et al., 2016)"},"properties":{"noteIndex":0},"schema":"https://github.com/citation-style-language/schema/raw/master/csl-citation.json"}</w:instrText>
      </w:r>
      <w:r w:rsidR="009C0675" w:rsidRPr="004E053C">
        <w:rPr>
          <w:rFonts w:cstheme="majorHAnsi"/>
          <w:sz w:val="22"/>
          <w:szCs w:val="22"/>
          <w:lang w:val="en-GB"/>
        </w:rPr>
        <w:fldChar w:fldCharType="separate"/>
      </w:r>
      <w:r w:rsidR="002F0CEA" w:rsidRPr="002F0CEA">
        <w:rPr>
          <w:rFonts w:cstheme="majorHAnsi"/>
          <w:noProof/>
          <w:sz w:val="22"/>
          <w:szCs w:val="22"/>
          <w:lang w:val="en-GB"/>
        </w:rPr>
        <w:t>(Salman et al., 2015; Salo et al., 2016)</w:t>
      </w:r>
      <w:r w:rsidR="009C0675" w:rsidRPr="004E053C">
        <w:rPr>
          <w:rFonts w:cstheme="majorHAnsi"/>
          <w:sz w:val="22"/>
          <w:szCs w:val="22"/>
          <w:lang w:val="en-GB"/>
        </w:rPr>
        <w:fldChar w:fldCharType="end"/>
      </w:r>
      <w:r w:rsidRPr="004E053C">
        <w:rPr>
          <w:rFonts w:cstheme="majorHAnsi"/>
          <w:sz w:val="22"/>
          <w:szCs w:val="22"/>
          <w:lang w:val="en-GB"/>
        </w:rPr>
        <w:t xml:space="preserve">. Within the social field of ASM, I wish to explore the notion that some actors may seek to legitimise their own behaviour, and consolidate their position, by explicitly positioning themselves against others. Damonte </w:t>
      </w:r>
      <w:r w:rsidR="009C0675"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{"citationItems":[{"id":"ITEM-1","itemData":{"abstract":"The article analyzes the Peruvian government quest for small scale miners´ formalization in the Amazon as a political process that shows how state governance problems are reproduced in the realm of state margins. Why is the central State unable to regulate mining activities in Madre de Dios? And how have small- scale miners reacted to these state attempts to govern the region? It argues that small-scale mining in the Amazonian region of Madre de Dios in Peru has flourished in a social space where formal and informal institutions intertwine in a way barely 'legible' by the State, where miners through political agency have learned to contest, reinterpret and built alternatives to central State governance. From an Anthropological perspective, it shows the interplay between state policies, actions and violence, and local actor´s resistance, protests and collaboration in establishing hybrid institutions, rules and procedures, for achieving a non-centralized governance over the region in the realm of a chaotic mining expansion over fragile environments. Methodologically, this article draws on several sources of secondary data such as reports and audios and primary data collected using qualitative in particular ethnographic methods during several fieldwork visits to the region. This article contributes to the literature on state governance by showing central state governance problems and the importance of local people´s agency in achieving some control over unruly extractive expansion. It also shows how state problems on implementing specific policies such as mining formalization should be analyzed also as a governance problem in particular in regions where state apparatus are not well established as in the Amazonia.","author":[{"dropping-particle":"","family":"Damonte","given":"Gerardo","non-dropping-particle":"","parse-names":false,"suffix":""}],"container-title":"Development and Change","id":"ITEM-1","issue":"5","issued":{"date-parts":[["2018"]]},"page":"1314-1335","title":"Mining formalization at the margins of the state: small-scale miners and state governance in the Peruvian Amazon","type":"article-journal","volume":"49"},"uris":["http://www.mendeley.com/documents/?uuid=a40f3a30-0490-4f23-9ed0-7de3a0a19aeb"]}],"mendeley":{"formattedCitation":"(Damonte, 2018)","manualFormatting":"(2018)","plainTextFormattedCitation":"(Damonte, 2018)","previouslyFormattedCitation":"(Damonte, 2018)"},"properties":{"noteIndex":0},"schema":"https://github.com/citation-style-language/schema/raw/master/csl-citation.json"}</w:instrText>
      </w:r>
      <w:r w:rsidR="009C0675" w:rsidRPr="004E053C">
        <w:rPr>
          <w:rFonts w:cstheme="majorHAnsi"/>
          <w:sz w:val="22"/>
          <w:szCs w:val="22"/>
          <w:lang w:val="en-GB"/>
        </w:rPr>
        <w:fldChar w:fldCharType="separate"/>
      </w:r>
      <w:r w:rsidR="009C0675" w:rsidRPr="004E053C">
        <w:rPr>
          <w:rFonts w:cstheme="majorHAnsi"/>
          <w:noProof/>
          <w:sz w:val="22"/>
          <w:szCs w:val="22"/>
          <w:lang w:val="en-GB"/>
        </w:rPr>
        <w:t>(2018)</w:t>
      </w:r>
      <w:r w:rsidR="009C0675" w:rsidRPr="004E053C">
        <w:rPr>
          <w:rFonts w:cstheme="majorHAnsi"/>
          <w:sz w:val="22"/>
          <w:szCs w:val="22"/>
          <w:lang w:val="en-GB"/>
        </w:rPr>
        <w:fldChar w:fldCharType="end"/>
      </w:r>
      <w:r w:rsidRPr="004E053C">
        <w:rPr>
          <w:rFonts w:cstheme="majorHAnsi"/>
          <w:sz w:val="22"/>
          <w:szCs w:val="22"/>
          <w:lang w:val="en-GB"/>
        </w:rPr>
        <w:t xml:space="preserve"> has observed that miners in Madre de Dios do use place-based definitions of illegality in their resistance against the Government, but he did not offer any deeper analysis as to how or why this shared identity developed or what these narratives were trying to achieve. Cross and Hernandez </w:t>
      </w:r>
      <w:r w:rsidR="009C0675"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2011)","manualFormatting":"(2011)","plainTextFormattedCitation":"(J. C. Cross &amp; Hernández, 2011)","previouslyFormattedCitation":"(J. C. Cross &amp; Hernández, 2011)"},"properties":{"noteIndex":0},"schema":"https://github.com/citation-style-language/schema/raw/master/csl-citation.json"}</w:instrText>
      </w:r>
      <w:r w:rsidR="009C0675" w:rsidRPr="004E053C">
        <w:rPr>
          <w:rFonts w:cstheme="majorHAnsi"/>
          <w:sz w:val="22"/>
          <w:szCs w:val="22"/>
          <w:lang w:val="en-GB"/>
        </w:rPr>
        <w:fldChar w:fldCharType="separate"/>
      </w:r>
      <w:r w:rsidR="009C0675" w:rsidRPr="004E053C">
        <w:rPr>
          <w:rFonts w:cstheme="majorHAnsi"/>
          <w:noProof/>
          <w:sz w:val="22"/>
          <w:szCs w:val="22"/>
          <w:lang w:val="en-GB"/>
        </w:rPr>
        <w:t>(2011)</w:t>
      </w:r>
      <w:r w:rsidR="009C0675" w:rsidRPr="004E053C">
        <w:rPr>
          <w:rFonts w:cstheme="majorHAnsi"/>
          <w:sz w:val="22"/>
          <w:szCs w:val="22"/>
          <w:lang w:val="en-GB"/>
        </w:rPr>
        <w:fldChar w:fldCharType="end"/>
      </w:r>
      <w:r w:rsidR="009C0675" w:rsidRPr="004E053C">
        <w:rPr>
          <w:rFonts w:cstheme="majorHAnsi"/>
          <w:sz w:val="22"/>
          <w:szCs w:val="22"/>
          <w:lang w:val="en-GB"/>
        </w:rPr>
        <w:t xml:space="preserve"> </w:t>
      </w:r>
      <w:r w:rsidRPr="004E053C">
        <w:rPr>
          <w:rFonts w:cstheme="majorHAnsi"/>
          <w:sz w:val="22"/>
          <w:szCs w:val="22"/>
          <w:lang w:val="en-GB"/>
        </w:rPr>
        <w:t xml:space="preserve">build on this idea of a group narrative, arguing that the local population create ‘symbolic boundaries’ between themselves and the ‘other’, heavily tied to a sense of place, as they fight a common objective. This can serve to </w:t>
      </w:r>
      <w:r w:rsidR="00D3785B" w:rsidRPr="004E053C">
        <w:rPr>
          <w:rFonts w:cstheme="majorHAnsi"/>
          <w:sz w:val="22"/>
          <w:szCs w:val="22"/>
          <w:lang w:val="en-GB"/>
        </w:rPr>
        <w:t>delegitimise</w:t>
      </w:r>
      <w:r w:rsidRPr="004E053C">
        <w:rPr>
          <w:rFonts w:cstheme="majorHAnsi"/>
          <w:sz w:val="22"/>
          <w:szCs w:val="22"/>
          <w:lang w:val="en-GB"/>
        </w:rPr>
        <w:t xml:space="preserve"> the norms of t</w:t>
      </w:r>
      <w:r w:rsidR="00781E91" w:rsidRPr="004E053C">
        <w:rPr>
          <w:rFonts w:cstheme="majorHAnsi"/>
          <w:sz w:val="22"/>
          <w:szCs w:val="22"/>
          <w:lang w:val="en-GB"/>
        </w:rPr>
        <w:t xml:space="preserve">he dominant society </w:t>
      </w:r>
      <w:r w:rsidR="009C0675"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2011)","manualFormatting":"(Ibid.)","plainTextFormattedCitation":"(J. C. Cross &amp; Hernández, 2011)","previouslyFormattedCitation":"(J. C. Cross &amp; Hernández, 2011)"},"properties":{"noteIndex":0},"schema":"https://github.com/citation-style-language/schema/raw/master/csl-citation.json"}</w:instrText>
      </w:r>
      <w:r w:rsidR="009C0675" w:rsidRPr="004E053C">
        <w:rPr>
          <w:rFonts w:cstheme="majorHAnsi"/>
          <w:sz w:val="22"/>
          <w:szCs w:val="22"/>
          <w:lang w:val="en-GB"/>
        </w:rPr>
        <w:fldChar w:fldCharType="separate"/>
      </w:r>
      <w:r w:rsidR="009C0675" w:rsidRPr="004E053C">
        <w:rPr>
          <w:rFonts w:cstheme="majorHAnsi"/>
          <w:noProof/>
          <w:sz w:val="22"/>
          <w:szCs w:val="22"/>
          <w:lang w:val="en-GB"/>
        </w:rPr>
        <w:t>(Ibid</w:t>
      </w:r>
      <w:r w:rsidR="00EC4FAE" w:rsidRPr="004E053C">
        <w:rPr>
          <w:rFonts w:cstheme="majorHAnsi"/>
          <w:noProof/>
          <w:sz w:val="22"/>
          <w:szCs w:val="22"/>
          <w:lang w:val="en-GB"/>
        </w:rPr>
        <w:t>.</w:t>
      </w:r>
      <w:r w:rsidR="009C0675" w:rsidRPr="004E053C">
        <w:rPr>
          <w:rFonts w:cstheme="majorHAnsi"/>
          <w:noProof/>
          <w:sz w:val="22"/>
          <w:szCs w:val="22"/>
          <w:lang w:val="en-GB"/>
        </w:rPr>
        <w:t>)</w:t>
      </w:r>
      <w:r w:rsidR="009C0675" w:rsidRPr="004E053C">
        <w:rPr>
          <w:rFonts w:cstheme="majorHAnsi"/>
          <w:sz w:val="22"/>
          <w:szCs w:val="22"/>
          <w:lang w:val="en-GB"/>
        </w:rPr>
        <w:fldChar w:fldCharType="end"/>
      </w:r>
      <w:r w:rsidR="009C0675" w:rsidRPr="004E053C">
        <w:rPr>
          <w:rFonts w:cstheme="majorHAnsi"/>
          <w:sz w:val="22"/>
          <w:szCs w:val="22"/>
          <w:lang w:val="en-GB"/>
        </w:rPr>
        <w:t xml:space="preserve"> </w:t>
      </w:r>
      <w:r w:rsidR="00DB3DA8" w:rsidRPr="004E053C">
        <w:rPr>
          <w:rFonts w:cstheme="majorHAnsi"/>
          <w:sz w:val="22"/>
          <w:szCs w:val="22"/>
          <w:lang w:val="en-GB"/>
        </w:rPr>
        <w:t>but</w:t>
      </w:r>
      <w:r w:rsidRPr="004E053C">
        <w:rPr>
          <w:rFonts w:cstheme="majorHAnsi"/>
          <w:sz w:val="22"/>
          <w:szCs w:val="22"/>
          <w:lang w:val="en-GB"/>
        </w:rPr>
        <w:t xml:space="preserve"> also to position themselves in a favourable position against other populations considered inferior. In Campbell’s </w:t>
      </w:r>
      <w:r w:rsidR="009C0675" w:rsidRPr="004E053C">
        <w:rPr>
          <w:rFonts w:cstheme="majorHAnsi"/>
          <w:sz w:val="22"/>
          <w:szCs w:val="22"/>
          <w:lang w:val="en-GB"/>
        </w:rPr>
        <w:fldChar w:fldCharType="begin" w:fldLock="1"/>
      </w:r>
      <w:r w:rsidR="004B0526" w:rsidRPr="004E053C">
        <w:rPr>
          <w:rFonts w:cstheme="majorHAnsi"/>
          <w:sz w:val="22"/>
          <w:szCs w:val="22"/>
          <w:lang w:val="en-GB"/>
        </w:rPr>
        <w:instrText>ADDIN CSL_CITATION {"citationItems":[{"id":"ITEM-1","itemData":{"author":[{"dropping-particle":"","family":"Campbell","given":"Jeremy M","non-dropping-particle":"","parse-names":false,"suffix":""}],"id":"ITEM-1","issued":{"date-parts":[["2015"]]},"number-of-pages":"231","publisher":"University of Washington Press","publisher-place":"Seattle, WA","title":"Conjuring Property: Speculation and Environmental Futures in the Brazilian Amazon","type":"book"},"uris":["http://www.mendeley.com/documents/?uuid=4a505b05-99c8-425c-a771-8e87362968d3"]}],"mendeley":{"formattedCitation":"(Campbell, 2015)","manualFormatting":"(2015)","plainTextFormattedCitation":"(Campbell, 2015)","previouslyFormattedCitation":"(Campbell, 2015)"},"properties":{"noteIndex":0},"schema":"https://github.com/citation-style-language/schema/raw/master/csl-citation.json"}</w:instrText>
      </w:r>
      <w:r w:rsidR="009C0675" w:rsidRPr="004E053C">
        <w:rPr>
          <w:rFonts w:cstheme="majorHAnsi"/>
          <w:sz w:val="22"/>
          <w:szCs w:val="22"/>
          <w:lang w:val="en-GB"/>
        </w:rPr>
        <w:fldChar w:fldCharType="separate"/>
      </w:r>
      <w:r w:rsidR="009C0675" w:rsidRPr="004E053C">
        <w:rPr>
          <w:rFonts w:cstheme="majorHAnsi"/>
          <w:noProof/>
          <w:sz w:val="22"/>
          <w:szCs w:val="22"/>
          <w:lang w:val="en-GB"/>
        </w:rPr>
        <w:t>(2015)</w:t>
      </w:r>
      <w:r w:rsidR="009C0675" w:rsidRPr="004E053C">
        <w:rPr>
          <w:rFonts w:cstheme="majorHAnsi"/>
          <w:sz w:val="22"/>
          <w:szCs w:val="22"/>
          <w:lang w:val="en-GB"/>
        </w:rPr>
        <w:fldChar w:fldCharType="end"/>
      </w:r>
      <w:r w:rsidRPr="004E053C">
        <w:rPr>
          <w:rFonts w:cstheme="majorHAnsi"/>
          <w:sz w:val="22"/>
          <w:szCs w:val="22"/>
          <w:lang w:val="en-GB"/>
        </w:rPr>
        <w:t xml:space="preserve"> study for example, he showed how migrants in the Amazon would use environmental narratives to delegitimise another group of actors, while in Tepito the contraband sellers often emphasised that the illicit sale of pirated DVDs was not as bad as selling drugs as a means to neutralise their own actions </w:t>
      </w:r>
      <w:r w:rsidR="009C0675"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2011)","manualFormatting":"(Cross &amp; Hernández, 2011)","plainTextFormattedCitation":"(J. C. Cross &amp; Hernández, 2011)","previouslyFormattedCitation":"(J. C. Cross &amp; Hernández, 2011)"},"properties":{"noteIndex":0},"schema":"https://github.com/citation-style-language/schema/raw/master/csl-citation.json"}</w:instrText>
      </w:r>
      <w:r w:rsidR="009C0675" w:rsidRPr="004E053C">
        <w:rPr>
          <w:rFonts w:cstheme="majorHAnsi"/>
          <w:sz w:val="22"/>
          <w:szCs w:val="22"/>
          <w:lang w:val="en-GB" w:eastAsia="zh-CN"/>
        </w:rPr>
        <w:fldChar w:fldCharType="separate"/>
      </w:r>
      <w:r w:rsidR="009C0675" w:rsidRPr="004E053C">
        <w:rPr>
          <w:rFonts w:cstheme="majorHAnsi"/>
          <w:noProof/>
          <w:sz w:val="22"/>
          <w:szCs w:val="22"/>
          <w:lang w:val="en-GB" w:eastAsia="zh-CN"/>
        </w:rPr>
        <w:t>(Cross &amp; Hernández, 2011)</w:t>
      </w:r>
      <w:r w:rsidR="009C0675" w:rsidRPr="004E053C">
        <w:rPr>
          <w:rFonts w:cstheme="majorHAnsi"/>
          <w:sz w:val="22"/>
          <w:szCs w:val="22"/>
          <w:lang w:val="en-GB" w:eastAsia="zh-CN"/>
        </w:rPr>
        <w:fldChar w:fldCharType="end"/>
      </w:r>
      <w:r w:rsidR="009C0675" w:rsidRPr="004E053C">
        <w:rPr>
          <w:rFonts w:cstheme="majorHAnsi"/>
          <w:sz w:val="22"/>
          <w:szCs w:val="22"/>
          <w:lang w:val="en-GB" w:eastAsia="zh-CN"/>
        </w:rPr>
        <w:t>.</w:t>
      </w:r>
    </w:p>
    <w:p w14:paraId="7D1B3003" w14:textId="77777777" w:rsidR="00FE47C4" w:rsidRPr="004E053C" w:rsidRDefault="00FE47C4" w:rsidP="004E053C">
      <w:pPr>
        <w:spacing w:line="360" w:lineRule="auto"/>
        <w:jc w:val="both"/>
        <w:rPr>
          <w:rFonts w:cstheme="majorHAnsi"/>
          <w:sz w:val="22"/>
          <w:szCs w:val="22"/>
          <w:lang w:val="en-GB"/>
        </w:rPr>
      </w:pPr>
    </w:p>
    <w:p w14:paraId="170DE58B" w14:textId="37B51A0E" w:rsidR="00FE47C4" w:rsidRPr="00030E91" w:rsidRDefault="00FE47C4" w:rsidP="004E053C">
      <w:pPr>
        <w:spacing w:line="360" w:lineRule="auto"/>
        <w:jc w:val="both"/>
        <w:rPr>
          <w:rFonts w:cstheme="majorHAnsi"/>
          <w:lang w:val="en-GB" w:eastAsia="zh-CN"/>
        </w:rPr>
      </w:pPr>
      <w:r w:rsidRPr="004E053C">
        <w:rPr>
          <w:rFonts w:cstheme="majorHAnsi"/>
          <w:sz w:val="22"/>
          <w:szCs w:val="22"/>
          <w:lang w:val="en-GB" w:eastAsia="zh-CN"/>
        </w:rPr>
        <w:t xml:space="preserve">What should be clear from this discussion is that the meaning ascribed to a particular place by a group of people can have a big impact on the emergence of a collective identity. Furthermore, while that collective identity may be reinforced through contestations, it does not necessarily follow that all actors within the social field share the same identity. It is known that the interconnections that exist within the translocal community have an important transformative effect on notions of belonging and on the way migrants are perceived and received by others </w:t>
      </w:r>
      <w:r w:rsidR="004B0526" w:rsidRPr="004E053C">
        <w:rPr>
          <w:rFonts w:cstheme="majorHAnsi"/>
          <w:sz w:val="22"/>
          <w:szCs w:val="22"/>
          <w:lang w:val="en-GB" w:eastAsia="zh-CN"/>
        </w:rPr>
        <w:fldChar w:fldCharType="begin" w:fldLock="1"/>
      </w:r>
      <w:r w:rsidR="0004146F" w:rsidRPr="004E053C">
        <w:rPr>
          <w:rFonts w:cstheme="majorHAnsi"/>
          <w:sz w:val="22"/>
          <w:szCs w:val="22"/>
          <w:lang w:val="en-GB" w:eastAsia="zh-CN"/>
        </w:rPr>
        <w:instrText>ADDIN CSL_CITATION {"citationItems":[{"id":"ITEM-1","itemData":{"author":[{"dropping-particle":"","family":"Vertovec","given":"S","non-dropping-particle":"","parse-names":false,"suffix":""}],"container-title":"Social Science Research Council/International Migration Review Conference on Conceptual and Methodological Developments in the Study of International Migration","id":"ITEM-1","issued":{"date-parts":[["2003"]]},"publisher":"Princeton University","title":"Migrant transnationalism and modes of tranformation","type":"paper-conference"},"uris":["http://www.mendeley.com/documents/?uuid=101b9b06-a7db-42c9-b5ed-d2d33827deae"]},{"id":"ITEM-2","itemData":{"author":[{"dropping-particle":"","family":"Theije","given":"Marjo","non-dropping-particle":"De","parse-names":false,"suffix":""},{"dropping-particle":"","family":"Bal","given":"Ellen","non-dropping-particle":"","parse-names":false,"suffix":""}],"chapter-number":"4","container-title":"A World of Insecurity: Anthropological Perspectives on Human Security","editor":[{"dropping-particle":"","family":"Eriksen","given":"Thomas Hylland","non-dropping-particle":"","parse-names":false,"suffix":""},{"dropping-particle":"","family":"Bal","given":"Ellen","non-dropping-particle":"","parse-names":false,"suffix":""},{"dropping-particle":"","family":"Salemink","given":"Oscar","non-dropping-particle":"","parse-names":false,"suffix":""}],"id":"ITEM-2","issued":{"date-parts":[["2010"]]},"page":"66-88","publisher":"Pluto Press","publisher-place":"London, UK","title":"Flexible migrants. Brazilian gold miners and their quest for human security in Surinam","type":"chapter"},"uris":["http://www.mendeley.com/documents/?uuid=a0fe66b5-a57d-46fa-a5b9-03db4e85f100"]}],"mendeley":{"formattedCitation":"(De Theije &amp; Bal, 2010; Vertovec, 2003)","plainTextFormattedCitation":"(De Theije &amp; Bal, 2010; Vertovec, 2003)","previouslyFormattedCitation":"(De Theije &amp; Bal, 2010; Vertovec, 2003)"},"properties":{"noteIndex":0},"schema":"https://github.com/citation-style-language/schema/raw/master/csl-citation.json"}</w:instrText>
      </w:r>
      <w:r w:rsidR="004B0526" w:rsidRPr="004E053C">
        <w:rPr>
          <w:rFonts w:cstheme="majorHAnsi"/>
          <w:sz w:val="22"/>
          <w:szCs w:val="22"/>
          <w:lang w:val="en-GB" w:eastAsia="zh-CN"/>
        </w:rPr>
        <w:fldChar w:fldCharType="separate"/>
      </w:r>
      <w:r w:rsidR="004B0526" w:rsidRPr="004E053C">
        <w:rPr>
          <w:rFonts w:cstheme="majorHAnsi"/>
          <w:noProof/>
          <w:sz w:val="22"/>
          <w:szCs w:val="22"/>
          <w:lang w:val="en-GB" w:eastAsia="zh-CN"/>
        </w:rPr>
        <w:t>(De Theije &amp; Bal, 2010; Vertovec, 2003)</w:t>
      </w:r>
      <w:r w:rsidR="004B0526" w:rsidRPr="004E053C">
        <w:rPr>
          <w:rFonts w:cstheme="majorHAnsi"/>
          <w:sz w:val="22"/>
          <w:szCs w:val="22"/>
          <w:lang w:val="en-GB" w:eastAsia="zh-CN"/>
        </w:rPr>
        <w:fldChar w:fldCharType="end"/>
      </w:r>
      <w:r w:rsidRPr="004E053C">
        <w:rPr>
          <w:rFonts w:cstheme="majorHAnsi"/>
          <w:sz w:val="22"/>
          <w:szCs w:val="22"/>
          <w:lang w:val="en-GB" w:eastAsia="zh-CN"/>
        </w:rPr>
        <w:t xml:space="preserve">. In the context of illicit livelihoods such as ASM, where the power-dynamics within </w:t>
      </w:r>
      <w:r w:rsidRPr="004E053C">
        <w:rPr>
          <w:rFonts w:cstheme="majorHAnsi"/>
          <w:sz w:val="22"/>
          <w:szCs w:val="22"/>
          <w:lang w:val="en-GB" w:eastAsia="zh-CN"/>
        </w:rPr>
        <w:lastRenderedPageBreak/>
        <w:t xml:space="preserve">the social field have led to feelings of marginalisation, this is likely to have an impact on the emergence of a </w:t>
      </w:r>
      <w:r w:rsidRPr="00030E91">
        <w:rPr>
          <w:rFonts w:cstheme="majorHAnsi"/>
          <w:sz w:val="22"/>
          <w:szCs w:val="22"/>
          <w:lang w:val="en-GB" w:eastAsia="zh-CN"/>
        </w:rPr>
        <w:t>c</w:t>
      </w:r>
      <w:r w:rsidR="00F16371" w:rsidRPr="00030E91">
        <w:rPr>
          <w:rFonts w:cstheme="majorHAnsi"/>
          <w:sz w:val="22"/>
          <w:szCs w:val="22"/>
          <w:lang w:val="en-GB" w:eastAsia="zh-CN"/>
        </w:rPr>
        <w:t>ollective identity. In chapter 6</w:t>
      </w:r>
      <w:r w:rsidRPr="00030E91">
        <w:rPr>
          <w:rFonts w:cstheme="majorHAnsi"/>
          <w:sz w:val="22"/>
          <w:szCs w:val="22"/>
          <w:lang w:val="en-GB" w:eastAsia="zh-CN"/>
        </w:rPr>
        <w:t>, I will highlight how one’s relative position within the social field relates to the temporality of ASM</w:t>
      </w:r>
      <w:r w:rsidR="00F16371" w:rsidRPr="00030E91">
        <w:rPr>
          <w:rFonts w:cstheme="majorHAnsi"/>
          <w:sz w:val="22"/>
          <w:szCs w:val="22"/>
          <w:lang w:val="en-GB" w:eastAsia="zh-CN"/>
        </w:rPr>
        <w:t xml:space="preserve"> livelihoods, while in chapter 9</w:t>
      </w:r>
      <w:r w:rsidRPr="00030E91">
        <w:rPr>
          <w:rFonts w:cstheme="majorHAnsi"/>
          <w:sz w:val="22"/>
          <w:szCs w:val="22"/>
          <w:lang w:val="en-GB" w:eastAsia="zh-CN"/>
        </w:rPr>
        <w:t xml:space="preserve"> I go on to draw links between this temporality and the broader implications of state regulation for collective forms of resistance.</w:t>
      </w:r>
    </w:p>
    <w:p w14:paraId="0B2BC21E" w14:textId="77777777" w:rsidR="00FE47C4" w:rsidRPr="00030E91" w:rsidRDefault="00FE47C4" w:rsidP="004E053C">
      <w:pPr>
        <w:spacing w:line="360" w:lineRule="auto"/>
        <w:jc w:val="both"/>
        <w:rPr>
          <w:rFonts w:cstheme="majorHAnsi"/>
          <w:lang w:val="en-GB" w:eastAsia="zh-CN"/>
        </w:rPr>
      </w:pPr>
    </w:p>
    <w:p w14:paraId="28C2AA5A" w14:textId="2CA51571" w:rsidR="00FE47C4" w:rsidRPr="00030E91" w:rsidRDefault="00EA7F83" w:rsidP="004E053C">
      <w:pPr>
        <w:pStyle w:val="Heading2"/>
        <w:spacing w:before="0" w:line="360" w:lineRule="auto"/>
        <w:jc w:val="both"/>
        <w:rPr>
          <w:rFonts w:cstheme="majorHAnsi"/>
          <w:lang w:val="en-GB"/>
        </w:rPr>
      </w:pPr>
      <w:bookmarkStart w:id="50" w:name="_Toc33293096"/>
      <w:r w:rsidRPr="00030E91">
        <w:rPr>
          <w:rFonts w:cstheme="majorHAnsi"/>
          <w:lang w:val="en-GB"/>
        </w:rPr>
        <w:t>4</w:t>
      </w:r>
      <w:r w:rsidR="00FE47C4" w:rsidRPr="00030E91">
        <w:rPr>
          <w:rFonts w:cstheme="majorHAnsi"/>
          <w:lang w:val="en-GB"/>
        </w:rPr>
        <w:t xml:space="preserve">.6. </w:t>
      </w:r>
      <w:r w:rsidR="00F444F5" w:rsidRPr="00030E91">
        <w:rPr>
          <w:rFonts w:cstheme="majorHAnsi"/>
          <w:lang w:val="en-GB"/>
        </w:rPr>
        <w:t>Summary</w:t>
      </w:r>
      <w:bookmarkEnd w:id="50"/>
    </w:p>
    <w:p w14:paraId="4F0E140A" w14:textId="77777777" w:rsidR="00FE47C4" w:rsidRPr="00030E91" w:rsidRDefault="00FE47C4" w:rsidP="004E053C">
      <w:pPr>
        <w:spacing w:line="360" w:lineRule="auto"/>
        <w:jc w:val="both"/>
        <w:rPr>
          <w:rFonts w:cstheme="majorHAnsi"/>
          <w:b/>
          <w:bCs/>
          <w:lang w:val="en-GB"/>
        </w:rPr>
      </w:pPr>
    </w:p>
    <w:p w14:paraId="6A239933" w14:textId="16ACD663" w:rsidR="00FE47C4" w:rsidRPr="004E053C" w:rsidRDefault="00FE47C4" w:rsidP="004E053C">
      <w:pPr>
        <w:spacing w:line="360" w:lineRule="auto"/>
        <w:jc w:val="both"/>
        <w:rPr>
          <w:rFonts w:cstheme="majorHAnsi"/>
          <w:color w:val="000000" w:themeColor="text1"/>
          <w:sz w:val="22"/>
          <w:szCs w:val="22"/>
          <w:lang w:val="en-GB"/>
        </w:rPr>
      </w:pPr>
      <w:r w:rsidRPr="00030E91">
        <w:rPr>
          <w:rFonts w:cstheme="majorHAnsi"/>
          <w:sz w:val="22"/>
          <w:szCs w:val="22"/>
          <w:lang w:val="en-GB"/>
        </w:rPr>
        <w:t xml:space="preserve">This chapter has outlined </w:t>
      </w:r>
      <w:r w:rsidR="00464062" w:rsidRPr="00030E91">
        <w:rPr>
          <w:rFonts w:cstheme="majorHAnsi"/>
          <w:sz w:val="22"/>
          <w:szCs w:val="22"/>
          <w:lang w:val="en-GB"/>
        </w:rPr>
        <w:t xml:space="preserve">an </w:t>
      </w:r>
      <w:r w:rsidRPr="00030E91">
        <w:rPr>
          <w:rFonts w:cstheme="majorHAnsi"/>
          <w:sz w:val="22"/>
          <w:szCs w:val="22"/>
          <w:lang w:val="en-GB"/>
        </w:rPr>
        <w:t xml:space="preserve">understanding of Bourdieu’s notion of social fields, practice and capital, but as applied to translocal livelihoods. This enables a conceptualisation of the translocal ASM community as a social field comprising of the interconnections created by multiple, overlapping translocal livelihoods. </w:t>
      </w:r>
      <w:r w:rsidR="00A937CF" w:rsidRPr="00030E91">
        <w:rPr>
          <w:rFonts w:cstheme="majorHAnsi"/>
          <w:sz w:val="22"/>
          <w:szCs w:val="22"/>
          <w:lang w:val="en-GB"/>
        </w:rPr>
        <w:t>I have presented a simplified representation of this, which adapts previous work on transnationalism. It is an</w:t>
      </w:r>
      <w:r w:rsidRPr="00030E91">
        <w:rPr>
          <w:rFonts w:cstheme="majorHAnsi"/>
          <w:sz w:val="22"/>
          <w:szCs w:val="22"/>
          <w:lang w:val="en-GB"/>
        </w:rPr>
        <w:t xml:space="preserve"> important conceptualisation, as it means the people that are connected within the translocal community need not share the same origin location. </w:t>
      </w:r>
      <w:r w:rsidR="00464062" w:rsidRPr="00030E91">
        <w:rPr>
          <w:rFonts w:cstheme="majorHAnsi"/>
          <w:sz w:val="22"/>
          <w:szCs w:val="22"/>
          <w:lang w:val="en-GB"/>
        </w:rPr>
        <w:t>My analysis</w:t>
      </w:r>
      <w:r w:rsidRPr="00030E91">
        <w:rPr>
          <w:rFonts w:cstheme="majorHAnsi"/>
          <w:sz w:val="22"/>
          <w:szCs w:val="22"/>
          <w:lang w:val="en-GB"/>
        </w:rPr>
        <w:t xml:space="preserve"> sees migrants within the translocal community as being embedded within multiple localities and as ascribing individual meanings to each discrete place. Rather than dissolving spatial boundaries to the extent that place is no longer important, this emphasises the importance of individual places withi</w:t>
      </w:r>
      <w:r w:rsidR="00464062" w:rsidRPr="00030E91">
        <w:rPr>
          <w:rFonts w:cstheme="majorHAnsi"/>
          <w:sz w:val="22"/>
          <w:szCs w:val="22"/>
          <w:lang w:val="en-GB"/>
        </w:rPr>
        <w:t xml:space="preserve">n the translocal community. There is also an important </w:t>
      </w:r>
      <w:r w:rsidRPr="00030E91">
        <w:rPr>
          <w:rFonts w:cstheme="majorHAnsi"/>
          <w:sz w:val="22"/>
          <w:szCs w:val="22"/>
          <w:lang w:val="en-GB"/>
        </w:rPr>
        <w:t xml:space="preserve">gender dimension, </w:t>
      </w:r>
      <w:r w:rsidR="00464062" w:rsidRPr="00030E91">
        <w:rPr>
          <w:rFonts w:cstheme="majorHAnsi"/>
          <w:sz w:val="22"/>
          <w:szCs w:val="22"/>
          <w:lang w:val="en-GB"/>
        </w:rPr>
        <w:t>which acknowledges</w:t>
      </w:r>
      <w:r w:rsidRPr="00030E91">
        <w:rPr>
          <w:rFonts w:cstheme="majorHAnsi"/>
          <w:sz w:val="22"/>
          <w:szCs w:val="22"/>
          <w:lang w:val="en-GB"/>
        </w:rPr>
        <w:t xml:space="preserve"> the gendered politics of mobility, but also the tendency for certain places to be ascribed meanings that result in them being inaccessible to women or other marginalised groups. However, the application of a translocal approach enables women to be included in the analysis to a greater extent than they may be otherwise. </w:t>
      </w:r>
      <w:r w:rsidR="00464062" w:rsidRPr="00030E91">
        <w:rPr>
          <w:rFonts w:cstheme="majorHAnsi"/>
          <w:sz w:val="22"/>
          <w:szCs w:val="22"/>
          <w:lang w:val="en-GB"/>
        </w:rPr>
        <w:t>However, I suggest</w:t>
      </w:r>
      <w:r w:rsidRPr="00030E91">
        <w:rPr>
          <w:rFonts w:cstheme="majorHAnsi"/>
          <w:sz w:val="22"/>
          <w:szCs w:val="22"/>
          <w:lang w:val="en-GB"/>
        </w:rPr>
        <w:t xml:space="preserve"> a potential extension</w:t>
      </w:r>
      <w:r w:rsidRPr="004E053C">
        <w:rPr>
          <w:rFonts w:cstheme="majorHAnsi"/>
          <w:color w:val="000000" w:themeColor="text1"/>
          <w:sz w:val="22"/>
          <w:szCs w:val="22"/>
          <w:lang w:val="en-GB"/>
        </w:rPr>
        <w:t xml:space="preserve"> to previous models of translocality, </w:t>
      </w:r>
      <w:r w:rsidR="00464062" w:rsidRPr="004E053C">
        <w:rPr>
          <w:rFonts w:cstheme="majorHAnsi"/>
          <w:color w:val="000000" w:themeColor="text1"/>
          <w:sz w:val="22"/>
          <w:szCs w:val="22"/>
          <w:lang w:val="en-GB"/>
        </w:rPr>
        <w:t xml:space="preserve">as </w:t>
      </w:r>
      <w:r w:rsidRPr="004E053C">
        <w:rPr>
          <w:rFonts w:cstheme="majorHAnsi"/>
          <w:color w:val="000000" w:themeColor="text1"/>
          <w:sz w:val="22"/>
          <w:szCs w:val="22"/>
          <w:lang w:val="en-GB"/>
        </w:rPr>
        <w:t>the issue of temporality has not been adequately considered thus far in the literature.</w:t>
      </w:r>
    </w:p>
    <w:p w14:paraId="72B923FF" w14:textId="77777777" w:rsidR="00FE47C4" w:rsidRPr="004E053C" w:rsidRDefault="00FE47C4" w:rsidP="004E053C">
      <w:pPr>
        <w:spacing w:line="360" w:lineRule="auto"/>
        <w:jc w:val="both"/>
        <w:rPr>
          <w:rFonts w:cstheme="majorHAnsi"/>
          <w:color w:val="000000" w:themeColor="text1"/>
          <w:sz w:val="22"/>
          <w:szCs w:val="22"/>
          <w:lang w:val="en-GB"/>
        </w:rPr>
      </w:pPr>
    </w:p>
    <w:p w14:paraId="77AAC465" w14:textId="42820D69" w:rsidR="009D7C5D" w:rsidRPr="004E053C" w:rsidRDefault="00FE47C4" w:rsidP="004E053C">
      <w:pPr>
        <w:spacing w:line="360" w:lineRule="auto"/>
        <w:jc w:val="both"/>
        <w:rPr>
          <w:rFonts w:cstheme="majorHAnsi"/>
          <w:kern w:val="16"/>
          <w:sz w:val="22"/>
          <w:szCs w:val="22"/>
          <w:lang w:val="en-GB"/>
        </w:rPr>
      </w:pPr>
      <w:r w:rsidRPr="004E053C">
        <w:rPr>
          <w:rFonts w:cstheme="majorHAnsi"/>
          <w:color w:val="000000" w:themeColor="text1"/>
          <w:kern w:val="16"/>
          <w:sz w:val="22"/>
          <w:szCs w:val="22"/>
          <w:lang w:val="en-GB"/>
        </w:rPr>
        <w:t>Understanding translocal livelihoods as constituting social fields acknowledges the existence of power dynamics that lead to contestations within the translocal community. Such contestations are evidenced in the competing definitions of illegality within the ASM sector in Peru and severa</w:t>
      </w:r>
      <w:r w:rsidR="001D64A8" w:rsidRPr="004E053C">
        <w:rPr>
          <w:rFonts w:cstheme="majorHAnsi"/>
          <w:color w:val="000000" w:themeColor="text1"/>
          <w:kern w:val="16"/>
          <w:sz w:val="22"/>
          <w:szCs w:val="22"/>
          <w:lang w:val="en-GB"/>
        </w:rPr>
        <w:t xml:space="preserve">l other gold-producing nations. </w:t>
      </w:r>
      <w:r w:rsidR="00464062" w:rsidRPr="004E053C">
        <w:rPr>
          <w:rFonts w:cstheme="majorHAnsi"/>
          <w:color w:val="000000" w:themeColor="text1"/>
          <w:kern w:val="16"/>
          <w:sz w:val="22"/>
          <w:szCs w:val="22"/>
          <w:lang w:val="en-GB"/>
        </w:rPr>
        <w:t xml:space="preserve">Bringing together ideas on place-identity and deviance into an understanding of translocal social fields </w:t>
      </w:r>
      <w:r w:rsidRPr="004E053C">
        <w:rPr>
          <w:rFonts w:cstheme="majorHAnsi"/>
          <w:color w:val="000000" w:themeColor="text1"/>
          <w:kern w:val="16"/>
          <w:sz w:val="22"/>
          <w:szCs w:val="22"/>
          <w:lang w:val="en-GB"/>
        </w:rPr>
        <w:t>allows for an emphasis on the ways in which a collective place identity can emerge in certain locations, particularly through the existence of a unifying ideology that can ascribe meaning to that location. Thus</w:t>
      </w:r>
      <w:r w:rsidR="00464062" w:rsidRPr="004E053C">
        <w:rPr>
          <w:rFonts w:cstheme="majorHAnsi"/>
          <w:color w:val="000000" w:themeColor="text1"/>
          <w:kern w:val="16"/>
          <w:sz w:val="22"/>
          <w:szCs w:val="22"/>
          <w:lang w:val="en-GB"/>
        </w:rPr>
        <w:t>,</w:t>
      </w:r>
      <w:r w:rsidRPr="004E053C">
        <w:rPr>
          <w:rFonts w:cstheme="majorHAnsi"/>
          <w:color w:val="000000" w:themeColor="text1"/>
          <w:kern w:val="16"/>
          <w:sz w:val="22"/>
          <w:szCs w:val="22"/>
          <w:lang w:val="en-GB"/>
        </w:rPr>
        <w:t xml:space="preserve"> ideology may be linked to a </w:t>
      </w:r>
      <w:r w:rsidR="00D3785B" w:rsidRPr="004E053C">
        <w:rPr>
          <w:rFonts w:cstheme="majorHAnsi"/>
          <w:color w:val="000000" w:themeColor="text1"/>
          <w:kern w:val="16"/>
          <w:sz w:val="22"/>
          <w:szCs w:val="22"/>
          <w:lang w:val="en-GB"/>
        </w:rPr>
        <w:t>labelling</w:t>
      </w:r>
      <w:r w:rsidRPr="004E053C">
        <w:rPr>
          <w:rFonts w:cstheme="majorHAnsi"/>
          <w:color w:val="000000" w:themeColor="text1"/>
          <w:kern w:val="16"/>
          <w:sz w:val="22"/>
          <w:szCs w:val="22"/>
          <w:lang w:val="en-GB"/>
        </w:rPr>
        <w:t xml:space="preserve"> of the local population as deviant, particularly as this label is likely to be highly contested. </w:t>
      </w:r>
      <w:r w:rsidRPr="004E053C">
        <w:rPr>
          <w:rFonts w:eastAsia="Times New Roman" w:cstheme="majorHAnsi"/>
          <w:sz w:val="22"/>
          <w:szCs w:val="22"/>
          <w:lang w:val="en-GB" w:eastAsia="zh-CN"/>
        </w:rPr>
        <w:t xml:space="preserve">Local people may reject the dominant society’s view of ‘illegal’, and their perceived demonisation contributes to a collective identity, particularly if it poses a threat to every day life in the locality. </w:t>
      </w:r>
      <w:r w:rsidRPr="004E053C">
        <w:rPr>
          <w:rFonts w:cstheme="majorHAnsi"/>
          <w:color w:val="000000" w:themeColor="text1"/>
          <w:kern w:val="16"/>
          <w:sz w:val="22"/>
          <w:szCs w:val="22"/>
          <w:lang w:val="en-GB"/>
        </w:rPr>
        <w:t xml:space="preserve">However, collective </w:t>
      </w:r>
      <w:r w:rsidRPr="004E053C">
        <w:rPr>
          <w:rFonts w:cstheme="majorHAnsi"/>
          <w:color w:val="000000" w:themeColor="text1"/>
          <w:kern w:val="16"/>
          <w:sz w:val="22"/>
          <w:szCs w:val="22"/>
          <w:lang w:val="en-GB"/>
        </w:rPr>
        <w:lastRenderedPageBreak/>
        <w:t xml:space="preserve">identity may be undermined by the temporal nature of translocality, indicating a need for an extension to our general understanding of translocality. One implication for </w:t>
      </w:r>
      <w:r w:rsidR="00464062" w:rsidRPr="004E053C">
        <w:rPr>
          <w:rFonts w:cstheme="majorHAnsi"/>
          <w:color w:val="000000" w:themeColor="text1"/>
          <w:kern w:val="16"/>
          <w:sz w:val="22"/>
          <w:szCs w:val="22"/>
          <w:lang w:val="en-GB"/>
        </w:rPr>
        <w:t>adopting an approach that</w:t>
      </w:r>
      <w:r w:rsidRPr="004E053C">
        <w:rPr>
          <w:rFonts w:cstheme="majorHAnsi"/>
          <w:kern w:val="16"/>
          <w:sz w:val="22"/>
          <w:szCs w:val="22"/>
          <w:lang w:val="en-GB"/>
        </w:rPr>
        <w:t xml:space="preserve"> views livelihoods and communities as translocal is that it requires multi-sited research that can investigate the interconnections and contestations between the various pl</w:t>
      </w:r>
      <w:r w:rsidR="00DB3DA8" w:rsidRPr="004E053C">
        <w:rPr>
          <w:rFonts w:cstheme="majorHAnsi"/>
          <w:kern w:val="16"/>
          <w:sz w:val="22"/>
          <w:szCs w:val="22"/>
          <w:lang w:val="en-GB"/>
        </w:rPr>
        <w:t xml:space="preserve">aces </w:t>
      </w:r>
      <w:r w:rsidR="00DB3DA8" w:rsidRPr="004E053C">
        <w:rPr>
          <w:rFonts w:cstheme="majorHAnsi"/>
          <w:kern w:val="16"/>
          <w:sz w:val="22"/>
          <w:szCs w:val="22"/>
          <w:lang w:val="en-GB"/>
        </w:rPr>
        <w:fldChar w:fldCharType="begin" w:fldLock="1"/>
      </w:r>
      <w:r w:rsidR="00BD3790" w:rsidRPr="004E053C">
        <w:rPr>
          <w:rFonts w:cstheme="majorHAnsi"/>
          <w:kern w:val="16"/>
          <w:sz w:val="22"/>
          <w:szCs w:val="22"/>
          <w:lang w:val="en-GB"/>
        </w:rPr>
        <w:instrText>ADDIN CSL_CITATION {"citationItems":[{"id":"ITEM-1","itemData":{"author":[{"dropping-particle":"","family":"Marcus","given":"George E","non-dropping-particle":"","parse-names":false,"suffix":""}],"id":"ITEM-1","issued":{"date-parts":[["1998"]]},"publisher":"Princeton University Press","publisher-place":"Princeton, NJ:","title":"Ethnography through Thick and Thin","type":"book"},"uris":["http://www.mendeley.com/documents/?uuid=b093c051-5a42-4447-b909-82ea2a981d4e"]},{"id":"ITEM-2","itemData":{"author":[{"dropping-particle":"","family":"Smith","given":"M.P","non-dropping-particle":"","parse-names":false,"suffix":""}],"chapter-number":"11","container-title":"Translocal Geographies: Spaces, Places, Connections","editor":[{"dropping-particle":"","family":"Brickell","given":"K","non-dropping-particle":"","parse-names":false,"suffix":""},{"dropping-particle":"","family":"Datta","given":"A","non-dropping-particle":"","parse-names":false,"suffix":""}],"id":"ITEM-2","issued":{"date-parts":[["2011"]]},"page":"181-198","publisher":"Ashgate Publishing Limited","publisher-place":"Farnham, UK","title":"Translocality: A critical reflection","type":"chapter"},"uris":["http://www.mendeley.com/documents/?uuid=a5d20b9a-a51c-4496-b138-83bc2d16c4c1"]}],"mendeley":{"formattedCitation":"(Marcus, 1998; M. . Smith, 2011)","manualFormatting":"(Marcus, 1998; Smith, 2011)","plainTextFormattedCitation":"(Marcus, 1998; M. . Smith, 2011)","previouslyFormattedCitation":"(Marcus, 1998; M. . Smith, 2011)"},"properties":{"noteIndex":0},"schema":"https://github.com/citation-style-language/schema/raw/master/csl-citation.json"}</w:instrText>
      </w:r>
      <w:r w:rsidR="00DB3DA8" w:rsidRPr="004E053C">
        <w:rPr>
          <w:rFonts w:cstheme="majorHAnsi"/>
          <w:kern w:val="16"/>
          <w:sz w:val="22"/>
          <w:szCs w:val="22"/>
          <w:lang w:val="en-GB"/>
        </w:rPr>
        <w:fldChar w:fldCharType="separate"/>
      </w:r>
      <w:r w:rsidR="00DB3DA8" w:rsidRPr="004E053C">
        <w:rPr>
          <w:rFonts w:cstheme="majorHAnsi"/>
          <w:noProof/>
          <w:kern w:val="16"/>
          <w:sz w:val="22"/>
          <w:szCs w:val="22"/>
          <w:lang w:val="en-GB"/>
        </w:rPr>
        <w:t>(Marcus, 1998; Smith, 2011)</w:t>
      </w:r>
      <w:r w:rsidR="00DB3DA8" w:rsidRPr="004E053C">
        <w:rPr>
          <w:rFonts w:cstheme="majorHAnsi"/>
          <w:kern w:val="16"/>
          <w:sz w:val="22"/>
          <w:szCs w:val="22"/>
          <w:lang w:val="en-GB"/>
        </w:rPr>
        <w:fldChar w:fldCharType="end"/>
      </w:r>
      <w:r w:rsidRPr="004E053C">
        <w:rPr>
          <w:rFonts w:cstheme="majorHAnsi"/>
          <w:kern w:val="16"/>
          <w:sz w:val="22"/>
          <w:szCs w:val="22"/>
          <w:lang w:val="en-GB"/>
        </w:rPr>
        <w:t>, which will be elaborated on in the next chapter.</w:t>
      </w:r>
    </w:p>
    <w:p w14:paraId="12D80275" w14:textId="6D3D3C38" w:rsidR="007B5A28" w:rsidRPr="004E053C" w:rsidRDefault="004E7271" w:rsidP="004E053C">
      <w:pPr>
        <w:spacing w:line="360" w:lineRule="auto"/>
        <w:jc w:val="both"/>
        <w:rPr>
          <w:rFonts w:cstheme="majorHAnsi"/>
          <w:color w:val="000000" w:themeColor="text1"/>
          <w:kern w:val="16"/>
          <w:sz w:val="22"/>
          <w:szCs w:val="22"/>
          <w:lang w:val="en-GB"/>
        </w:rPr>
        <w:sectPr w:rsidR="007B5A28" w:rsidRPr="004E053C" w:rsidSect="00850568">
          <w:pgSz w:w="11906" w:h="16838"/>
          <w:pgMar w:top="1440" w:right="1440" w:bottom="1418" w:left="1440" w:header="708" w:footer="708" w:gutter="0"/>
          <w:cols w:space="708"/>
          <w:docGrid w:linePitch="360"/>
        </w:sectPr>
      </w:pPr>
      <w:r w:rsidRPr="004E053C">
        <w:rPr>
          <w:rFonts w:cstheme="majorHAnsi"/>
          <w:kern w:val="16"/>
          <w:sz w:val="22"/>
          <w:szCs w:val="22"/>
          <w:lang w:val="en-GB"/>
        </w:rPr>
        <w:t xml:space="preserve"> </w:t>
      </w:r>
      <w:r w:rsidR="00644821" w:rsidRPr="004E053C">
        <w:rPr>
          <w:rFonts w:cstheme="majorHAnsi"/>
          <w:kern w:val="16"/>
          <w:sz w:val="22"/>
          <w:szCs w:val="22"/>
          <w:lang w:val="en-GB"/>
        </w:rPr>
        <w:t xml:space="preserve">   </w:t>
      </w:r>
    </w:p>
    <w:p w14:paraId="03E2EC3E" w14:textId="357996BB" w:rsidR="006C65C7" w:rsidRPr="004E053C" w:rsidRDefault="00EA7F83" w:rsidP="004E053C">
      <w:pPr>
        <w:pStyle w:val="Heading1"/>
        <w:spacing w:line="360" w:lineRule="auto"/>
        <w:jc w:val="both"/>
        <w:rPr>
          <w:rFonts w:asciiTheme="minorHAnsi" w:hAnsiTheme="minorHAnsi" w:cstheme="majorHAnsi"/>
          <w:b w:val="0"/>
          <w:lang w:val="en-GB"/>
        </w:rPr>
      </w:pPr>
      <w:bookmarkStart w:id="51" w:name="_Toc33293097"/>
      <w:r w:rsidRPr="004E053C">
        <w:rPr>
          <w:rFonts w:asciiTheme="minorHAnsi" w:hAnsiTheme="minorHAnsi" w:cstheme="majorHAnsi"/>
          <w:b w:val="0"/>
          <w:lang w:val="en-GB"/>
        </w:rPr>
        <w:lastRenderedPageBreak/>
        <w:t>5.</w:t>
      </w:r>
      <w:r w:rsidR="006C65C7" w:rsidRPr="004E053C">
        <w:rPr>
          <w:rFonts w:asciiTheme="minorHAnsi" w:hAnsiTheme="minorHAnsi" w:cstheme="majorHAnsi"/>
          <w:b w:val="0"/>
          <w:lang w:val="en-GB"/>
        </w:rPr>
        <w:t xml:space="preserve"> Methodology and </w:t>
      </w:r>
      <w:r w:rsidR="006E0EEF" w:rsidRPr="004E053C">
        <w:rPr>
          <w:rFonts w:asciiTheme="minorHAnsi" w:hAnsiTheme="minorHAnsi" w:cstheme="majorHAnsi"/>
          <w:b w:val="0"/>
          <w:lang w:val="en-GB"/>
        </w:rPr>
        <w:t>Fieldwork Sites</w:t>
      </w:r>
      <w:bookmarkEnd w:id="51"/>
    </w:p>
    <w:p w14:paraId="78DA70E0" w14:textId="77777777" w:rsidR="0077618A" w:rsidRPr="004E053C" w:rsidRDefault="0077618A" w:rsidP="004E053C">
      <w:pPr>
        <w:pStyle w:val="NoSpacing"/>
        <w:spacing w:line="360" w:lineRule="auto"/>
        <w:jc w:val="both"/>
        <w:rPr>
          <w:rFonts w:cstheme="majorHAnsi"/>
          <w:lang w:val="en-GB"/>
        </w:rPr>
      </w:pPr>
    </w:p>
    <w:p w14:paraId="6F292EB1" w14:textId="1A272B3E" w:rsidR="0077618A" w:rsidRPr="004E053C" w:rsidRDefault="00EA7F83" w:rsidP="004E053C">
      <w:pPr>
        <w:pStyle w:val="Heading2"/>
        <w:spacing w:before="0" w:line="360" w:lineRule="auto"/>
        <w:jc w:val="both"/>
        <w:rPr>
          <w:rFonts w:cstheme="majorHAnsi"/>
          <w:lang w:val="en-GB"/>
        </w:rPr>
      </w:pPr>
      <w:bookmarkStart w:id="52" w:name="_Toc424671888"/>
      <w:bookmarkStart w:id="53" w:name="_Toc33293098"/>
      <w:r w:rsidRPr="004E053C">
        <w:rPr>
          <w:rFonts w:cstheme="majorHAnsi"/>
          <w:lang w:val="en-GB"/>
        </w:rPr>
        <w:t>5</w:t>
      </w:r>
      <w:r w:rsidR="0077618A" w:rsidRPr="004E053C">
        <w:rPr>
          <w:rFonts w:cstheme="majorHAnsi"/>
          <w:lang w:val="en-GB"/>
        </w:rPr>
        <w:t>.1. Introduction</w:t>
      </w:r>
      <w:bookmarkEnd w:id="52"/>
      <w:bookmarkEnd w:id="53"/>
    </w:p>
    <w:p w14:paraId="19F13D1B" w14:textId="77777777" w:rsidR="0077618A" w:rsidRPr="004E053C" w:rsidRDefault="0077618A" w:rsidP="004E053C">
      <w:pPr>
        <w:spacing w:line="360" w:lineRule="auto"/>
        <w:jc w:val="both"/>
        <w:rPr>
          <w:rFonts w:eastAsiaTheme="minorHAnsi" w:cstheme="majorHAnsi"/>
          <w:sz w:val="22"/>
          <w:szCs w:val="22"/>
          <w:lang w:val="en-GB"/>
        </w:rPr>
      </w:pPr>
    </w:p>
    <w:p w14:paraId="56C1F193" w14:textId="77777777"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t xml:space="preserve">This section will introduce the context in which this research takes place and the overall methodology. The chapter will first introduce the research aim and the individual research questions, before explaining the interpretivist approach and why it was considered to be most useful. It will then briefly discuss the use of a case study methodology, which takes a translocal ASM community in Peru as a typical case </w:t>
      </w:r>
      <w:r w:rsidRPr="004E053C">
        <w:rPr>
          <w:rFonts w:cstheme="majorHAnsi"/>
          <w:sz w:val="22"/>
          <w:szCs w:val="22"/>
          <w:lang w:val="en-GB"/>
        </w:rPr>
        <w:t>of the wider, global phenomena of migratory ASM livelihoods.</w:t>
      </w:r>
      <w:r w:rsidRPr="004E053C">
        <w:rPr>
          <w:rFonts w:eastAsiaTheme="minorHAnsi" w:cstheme="majorHAnsi"/>
          <w:sz w:val="22"/>
          <w:szCs w:val="22"/>
          <w:lang w:val="en-GB"/>
        </w:rPr>
        <w:t xml:space="preserve"> I will explain how the field sites of Ocongate and Laberinto were selected from within this broad translocal community, before elaborating further on the two locations to add some contextual depth. Once I have introduced the field sites, I will then discuss the research methods used, and the benefits and limitations of these methods, as well as explaining why certain planned methods ultimately proved to be unsuitable for data collection in this context. I follow this with a short discussion of the process of data coding and analysis, as well as considering some potential issues with the data. The final section will then present the ethical considerations of the study and any potential sources of bias and other issues. </w:t>
      </w:r>
    </w:p>
    <w:p w14:paraId="695D7A27" w14:textId="77777777" w:rsidR="0077618A" w:rsidRPr="004E053C" w:rsidRDefault="0077618A" w:rsidP="004E053C">
      <w:pPr>
        <w:spacing w:line="360" w:lineRule="auto"/>
        <w:jc w:val="both"/>
        <w:rPr>
          <w:rFonts w:cstheme="majorHAnsi"/>
          <w:b/>
          <w:color w:val="000000"/>
          <w:sz w:val="22"/>
          <w:szCs w:val="22"/>
          <w:lang w:val="en-GB"/>
        </w:rPr>
      </w:pPr>
    </w:p>
    <w:p w14:paraId="42241DA2" w14:textId="174F2497" w:rsidR="0077618A" w:rsidRPr="004E053C" w:rsidRDefault="00EA7F83" w:rsidP="004E053C">
      <w:pPr>
        <w:pStyle w:val="Heading2"/>
        <w:spacing w:before="0" w:line="360" w:lineRule="auto"/>
        <w:jc w:val="both"/>
        <w:rPr>
          <w:rFonts w:cstheme="majorHAnsi"/>
          <w:lang w:val="en-GB"/>
        </w:rPr>
      </w:pPr>
      <w:bookmarkStart w:id="54" w:name="_Toc424671889"/>
      <w:bookmarkStart w:id="55" w:name="_Toc33293099"/>
      <w:r w:rsidRPr="004E053C">
        <w:rPr>
          <w:rFonts w:cstheme="majorHAnsi"/>
          <w:lang w:val="en-GB"/>
        </w:rPr>
        <w:t>5</w:t>
      </w:r>
      <w:r w:rsidR="004A3EF1" w:rsidRPr="004E053C">
        <w:rPr>
          <w:rFonts w:cstheme="majorHAnsi"/>
          <w:lang w:val="en-GB"/>
        </w:rPr>
        <w:t>.2. Research aim and q</w:t>
      </w:r>
      <w:r w:rsidR="0077618A" w:rsidRPr="004E053C">
        <w:rPr>
          <w:rFonts w:cstheme="majorHAnsi"/>
          <w:lang w:val="en-GB"/>
        </w:rPr>
        <w:t>uestions</w:t>
      </w:r>
      <w:bookmarkEnd w:id="54"/>
      <w:bookmarkEnd w:id="55"/>
    </w:p>
    <w:p w14:paraId="7E91A62A" w14:textId="77777777" w:rsidR="0077618A" w:rsidRPr="004E053C" w:rsidRDefault="0077618A" w:rsidP="004E053C">
      <w:pPr>
        <w:spacing w:line="360" w:lineRule="auto"/>
        <w:jc w:val="both"/>
        <w:rPr>
          <w:rFonts w:cstheme="majorHAnsi"/>
          <w:b/>
          <w:color w:val="000000"/>
          <w:sz w:val="22"/>
          <w:szCs w:val="22"/>
          <w:lang w:val="en-GB"/>
        </w:rPr>
      </w:pPr>
    </w:p>
    <w:p w14:paraId="34A0A30D" w14:textId="77777777"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t>This aim of this research was to</w:t>
      </w:r>
      <w:r w:rsidRPr="004E053C">
        <w:rPr>
          <w:rFonts w:cstheme="majorHAnsi"/>
          <w:bCs/>
          <w:color w:val="000000"/>
          <w:sz w:val="22"/>
          <w:szCs w:val="22"/>
          <w:lang w:val="en-GB"/>
        </w:rPr>
        <w:t xml:space="preserve"> understand how migratory processes and divergent livelihood trajectories within the ASM sector shape community dynamics and collective-identities</w:t>
      </w:r>
    </w:p>
    <w:p w14:paraId="119C0510" w14:textId="77777777" w:rsidR="0077618A" w:rsidRPr="004E053C" w:rsidRDefault="0077618A" w:rsidP="004E053C">
      <w:pPr>
        <w:spacing w:line="360" w:lineRule="auto"/>
        <w:jc w:val="both"/>
        <w:rPr>
          <w:rFonts w:cstheme="majorHAnsi"/>
          <w:color w:val="000000"/>
          <w:sz w:val="22"/>
          <w:szCs w:val="22"/>
          <w:lang w:val="en-GB"/>
        </w:rPr>
      </w:pPr>
    </w:p>
    <w:p w14:paraId="297AFA66" w14:textId="77777777" w:rsidR="0077618A" w:rsidRPr="004E053C" w:rsidRDefault="0077618A"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t>In order to achieve this aim, I developed four individual research questions. These are:</w:t>
      </w:r>
    </w:p>
    <w:p w14:paraId="607E0F22" w14:textId="77777777" w:rsidR="00206FDD" w:rsidRPr="004E053C" w:rsidRDefault="00206FDD" w:rsidP="004E053C">
      <w:pPr>
        <w:pStyle w:val="ListParagraph"/>
        <w:spacing w:after="0" w:line="360" w:lineRule="auto"/>
        <w:ind w:left="0"/>
        <w:jc w:val="both"/>
        <w:rPr>
          <w:rFonts w:eastAsiaTheme="minorEastAsia" w:cstheme="majorHAnsi"/>
          <w:color w:val="000000"/>
          <w:lang w:val="en-GB"/>
        </w:rPr>
      </w:pPr>
    </w:p>
    <w:p w14:paraId="2BBD0C3B" w14:textId="0867B107" w:rsidR="00206FDD" w:rsidRPr="004E053C" w:rsidRDefault="0077618A" w:rsidP="004E053C">
      <w:pPr>
        <w:pStyle w:val="ListParagraph"/>
        <w:numPr>
          <w:ilvl w:val="0"/>
          <w:numId w:val="2"/>
        </w:numPr>
        <w:spacing w:after="0" w:line="360" w:lineRule="auto"/>
        <w:jc w:val="both"/>
        <w:rPr>
          <w:rFonts w:cstheme="majorHAnsi"/>
          <w:color w:val="000000"/>
          <w:lang w:val="en-GB"/>
        </w:rPr>
      </w:pPr>
      <w:r w:rsidRPr="004E053C">
        <w:rPr>
          <w:rFonts w:cstheme="majorHAnsi"/>
          <w:color w:val="000000"/>
          <w:lang w:val="en-GB"/>
        </w:rPr>
        <w:t xml:space="preserve">Why do people become involved in ASM and what do their livelihood trajectories look like? </w:t>
      </w:r>
    </w:p>
    <w:p w14:paraId="213BF5F6" w14:textId="51FD9275" w:rsidR="00206FDD" w:rsidRPr="004E053C" w:rsidRDefault="0077618A" w:rsidP="004E053C">
      <w:pPr>
        <w:pStyle w:val="ListParagraph"/>
        <w:numPr>
          <w:ilvl w:val="0"/>
          <w:numId w:val="2"/>
        </w:numPr>
        <w:spacing w:after="0" w:line="360" w:lineRule="auto"/>
        <w:jc w:val="both"/>
        <w:rPr>
          <w:rFonts w:cstheme="majorHAnsi"/>
          <w:color w:val="000000"/>
          <w:lang w:val="en-GB"/>
        </w:rPr>
      </w:pPr>
      <w:r w:rsidRPr="004E053C">
        <w:rPr>
          <w:rFonts w:cstheme="majorHAnsi"/>
          <w:bCs/>
          <w:lang w:val="en-GB"/>
        </w:rPr>
        <w:t>What role do women play in ASM livelihoods and how do they contribute to the translocal ASM community?</w:t>
      </w:r>
    </w:p>
    <w:p w14:paraId="25EE5C88" w14:textId="07E87A6F" w:rsidR="00206FDD" w:rsidRPr="004E053C" w:rsidRDefault="0077618A" w:rsidP="004E053C">
      <w:pPr>
        <w:pStyle w:val="ListParagraph"/>
        <w:numPr>
          <w:ilvl w:val="0"/>
          <w:numId w:val="2"/>
        </w:numPr>
        <w:spacing w:after="0" w:line="360" w:lineRule="auto"/>
        <w:jc w:val="both"/>
        <w:rPr>
          <w:rFonts w:cstheme="majorHAnsi"/>
          <w:color w:val="000000"/>
          <w:lang w:val="en-GB"/>
        </w:rPr>
      </w:pPr>
      <w:r w:rsidRPr="004E053C">
        <w:rPr>
          <w:rFonts w:cstheme="majorHAnsi"/>
          <w:color w:val="000000"/>
          <w:lang w:val="en-GB"/>
        </w:rPr>
        <w:t>What is the role of translocal livelihoods in shaping mining communities and to what extent do divergent livelih</w:t>
      </w:r>
      <w:r w:rsidR="00206FDD" w:rsidRPr="004E053C">
        <w:rPr>
          <w:rFonts w:cstheme="majorHAnsi"/>
          <w:color w:val="000000"/>
          <w:lang w:val="en-GB"/>
        </w:rPr>
        <w:t>ood trajectories lead to tension and contestations?</w:t>
      </w:r>
    </w:p>
    <w:p w14:paraId="5E637B64" w14:textId="7CADA553" w:rsidR="0077618A" w:rsidRPr="004E053C" w:rsidRDefault="0077618A" w:rsidP="004E053C">
      <w:pPr>
        <w:pStyle w:val="ListParagraph"/>
        <w:numPr>
          <w:ilvl w:val="0"/>
          <w:numId w:val="2"/>
        </w:numPr>
        <w:spacing w:after="0" w:line="360" w:lineRule="auto"/>
        <w:jc w:val="both"/>
        <w:rPr>
          <w:rFonts w:cstheme="majorHAnsi"/>
          <w:color w:val="000000"/>
          <w:lang w:val="en-GB"/>
        </w:rPr>
      </w:pPr>
      <w:r w:rsidRPr="004E053C">
        <w:rPr>
          <w:rFonts w:cstheme="majorHAnsi"/>
          <w:color w:val="000000"/>
          <w:lang w:val="en-GB"/>
        </w:rPr>
        <w:t>How is community identity linked to the competing discourses of legality and illegality that emerge around ASM livelihoods and to what extent is this affected by the translocal nature of the ASM community?</w:t>
      </w:r>
    </w:p>
    <w:p w14:paraId="298186F8" w14:textId="77777777" w:rsidR="0077618A" w:rsidRPr="004E053C" w:rsidRDefault="0077618A" w:rsidP="004E053C">
      <w:pPr>
        <w:spacing w:line="360" w:lineRule="auto"/>
        <w:jc w:val="both"/>
        <w:rPr>
          <w:rFonts w:eastAsiaTheme="minorHAnsi" w:cstheme="majorHAnsi"/>
          <w:sz w:val="22"/>
          <w:szCs w:val="22"/>
          <w:lang w:val="en-GB"/>
        </w:rPr>
      </w:pPr>
    </w:p>
    <w:p w14:paraId="69239130" w14:textId="70110CF9" w:rsidR="0077618A" w:rsidRPr="004E053C" w:rsidRDefault="00EA7F83" w:rsidP="004E053C">
      <w:pPr>
        <w:pStyle w:val="Heading2"/>
        <w:spacing w:before="0" w:line="360" w:lineRule="auto"/>
        <w:jc w:val="both"/>
        <w:rPr>
          <w:rFonts w:cstheme="majorHAnsi"/>
          <w:lang w:val="en-GB"/>
        </w:rPr>
      </w:pPr>
      <w:bookmarkStart w:id="56" w:name="_Toc424671890"/>
      <w:bookmarkStart w:id="57" w:name="_Toc33293100"/>
      <w:r w:rsidRPr="004E053C">
        <w:rPr>
          <w:rFonts w:cstheme="majorHAnsi"/>
          <w:lang w:val="en-GB"/>
        </w:rPr>
        <w:lastRenderedPageBreak/>
        <w:t>5</w:t>
      </w:r>
      <w:r w:rsidR="004A3EF1" w:rsidRPr="004E053C">
        <w:rPr>
          <w:rFonts w:cstheme="majorHAnsi"/>
          <w:lang w:val="en-GB"/>
        </w:rPr>
        <w:t>.3. Approach and j</w:t>
      </w:r>
      <w:r w:rsidR="0077618A" w:rsidRPr="004E053C">
        <w:rPr>
          <w:rFonts w:cstheme="majorHAnsi"/>
          <w:lang w:val="en-GB"/>
        </w:rPr>
        <w:t>ustification</w:t>
      </w:r>
      <w:bookmarkEnd w:id="56"/>
      <w:bookmarkEnd w:id="57"/>
    </w:p>
    <w:p w14:paraId="1485C804" w14:textId="77777777" w:rsidR="0077618A" w:rsidRPr="004E053C" w:rsidRDefault="0077618A" w:rsidP="004E053C">
      <w:pPr>
        <w:spacing w:line="360" w:lineRule="auto"/>
        <w:jc w:val="both"/>
        <w:rPr>
          <w:rFonts w:eastAsiaTheme="minorHAnsi" w:cstheme="majorHAnsi"/>
          <w:b/>
          <w:sz w:val="22"/>
          <w:szCs w:val="22"/>
          <w:lang w:val="en-GB"/>
        </w:rPr>
      </w:pPr>
    </w:p>
    <w:p w14:paraId="6B56F24E" w14:textId="0B04F6D8"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t xml:space="preserve">A research design is the logical sequence that gets a research project from an initial set of questions, through a period of data collection and analysis, to a point where conclusions can be drawn </w:t>
      </w:r>
      <w:r w:rsidRPr="004E053C">
        <w:rPr>
          <w:rFonts w:eastAsiaTheme="minorHAnsi" w:cstheme="majorHAnsi"/>
          <w:sz w:val="22"/>
          <w:szCs w:val="22"/>
          <w:lang w:val="en-GB"/>
        </w:rPr>
        <w:fldChar w:fldCharType="begin" w:fldLock="1"/>
      </w:r>
      <w:r w:rsidRPr="004E053C">
        <w:rPr>
          <w:rFonts w:eastAsiaTheme="minorHAnsi" w:cstheme="majorHAnsi"/>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Methods","type":"book"},"uris":["http://www.mendeley.com/documents/?uuid=986168dc-8e04-4844-b006-fa8bdfa744d3"]}],"mendeley":{"formattedCitation":"(Yin, 2009)","plainTextFormattedCitation":"(Yin, 2009)","previouslyFormattedCitation":"(Yin, 2009)"},"properties":{"noteIndex":0},"schema":"https://github.com/citation-style-language/schema/raw/master/csl-citation.json"}</w:instrText>
      </w:r>
      <w:r w:rsidRPr="004E053C">
        <w:rPr>
          <w:rFonts w:eastAsiaTheme="minorHAnsi" w:cstheme="majorHAnsi"/>
          <w:sz w:val="22"/>
          <w:szCs w:val="22"/>
          <w:lang w:val="en-GB"/>
        </w:rPr>
        <w:fldChar w:fldCharType="separate"/>
      </w:r>
      <w:r w:rsidRPr="004E053C">
        <w:rPr>
          <w:rFonts w:eastAsiaTheme="minorHAnsi" w:cstheme="majorHAnsi"/>
          <w:noProof/>
          <w:sz w:val="22"/>
          <w:szCs w:val="22"/>
          <w:lang w:val="en-GB"/>
        </w:rPr>
        <w:t>(Yin, 2009)</w:t>
      </w:r>
      <w:r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It is essential that the researcher selects the correct approach in order to draw conclusions that adequately answer their initial questions. This research study is concerned with social reality and human interactions, the construction of place and community identity, and the meaning these constructs carry for human beings. In order to gain the required insights to answer the above questions, it is necessary to gain access to people’s thinking and to attempt to interpret their actions and their social world from their point of view </w:t>
      </w:r>
      <w:r w:rsidRPr="004E053C">
        <w:rPr>
          <w:rFonts w:eastAsiaTheme="minorHAnsi" w:cstheme="majorHAnsi"/>
          <w:sz w:val="22"/>
          <w:szCs w:val="22"/>
          <w:lang w:val="en-GB"/>
        </w:rPr>
        <w:fldChar w:fldCharType="begin" w:fldLock="1"/>
      </w:r>
      <w:r w:rsidRPr="004E053C">
        <w:rPr>
          <w:rFonts w:eastAsiaTheme="minorHAnsi" w:cstheme="majorHAnsi"/>
          <w:sz w:val="22"/>
          <w:szCs w:val="22"/>
          <w:lang w:val="en-GB"/>
        </w:rPr>
        <w:instrText>ADDIN CSL_CITATION {"citationItems":[{"id":"ITEM-1","itemData":{"author":[{"dropping-particle":"","family":"Bryman","given":"Alan","non-dropping-particle":"","parse-names":false,"suffix":""}],"edition":"4th","id":"ITEM-1","issued":{"date-parts":[["2001"]]},"publisher":"Oxford University Press","publisher-place":"Oxford","title":"Social Research Methods","type":"book"},"uris":["http://www.mendeley.com/documents/?uuid=be73eb83-a206-4681-a98c-bda55c82b47e"]}],"mendeley":{"formattedCitation":"(Bryman, 2001)","plainTextFormattedCitation":"(Bryman, 2001)","previouslyFormattedCitation":"(Bryman, 2001)"},"properties":{"noteIndex":0},"schema":"https://github.com/citation-style-language/schema/raw/master/csl-citation.json"}</w:instrText>
      </w:r>
      <w:r w:rsidRPr="004E053C">
        <w:rPr>
          <w:rFonts w:eastAsiaTheme="minorHAnsi" w:cstheme="majorHAnsi"/>
          <w:sz w:val="22"/>
          <w:szCs w:val="22"/>
          <w:lang w:val="en-GB"/>
        </w:rPr>
        <w:fldChar w:fldCharType="separate"/>
      </w:r>
      <w:r w:rsidRPr="004E053C">
        <w:rPr>
          <w:rFonts w:eastAsiaTheme="minorHAnsi" w:cstheme="majorHAnsi"/>
          <w:noProof/>
          <w:sz w:val="22"/>
          <w:szCs w:val="22"/>
          <w:lang w:val="en-GB"/>
        </w:rPr>
        <w:t>(Bryman, 2001)</w:t>
      </w:r>
      <w:r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The research is also interested in the ways in which cultural norms constrain behaviour and interactions, particularly through the creation of narratives that attempt to legitimise and delegitimise certain behaviours. The research aims and questions are therefore firmly rooted in the social sciences, the subject matter of which is fundamentally different from that of the natural sciences and </w:t>
      </w:r>
      <w:r w:rsidRPr="004E053C">
        <w:rPr>
          <w:rFonts w:cstheme="majorHAnsi"/>
          <w:sz w:val="22"/>
          <w:szCs w:val="22"/>
          <w:lang w:val="en-GB"/>
        </w:rPr>
        <w:t xml:space="preserve">requires different methods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{"citationItems":[{"id":"ITEM-1","itemData":{"author":[{"dropping-particle":"","family":"Bryman","given":"Alan","non-dropping-particle":"","parse-names":false,"suffix":""}],"edition":"4th","id":"ITEM-1","issued":{"date-parts":[["2001"]]},"publisher":"Oxford University Press","publisher-place":"Oxford","title":"Social Research Methods","type":"book"},"uris":["http://www.mendeley.com/documents/?uuid=be73eb83-a206-4681-a98c-bda55c82b47e"]},{"id":"ITEM-2","itemData":{"author":[{"dropping-particle":"","family":"Gray","given":"David","non-dropping-particle":"","parse-names":false,"suffix":""}],"id":"ITEM-2","issued":{"date-parts":[["2014"]]},"publisher":"Sage Publications Ltd","publisher-place":"London, UK","title":"Doing Research in the Real World","type":"book"},"uris":["http://www.mendeley.com/documents/?uuid=7dbb8fe3-e2eb-4a23-8b87-580213592672"]}],"mendeley":{"formattedCitation":"(Bryman, 2001; Gray, 2014)","plainTextFormattedCitation":"(Bryman, 2001; Gray, 2014)","previouslyFormattedCitation":"(Bryman, 2001; Gray,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(Bryman, 2001; Gray, 2014)</w:t>
      </w:r>
      <w:r w:rsidRPr="004E053C">
        <w:rPr>
          <w:rFonts w:cstheme="majorHAnsi"/>
          <w:sz w:val="22"/>
          <w:szCs w:val="22"/>
          <w:lang w:val="en-GB"/>
        </w:rPr>
        <w:fldChar w:fldCharType="end"/>
      </w:r>
      <w:r w:rsidRPr="004E053C">
        <w:rPr>
          <w:rFonts w:cstheme="majorHAnsi"/>
          <w:sz w:val="22"/>
          <w:szCs w:val="22"/>
          <w:lang w:val="en-GB"/>
        </w:rPr>
        <w:t>.</w:t>
      </w:r>
      <w:r w:rsidRPr="004E053C">
        <w:rPr>
          <w:rFonts w:eastAsiaTheme="minorHAnsi" w:cstheme="majorHAnsi"/>
          <w:sz w:val="22"/>
          <w:szCs w:val="22"/>
          <w:lang w:val="en-GB"/>
        </w:rPr>
        <w:t xml:space="preserve"> This section will explain how these questions stem from an approach that is both ontologically constructivist and epistemologically interpretivist and thus require qualitative methods. </w:t>
      </w:r>
    </w:p>
    <w:p w14:paraId="019A84AA" w14:textId="77777777" w:rsidR="0077618A" w:rsidRPr="004E053C" w:rsidRDefault="0077618A" w:rsidP="004E053C">
      <w:pPr>
        <w:spacing w:line="360" w:lineRule="auto"/>
        <w:jc w:val="both"/>
        <w:rPr>
          <w:rFonts w:eastAsiaTheme="minorHAnsi" w:cstheme="majorHAnsi"/>
          <w:b/>
          <w:sz w:val="22"/>
          <w:szCs w:val="22"/>
          <w:lang w:val="en-GB"/>
        </w:rPr>
      </w:pPr>
    </w:p>
    <w:p w14:paraId="1FE017A5" w14:textId="029AAAFF"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t xml:space="preserve">This research sees the social phenomena associated with ASM and migration as being built by the perceptions and actions of the actors that operate within, and in relation to, the ASM sector. It therefore follows a constructivist ontological position, which is based on the idea that individuals constantly seek to understand the world in which they live and work and develop subjective meanings which are varied and multiple </w:t>
      </w:r>
      <w:r w:rsidRPr="004E053C">
        <w:rPr>
          <w:rFonts w:eastAsiaTheme="minorHAnsi" w:cstheme="majorHAnsi"/>
          <w:sz w:val="22"/>
          <w:szCs w:val="22"/>
          <w:lang w:val="en-GB"/>
        </w:rPr>
        <w:fldChar w:fldCharType="begin" w:fldLock="1"/>
      </w:r>
      <w:r w:rsidR="007F27D0" w:rsidRPr="004E053C">
        <w:rPr>
          <w:rFonts w:eastAsiaTheme="minorHAnsi"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2013)","plainTextFormattedCitation":"(Creswell, 2013)","previouslyFormattedCitation":"(Creswell, 2013)"},"properties":{"noteIndex":0},"schema":"https://github.com/citation-style-language/schema/raw/master/csl-citation.json"}</w:instrText>
      </w:r>
      <w:r w:rsidRPr="004E053C">
        <w:rPr>
          <w:rFonts w:eastAsiaTheme="minorHAnsi" w:cstheme="majorHAnsi"/>
          <w:sz w:val="22"/>
          <w:szCs w:val="22"/>
          <w:lang w:val="en-GB"/>
        </w:rPr>
        <w:fldChar w:fldCharType="separate"/>
      </w:r>
      <w:r w:rsidRPr="004E053C">
        <w:rPr>
          <w:rFonts w:eastAsiaTheme="minorHAnsi" w:cstheme="majorHAnsi"/>
          <w:noProof/>
          <w:sz w:val="22"/>
          <w:szCs w:val="22"/>
          <w:lang w:val="en-GB"/>
        </w:rPr>
        <w:t>(Creswell, 2013)</w:t>
      </w:r>
      <w:r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Social constructivists argue that social institutions precede us and that we are embedded in them. Furthermore, while social phenomena and their meanings are produced through social interactions they are also continually changing </w:t>
      </w:r>
      <w:r w:rsidRPr="004E053C">
        <w:rPr>
          <w:rFonts w:eastAsiaTheme="minorHAnsi" w:cstheme="majorHAnsi"/>
          <w:sz w:val="22"/>
          <w:szCs w:val="22"/>
          <w:lang w:val="en-GB"/>
        </w:rPr>
        <w:fldChar w:fldCharType="begin" w:fldLock="1"/>
      </w:r>
      <w:r w:rsidRPr="004E053C">
        <w:rPr>
          <w:rFonts w:eastAsiaTheme="minorHAnsi" w:cstheme="majorHAnsi"/>
          <w:sz w:val="22"/>
          <w:szCs w:val="22"/>
          <w:lang w:val="en-GB"/>
        </w:rPr>
        <w:instrText>ADDIN CSL_CITATION {"citationItems":[{"id":"ITEM-1","itemData":{"author":[{"dropping-particle":"","family":"Crotty","given":"Michael","non-dropping-particle":"","parse-names":false,"suffix":""}],"id":"ITEM-1","issued":{"date-parts":[["1998"]]},"publisher":"Sage Publications Ltd","publisher-place":"London, UK","title":"The Foundations of Social Research: Meaning and Perspective in the Research Proces","type":"book"},"uris":["http://www.mendeley.com/documents/?uuid=545df6b4-360a-45a3-9452-6ecc2f03af1e"]}],"mendeley":{"formattedCitation":"(Crotty, 1998)","plainTextFormattedCitation":"(Crotty, 1998)","previouslyFormattedCitation":"(Crotty, 1998)"},"properties":{"noteIndex":0},"schema":"https://github.com/citation-style-language/schema/raw/master/csl-citation.json"}</w:instrText>
      </w:r>
      <w:r w:rsidRPr="004E053C">
        <w:rPr>
          <w:rFonts w:eastAsiaTheme="minorHAnsi" w:cstheme="majorHAnsi"/>
          <w:sz w:val="22"/>
          <w:szCs w:val="22"/>
          <w:lang w:val="en-GB"/>
        </w:rPr>
        <w:fldChar w:fldCharType="separate"/>
      </w:r>
      <w:r w:rsidRPr="004E053C">
        <w:rPr>
          <w:rFonts w:eastAsiaTheme="minorHAnsi" w:cstheme="majorHAnsi"/>
          <w:noProof/>
          <w:sz w:val="22"/>
          <w:szCs w:val="22"/>
          <w:lang w:val="en-GB"/>
        </w:rPr>
        <w:t>(Crotty, 1998)</w:t>
      </w:r>
      <w:r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To paraphrase Becker </w:t>
      </w:r>
      <w:r w:rsidRPr="004E053C">
        <w:rPr>
          <w:rFonts w:eastAsiaTheme="minorHAnsi" w:cstheme="majorHAnsi"/>
          <w:sz w:val="22"/>
          <w:szCs w:val="22"/>
          <w:lang w:val="en-GB"/>
        </w:rPr>
        <w:fldChar w:fldCharType="begin" w:fldLock="1"/>
      </w:r>
      <w:r w:rsidR="00BD2031" w:rsidRPr="004E053C">
        <w:rPr>
          <w:rFonts w:eastAsiaTheme="minorHAnsi" w:cstheme="majorHAnsi"/>
          <w:sz w:val="22"/>
          <w:szCs w:val="22"/>
          <w:lang w:val="en-GB"/>
        </w:rPr>
        <w:instrText>ADDIN CSL_CITATION {"citationItems":[{"id":"ITEM-1","itemData":{"author":[{"dropping-particle":"","family":"Becker","given":"Howard S","non-dropping-particle":"","parse-names":false,"suffix":""}],"container-title":"The Yale Review","id":"ITEM-1","issued":{"date-parts":[["1982"]]},"page":"513-528","title":"Culture: a sociological view","type":"article-journal","volume":"71"},"uris":["http://www.mendeley.com/documents/?uuid=23c35efb-968b-4e53-a546-42052d9bb739"]}],"mendeley":{"formattedCitation":"(H. S. Becker, 1982)","manualFormatting":"(1982)","plainTextFormattedCitation":"(H. S. Becker, 1982)","previouslyFormattedCitation":"(H. S. Becker, 1982)"},"properties":{"noteIndex":0},"schema":"https://github.com/citation-style-language/schema/raw/master/csl-citation.json"}</w:instrText>
      </w:r>
      <w:r w:rsidRPr="004E053C">
        <w:rPr>
          <w:rFonts w:eastAsiaTheme="minorHAnsi" w:cstheme="majorHAnsi"/>
          <w:sz w:val="22"/>
          <w:szCs w:val="22"/>
          <w:lang w:val="en-GB"/>
        </w:rPr>
        <w:fldChar w:fldCharType="separate"/>
      </w:r>
      <w:r w:rsidRPr="004E053C">
        <w:rPr>
          <w:rFonts w:eastAsiaTheme="minorHAnsi" w:cstheme="majorHAnsi"/>
          <w:noProof/>
          <w:sz w:val="22"/>
          <w:szCs w:val="22"/>
          <w:lang w:val="en-GB"/>
        </w:rPr>
        <w:t>(1982)</w:t>
      </w:r>
      <w:r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because people and the culture they produce are constantly changing, it is not possible for any set of cultural understandings to provide a perfectly applicable solution to any societal problem or issue. This understanding of the world leads the researcher to look for the complexity of views rather than narrow meanings. The goal of the research is therefore to rely on the participant’s view of the situation </w:t>
      </w:r>
      <w:r w:rsidRPr="004E053C">
        <w:rPr>
          <w:rFonts w:eastAsiaTheme="minorHAnsi" w:cstheme="majorHAnsi"/>
          <w:sz w:val="22"/>
          <w:szCs w:val="22"/>
          <w:lang w:val="en-GB"/>
        </w:rPr>
        <w:fldChar w:fldCharType="begin" w:fldLock="1"/>
      </w:r>
      <w:r w:rsidR="007F27D0" w:rsidRPr="004E053C">
        <w:rPr>
          <w:rFonts w:eastAsiaTheme="minorHAnsi"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2013)","plainTextFormattedCitation":"(Creswell, 2013)","previouslyFormattedCitation":"(Creswell, 2013)"},"properties":{"noteIndex":0},"schema":"https://github.com/citation-style-language/schema/raw/master/csl-citation.json"}</w:instrText>
      </w:r>
      <w:r w:rsidRPr="004E053C">
        <w:rPr>
          <w:rFonts w:eastAsiaTheme="minorHAnsi" w:cstheme="majorHAnsi"/>
          <w:sz w:val="22"/>
          <w:szCs w:val="22"/>
          <w:lang w:val="en-GB"/>
        </w:rPr>
        <w:fldChar w:fldCharType="separate"/>
      </w:r>
      <w:r w:rsidRPr="004E053C">
        <w:rPr>
          <w:rFonts w:eastAsiaTheme="minorHAnsi" w:cstheme="majorHAnsi"/>
          <w:noProof/>
          <w:sz w:val="22"/>
          <w:szCs w:val="22"/>
          <w:lang w:val="en-GB"/>
        </w:rPr>
        <w:t>(Creswell, 2013)</w:t>
      </w:r>
      <w:r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This research study closely follows this approach and the values within it, assuming that all social entities are built on the perceptions and actions of social actors, but also that these are subject to change, particularly when faced with varying migratory patterns, fluctuating global commodity markets or shifts in government ASM policy. </w:t>
      </w:r>
    </w:p>
    <w:p w14:paraId="72F7DD05" w14:textId="77777777" w:rsidR="0077618A" w:rsidRPr="004E053C" w:rsidRDefault="0077618A" w:rsidP="004E053C">
      <w:pPr>
        <w:spacing w:line="360" w:lineRule="auto"/>
        <w:jc w:val="both"/>
        <w:rPr>
          <w:rFonts w:cstheme="majorHAnsi"/>
          <w:sz w:val="22"/>
          <w:szCs w:val="22"/>
          <w:lang w:val="en-GB"/>
        </w:rPr>
      </w:pPr>
    </w:p>
    <w:p w14:paraId="29E70A7B" w14:textId="31D31C0C"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lastRenderedPageBreak/>
        <w:t>Interpretivism is</w:t>
      </w:r>
      <w:r w:rsidRPr="004E053C">
        <w:rPr>
          <w:rFonts w:cstheme="majorHAnsi"/>
          <w:sz w:val="22"/>
          <w:szCs w:val="22"/>
          <w:lang w:val="en-GB"/>
        </w:rPr>
        <w:t xml:space="preserve"> closely linked to a constructivist research paradigm</w:t>
      </w:r>
      <w:r w:rsidRPr="004E053C">
        <w:rPr>
          <w:rFonts w:eastAsiaTheme="minorHAnsi" w:cstheme="majorHAnsi"/>
          <w:sz w:val="22"/>
          <w:szCs w:val="22"/>
          <w:lang w:val="en-GB"/>
        </w:rPr>
        <w:t xml:space="preserve"> </w:t>
      </w:r>
      <w:r w:rsidRPr="004E053C">
        <w:rPr>
          <w:rFonts w:eastAsiaTheme="minorHAnsi" w:cstheme="majorHAnsi"/>
          <w:sz w:val="22"/>
          <w:szCs w:val="22"/>
          <w:lang w:val="en-GB"/>
        </w:rPr>
        <w:fldChar w:fldCharType="begin" w:fldLock="1"/>
      </w:r>
      <w:r w:rsidRPr="004E053C">
        <w:rPr>
          <w:rFonts w:eastAsiaTheme="minorHAnsi" w:cstheme="majorHAnsi"/>
          <w:sz w:val="22"/>
          <w:szCs w:val="22"/>
          <w:lang w:val="en-GB"/>
        </w:rPr>
        <w:instrText>ADDIN CSL_CITATION {"citationItems":[{"id":"ITEM-1","itemData":{"author":[{"dropping-particle":"","family":"Gray","given":"David","non-dropping-particle":"","parse-names":false,"suffix":""}],"id":"ITEM-1","issued":{"date-parts":[["2014"]]},"publisher":"Sage Publications Ltd","publisher-place":"London, UK","title":"Doing Research in the Real World","type":"book"},"uris":["http://www.mendeley.com/documents/?uuid=7dbb8fe3-e2eb-4a23-8b87-580213592672"]}],"mendeley":{"formattedCitation":"(Gray, 2014)","plainTextFormattedCitation":"(Gray, 2014)","previouslyFormattedCitation":"(Gray, 2014)"},"properties":{"noteIndex":0},"schema":"https://github.com/citation-style-language/schema/raw/master/csl-citation.json"}</w:instrText>
      </w:r>
      <w:r w:rsidRPr="004E053C">
        <w:rPr>
          <w:rFonts w:eastAsiaTheme="minorHAnsi" w:cstheme="majorHAnsi"/>
          <w:sz w:val="22"/>
          <w:szCs w:val="22"/>
          <w:lang w:val="en-GB"/>
        </w:rPr>
        <w:fldChar w:fldCharType="separate"/>
      </w:r>
      <w:r w:rsidRPr="004E053C">
        <w:rPr>
          <w:rFonts w:eastAsiaTheme="minorHAnsi" w:cstheme="majorHAnsi"/>
          <w:noProof/>
          <w:sz w:val="22"/>
          <w:szCs w:val="22"/>
          <w:lang w:val="en-GB"/>
        </w:rPr>
        <w:t>(Gray, 2014)</w:t>
      </w:r>
      <w:r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and embraces the idea of multiple realities, the meanings of which can vary between participants and across time </w:t>
      </w:r>
      <w:r w:rsidRPr="004E053C">
        <w:rPr>
          <w:rFonts w:eastAsiaTheme="minorHAnsi" w:cstheme="majorHAnsi"/>
          <w:sz w:val="22"/>
          <w:szCs w:val="22"/>
          <w:lang w:val="en-GB"/>
        </w:rPr>
        <w:fldChar w:fldCharType="begin" w:fldLock="1"/>
      </w:r>
      <w:r w:rsidR="007F27D0" w:rsidRPr="004E053C">
        <w:rPr>
          <w:rFonts w:eastAsiaTheme="minorHAnsi"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 p.18)","plainTextFormattedCitation":"(Creswell, 2013)","previouslyFormattedCitation":"(Creswell, 2013)"},"properties":{"noteIndex":0},"schema":"https://github.com/citation-style-language/schema/raw/master/csl-citation.json"}</w:instrText>
      </w:r>
      <w:r w:rsidRPr="004E053C">
        <w:rPr>
          <w:rFonts w:eastAsiaTheme="minorHAnsi" w:cstheme="majorHAnsi"/>
          <w:sz w:val="22"/>
          <w:szCs w:val="22"/>
          <w:lang w:val="en-GB"/>
        </w:rPr>
        <w:fldChar w:fldCharType="separate"/>
      </w:r>
      <w:r w:rsidRPr="004E053C">
        <w:rPr>
          <w:rFonts w:eastAsiaTheme="minorHAnsi" w:cstheme="majorHAnsi"/>
          <w:noProof/>
          <w:sz w:val="22"/>
          <w:szCs w:val="22"/>
          <w:lang w:val="en-GB"/>
        </w:rPr>
        <w:t>(Creswell, 2013, p.18)</w:t>
      </w:r>
      <w:r w:rsidRPr="004E053C">
        <w:rPr>
          <w:rFonts w:eastAsiaTheme="minorHAnsi" w:cstheme="majorHAnsi"/>
          <w:sz w:val="22"/>
          <w:szCs w:val="22"/>
          <w:lang w:val="en-GB"/>
        </w:rPr>
        <w:fldChar w:fldCharType="end"/>
      </w:r>
      <w:r w:rsidRPr="004E053C">
        <w:rPr>
          <w:rFonts w:eastAsiaTheme="minorHAnsi" w:cstheme="majorHAnsi"/>
          <w:sz w:val="22"/>
          <w:szCs w:val="22"/>
          <w:lang w:val="en-GB"/>
        </w:rPr>
        <w:t>. This has particular relevance to this study given the variety of actors engaging in the ASM sector, both directly and indirectly. I intend to explore the reality of life in these communities by understanding the actions of people living within them and their relationships with each other, rather than focusing on the forces that are deemed to act on them</w:t>
      </w:r>
      <w:r w:rsidR="00303D2F" w:rsidRPr="004E053C">
        <w:rPr>
          <w:rFonts w:eastAsiaTheme="minorHAnsi" w:cstheme="majorHAnsi"/>
          <w:sz w:val="22"/>
          <w:szCs w:val="22"/>
          <w:lang w:val="en-GB"/>
        </w:rPr>
        <w:t xml:space="preserve"> </w:t>
      </w:r>
      <w:r w:rsidR="00303D2F" w:rsidRPr="004E053C">
        <w:rPr>
          <w:rFonts w:eastAsiaTheme="minorHAnsi" w:cstheme="majorHAnsi"/>
          <w:sz w:val="22"/>
          <w:szCs w:val="22"/>
          <w:lang w:val="en-GB"/>
        </w:rPr>
        <w:fldChar w:fldCharType="begin" w:fldLock="1"/>
      </w:r>
      <w:r w:rsidR="002B77BD" w:rsidRPr="004E053C">
        <w:rPr>
          <w:rFonts w:eastAsiaTheme="minorHAnsi" w:cstheme="majorHAnsi"/>
          <w:sz w:val="22"/>
          <w:szCs w:val="22"/>
          <w:lang w:val="en-GB"/>
        </w:rPr>
        <w:instrText>ADDIN CSL_CITATION {"citationItems":[{"id":"ITEM-1","itemData":{"author":[{"dropping-particle":"","family":"Bryman","given":"Alan","non-dropping-particle":"","parse-names":false,"suffix":""}],"edition":"4th","id":"ITEM-1","issued":{"date-parts":[["2001"]]},"publisher":"Oxford University Press","publisher-place":"Oxford","title":"Social Research Methods","type":"book"},"uris":["http://www.mendeley.com/documents/?uuid=be73eb83-a206-4681-a98c-bda55c82b47e"]}],"mendeley":{"formattedCitation":"(Bryman, 2001)","plainTextFormattedCitation":"(Bryman, 2001)","previouslyFormattedCitation":"(Bryman, 2001)"},"properties":{"noteIndex":0},"schema":"https://github.com/citation-style-language/schema/raw/master/csl-citation.json"}</w:instrText>
      </w:r>
      <w:r w:rsidR="00303D2F" w:rsidRPr="004E053C">
        <w:rPr>
          <w:rFonts w:eastAsiaTheme="minorHAnsi" w:cstheme="majorHAnsi"/>
          <w:sz w:val="22"/>
          <w:szCs w:val="22"/>
          <w:lang w:val="en-GB"/>
        </w:rPr>
        <w:fldChar w:fldCharType="separate"/>
      </w:r>
      <w:r w:rsidR="00303D2F" w:rsidRPr="004E053C">
        <w:rPr>
          <w:rFonts w:eastAsiaTheme="minorHAnsi" w:cstheme="majorHAnsi"/>
          <w:noProof/>
          <w:sz w:val="22"/>
          <w:szCs w:val="22"/>
          <w:lang w:val="en-GB"/>
        </w:rPr>
        <w:t>(Bryman, 2001)</w:t>
      </w:r>
      <w:r w:rsidR="00303D2F" w:rsidRPr="004E053C">
        <w:rPr>
          <w:rFonts w:eastAsiaTheme="minorHAnsi" w:cstheme="majorHAnsi"/>
          <w:sz w:val="22"/>
          <w:szCs w:val="22"/>
          <w:lang w:val="en-GB"/>
        </w:rPr>
        <w:fldChar w:fldCharType="end"/>
      </w:r>
      <w:r w:rsidR="00303D2F" w:rsidRPr="004E053C">
        <w:rPr>
          <w:rFonts w:eastAsiaTheme="minorHAnsi" w:cstheme="majorHAnsi"/>
          <w:sz w:val="22"/>
          <w:szCs w:val="22"/>
          <w:lang w:val="en-GB"/>
        </w:rPr>
        <w:t>.</w:t>
      </w:r>
      <w:r w:rsidRPr="004E053C">
        <w:rPr>
          <w:rFonts w:eastAsiaTheme="minorHAnsi" w:cstheme="majorHAnsi"/>
          <w:sz w:val="22"/>
          <w:szCs w:val="22"/>
          <w:lang w:val="en-GB"/>
        </w:rPr>
        <w:t xml:space="preserve"> Given that I aim to develop an understanding of the subjective meaning that ASM operatives and other community members attach to their actions and the world around them, I have adopted an interpretivist epistemology. The research questions outlined above are primarily investigating the participants’ perceptions of their own relationships and experiences, and this approach allows them to give their own accounts of community interactions, the nature of ASM activity and their feelings of belonging, while remaining aware of the subjectivity of interpretation. </w:t>
      </w:r>
    </w:p>
    <w:p w14:paraId="1F89E415" w14:textId="77777777" w:rsidR="0077618A" w:rsidRPr="004E053C" w:rsidRDefault="0077618A" w:rsidP="004E053C">
      <w:pPr>
        <w:spacing w:line="360" w:lineRule="auto"/>
        <w:jc w:val="both"/>
        <w:rPr>
          <w:rFonts w:eastAsiaTheme="minorHAnsi" w:cstheme="majorHAnsi"/>
          <w:sz w:val="22"/>
          <w:szCs w:val="22"/>
          <w:lang w:val="en-GB"/>
        </w:rPr>
      </w:pPr>
    </w:p>
    <w:p w14:paraId="07FFB37A" w14:textId="1DB663BC"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t xml:space="preserve">For interpretivist approaches, qualitative methods are the most useful, as they enable the researcher to understand how and why observed changes are taking place. The use of qualitative methods can explore the issues of translocal ASM livelihoods, community dynamics and narratives of illegality by focusing on the respondents’ subjective experiences of the social and political aspects of ASM livelihoods. </w:t>
      </w:r>
      <w:r w:rsidRPr="004E053C">
        <w:rPr>
          <w:rFonts w:cstheme="majorHAnsi"/>
          <w:sz w:val="22"/>
          <w:szCs w:val="22"/>
          <w:lang w:val="en-GB"/>
        </w:rPr>
        <w:t xml:space="preserve">An understanding of community identity and a ‘sense of place’ is also central to this study, and research focused on this has been traditionally associated with subjectivities and non-positivist approaches </w:t>
      </w:r>
      <w:r w:rsidR="002B77BD" w:rsidRPr="004E053C">
        <w:rPr>
          <w:rFonts w:cstheme="majorHAnsi"/>
          <w:sz w:val="22"/>
          <w:szCs w:val="22"/>
          <w:lang w:val="en-GB"/>
        </w:rPr>
        <w:fldChar w:fldCharType="begin" w:fldLock="1"/>
      </w:r>
      <w:r w:rsidR="002B77BD" w:rsidRPr="004E053C">
        <w:rPr>
          <w:rFonts w:cstheme="majorHAnsi"/>
          <w:sz w:val="22"/>
          <w:szCs w:val="22"/>
          <w:lang w:val="en-GB"/>
        </w:rPr>
        <w:instrText>ADDIN CSL_CITATION {"citationItems":[{"id":"ITEM-1","itemData":{"author":[{"dropping-particle":"","family":"Mendoza","given":"C","non-dropping-particle":"","parse-names":false,"suffix":""},{"dropping-particle":"","family":"Moren-Alegret","given":"R","non-dropping-particle":"","parse-names":false,"suffix":""}],"container-title":"Progress in Human Geography","id":"ITEM-1","issue":"6","issued":{"date-parts":[["2013"]]},"page":"762-785","title":"Exploring methods and techniques for the analysis of senses of place and migration","type":"article-journal","volume":"37"},"uris":["http://www.mendeley.com/documents/?uuid=60088731-744e-4a42-a3b8-5b5fcb165097"]}],"mendeley":{"formattedCitation":"(Mendoza &amp; Moren-Alegret, 2013)","plainTextFormattedCitation":"(Mendoza &amp; Moren-Alegret, 2013)","previouslyFormattedCitation":"(Mendoza &amp; Moren-Alegret, 2013)"},"properties":{"noteIndex":0},"schema":"https://github.com/citation-style-language/schema/raw/master/csl-citation.json"}</w:instrText>
      </w:r>
      <w:r w:rsidR="002B77BD" w:rsidRPr="004E053C">
        <w:rPr>
          <w:rFonts w:cstheme="majorHAnsi"/>
          <w:sz w:val="22"/>
          <w:szCs w:val="22"/>
          <w:lang w:val="en-GB"/>
        </w:rPr>
        <w:fldChar w:fldCharType="separate"/>
      </w:r>
      <w:r w:rsidR="002B77BD" w:rsidRPr="004E053C">
        <w:rPr>
          <w:rFonts w:cstheme="majorHAnsi"/>
          <w:noProof/>
          <w:sz w:val="22"/>
          <w:szCs w:val="22"/>
          <w:lang w:val="en-GB"/>
        </w:rPr>
        <w:t>(Mendoza &amp; Moren-Alegret, 2013)</w:t>
      </w:r>
      <w:r w:rsidR="002B77BD" w:rsidRPr="004E053C">
        <w:rPr>
          <w:rFonts w:cstheme="majorHAnsi"/>
          <w:sz w:val="22"/>
          <w:szCs w:val="22"/>
          <w:lang w:val="en-GB"/>
        </w:rPr>
        <w:fldChar w:fldCharType="end"/>
      </w:r>
      <w:r w:rsidRPr="004E053C">
        <w:rPr>
          <w:rFonts w:cstheme="majorHAnsi"/>
          <w:sz w:val="22"/>
          <w:szCs w:val="22"/>
          <w:lang w:val="en-GB"/>
        </w:rPr>
        <w:t xml:space="preserve">. </w:t>
      </w:r>
      <w:r w:rsidRPr="004E053C">
        <w:rPr>
          <w:rFonts w:eastAsiaTheme="minorHAnsi" w:cstheme="majorHAnsi"/>
          <w:sz w:val="22"/>
          <w:szCs w:val="22"/>
          <w:lang w:val="en-GB"/>
        </w:rPr>
        <w:t xml:space="preserve">The qualitative evidence gained through interviews with those engaged in translocal ASM livelihoods can also be presented through multiple quotes based on the actual words of different individuals, highlighting the different perspectives in line with the nature of interpretivism. </w:t>
      </w:r>
    </w:p>
    <w:p w14:paraId="77950B7C" w14:textId="77777777" w:rsidR="0077618A" w:rsidRPr="004E053C" w:rsidRDefault="0077618A" w:rsidP="004E053C">
      <w:pPr>
        <w:spacing w:line="360" w:lineRule="auto"/>
        <w:jc w:val="both"/>
        <w:rPr>
          <w:rFonts w:eastAsiaTheme="minorHAnsi" w:cstheme="majorHAnsi"/>
          <w:sz w:val="22"/>
          <w:szCs w:val="22"/>
          <w:lang w:val="en-GB"/>
        </w:rPr>
      </w:pPr>
    </w:p>
    <w:p w14:paraId="2BE68EC8" w14:textId="410784D7" w:rsidR="0077618A" w:rsidRPr="004E053C" w:rsidRDefault="00EA7F83" w:rsidP="004E053C">
      <w:pPr>
        <w:pStyle w:val="Heading2"/>
        <w:spacing w:before="0" w:line="360" w:lineRule="auto"/>
        <w:jc w:val="both"/>
        <w:rPr>
          <w:rFonts w:cstheme="majorHAnsi"/>
          <w:lang w:val="en-GB"/>
        </w:rPr>
      </w:pPr>
      <w:bookmarkStart w:id="58" w:name="_Toc424671891"/>
      <w:bookmarkStart w:id="59" w:name="_Toc33293101"/>
      <w:r w:rsidRPr="004E053C">
        <w:rPr>
          <w:rFonts w:cstheme="majorHAnsi"/>
          <w:lang w:val="en-GB"/>
        </w:rPr>
        <w:t>5</w:t>
      </w:r>
      <w:r w:rsidR="004A3EF1" w:rsidRPr="004E053C">
        <w:rPr>
          <w:rFonts w:cstheme="majorHAnsi"/>
          <w:lang w:val="en-GB"/>
        </w:rPr>
        <w:t>.4. The use of a case s</w:t>
      </w:r>
      <w:r w:rsidR="0077618A" w:rsidRPr="004E053C">
        <w:rPr>
          <w:rFonts w:cstheme="majorHAnsi"/>
          <w:lang w:val="en-GB"/>
        </w:rPr>
        <w:t>tudy</w:t>
      </w:r>
      <w:bookmarkEnd w:id="58"/>
      <w:bookmarkEnd w:id="59"/>
    </w:p>
    <w:p w14:paraId="47005683" w14:textId="77777777" w:rsidR="0077618A" w:rsidRPr="004E053C" w:rsidRDefault="0077618A" w:rsidP="004E053C">
      <w:pPr>
        <w:spacing w:line="360" w:lineRule="auto"/>
        <w:jc w:val="both"/>
        <w:rPr>
          <w:rFonts w:cstheme="majorHAnsi"/>
          <w:color w:val="000000"/>
          <w:sz w:val="22"/>
          <w:szCs w:val="22"/>
          <w:lang w:val="en-GB"/>
        </w:rPr>
      </w:pPr>
    </w:p>
    <w:p w14:paraId="7303C0D8" w14:textId="51B70139" w:rsidR="0077618A" w:rsidRPr="004E053C" w:rsidRDefault="0077618A" w:rsidP="004E053C">
      <w:pPr>
        <w:pStyle w:val="NoSpacing"/>
        <w:spacing w:line="360" w:lineRule="auto"/>
        <w:jc w:val="both"/>
        <w:rPr>
          <w:rFonts w:cstheme="majorHAnsi"/>
          <w:color w:val="000000"/>
          <w:sz w:val="22"/>
          <w:szCs w:val="22"/>
          <w:lang w:val="en-GB"/>
        </w:rPr>
      </w:pPr>
      <w:r w:rsidRPr="004E053C">
        <w:rPr>
          <w:rFonts w:cstheme="majorHAnsi"/>
          <w:color w:val="000000"/>
          <w:sz w:val="22"/>
          <w:szCs w:val="22"/>
          <w:lang w:val="en-GB"/>
        </w:rPr>
        <w:t xml:space="preserve">The research design uses a case study approach, which </w:t>
      </w:r>
      <w:r w:rsidRPr="004E053C">
        <w:rPr>
          <w:rFonts w:cstheme="majorHAnsi"/>
          <w:sz w:val="22"/>
          <w:szCs w:val="22"/>
          <w:lang w:val="en-GB"/>
        </w:rPr>
        <w:t xml:space="preserve">involves the study of an issue or problem through one or more cases within a bounded system </w:t>
      </w:r>
      <w:r w:rsidR="002B77BD"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2013)","plainTextFormattedCitation":"(Creswell, 2013)","previouslyFormattedCitation":"(Creswell, 2013)"},"properties":{"noteIndex":0},"schema":"https://github.com/citation-style-language/schema/raw/master/csl-citation.json"}</w:instrText>
      </w:r>
      <w:r w:rsidR="002B77BD" w:rsidRPr="004E053C">
        <w:rPr>
          <w:rFonts w:cstheme="majorHAnsi"/>
          <w:sz w:val="22"/>
          <w:szCs w:val="22"/>
          <w:lang w:val="en-GB"/>
        </w:rPr>
        <w:fldChar w:fldCharType="separate"/>
      </w:r>
      <w:r w:rsidR="002B77BD" w:rsidRPr="004E053C">
        <w:rPr>
          <w:rFonts w:cstheme="majorHAnsi"/>
          <w:noProof/>
          <w:sz w:val="22"/>
          <w:szCs w:val="22"/>
          <w:lang w:val="en-GB"/>
        </w:rPr>
        <w:t>(Creswell, 2013)</w:t>
      </w:r>
      <w:r w:rsidR="002B77BD" w:rsidRPr="004E053C">
        <w:rPr>
          <w:rFonts w:cstheme="majorHAnsi"/>
          <w:sz w:val="22"/>
          <w:szCs w:val="22"/>
          <w:lang w:val="en-GB"/>
        </w:rPr>
        <w:fldChar w:fldCharType="end"/>
      </w:r>
      <w:r w:rsidRPr="004E053C">
        <w:rPr>
          <w:rFonts w:cstheme="majorHAnsi"/>
          <w:sz w:val="22"/>
          <w:szCs w:val="22"/>
          <w:lang w:val="en-GB"/>
        </w:rPr>
        <w:t xml:space="preserve">. </w:t>
      </w:r>
      <w:r w:rsidRPr="004E053C">
        <w:rPr>
          <w:rFonts w:cstheme="majorHAnsi"/>
          <w:color w:val="000000"/>
          <w:sz w:val="22"/>
          <w:szCs w:val="22"/>
          <w:lang w:val="en-GB"/>
        </w:rPr>
        <w:t xml:space="preserve">For this research study, the translocal ASM community between the Andes and Madre de Dios is the case that is being focused on, while the context is the ASM sector in Peru. The location of the research sites on a resource frontier and the global/national periphery is also of central importance. I have selected a case study approach due to the desire to understand the complex social phenomena of translocal mining communities, but also because I aim to understand the present circumstances in those communities within their real-life context </w:t>
      </w:r>
      <w:r w:rsidR="002B77BD" w:rsidRPr="004E053C">
        <w:rPr>
          <w:rFonts w:cstheme="majorHAnsi"/>
          <w:color w:val="000000"/>
          <w:sz w:val="22"/>
          <w:szCs w:val="22"/>
          <w:lang w:val="en-GB"/>
        </w:rPr>
        <w:fldChar w:fldCharType="begin" w:fldLock="1"/>
      </w:r>
      <w:r w:rsidR="002B77BD" w:rsidRPr="004E053C">
        <w:rPr>
          <w:rFonts w:cstheme="majorHAnsi"/>
          <w:color w:val="000000"/>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Methods","type":"book"},"uris":["http://www.mendeley.com/documents/?uuid=986168dc-8e04-4844-b006-fa8bdfa744d3"]}],"mendeley":{"formattedCitation":"(Yin, 2009)","plainTextFormattedCitation":"(Yin, 2009)","previouslyFormattedCitation":"(Yin, 2009)"},"properties":{"noteIndex":0},"schema":"https://github.com/citation-style-language/schema/raw/master/csl-citation.json"}</w:instrText>
      </w:r>
      <w:r w:rsidR="002B77BD" w:rsidRPr="004E053C">
        <w:rPr>
          <w:rFonts w:cstheme="majorHAnsi"/>
          <w:color w:val="000000"/>
          <w:sz w:val="22"/>
          <w:szCs w:val="22"/>
          <w:lang w:val="en-GB"/>
        </w:rPr>
        <w:fldChar w:fldCharType="separate"/>
      </w:r>
      <w:r w:rsidR="002B77BD" w:rsidRPr="004E053C">
        <w:rPr>
          <w:rFonts w:cstheme="majorHAnsi"/>
          <w:noProof/>
          <w:color w:val="000000"/>
          <w:sz w:val="22"/>
          <w:szCs w:val="22"/>
          <w:lang w:val="en-GB"/>
        </w:rPr>
        <w:t>(Yin, 2009)</w:t>
      </w:r>
      <w:r w:rsidR="002B77BD" w:rsidRPr="004E053C">
        <w:rPr>
          <w:rFonts w:cstheme="majorHAnsi"/>
          <w:color w:val="000000"/>
          <w:sz w:val="22"/>
          <w:szCs w:val="22"/>
          <w:lang w:val="en-GB"/>
        </w:rPr>
        <w:fldChar w:fldCharType="end"/>
      </w:r>
      <w:r w:rsidRPr="004E053C">
        <w:rPr>
          <w:rFonts w:cstheme="majorHAnsi"/>
          <w:color w:val="000000"/>
          <w:sz w:val="22"/>
          <w:szCs w:val="22"/>
          <w:lang w:val="en-GB"/>
        </w:rPr>
        <w:t xml:space="preserve">. Case studies are extremely useful when the boundaries </w:t>
      </w:r>
      <w:r w:rsidRPr="004E053C">
        <w:rPr>
          <w:rFonts w:cstheme="majorHAnsi"/>
          <w:color w:val="000000"/>
          <w:sz w:val="22"/>
          <w:szCs w:val="22"/>
          <w:lang w:val="en-GB"/>
        </w:rPr>
        <w:lastRenderedPageBreak/>
        <w:t xml:space="preserve">between phenomenon and context are not clearly evident and thus the contextual conditions of that phenomena are highly pertinent to its existence </w:t>
      </w:r>
      <w:r w:rsidR="002B77BD" w:rsidRPr="004E053C">
        <w:rPr>
          <w:rFonts w:cstheme="majorHAnsi"/>
          <w:color w:val="000000"/>
          <w:sz w:val="22"/>
          <w:szCs w:val="22"/>
          <w:lang w:val="en-GB"/>
        </w:rPr>
        <w:fldChar w:fldCharType="begin" w:fldLock="1"/>
      </w:r>
      <w:r w:rsidR="00B67ED4" w:rsidRPr="004E053C">
        <w:rPr>
          <w:rFonts w:cstheme="majorHAnsi"/>
          <w:color w:val="000000"/>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Methods","type":"book"},"uris":["http://www.mendeley.com/documents/?uuid=986168dc-8e04-4844-b006-fa8bdfa744d3"]}],"mendeley":{"formattedCitation":"(Yin, 2009)","manualFormatting":"(Ibid.)","plainTextFormattedCitation":"(Yin, 2009)","previouslyFormattedCitation":"(Yin, 2009)"},"properties":{"noteIndex":0},"schema":"https://github.com/citation-style-language/schema/raw/master/csl-citation.json"}</w:instrText>
      </w:r>
      <w:r w:rsidR="002B77BD" w:rsidRPr="004E053C">
        <w:rPr>
          <w:rFonts w:cstheme="majorHAnsi"/>
          <w:color w:val="000000"/>
          <w:sz w:val="22"/>
          <w:szCs w:val="22"/>
          <w:lang w:val="en-GB"/>
        </w:rPr>
        <w:fldChar w:fldCharType="separate"/>
      </w:r>
      <w:r w:rsidR="004B0526" w:rsidRPr="004E053C">
        <w:rPr>
          <w:rFonts w:cstheme="majorHAnsi"/>
          <w:noProof/>
          <w:color w:val="000000"/>
          <w:sz w:val="22"/>
          <w:szCs w:val="22"/>
          <w:lang w:val="en-GB"/>
        </w:rPr>
        <w:t>(Ibid</w:t>
      </w:r>
      <w:r w:rsidR="00EC4FAE" w:rsidRPr="004E053C">
        <w:rPr>
          <w:rFonts w:cstheme="majorHAnsi"/>
          <w:noProof/>
          <w:color w:val="000000"/>
          <w:sz w:val="22"/>
          <w:szCs w:val="22"/>
          <w:lang w:val="en-GB"/>
        </w:rPr>
        <w:t>.</w:t>
      </w:r>
      <w:r w:rsidR="002B77BD" w:rsidRPr="004E053C">
        <w:rPr>
          <w:rFonts w:cstheme="majorHAnsi"/>
          <w:noProof/>
          <w:color w:val="000000"/>
          <w:sz w:val="22"/>
          <w:szCs w:val="22"/>
          <w:lang w:val="en-GB"/>
        </w:rPr>
        <w:t>)</w:t>
      </w:r>
      <w:r w:rsidR="002B77BD" w:rsidRPr="004E053C">
        <w:rPr>
          <w:rFonts w:cstheme="majorHAnsi"/>
          <w:color w:val="000000"/>
          <w:sz w:val="22"/>
          <w:szCs w:val="22"/>
          <w:lang w:val="en-GB"/>
        </w:rPr>
        <w:fldChar w:fldCharType="end"/>
      </w:r>
      <w:r w:rsidR="002B77BD" w:rsidRPr="004E053C">
        <w:rPr>
          <w:rFonts w:cstheme="majorHAnsi"/>
          <w:color w:val="000000"/>
          <w:sz w:val="22"/>
          <w:szCs w:val="22"/>
          <w:lang w:val="en-GB"/>
        </w:rPr>
        <w:t xml:space="preserve">. </w:t>
      </w:r>
      <w:r w:rsidRPr="004E053C">
        <w:rPr>
          <w:rFonts w:cstheme="majorHAnsi"/>
          <w:color w:val="000000"/>
          <w:sz w:val="22"/>
          <w:szCs w:val="22"/>
          <w:lang w:val="en-GB"/>
        </w:rPr>
        <w:t xml:space="preserve">This seems particularly important to the translocal ASM community under investigation in this research, as there are many distinct features of the particular places within the translocal community that shape the social dynamics under investigation. </w:t>
      </w:r>
    </w:p>
    <w:p w14:paraId="720A15D4" w14:textId="77777777" w:rsidR="0077618A" w:rsidRPr="004E053C" w:rsidRDefault="0077618A" w:rsidP="004E053C">
      <w:pPr>
        <w:pStyle w:val="NoSpacing"/>
        <w:spacing w:line="360" w:lineRule="auto"/>
        <w:jc w:val="both"/>
        <w:rPr>
          <w:rFonts w:cstheme="majorHAnsi"/>
          <w:color w:val="000000"/>
          <w:sz w:val="22"/>
          <w:szCs w:val="22"/>
          <w:lang w:val="en-GB"/>
        </w:rPr>
      </w:pPr>
    </w:p>
    <w:p w14:paraId="07F44D7F" w14:textId="765A8453" w:rsidR="0077618A" w:rsidRPr="004E053C" w:rsidRDefault="0077618A" w:rsidP="004E053C">
      <w:pPr>
        <w:spacing w:line="360" w:lineRule="auto"/>
        <w:jc w:val="both"/>
        <w:rPr>
          <w:rFonts w:cstheme="majorHAnsi"/>
          <w:color w:val="000000"/>
          <w:sz w:val="22"/>
          <w:szCs w:val="22"/>
          <w:lang w:val="en-GB"/>
        </w:rPr>
      </w:pPr>
      <w:r w:rsidRPr="004E053C">
        <w:rPr>
          <w:rFonts w:cstheme="majorHAnsi"/>
          <w:sz w:val="22"/>
          <w:szCs w:val="22"/>
          <w:lang w:val="en-GB"/>
        </w:rPr>
        <w:t xml:space="preserve">There are of course limitations with implementing a case study approach, especially given that findings may not be generalisable, gaining access to case study settings can be difficult, and they tend to focus on processes rather than outcomes </w:t>
      </w:r>
      <w:r w:rsidR="002B77BD" w:rsidRPr="004E053C">
        <w:rPr>
          <w:rFonts w:cstheme="majorHAnsi"/>
          <w:sz w:val="22"/>
          <w:szCs w:val="22"/>
          <w:lang w:val="en-GB"/>
        </w:rPr>
        <w:fldChar w:fldCharType="begin" w:fldLock="1"/>
      </w:r>
      <w:r w:rsidR="002B77BD" w:rsidRPr="004E053C">
        <w:rPr>
          <w:rFonts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2014)","plainTextFormattedCitation":"(Denscombe, 2014)","previouslyFormattedCitation":"(Denscombe, 2014)"},"properties":{"noteIndex":0},"schema":"https://github.com/citation-style-language/schema/raw/master/csl-citation.json"}</w:instrText>
      </w:r>
      <w:r w:rsidR="002B77BD" w:rsidRPr="004E053C">
        <w:rPr>
          <w:rFonts w:cstheme="majorHAnsi"/>
          <w:sz w:val="22"/>
          <w:szCs w:val="22"/>
          <w:lang w:val="en-GB"/>
        </w:rPr>
        <w:fldChar w:fldCharType="separate"/>
      </w:r>
      <w:r w:rsidR="002B77BD" w:rsidRPr="004E053C">
        <w:rPr>
          <w:rFonts w:cstheme="majorHAnsi"/>
          <w:noProof/>
          <w:sz w:val="22"/>
          <w:szCs w:val="22"/>
          <w:lang w:val="en-GB"/>
        </w:rPr>
        <w:t>(Denscombe, 2014)</w:t>
      </w:r>
      <w:r w:rsidR="002B77BD" w:rsidRPr="004E053C">
        <w:rPr>
          <w:rFonts w:cstheme="majorHAnsi"/>
          <w:sz w:val="22"/>
          <w:szCs w:val="22"/>
          <w:lang w:val="en-GB"/>
        </w:rPr>
        <w:fldChar w:fldCharType="end"/>
      </w:r>
      <w:r w:rsidRPr="004E053C">
        <w:rPr>
          <w:rFonts w:cstheme="majorHAnsi"/>
          <w:sz w:val="22"/>
          <w:szCs w:val="22"/>
          <w:lang w:val="en-GB"/>
        </w:rPr>
        <w:t xml:space="preserve">. While the first two issues are important to reflect upon, the final critique actually highlights the relevance of a case study approach to this study, which is primarily interested in processes in the form of community dynamics. </w:t>
      </w:r>
      <w:r w:rsidRPr="004E053C">
        <w:rPr>
          <w:rFonts w:cstheme="majorHAnsi"/>
          <w:color w:val="000000"/>
          <w:sz w:val="22"/>
          <w:szCs w:val="22"/>
          <w:lang w:val="en-GB"/>
        </w:rPr>
        <w:t>C</w:t>
      </w:r>
      <w:r w:rsidRPr="004E053C">
        <w:rPr>
          <w:rFonts w:cstheme="majorHAnsi"/>
          <w:sz w:val="22"/>
          <w:szCs w:val="22"/>
          <w:lang w:val="en-GB"/>
        </w:rPr>
        <w:t xml:space="preserve">ase studies are also not practical when the research requires some element of behavioural control or manipulation </w:t>
      </w:r>
      <w:r w:rsidR="002B77BD" w:rsidRPr="004E053C">
        <w:rPr>
          <w:rFonts w:cstheme="majorHAnsi"/>
          <w:sz w:val="22"/>
          <w:szCs w:val="22"/>
          <w:lang w:val="en-GB"/>
        </w:rPr>
        <w:fldChar w:fldCharType="begin" w:fldLock="1"/>
      </w:r>
      <w:r w:rsidR="002B77BD" w:rsidRPr="004E053C">
        <w:rPr>
          <w:rFonts w:cstheme="majorHAnsi"/>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Methods","type":"book"},"uris":["http://www.mendeley.com/documents/?uuid=986168dc-8e04-4844-b006-fa8bdfa744d3"]}],"mendeley":{"formattedCitation":"(Yin, 2009)","plainTextFormattedCitation":"(Yin, 2009)","previouslyFormattedCitation":"(Yin, 2009)"},"properties":{"noteIndex":0},"schema":"https://github.com/citation-style-language/schema/raw/master/csl-citation.json"}</w:instrText>
      </w:r>
      <w:r w:rsidR="002B77BD" w:rsidRPr="004E053C">
        <w:rPr>
          <w:rFonts w:cstheme="majorHAnsi"/>
          <w:sz w:val="22"/>
          <w:szCs w:val="22"/>
          <w:lang w:val="en-GB"/>
        </w:rPr>
        <w:fldChar w:fldCharType="separate"/>
      </w:r>
      <w:r w:rsidR="002B77BD" w:rsidRPr="004E053C">
        <w:rPr>
          <w:rFonts w:cstheme="majorHAnsi"/>
          <w:noProof/>
          <w:sz w:val="22"/>
          <w:szCs w:val="22"/>
          <w:lang w:val="en-GB"/>
        </w:rPr>
        <w:t>(Yin, 2009)</w:t>
      </w:r>
      <w:r w:rsidR="002B77BD" w:rsidRPr="004E053C">
        <w:rPr>
          <w:rFonts w:cstheme="majorHAnsi"/>
          <w:sz w:val="22"/>
          <w:szCs w:val="22"/>
          <w:lang w:val="en-GB"/>
        </w:rPr>
        <w:fldChar w:fldCharType="end"/>
      </w:r>
      <w:r w:rsidRPr="004E053C">
        <w:rPr>
          <w:rFonts w:cstheme="majorHAnsi"/>
          <w:sz w:val="22"/>
          <w:szCs w:val="22"/>
          <w:lang w:val="en-GB"/>
        </w:rPr>
        <w:t>, but this is not necessary for this</w:t>
      </w:r>
      <w:r w:rsidRPr="004E053C">
        <w:rPr>
          <w:rFonts w:cstheme="majorHAnsi"/>
          <w:color w:val="000000"/>
          <w:sz w:val="22"/>
          <w:szCs w:val="22"/>
          <w:lang w:val="en-GB"/>
        </w:rPr>
        <w:t xml:space="preserve"> study as I am investigating naturally occurring relationships and social processes within the translocal community. As they can provide a holistic view of the research setting and problem, this will allow an understanding of the real-life events in ASM communities, such as households’ lifecycles, small group behaviour and neighbourhood change </w:t>
      </w:r>
      <w:r w:rsidR="002B77BD" w:rsidRPr="004E053C">
        <w:rPr>
          <w:rFonts w:cstheme="majorHAnsi"/>
          <w:color w:val="000000"/>
          <w:sz w:val="22"/>
          <w:szCs w:val="22"/>
          <w:lang w:val="en-GB"/>
        </w:rPr>
        <w:fldChar w:fldCharType="begin" w:fldLock="1"/>
      </w:r>
      <w:r w:rsidR="002B77BD" w:rsidRPr="004E053C">
        <w:rPr>
          <w:rFonts w:cstheme="majorHAnsi"/>
          <w:color w:val="000000"/>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id":"ITEM-2","itemData":{"author":[{"dropping-particle":"","family":"Denscombe","given":"Martyn","non-dropping-particle":"","parse-names":false,"suffix":""}],"id":"ITEM-2","issued":{"date-parts":[["2014"]]},"publisher":"Open University Press","publisher-place":"Maidenhead","title":"The Good Research Guide: For Small-scale Social Research Projects","type":"book"},"uris":["http://www.mendeley.com/documents/?uuid=4896e42c-c2a2-4701-b00b-4bd5eac455f6"]}],"mendeley":{"formattedCitation":"(Denscombe, 2014; Yin, 2009)","plainTextFormattedCitation":"(Denscombe, 2014; Yin, 2009)","previouslyFormattedCitation":"(Denscombe, 2014; Yin, 2009)"},"properties":{"noteIndex":0},"schema":"https://github.com/citation-style-language/schema/raw/master/csl-citation.json"}</w:instrText>
      </w:r>
      <w:r w:rsidR="002B77BD" w:rsidRPr="004E053C">
        <w:rPr>
          <w:rFonts w:cstheme="majorHAnsi"/>
          <w:color w:val="000000"/>
          <w:sz w:val="22"/>
          <w:szCs w:val="22"/>
          <w:lang w:val="en-GB"/>
        </w:rPr>
        <w:fldChar w:fldCharType="separate"/>
      </w:r>
      <w:r w:rsidR="002B77BD" w:rsidRPr="004E053C">
        <w:rPr>
          <w:rFonts w:cstheme="majorHAnsi"/>
          <w:noProof/>
          <w:color w:val="000000"/>
          <w:sz w:val="22"/>
          <w:szCs w:val="22"/>
          <w:lang w:val="en-GB"/>
        </w:rPr>
        <w:t>(Denscombe, 2014; Yin, 2009)</w:t>
      </w:r>
      <w:r w:rsidR="002B77BD" w:rsidRPr="004E053C">
        <w:rPr>
          <w:rFonts w:cstheme="majorHAnsi"/>
          <w:color w:val="000000"/>
          <w:sz w:val="22"/>
          <w:szCs w:val="22"/>
          <w:lang w:val="en-GB"/>
        </w:rPr>
        <w:fldChar w:fldCharType="end"/>
      </w:r>
      <w:r w:rsidRPr="004E053C">
        <w:rPr>
          <w:rFonts w:cstheme="majorHAnsi"/>
          <w:color w:val="000000"/>
          <w:sz w:val="22"/>
          <w:szCs w:val="22"/>
          <w:lang w:val="en-GB"/>
        </w:rPr>
        <w:t xml:space="preserve"> Furthermore, case studies can be explanatory, allowing for an interrogation of why aspects of the ASM have evolved, rather than just how </w:t>
      </w:r>
      <w:r w:rsidR="002B77BD" w:rsidRPr="004E053C">
        <w:rPr>
          <w:rFonts w:cstheme="majorHAnsi"/>
          <w:color w:val="000000"/>
          <w:sz w:val="22"/>
          <w:szCs w:val="22"/>
          <w:lang w:val="en-GB"/>
        </w:rPr>
        <w:fldChar w:fldCharType="begin" w:fldLock="1"/>
      </w:r>
      <w:r w:rsidR="002B77BD" w:rsidRPr="004E053C">
        <w:rPr>
          <w:rFonts w:cstheme="majorHAnsi"/>
          <w:color w:val="000000"/>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id":"ITEM-2","itemData":{"author":[{"dropping-particle":"","family":"Denscombe","given":"Martyn","non-dropping-particle":"","parse-names":false,"suffix":""}],"id":"ITEM-2","issued":{"date-parts":[["2014"]]},"publisher":"Open University Press","publisher-place":"Maidenhead","title":"The Good Research Guide: For Small-scale Social Research Projects","type":"book"},"uris":["http://www.mendeley.com/documents/?uuid=4896e42c-c2a2-4701-b00b-4bd5eac455f6"]}],"mendeley":{"formattedCitation":"(Denscombe, 2014; Yin, 2009)","plainTextFormattedCitation":"(Denscombe, 2014; Yin, 2009)","previouslyFormattedCitation":"(Denscombe, 2014; Yin, 2009)"},"properties":{"noteIndex":0},"schema":"https://github.com/citation-style-language/schema/raw/master/csl-citation.json"}</w:instrText>
      </w:r>
      <w:r w:rsidR="002B77BD" w:rsidRPr="004E053C">
        <w:rPr>
          <w:rFonts w:cstheme="majorHAnsi"/>
          <w:color w:val="000000"/>
          <w:sz w:val="22"/>
          <w:szCs w:val="22"/>
          <w:lang w:val="en-GB"/>
        </w:rPr>
        <w:fldChar w:fldCharType="separate"/>
      </w:r>
      <w:r w:rsidR="00DB3DA8" w:rsidRPr="004E053C">
        <w:rPr>
          <w:rFonts w:cstheme="majorHAnsi"/>
          <w:noProof/>
          <w:color w:val="000000"/>
          <w:sz w:val="22"/>
          <w:szCs w:val="22"/>
          <w:lang w:val="en-GB"/>
        </w:rPr>
        <w:t>(Denscombe, 2014; Yin, 2009</w:t>
      </w:r>
      <w:r w:rsidR="002B77BD" w:rsidRPr="004E053C">
        <w:rPr>
          <w:rFonts w:cstheme="majorHAnsi"/>
          <w:noProof/>
          <w:color w:val="000000"/>
          <w:sz w:val="22"/>
          <w:szCs w:val="22"/>
          <w:lang w:val="en-GB"/>
        </w:rPr>
        <w:t>)</w:t>
      </w:r>
      <w:r w:rsidR="002B77BD" w:rsidRPr="004E053C">
        <w:rPr>
          <w:rFonts w:cstheme="majorHAnsi"/>
          <w:color w:val="000000"/>
          <w:sz w:val="22"/>
          <w:szCs w:val="22"/>
          <w:lang w:val="en-GB"/>
        </w:rPr>
        <w:fldChar w:fldCharType="end"/>
      </w:r>
      <w:r w:rsidRPr="004E053C">
        <w:rPr>
          <w:rFonts w:cstheme="majorHAnsi"/>
          <w:color w:val="000000"/>
          <w:sz w:val="22"/>
          <w:szCs w:val="22"/>
          <w:lang w:val="en-GB"/>
        </w:rPr>
        <w:t xml:space="preserve">. </w:t>
      </w:r>
    </w:p>
    <w:p w14:paraId="424DAEC5" w14:textId="77777777" w:rsidR="0077618A" w:rsidRPr="004E053C" w:rsidRDefault="0077618A" w:rsidP="004E053C">
      <w:pPr>
        <w:spacing w:line="360" w:lineRule="auto"/>
        <w:jc w:val="both"/>
        <w:rPr>
          <w:rFonts w:cstheme="majorHAnsi"/>
          <w:sz w:val="22"/>
          <w:szCs w:val="22"/>
          <w:lang w:val="en-GB"/>
        </w:rPr>
      </w:pPr>
    </w:p>
    <w:p w14:paraId="393686CC" w14:textId="03850B65" w:rsidR="0077618A" w:rsidRPr="004E053C" w:rsidRDefault="0077618A"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t xml:space="preserve">Although researchers may take a comparative approach and therefore have multiple cases, here I have decided to use a single case study. The case in question is a translocal mining community, which is a </w:t>
      </w:r>
      <w:r w:rsidRPr="004E053C">
        <w:rPr>
          <w:rFonts w:eastAsiaTheme="minorHAnsi" w:cstheme="majorHAnsi"/>
          <w:sz w:val="22"/>
          <w:szCs w:val="22"/>
          <w:lang w:val="en-GB"/>
        </w:rPr>
        <w:t xml:space="preserve">typical case </w:t>
      </w:r>
      <w:r w:rsidRPr="004E053C">
        <w:rPr>
          <w:rFonts w:cstheme="majorHAnsi"/>
          <w:sz w:val="22"/>
          <w:szCs w:val="22"/>
          <w:lang w:val="en-GB"/>
        </w:rPr>
        <w:t>of the wider, global phenomena of migratory ASM livelihoods</w:t>
      </w:r>
      <w:r w:rsidRPr="004E053C">
        <w:rPr>
          <w:rFonts w:cstheme="majorHAnsi"/>
          <w:color w:val="000000"/>
          <w:sz w:val="22"/>
          <w:szCs w:val="22"/>
          <w:lang w:val="en-GB"/>
        </w:rPr>
        <w:t xml:space="preserve"> and the resulting translocal communities</w:t>
      </w:r>
      <w:r w:rsidRPr="004E053C">
        <w:rPr>
          <w:rFonts w:cstheme="majorHAnsi"/>
          <w:sz w:val="22"/>
          <w:szCs w:val="22"/>
          <w:lang w:val="en-GB"/>
        </w:rPr>
        <w:t xml:space="preserve">. </w:t>
      </w:r>
      <w:r w:rsidRPr="004E053C">
        <w:rPr>
          <w:rFonts w:cstheme="majorHAnsi"/>
          <w:color w:val="000000"/>
          <w:sz w:val="22"/>
          <w:szCs w:val="22"/>
          <w:lang w:val="en-GB"/>
        </w:rPr>
        <w:t xml:space="preserve">Selecting one translocal community allows for a greater understanding of the social phenomenon </w:t>
      </w:r>
      <w:r w:rsidR="002B77BD" w:rsidRPr="004E053C">
        <w:rPr>
          <w:rFonts w:cstheme="majorHAnsi"/>
          <w:color w:val="000000"/>
          <w:sz w:val="22"/>
          <w:szCs w:val="22"/>
          <w:lang w:val="en-GB"/>
        </w:rPr>
        <w:t>surrounding ASM livelihoods by ‘</w:t>
      </w:r>
      <w:r w:rsidRPr="004E053C">
        <w:rPr>
          <w:rFonts w:cstheme="majorHAnsi"/>
          <w:color w:val="000000"/>
          <w:sz w:val="22"/>
          <w:szCs w:val="22"/>
          <w:lang w:val="en-GB"/>
        </w:rPr>
        <w:t>reducing the infere</w:t>
      </w:r>
      <w:r w:rsidR="002B77BD" w:rsidRPr="004E053C">
        <w:rPr>
          <w:rFonts w:cstheme="majorHAnsi"/>
          <w:color w:val="000000"/>
          <w:sz w:val="22"/>
          <w:szCs w:val="22"/>
          <w:lang w:val="en-GB"/>
        </w:rPr>
        <w:t>ntial scope’</w:t>
      </w:r>
      <w:r w:rsidRPr="004E053C">
        <w:rPr>
          <w:rFonts w:cstheme="majorHAnsi"/>
          <w:color w:val="000000"/>
          <w:sz w:val="22"/>
          <w:szCs w:val="22"/>
          <w:lang w:val="en-GB"/>
        </w:rPr>
        <w:t xml:space="preserve"> </w:t>
      </w:r>
      <w:r w:rsidR="002B77BD" w:rsidRPr="004E053C">
        <w:rPr>
          <w:rFonts w:cstheme="majorHAnsi"/>
          <w:color w:val="000000"/>
          <w:sz w:val="22"/>
          <w:szCs w:val="22"/>
          <w:lang w:val="en-GB"/>
        </w:rPr>
        <w:fldChar w:fldCharType="begin" w:fldLock="1"/>
      </w:r>
      <w:r w:rsidR="002B77BD" w:rsidRPr="004E053C">
        <w:rPr>
          <w:rFonts w:cstheme="majorHAnsi"/>
          <w:color w:val="000000"/>
          <w:sz w:val="22"/>
          <w:szCs w:val="22"/>
          <w:lang w:val="en-GB"/>
        </w:rPr>
        <w:instrText>ADDIN CSL_CITATION {"citationItems":[{"id":"ITEM-1","itemData":{"author":[{"dropping-particle":"","family":"Gerring","given":"J","non-dropping-particle":"","parse-names":false,"suffix":""}],"id":"ITEM-1","issued":{"date-parts":[["2007"]]},"publisher":"Cambridge University Press","publisher-place":"New York, NY","title":"Case Study Research: Principles and Practices","type":"book"},"uris":["http://www.mendeley.com/documents/?uuid=8aa9331e-e1d2-4790-a721-05cc272f3acb"]}],"mendeley":{"formattedCitation":"(Gerring, 2007)","plainTextFormattedCitation":"(Gerring, 2007)","previouslyFormattedCitation":"(Gerring, 2007)"},"properties":{"noteIndex":0},"schema":"https://github.com/citation-style-language/schema/raw/master/csl-citation.json"}</w:instrText>
      </w:r>
      <w:r w:rsidR="002B77BD" w:rsidRPr="004E053C">
        <w:rPr>
          <w:rFonts w:cstheme="majorHAnsi"/>
          <w:color w:val="000000"/>
          <w:sz w:val="22"/>
          <w:szCs w:val="22"/>
          <w:lang w:val="en-GB"/>
        </w:rPr>
        <w:fldChar w:fldCharType="separate"/>
      </w:r>
      <w:r w:rsidR="002B77BD" w:rsidRPr="004E053C">
        <w:rPr>
          <w:rFonts w:cstheme="majorHAnsi"/>
          <w:noProof/>
          <w:color w:val="000000"/>
          <w:sz w:val="22"/>
          <w:szCs w:val="22"/>
          <w:lang w:val="en-GB"/>
        </w:rPr>
        <w:t>(Gerring, 2007)</w:t>
      </w:r>
      <w:r w:rsidR="002B77BD" w:rsidRPr="004E053C">
        <w:rPr>
          <w:rFonts w:cstheme="majorHAnsi"/>
          <w:color w:val="000000"/>
          <w:sz w:val="22"/>
          <w:szCs w:val="22"/>
          <w:lang w:val="en-GB"/>
        </w:rPr>
        <w:fldChar w:fldCharType="end"/>
      </w:r>
      <w:r w:rsidRPr="004E053C">
        <w:rPr>
          <w:rFonts w:cstheme="majorHAnsi"/>
          <w:color w:val="000000"/>
          <w:sz w:val="22"/>
          <w:szCs w:val="22"/>
          <w:lang w:val="en-GB"/>
        </w:rPr>
        <w:t xml:space="preserve"> and reveals insights that may not have come to light if a large number of cases had been covered </w:t>
      </w:r>
      <w:r w:rsidR="002B77BD" w:rsidRPr="004E053C">
        <w:rPr>
          <w:rFonts w:cstheme="majorHAnsi"/>
          <w:color w:val="000000"/>
          <w:sz w:val="22"/>
          <w:szCs w:val="22"/>
          <w:lang w:val="en-GB"/>
        </w:rPr>
        <w:fldChar w:fldCharType="begin" w:fldLock="1"/>
      </w:r>
      <w:r w:rsidR="002B77BD" w:rsidRPr="004E053C">
        <w:rPr>
          <w:rFonts w:cstheme="majorHAnsi"/>
          <w:color w:val="000000"/>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2014)","manualFormatting":"(Denscombe, 2014, p.55)","plainTextFormattedCitation":"(Denscombe, 2014)","previouslyFormattedCitation":"(Denscombe, 2014)"},"properties":{"noteIndex":0},"schema":"https://github.com/citation-style-language/schema/raw/master/csl-citation.json"}</w:instrText>
      </w:r>
      <w:r w:rsidR="002B77BD" w:rsidRPr="004E053C">
        <w:rPr>
          <w:rFonts w:cstheme="majorHAnsi"/>
          <w:color w:val="000000"/>
          <w:sz w:val="22"/>
          <w:szCs w:val="22"/>
          <w:lang w:val="en-GB"/>
        </w:rPr>
        <w:fldChar w:fldCharType="separate"/>
      </w:r>
      <w:r w:rsidR="002B77BD" w:rsidRPr="004E053C">
        <w:rPr>
          <w:rFonts w:cstheme="majorHAnsi"/>
          <w:noProof/>
          <w:color w:val="000000"/>
          <w:sz w:val="22"/>
          <w:szCs w:val="22"/>
          <w:lang w:val="en-GB"/>
        </w:rPr>
        <w:t>(Denscombe, 2014, p.55)</w:t>
      </w:r>
      <w:r w:rsidR="002B77BD" w:rsidRPr="004E053C">
        <w:rPr>
          <w:rFonts w:cstheme="majorHAnsi"/>
          <w:color w:val="000000"/>
          <w:sz w:val="22"/>
          <w:szCs w:val="22"/>
          <w:lang w:val="en-GB"/>
        </w:rPr>
        <w:fldChar w:fldCharType="end"/>
      </w:r>
      <w:r w:rsidRPr="004E053C">
        <w:rPr>
          <w:rFonts w:cstheme="majorHAnsi"/>
          <w:color w:val="000000"/>
          <w:sz w:val="22"/>
          <w:szCs w:val="22"/>
          <w:lang w:val="en-GB"/>
        </w:rPr>
        <w:t xml:space="preserve">. However, the translocal nature of the selected case study has implications, because generally a case study must be a self-contained entity or a bounded system with distinct boundaries, so that it can be easily separated from data external to the case </w:t>
      </w:r>
      <w:r w:rsidR="002B77BD" w:rsidRPr="004E053C">
        <w:rPr>
          <w:rFonts w:cstheme="majorHAnsi"/>
          <w:color w:val="000000"/>
          <w:sz w:val="22"/>
          <w:szCs w:val="22"/>
          <w:lang w:val="en-GB"/>
        </w:rPr>
        <w:fldChar w:fldCharType="begin" w:fldLock="1"/>
      </w:r>
      <w:r w:rsidR="002B77BD" w:rsidRPr="004E053C">
        <w:rPr>
          <w:rFonts w:cstheme="majorHAnsi"/>
          <w:color w:val="000000"/>
          <w:sz w:val="22"/>
          <w:szCs w:val="22"/>
          <w:lang w:val="en-GB"/>
        </w:rPr>
        <w:instrText>ADDIN CSL_CITATION {"citationItems":[{"id":"ITEM-1","itemData":{"author":[{"dropping-particle":"","family":"Stake","given":"R.E.","non-dropping-particle":"","parse-names":false,"suffix":""}],"container-title":"The Sage Handbook of Qualitative Research","edition":"3rd","editor":[{"dropping-particle":"","family":"Denzin","given":"N.K","non-dropping-particle":"","parse-names":false,"suffix":""},{"dropping-particle":"","family":"Lincoln","given":"Y.S","non-dropping-particle":"","parse-names":false,"suffix":""}],"id":"ITEM-1","issued":{"date-parts":[["2005"]]},"page":"443-466","publisher":"Sage Publications Ltd","publisher-place":"London, UK","title":"Qualitative Case Studies","type":"chapter"},"uris":["http://www.mendeley.com/documents/?uuid=6bf5a596-359d-42a9-8af0-963920701eb8"]},{"id":"ITEM-2","itemData":{"author":[{"dropping-particle":"","family":"Yin","given":"Robert","non-dropping-particle":"","parse-names":false,"suffix":""}],"edition":"4th","id":"ITEM-2","issued":{"date-parts":[["2009"]]},"publisher":"Sage Publications Ltd","publisher-place":"London, UK","title":"Case Study Research: Design and Methods","type":"book"},"uris":["http://www.mendeley.com/documents/?uuid=986168dc-8e04-4844-b006-fa8bdfa744d3"]},{"id":"ITEM-3","itemData":{"author":[{"dropping-particle":"","family":"Denscombe","given":"Martyn","non-dropping-particle":"","parse-names":false,"suffix":""}],"id":"ITEM-3","issued":{"date-parts":[["2014"]]},"publisher":"Open University Press","publisher-place":"Maidenhead","title":"The Good Research Guide: For Small-scale Social Research Projects","type":"book"},"uris":["http://www.mendeley.com/documents/?uuid=4896e42c-c2a2-4701-b00b-4bd5eac455f6"]}],"mendeley":{"formattedCitation":"(Denscombe, 2014; Stake, 2005; Yin, 2009)","plainTextFormattedCitation":"(Denscombe, 2014; Stake, 2005; Yin, 2009)","previouslyFormattedCitation":"(Denscombe, 2014; Stake, 2005; Yin, 2009)"},"properties":{"noteIndex":0},"schema":"https://github.com/citation-style-language/schema/raw/master/csl-citation.json"}</w:instrText>
      </w:r>
      <w:r w:rsidR="002B77BD" w:rsidRPr="004E053C">
        <w:rPr>
          <w:rFonts w:cstheme="majorHAnsi"/>
          <w:color w:val="000000"/>
          <w:sz w:val="22"/>
          <w:szCs w:val="22"/>
          <w:lang w:val="en-GB"/>
        </w:rPr>
        <w:fldChar w:fldCharType="separate"/>
      </w:r>
      <w:r w:rsidR="002B77BD" w:rsidRPr="004E053C">
        <w:rPr>
          <w:rFonts w:cstheme="majorHAnsi"/>
          <w:noProof/>
          <w:color w:val="000000"/>
          <w:sz w:val="22"/>
          <w:szCs w:val="22"/>
          <w:lang w:val="en-GB"/>
        </w:rPr>
        <w:t>(Denscombe, 2014; Stake, 2005; Yin, 2009)</w:t>
      </w:r>
      <w:r w:rsidR="002B77BD" w:rsidRPr="004E053C">
        <w:rPr>
          <w:rFonts w:cstheme="majorHAnsi"/>
          <w:color w:val="000000"/>
          <w:sz w:val="22"/>
          <w:szCs w:val="22"/>
          <w:lang w:val="en-GB"/>
        </w:rPr>
        <w:fldChar w:fldCharType="end"/>
      </w:r>
      <w:r w:rsidRPr="004E053C">
        <w:rPr>
          <w:rFonts w:cstheme="majorHAnsi"/>
          <w:color w:val="000000"/>
          <w:sz w:val="22"/>
          <w:szCs w:val="22"/>
          <w:lang w:val="en-GB"/>
        </w:rPr>
        <w:t xml:space="preserve">. </w:t>
      </w:r>
      <w:r w:rsidRPr="004E053C">
        <w:rPr>
          <w:rFonts w:cstheme="majorHAnsi"/>
          <w:sz w:val="22"/>
          <w:szCs w:val="22"/>
          <w:lang w:val="en-GB"/>
        </w:rPr>
        <w:t>As pointed out by Comaroff and Comaroff</w:t>
      </w:r>
      <w:r w:rsidR="008B4E0E" w:rsidRPr="004E053C">
        <w:rPr>
          <w:rFonts w:cstheme="majorHAnsi"/>
          <w:sz w:val="22"/>
          <w:szCs w:val="22"/>
          <w:lang w:val="en-GB"/>
        </w:rPr>
        <w:t xml:space="preserve"> </w:t>
      </w:r>
      <w:r w:rsidR="008B4E0E"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Comaroff","given":"John","non-dropping-particle":"","parse-names":false,"suffix":""},{"dropping-particle":"","family":"Comaroff","given":"Jean","non-dropping-particle":"","parse-names":false,"suffix":""}],"container-title":"Ethnography","id":"ITEM-1","issue":"2","issued":{"date-parts":[["2003"]]},"page":"147-179","title":"Ethnograpy on an awkward scale: postcolonial anthropology and the violence of abstraction","type":"article-journal","volume":"4"},"uris":["http://www.mendeley.com/documents/?uuid=6edaa611-6d0e-4ee0-a043-a679235e3549","http://www.mendeley.com/documents/?uuid=6b904bb0-d703-40d2-ab88-c451fc8617a1"]}],"mendeley":{"formattedCitation":"(Comaroff &amp; Comaroff, 2003)","manualFormatting":"(2003)","plainTextFormattedCitation":"(Comaroff &amp; Comaroff, 2003)","previouslyFormattedCitation":"(Comaroff &amp; Comaroff, 2003)"},"properties":{"noteIndex":0},"schema":"https://github.com/citation-style-language/schema/raw/master/csl-citation.json"}</w:instrText>
      </w:r>
      <w:r w:rsidR="008B4E0E" w:rsidRPr="004E053C">
        <w:rPr>
          <w:rFonts w:cstheme="majorHAnsi"/>
          <w:sz w:val="22"/>
          <w:szCs w:val="22"/>
          <w:lang w:val="en-GB"/>
        </w:rPr>
        <w:fldChar w:fldCharType="separate"/>
      </w:r>
      <w:r w:rsidR="008B4E0E" w:rsidRPr="004E053C">
        <w:rPr>
          <w:rFonts w:cstheme="majorHAnsi"/>
          <w:noProof/>
          <w:sz w:val="22"/>
          <w:szCs w:val="22"/>
          <w:lang w:val="en-GB"/>
        </w:rPr>
        <w:t>(2003)</w:t>
      </w:r>
      <w:r w:rsidR="008B4E0E" w:rsidRPr="004E053C">
        <w:rPr>
          <w:rFonts w:cstheme="majorHAnsi"/>
          <w:sz w:val="22"/>
          <w:szCs w:val="22"/>
          <w:lang w:val="en-GB"/>
        </w:rPr>
        <w:fldChar w:fldCharType="end"/>
      </w:r>
      <w:r w:rsidRPr="004E053C">
        <w:rPr>
          <w:rFonts w:cstheme="majorHAnsi"/>
          <w:sz w:val="22"/>
          <w:szCs w:val="22"/>
          <w:lang w:val="en-GB"/>
        </w:rPr>
        <w:t xml:space="preserve">, people rarely live in bounded social contexts and as a result, almost everything takes place at multiple scales, which makes traditional research methods difficult to apply. A key problem is that while stationary field studies may be able to consider mobility as a subject of observation, the methodological focus of research remains on the place itself and the people who can be found </w:t>
      </w:r>
      <w:r w:rsidRPr="004E053C">
        <w:rPr>
          <w:rFonts w:cstheme="majorHAnsi"/>
          <w:sz w:val="22"/>
          <w:szCs w:val="22"/>
          <w:lang w:val="en-GB"/>
        </w:rPr>
        <w:lastRenderedPageBreak/>
        <w:t>there, with the underlying assu</w:t>
      </w:r>
      <w:r w:rsidR="003B5DCB" w:rsidRPr="004E053C">
        <w:rPr>
          <w:rFonts w:cstheme="majorHAnsi"/>
          <w:sz w:val="22"/>
          <w:szCs w:val="22"/>
          <w:lang w:val="en-GB"/>
        </w:rPr>
        <w:t>mption that settledness is the ‘normal’</w:t>
      </w:r>
      <w:r w:rsidRPr="004E053C">
        <w:rPr>
          <w:rFonts w:cstheme="majorHAnsi"/>
          <w:sz w:val="22"/>
          <w:szCs w:val="22"/>
          <w:lang w:val="en-GB"/>
        </w:rPr>
        <w:t xml:space="preserve"> case </w:t>
      </w:r>
      <w:r w:rsidR="008B4E0E"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{"citationItems":[{"id":"ITEM-1","itemData":{"author":[{"dropping-particle":"","family":"Steinbrink","given":"Malte","non-dropping-particle":"","parse-names":false,"suffix":""}],"container-title":"Etude de la Population Africaine/African Population Studies","id":"ITEM-1","issued":{"date-parts":[["2009"]]},"page":"219-252","title":"Urbanisation, poverty and translocality: insights from South Africa","type":"article-journal","volume":"23"},"uris":["http://www.mendeley.com/documents/?uuid=73471f27-74d4-4cda-9d28-bfa63481d3fb"]}],"mendeley":{"formattedCitation":"(Steinbrink, 2009)","plainTextFormattedCitation":"(Steinbrink, 2009)","previouslyFormattedCitation":"(Steinbrink, 2009)"},"properties":{"noteIndex":0},"schema":"https://github.com/citation-style-language/schema/raw/master/csl-citation.json"}</w:instrText>
      </w:r>
      <w:r w:rsidR="008B4E0E" w:rsidRPr="004E053C">
        <w:rPr>
          <w:rFonts w:cstheme="majorHAnsi"/>
          <w:sz w:val="22"/>
          <w:szCs w:val="22"/>
          <w:lang w:val="en-GB"/>
        </w:rPr>
        <w:fldChar w:fldCharType="separate"/>
      </w:r>
      <w:r w:rsidR="008B4E0E" w:rsidRPr="004E053C">
        <w:rPr>
          <w:rFonts w:cstheme="majorHAnsi"/>
          <w:noProof/>
          <w:sz w:val="22"/>
          <w:szCs w:val="22"/>
          <w:lang w:val="en-GB"/>
        </w:rPr>
        <w:t>(Steinbrink, 2009)</w:t>
      </w:r>
      <w:r w:rsidR="008B4E0E" w:rsidRPr="004E053C">
        <w:rPr>
          <w:rFonts w:cstheme="majorHAnsi"/>
          <w:sz w:val="22"/>
          <w:szCs w:val="22"/>
          <w:lang w:val="en-GB"/>
        </w:rPr>
        <w:fldChar w:fldCharType="end"/>
      </w:r>
      <w:r w:rsidRPr="004E053C">
        <w:rPr>
          <w:rFonts w:cstheme="majorHAnsi"/>
          <w:sz w:val="22"/>
          <w:szCs w:val="22"/>
          <w:lang w:val="en-GB"/>
        </w:rPr>
        <w:t xml:space="preserve">. In translocal communities, spatial mobility is considered the rule just as much as sedentariness, and this necessitates an alteration to the methodological design </w:t>
      </w:r>
      <w:r w:rsidR="008B4E0E"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{"citationItems":[{"id":"ITEM-1","itemData":{"author":[{"dropping-particle":"","family":"Steinbrink","given":"Malte","non-dropping-particle":"","parse-names":false,"suffix":""}],"container-title":"Etude de la Population Africaine/African Population Studies","id":"ITEM-1","issued":{"date-parts":[["2009"]]},"page":"219-252","title":"Urbanisation, poverty and translocality: insights from South Africa","type":"article-journal","volume":"23"},"uris":["http://www.mendeley.com/documents/?uuid=73471f27-74d4-4cda-9d28-bfa63481d3fb"]}],"mendeley":{"formattedCitation":"(Steinbrink, 2009)","manualFormatting":"(Ibid.)","plainTextFormattedCitation":"(Steinbrink, 2009)","previouslyFormattedCitation":"(Steinbrink, 2009)"},"properties":{"noteIndex":0},"schema":"https://github.com/citation-style-language/schema/raw/master/csl-citation.json"}</w:instrText>
      </w:r>
      <w:r w:rsidR="008B4E0E" w:rsidRPr="004E053C">
        <w:rPr>
          <w:rFonts w:cstheme="majorHAnsi"/>
          <w:sz w:val="22"/>
          <w:szCs w:val="22"/>
          <w:lang w:val="en-GB"/>
        </w:rPr>
        <w:fldChar w:fldCharType="separate"/>
      </w:r>
      <w:r w:rsidR="004B0526" w:rsidRPr="004E053C">
        <w:rPr>
          <w:rFonts w:cstheme="majorHAnsi"/>
          <w:noProof/>
          <w:sz w:val="22"/>
          <w:szCs w:val="22"/>
          <w:lang w:val="en-GB"/>
        </w:rPr>
        <w:t>(Ibid</w:t>
      </w:r>
      <w:r w:rsidR="00EC4FAE" w:rsidRPr="004E053C">
        <w:rPr>
          <w:rFonts w:cstheme="majorHAnsi"/>
          <w:noProof/>
          <w:sz w:val="22"/>
          <w:szCs w:val="22"/>
          <w:lang w:val="en-GB"/>
        </w:rPr>
        <w:t>.</w:t>
      </w:r>
      <w:r w:rsidR="008B4E0E" w:rsidRPr="004E053C">
        <w:rPr>
          <w:rFonts w:cstheme="majorHAnsi"/>
          <w:noProof/>
          <w:sz w:val="22"/>
          <w:szCs w:val="22"/>
          <w:lang w:val="en-GB"/>
        </w:rPr>
        <w:t>)</w:t>
      </w:r>
      <w:r w:rsidR="008B4E0E" w:rsidRPr="004E053C">
        <w:rPr>
          <w:rFonts w:cstheme="majorHAnsi"/>
          <w:sz w:val="22"/>
          <w:szCs w:val="22"/>
          <w:lang w:val="en-GB"/>
        </w:rPr>
        <w:fldChar w:fldCharType="end"/>
      </w:r>
      <w:r w:rsidRPr="004E053C">
        <w:rPr>
          <w:rFonts w:cstheme="majorHAnsi"/>
          <w:sz w:val="22"/>
          <w:szCs w:val="22"/>
          <w:lang w:val="en-GB"/>
        </w:rPr>
        <w:t xml:space="preserve">. </w:t>
      </w:r>
    </w:p>
    <w:p w14:paraId="7BDE01AB" w14:textId="77777777" w:rsidR="0077618A" w:rsidRPr="004E053C" w:rsidRDefault="0077618A" w:rsidP="004E053C">
      <w:pPr>
        <w:spacing w:line="360" w:lineRule="auto"/>
        <w:jc w:val="both"/>
        <w:rPr>
          <w:rFonts w:cstheme="majorHAnsi"/>
          <w:sz w:val="22"/>
          <w:szCs w:val="22"/>
          <w:lang w:val="en-GB"/>
        </w:rPr>
      </w:pPr>
    </w:p>
    <w:p w14:paraId="0EF2FADB" w14:textId="5602D24A"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 xml:space="preserve">To reflect realities in ASM communities, I have followed Hine’s </w:t>
      </w:r>
      <w:r w:rsidR="008B4E0E" w:rsidRPr="004E053C">
        <w:rPr>
          <w:rFonts w:cstheme="majorHAnsi"/>
          <w:sz w:val="22"/>
          <w:szCs w:val="22"/>
          <w:lang w:val="en-GB"/>
        </w:rPr>
        <w:fldChar w:fldCharType="begin" w:fldLock="1"/>
      </w:r>
      <w:r w:rsidR="00CE5781" w:rsidRPr="004E053C">
        <w:rPr>
          <w:rFonts w:cstheme="majorHAnsi"/>
          <w:sz w:val="22"/>
          <w:szCs w:val="22"/>
          <w:lang w:val="en-GB"/>
        </w:rPr>
        <w:instrText>ADDIN CSL_CITATION {"citationItems":[{"id":"ITEM-1","itemData":{"author":[{"dropping-particle":"","family":"Hine","given":"Christine","non-dropping-particle":"","parse-names":false,"suffix":""}],"id":"ITEM-1","issued":{"date-parts":[["2000"]]},"publisher":"Sage Publications Ltd","publisher-place":"London, UK","title":"Virtual ethnography","type":"book"},"uris":["http://www.mendeley.com/documents/?uuid=4a33c357-ee92-448b-ac76-b1491041ce99"]}],"mendeley":{"formattedCitation":"(Hine, 2000)","manualFormatting":"(2000)","plainTextFormattedCitation":"(Hine, 2000)","previouslyFormattedCitation":"(Hine, 2000)"},"properties":{"noteIndex":0},"schema":"https://github.com/citation-style-language/schema/raw/master/csl-citation.json"}</w:instrText>
      </w:r>
      <w:r w:rsidR="008B4E0E" w:rsidRPr="004E053C">
        <w:rPr>
          <w:rFonts w:cstheme="majorHAnsi"/>
          <w:sz w:val="22"/>
          <w:szCs w:val="22"/>
          <w:lang w:val="en-GB"/>
        </w:rPr>
        <w:fldChar w:fldCharType="separate"/>
      </w:r>
      <w:r w:rsidR="00CE5781" w:rsidRPr="004E053C">
        <w:rPr>
          <w:rFonts w:cstheme="majorHAnsi"/>
          <w:noProof/>
          <w:sz w:val="22"/>
          <w:szCs w:val="22"/>
          <w:lang w:val="en-GB"/>
        </w:rPr>
        <w:t>(</w:t>
      </w:r>
      <w:r w:rsidR="008B4E0E" w:rsidRPr="004E053C">
        <w:rPr>
          <w:rFonts w:cstheme="majorHAnsi"/>
          <w:noProof/>
          <w:sz w:val="22"/>
          <w:szCs w:val="22"/>
          <w:lang w:val="en-GB"/>
        </w:rPr>
        <w:t>2000)</w:t>
      </w:r>
      <w:r w:rsidR="008B4E0E" w:rsidRPr="004E053C">
        <w:rPr>
          <w:rFonts w:cstheme="majorHAnsi"/>
          <w:sz w:val="22"/>
          <w:szCs w:val="22"/>
          <w:lang w:val="en-GB"/>
        </w:rPr>
        <w:fldChar w:fldCharType="end"/>
      </w:r>
      <w:r w:rsidRPr="004E053C">
        <w:rPr>
          <w:rFonts w:cstheme="majorHAnsi"/>
          <w:sz w:val="22"/>
          <w:szCs w:val="22"/>
          <w:lang w:val="en-GB"/>
        </w:rPr>
        <w:t xml:space="preserve"> suggestion and moved from a notion of field as a bounded site to a field of relations. ASM operatives, their families and other actors take action, make decisions and develop identities within social fields that connect them to two or more societies simultaneously </w:t>
      </w:r>
      <w:r w:rsidR="008B4E0E"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{"citationItems":[{"id":"ITEM-1","itemData":{"author":[{"dropping-particle":"","family":"Faist","given":"Thomas","non-dropping-particle":"","parse-names":false,"suffix":""}],"container-title":"Migration and Transnational Social Spaces","editor":[{"dropping-particle":"","family":"Pries","given":"Ludger","non-dropping-particle":"","parse-names":false,"suffix":""}],"id":"ITEM-1","issued":{"date-parts":[["1999"]]},"page":"36–72","publisher":"Ashgate","publisher-place":"Aldershot","title":"Developing transnational social spaces: the Turkish German example","type":"chapter"},"uris":["http://www.mendeley.com/documents/?uuid=a081050b-7953-47d4-a01e-c88cbcbd88b6"]},{"id":"ITEM-2","itemData":{"author":[{"dropping-particle":"","family":"Glick Schiller","given":"Nina","non-dropping-particle":"","parse-names":false,"suffix":""},{"dropping-particle":"","family":"Basch","given":"Linda","non-dropping-particle":"","parse-names":false,"suffix":""},{"dropping-particle":"","family":"Blanc-Szanton","given":"Cristina","non-dropping-particle":"","parse-names":false,"suffix":""}],"container-title":"Towards a Transnational Perspective on Migration: Race, Class, Ethnicity, and Nationalism Reconsidered","editor":[{"dropping-particle":"","family":"Glick Schiller","given":"Nina","non-dropping-particle":"","parse-names":false,"suffix":""},{"dropping-particle":"","family":"Basch","given":"Linda","non-dropping-particle":"","parse-names":false,"suffix":""},{"dropping-particle":"","family":"Blanc-Szanton","given":"Cristina","non-dropping-particle":"","parse-names":false,"suffix":""}],"id":"ITEM-2","issued":{"date-parts":[["1992"]]},"page":"1-24","publisher":"New York Academy of Sciences","publisher-place":"New York, NY","title":"Transnationalism: A new analytic framework for understanding migration","type":"chapter"},"uris":["http://www.mendeley.com/documents/?uuid=08c261fc-66b0-4e2d-977b-14375080c79f"]},{"id":"ITEM-3","itemData":{"author":[{"dropping-particle":"","family":"Mendoza","given":"C","non-dropping-particle":"","parse-names":false,"suffix":""},{"dropping-particle":"","family":"Moren-Alegret","given":"R","non-dropping-particle":"","parse-names":false,"suffix":""}],"container-title":"Progress in Human Geography","id":"ITEM-3","issue":"6","issued":{"date-parts":[["2013"]]},"page":"762-785","title":"Exploring methods and techniques for the analysis of senses of place and migration","type":"article-journal","volume":"37"},"uris":["http://www.mendeley.com/documents/?uuid=60088731-744e-4a42-a3b8-5b5fcb165097"]}],"mendeley":{"formattedCitation":"(Faist, 1999; Glick Schiller et al., 1992; Mendoza &amp; Moren-Alegret, 2013)","manualFormatting":"(Faist, 1999; Glick Schiller et al, 1992; Mendoza &amp; Moren-Alegret, 2013)","plainTextFormattedCitation":"(Faist, 1999; Glick Schiller et al., 1992; Mendoza &amp; Moren-Alegret, 2013)","previouslyFormattedCitation":"(Faist, 1999; Glick Schiller et al., 1992; Mendoza &amp; Moren-Alegret, 2013)"},"properties":{"noteIndex":0},"schema":"https://github.com/citation-style-language/schema/raw/master/csl-citation.json"}</w:instrText>
      </w:r>
      <w:r w:rsidR="008B4E0E" w:rsidRPr="004E053C">
        <w:rPr>
          <w:rFonts w:cstheme="majorHAnsi"/>
          <w:sz w:val="22"/>
          <w:szCs w:val="22"/>
          <w:lang w:val="en-GB"/>
        </w:rPr>
        <w:fldChar w:fldCharType="separate"/>
      </w:r>
      <w:r w:rsidR="008B4E0E" w:rsidRPr="004E053C">
        <w:rPr>
          <w:rFonts w:cstheme="majorHAnsi"/>
          <w:noProof/>
          <w:sz w:val="22"/>
          <w:szCs w:val="22"/>
          <w:lang w:val="en-GB"/>
        </w:rPr>
        <w:t>(Faist, 1999; Glick Schiller et al, 1992; Mendoza &amp; Moren-Alegret, 2013)</w:t>
      </w:r>
      <w:r w:rsidR="008B4E0E" w:rsidRPr="004E053C">
        <w:rPr>
          <w:rFonts w:cstheme="majorHAnsi"/>
          <w:sz w:val="22"/>
          <w:szCs w:val="22"/>
          <w:lang w:val="en-GB"/>
        </w:rPr>
        <w:fldChar w:fldCharType="end"/>
      </w:r>
      <w:r w:rsidR="00844FD6" w:rsidRPr="004E053C">
        <w:rPr>
          <w:rFonts w:cstheme="majorHAnsi"/>
          <w:sz w:val="22"/>
          <w:szCs w:val="22"/>
          <w:lang w:val="en-GB"/>
        </w:rPr>
        <w:t>. T</w:t>
      </w:r>
      <w:r w:rsidRPr="004E053C">
        <w:rPr>
          <w:rFonts w:cstheme="majorHAnsi"/>
          <w:sz w:val="22"/>
          <w:szCs w:val="22"/>
          <w:lang w:val="en-GB"/>
        </w:rPr>
        <w:t xml:space="preserve">his necessitates fieldwork in a bi-or multi-local context </w:t>
      </w:r>
      <w:r w:rsidR="008B4E0E"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{"citationItems":[{"id":"ITEM-1","itemData":{"author":[{"dropping-particle":"","family":"Steinbrink","given":"Malte","non-dropping-particle":"","parse-names":false,"suffix":""}],"container-title":"Etude de la Population Africaine/African Population Studies","id":"ITEM-1","issued":{"date-parts":[["2009"]]},"page":"219-252","title":"Urbanisation, poverty and translocality: insights from South Africa","type":"article-journal","volume":"23"},"uris":["http://www.mendeley.com/documents/?uuid=73471f27-74d4-4cda-9d28-bfa63481d3fb"]}],"mendeley":{"formattedCitation":"(Steinbrink, 2009)","plainTextFormattedCitation":"(Steinbrink, 2009)","previouslyFormattedCitation":"(Steinbrink, 2009)"},"properties":{"noteIndex":0},"schema":"https://github.com/citation-style-language/schema/raw/master/csl-citation.json"}</w:instrText>
      </w:r>
      <w:r w:rsidR="008B4E0E" w:rsidRPr="004E053C">
        <w:rPr>
          <w:rFonts w:cstheme="majorHAnsi"/>
          <w:sz w:val="22"/>
          <w:szCs w:val="22"/>
          <w:lang w:val="en-GB"/>
        </w:rPr>
        <w:fldChar w:fldCharType="separate"/>
      </w:r>
      <w:r w:rsidR="008B4E0E" w:rsidRPr="004E053C">
        <w:rPr>
          <w:rFonts w:cstheme="majorHAnsi"/>
          <w:noProof/>
          <w:sz w:val="22"/>
          <w:szCs w:val="22"/>
          <w:lang w:val="en-GB"/>
        </w:rPr>
        <w:t>(Steinbrink, 2009)</w:t>
      </w:r>
      <w:r w:rsidR="008B4E0E" w:rsidRPr="004E053C">
        <w:rPr>
          <w:rFonts w:cstheme="majorHAnsi"/>
          <w:sz w:val="22"/>
          <w:szCs w:val="22"/>
          <w:lang w:val="en-GB"/>
        </w:rPr>
        <w:fldChar w:fldCharType="end"/>
      </w:r>
      <w:r w:rsidRPr="004E053C">
        <w:rPr>
          <w:rFonts w:cstheme="majorHAnsi"/>
          <w:sz w:val="22"/>
          <w:szCs w:val="22"/>
          <w:lang w:val="en-GB"/>
        </w:rPr>
        <w:t xml:space="preserve">. Furthermore, in the translocal ASM community that exists between the Andes and Madre de Dios, the overlapping network of migrants’ livelihoods constitutes a complex web </w:t>
      </w:r>
      <w:r w:rsidR="00844FD6" w:rsidRPr="004E053C">
        <w:rPr>
          <w:rFonts w:cstheme="majorHAnsi"/>
          <w:sz w:val="22"/>
          <w:szCs w:val="22"/>
          <w:lang w:val="en-GB"/>
        </w:rPr>
        <w:t xml:space="preserve">rather </w:t>
      </w:r>
      <w:r w:rsidRPr="004E053C">
        <w:rPr>
          <w:rFonts w:cstheme="majorHAnsi"/>
          <w:sz w:val="22"/>
          <w:szCs w:val="22"/>
          <w:lang w:val="en-GB"/>
        </w:rPr>
        <w:t xml:space="preserve">than a linear connection from A to B, encompassing multiple origin and destination locations. Multi-sited ethnography, as theorised by Marcus </w:t>
      </w:r>
      <w:r w:rsidR="00CE5781" w:rsidRPr="004E053C">
        <w:rPr>
          <w:rFonts w:cstheme="majorHAnsi"/>
          <w:sz w:val="22"/>
          <w:szCs w:val="22"/>
          <w:lang w:val="en-GB"/>
        </w:rPr>
        <w:fldChar w:fldCharType="begin" w:fldLock="1"/>
      </w:r>
      <w:r w:rsidR="00CE5781" w:rsidRPr="004E053C">
        <w:rPr>
          <w:rFonts w:cstheme="majorHAnsi"/>
          <w:sz w:val="22"/>
          <w:szCs w:val="22"/>
          <w:lang w:val="en-GB"/>
        </w:rPr>
        <w:instrText>ADDIN CSL_CITATION {"citationItems":[{"id":"ITEM-1","itemData":{"author":[{"dropping-particle":"","family":"Marcus","given":"George E","non-dropping-particle":"","parse-names":false,"suffix":""}],"id":"ITEM-1","issued":{"date-parts":[["1998"]]},"publisher":"Princeton University Press","publisher-place":"Princeton, NJ:","title":"Ethnography through Thick and Thin","type":"book"},"uris":["http://www.mendeley.com/documents/?uuid=b093c051-5a42-4447-b909-82ea2a981d4e"]}],"mendeley":{"formattedCitation":"(Marcus, 1998)","manualFormatting":"(1998)","plainTextFormattedCitation":"(Marcus, 1998)","previouslyFormattedCitation":"(Marcus, 1998)"},"properties":{"noteIndex":0},"schema":"https://github.com/citation-style-language/schema/raw/master/csl-citation.json"}</w:instrText>
      </w:r>
      <w:r w:rsidR="00CE5781" w:rsidRPr="004E053C">
        <w:rPr>
          <w:rFonts w:cstheme="majorHAnsi"/>
          <w:sz w:val="22"/>
          <w:szCs w:val="22"/>
          <w:lang w:val="en-GB"/>
        </w:rPr>
        <w:fldChar w:fldCharType="separate"/>
      </w:r>
      <w:r w:rsidR="00CE5781" w:rsidRPr="004E053C">
        <w:rPr>
          <w:rFonts w:cstheme="majorHAnsi"/>
          <w:noProof/>
          <w:sz w:val="22"/>
          <w:szCs w:val="22"/>
          <w:lang w:val="en-GB"/>
        </w:rPr>
        <w:t>(1998)</w:t>
      </w:r>
      <w:r w:rsidR="00CE5781" w:rsidRPr="004E053C">
        <w:rPr>
          <w:rFonts w:cstheme="majorHAnsi"/>
          <w:sz w:val="22"/>
          <w:szCs w:val="22"/>
          <w:lang w:val="en-GB"/>
        </w:rPr>
        <w:fldChar w:fldCharType="end"/>
      </w:r>
      <w:r w:rsidRPr="004E053C">
        <w:rPr>
          <w:rFonts w:cstheme="majorHAnsi"/>
          <w:sz w:val="22"/>
          <w:szCs w:val="22"/>
          <w:lang w:val="en-GB"/>
        </w:rPr>
        <w:t xml:space="preserve">, has been seen as a tool for studying migrant spaces by looking beyond fixed, local and bounded sites </w:t>
      </w:r>
      <w:r w:rsidR="00CE5781"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{"citationItems":[{"id":"ITEM-1","itemData":{"author":[{"dropping-particle":"","family":"Crinis","given":"Vicki","non-dropping-particle":"","parse-names":false,"suffix":""}],"container-title":"Journal of Social Issues in Southeast Asia","id":"ITEM-1","issue":"1","issued":{"date-parts":[["2012"]]},"page":"168-189","title":"The challenges of fieldwork: researchers, clothing manufacturers and migrant workers","type":"article-journal","volume":"27"},"uris":["http://www.mendeley.com/documents/?uuid=42341b75-a4ae-464b-8a61-ddf7d7d4f22c"]}],"mendeley":{"formattedCitation":"(Crinis, 2012)","plainTextFormattedCitation":"(Crinis, 2012)","previouslyFormattedCitation":"(Crinis, 2012)"},"properties":{"noteIndex":0},"schema":"https://github.com/citation-style-language/schema/raw/master/csl-citation.json"}</w:instrText>
      </w:r>
      <w:r w:rsidR="00CE5781" w:rsidRPr="004E053C">
        <w:rPr>
          <w:rFonts w:cstheme="majorHAnsi"/>
          <w:sz w:val="22"/>
          <w:szCs w:val="22"/>
          <w:lang w:val="en-GB"/>
        </w:rPr>
        <w:fldChar w:fldCharType="separate"/>
      </w:r>
      <w:r w:rsidR="00CE5781" w:rsidRPr="004E053C">
        <w:rPr>
          <w:rFonts w:cstheme="majorHAnsi"/>
          <w:noProof/>
          <w:sz w:val="22"/>
          <w:szCs w:val="22"/>
          <w:lang w:val="en-GB"/>
        </w:rPr>
        <w:t>(Crinis, 2012)</w:t>
      </w:r>
      <w:r w:rsidR="00CE5781" w:rsidRPr="004E053C">
        <w:rPr>
          <w:rFonts w:cstheme="majorHAnsi"/>
          <w:sz w:val="22"/>
          <w:szCs w:val="22"/>
          <w:lang w:val="en-GB"/>
        </w:rPr>
        <w:fldChar w:fldCharType="end"/>
      </w:r>
      <w:r w:rsidRPr="004E053C">
        <w:rPr>
          <w:rFonts w:cstheme="majorHAnsi"/>
          <w:sz w:val="22"/>
          <w:szCs w:val="22"/>
          <w:lang w:val="en-GB"/>
        </w:rPr>
        <w:t xml:space="preserve">. This approach highlights the importance of studying the flows of peoples and commodities to multiple sites of observation and participation that cut across the nation and the global </w:t>
      </w:r>
      <w:r w:rsidR="00CE5781"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{"citationItems":[{"id":"ITEM-1","itemData":{"author":[{"dropping-particle":"","family":"Crinis","given":"Vicki","non-dropping-particle":"","parse-names":false,"suffix":""}],"container-title":"Journal of Social Issues in Southeast Asia","id":"ITEM-1","issue":"1","issued":{"date-parts":[["2012"]]},"page":"168-189","title":"The challenges of fieldwork: researchers, clothing manufacturers and migrant workers","type":"article-journal","volume":"27"},"uris":["http://www.mendeley.com/documents/?uuid=42341b75-a4ae-464b-8a61-ddf7d7d4f22c"]}],"mendeley":{"formattedCitation":"(Crinis, 2012)","manualFormatting":"(Ibid.)","plainTextFormattedCitation":"(Crinis, 2012)","previouslyFormattedCitation":"(Crinis, 2012)"},"properties":{"noteIndex":0},"schema":"https://github.com/citation-style-language/schema/raw/master/csl-citation.json"}</w:instrText>
      </w:r>
      <w:r w:rsidR="00CE5781" w:rsidRPr="004E053C">
        <w:rPr>
          <w:rFonts w:cstheme="majorHAnsi"/>
          <w:sz w:val="22"/>
          <w:szCs w:val="22"/>
          <w:lang w:val="en-GB"/>
        </w:rPr>
        <w:fldChar w:fldCharType="separate"/>
      </w:r>
      <w:r w:rsidR="004B0526" w:rsidRPr="004E053C">
        <w:rPr>
          <w:rFonts w:cstheme="majorHAnsi"/>
          <w:noProof/>
          <w:sz w:val="22"/>
          <w:szCs w:val="22"/>
          <w:lang w:val="en-GB"/>
        </w:rPr>
        <w:t>(Ibid</w:t>
      </w:r>
      <w:r w:rsidR="00EC4FAE" w:rsidRPr="004E053C">
        <w:rPr>
          <w:rFonts w:cstheme="majorHAnsi"/>
          <w:noProof/>
          <w:sz w:val="22"/>
          <w:szCs w:val="22"/>
          <w:lang w:val="en-GB"/>
        </w:rPr>
        <w:t>.</w:t>
      </w:r>
      <w:r w:rsidR="00CE5781" w:rsidRPr="004E053C">
        <w:rPr>
          <w:rFonts w:cstheme="majorHAnsi"/>
          <w:noProof/>
          <w:sz w:val="22"/>
          <w:szCs w:val="22"/>
          <w:lang w:val="en-GB"/>
        </w:rPr>
        <w:t>)</w:t>
      </w:r>
      <w:r w:rsidR="00CE5781" w:rsidRPr="004E053C">
        <w:rPr>
          <w:rFonts w:cstheme="majorHAnsi"/>
          <w:sz w:val="22"/>
          <w:szCs w:val="22"/>
          <w:lang w:val="en-GB"/>
        </w:rPr>
        <w:fldChar w:fldCharType="end"/>
      </w:r>
      <w:r w:rsidRPr="004E053C">
        <w:rPr>
          <w:rFonts w:cstheme="majorHAnsi"/>
          <w:sz w:val="22"/>
          <w:szCs w:val="22"/>
          <w:lang w:val="en-GB"/>
        </w:rPr>
        <w:t xml:space="preserve">. However, multi-sited, translocal research into migration does not necessarily have to be based on ethnographic methods </w:t>
      </w:r>
      <w:r w:rsidR="00CE5781" w:rsidRPr="004E053C">
        <w:rPr>
          <w:rFonts w:cstheme="majorHAnsi"/>
          <w:sz w:val="22"/>
          <w:szCs w:val="22"/>
          <w:lang w:val="en-GB"/>
        </w:rPr>
        <w:fldChar w:fldCharType="begin" w:fldLock="1"/>
      </w:r>
      <w:r w:rsidR="00CE5781" w:rsidRPr="004E053C">
        <w:rPr>
          <w:rFonts w:cstheme="majorHAnsi"/>
          <w:sz w:val="22"/>
          <w:szCs w:val="22"/>
          <w:lang w:val="en-GB"/>
        </w:rPr>
        <w:instrText>ADDIN CSL_CITATION {"citationItems":[{"id":"ITEM-1","itemData":{"author":[{"dropping-particle":"","family":"Mendoza","given":"C","non-dropping-particle":"","parse-names":false,"suffix":""},{"dropping-particle":"","family":"Moren-Alegret","given":"R","non-dropping-particle":"","parse-names":false,"suffix":""}],"container-title":"Progress in Human Geography","id":"ITEM-1","issue":"6","issued":{"date-parts":[["2013"]]},"page":"762-785","title":"Exploring methods and techniques for the analysis of senses of place and migration","type":"article-journal","volume":"37"},"uris":["http://www.mendeley.com/documents/?uuid=60088731-744e-4a42-a3b8-5b5fcb165097"]}],"mendeley":{"formattedCitation":"(Mendoza &amp; Moren-Alegret, 2013)","plainTextFormattedCitation":"(Mendoza &amp; Moren-Alegret, 2013)","previouslyFormattedCitation":"(Mendoza &amp; Moren-Alegret, 2013)"},"properties":{"noteIndex":0},"schema":"https://github.com/citation-style-language/schema/raw/master/csl-citation.json"}</w:instrText>
      </w:r>
      <w:r w:rsidR="00CE5781" w:rsidRPr="004E053C">
        <w:rPr>
          <w:rFonts w:cstheme="majorHAnsi"/>
          <w:sz w:val="22"/>
          <w:szCs w:val="22"/>
          <w:lang w:val="en-GB"/>
        </w:rPr>
        <w:fldChar w:fldCharType="separate"/>
      </w:r>
      <w:r w:rsidR="00CE5781" w:rsidRPr="004E053C">
        <w:rPr>
          <w:rFonts w:cstheme="majorHAnsi"/>
          <w:noProof/>
          <w:sz w:val="22"/>
          <w:szCs w:val="22"/>
          <w:lang w:val="en-GB"/>
        </w:rPr>
        <w:t>(Mendoza &amp; Moren-Alegret, 2013)</w:t>
      </w:r>
      <w:r w:rsidR="00CE5781" w:rsidRPr="004E053C">
        <w:rPr>
          <w:rFonts w:cstheme="majorHAnsi"/>
          <w:sz w:val="22"/>
          <w:szCs w:val="22"/>
          <w:lang w:val="en-GB"/>
        </w:rPr>
        <w:fldChar w:fldCharType="end"/>
      </w:r>
      <w:r w:rsidRPr="004E053C">
        <w:rPr>
          <w:rFonts w:cstheme="majorHAnsi"/>
          <w:sz w:val="22"/>
          <w:szCs w:val="22"/>
          <w:lang w:val="en-GB"/>
        </w:rPr>
        <w:t xml:space="preserve">. For example, in their study of Singaporean and British migrants in China, Willis and Yeoh </w:t>
      </w:r>
      <w:r w:rsidR="00CE5781" w:rsidRPr="004E053C">
        <w:rPr>
          <w:rFonts w:cstheme="majorHAnsi"/>
          <w:sz w:val="22"/>
          <w:szCs w:val="22"/>
          <w:lang w:val="en-GB"/>
        </w:rPr>
        <w:fldChar w:fldCharType="begin" w:fldLock="1"/>
      </w:r>
      <w:r w:rsidR="00CE5781" w:rsidRPr="004E053C">
        <w:rPr>
          <w:rFonts w:cstheme="majorHAnsi"/>
          <w:sz w:val="22"/>
          <w:szCs w:val="22"/>
          <w:lang w:val="en-GB"/>
        </w:rPr>
        <w:instrText>ADDIN CSL_CITATION {"citationItems":[{"id":"ITEM-1","itemData":{"author":[{"dropping-particle":"","family":"Willis","given":"Katie","non-dropping-particle":"","parse-names":false,"suffix":""},{"dropping-particle":"","family":"Yeoh","given":"Brenda","non-dropping-particle":"","parse-names":false,"suffix":""}],"container-title":"Geoforum","id":"ITEM-1","issue":"4","issued":{"date-parts":[["2002"]]},"page":"553-565","title":"Gendering transnational communities: a comparison of Singaporean and British migrants in China","type":"article-journal","volume":"33"},"uris":["http://www.mendeley.com/documents/?uuid=4469e2f8-8e31-411f-99f0-478711ee0bb9"]}],"mendeley":{"formattedCitation":"(Willis &amp; Yeoh, 2002)","manualFormatting":"(2002)","plainTextFormattedCitation":"(Willis &amp; Yeoh, 2002)","previouslyFormattedCitation":"(Willis &amp; Yeoh, 2002)"},"properties":{"noteIndex":0},"schema":"https://github.com/citation-style-language/schema/raw/master/csl-citation.json"}</w:instrText>
      </w:r>
      <w:r w:rsidR="00CE5781" w:rsidRPr="004E053C">
        <w:rPr>
          <w:rFonts w:cstheme="majorHAnsi"/>
          <w:sz w:val="22"/>
          <w:szCs w:val="22"/>
          <w:lang w:val="en-GB"/>
        </w:rPr>
        <w:fldChar w:fldCharType="separate"/>
      </w:r>
      <w:r w:rsidR="00CE5781" w:rsidRPr="004E053C">
        <w:rPr>
          <w:rFonts w:cstheme="majorHAnsi"/>
          <w:noProof/>
          <w:sz w:val="22"/>
          <w:szCs w:val="22"/>
          <w:lang w:val="en-GB"/>
        </w:rPr>
        <w:t>(2002)</w:t>
      </w:r>
      <w:r w:rsidR="00CE5781" w:rsidRPr="004E053C">
        <w:rPr>
          <w:rFonts w:cstheme="majorHAnsi"/>
          <w:sz w:val="22"/>
          <w:szCs w:val="22"/>
          <w:lang w:val="en-GB"/>
        </w:rPr>
        <w:fldChar w:fldCharType="end"/>
      </w:r>
      <w:r w:rsidRPr="004E053C">
        <w:rPr>
          <w:rFonts w:cstheme="majorHAnsi"/>
          <w:sz w:val="22"/>
          <w:szCs w:val="22"/>
          <w:lang w:val="en-GB"/>
        </w:rPr>
        <w:t xml:space="preserve"> followed a basic interview schedule across six cities in China with large expatriate communities, and participated in some other expat activities.</w:t>
      </w:r>
    </w:p>
    <w:p w14:paraId="1A8E4F3F" w14:textId="77777777" w:rsidR="0077618A" w:rsidRPr="004E053C" w:rsidRDefault="0077618A" w:rsidP="004E053C">
      <w:pPr>
        <w:spacing w:line="360" w:lineRule="auto"/>
        <w:jc w:val="both"/>
        <w:rPr>
          <w:rFonts w:cstheme="majorHAnsi"/>
          <w:sz w:val="22"/>
          <w:szCs w:val="22"/>
          <w:lang w:val="en-GB"/>
        </w:rPr>
      </w:pPr>
    </w:p>
    <w:p w14:paraId="6082D364" w14:textId="7BD0FC2D"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The aim of a case study is to ‘illuminate the general by looking at the particular’</w:t>
      </w:r>
      <w:r w:rsidR="00CE5781" w:rsidRPr="004E053C">
        <w:rPr>
          <w:rFonts w:cstheme="majorHAnsi"/>
          <w:sz w:val="22"/>
          <w:szCs w:val="22"/>
          <w:lang w:val="en-GB"/>
        </w:rPr>
        <w:t xml:space="preserve"> </w:t>
      </w:r>
      <w:r w:rsidR="00CE5781" w:rsidRPr="004E053C">
        <w:rPr>
          <w:rFonts w:cstheme="majorHAnsi"/>
          <w:sz w:val="22"/>
          <w:szCs w:val="22"/>
          <w:lang w:val="en-GB"/>
        </w:rPr>
        <w:fldChar w:fldCharType="begin" w:fldLock="1"/>
      </w:r>
      <w:r w:rsidR="00CC3E7B" w:rsidRPr="004E053C">
        <w:rPr>
          <w:rFonts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2014)","plainTextFormattedCitation":"(Denscombe, 2014)","previouslyFormattedCitation":"(Denscombe, 2014)"},"properties":{"noteIndex":0},"schema":"https://github.com/citation-style-language/schema/raw/master/csl-citation.json"}</w:instrText>
      </w:r>
      <w:r w:rsidR="00CE5781" w:rsidRPr="004E053C">
        <w:rPr>
          <w:rFonts w:cstheme="majorHAnsi"/>
          <w:sz w:val="22"/>
          <w:szCs w:val="22"/>
          <w:lang w:val="en-GB"/>
        </w:rPr>
        <w:fldChar w:fldCharType="separate"/>
      </w:r>
      <w:r w:rsidR="00CE5781" w:rsidRPr="004E053C">
        <w:rPr>
          <w:rFonts w:cstheme="majorHAnsi"/>
          <w:noProof/>
          <w:sz w:val="22"/>
          <w:szCs w:val="22"/>
          <w:lang w:val="en-GB"/>
        </w:rPr>
        <w:t>(Denscombe, 2014)</w:t>
      </w:r>
      <w:r w:rsidR="00CE5781" w:rsidRPr="004E053C">
        <w:rPr>
          <w:rFonts w:cstheme="majorHAnsi"/>
          <w:sz w:val="22"/>
          <w:szCs w:val="22"/>
          <w:lang w:val="en-GB"/>
        </w:rPr>
        <w:fldChar w:fldCharType="end"/>
      </w:r>
      <w:r w:rsidRPr="004E053C">
        <w:rPr>
          <w:rFonts w:cstheme="majorHAnsi"/>
          <w:sz w:val="22"/>
          <w:szCs w:val="22"/>
          <w:lang w:val="en-GB"/>
        </w:rPr>
        <w:t xml:space="preserve">. This is achieved by looking in-depth at one, or a few, cases of a particular phenomenon, and attempting to uncover the events, relationships, experiences or processes that occur in those particular cases in an attempt to understand the wider phenomenon </w:t>
      </w:r>
      <w:r w:rsidR="00CC3E7B" w:rsidRPr="004E053C">
        <w:rPr>
          <w:rFonts w:cstheme="majorHAnsi"/>
          <w:sz w:val="22"/>
          <w:szCs w:val="22"/>
          <w:lang w:val="en-GB"/>
        </w:rPr>
        <w:fldChar w:fldCharType="begin" w:fldLock="1"/>
      </w:r>
      <w:r w:rsidR="00B67ED4" w:rsidRPr="004E053C">
        <w:rPr>
          <w:rFonts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2014)","manualFormatting":"(Ibid.)","plainTextFormattedCitation":"(Denscombe, 2014)","previouslyFormattedCitation":"(Denscombe, 2014)"},"properties":{"noteIndex":0},"schema":"https://github.com/citation-style-language/schema/raw/master/csl-citation.json"}</w:instrText>
      </w:r>
      <w:r w:rsidR="00CC3E7B" w:rsidRPr="004E053C">
        <w:rPr>
          <w:rFonts w:cstheme="majorHAnsi"/>
          <w:sz w:val="22"/>
          <w:szCs w:val="22"/>
          <w:lang w:val="en-GB"/>
        </w:rPr>
        <w:fldChar w:fldCharType="separate"/>
      </w:r>
      <w:r w:rsidR="004B0526" w:rsidRPr="004E053C">
        <w:rPr>
          <w:rFonts w:cstheme="majorHAnsi"/>
          <w:noProof/>
          <w:sz w:val="22"/>
          <w:szCs w:val="22"/>
          <w:lang w:val="en-GB"/>
        </w:rPr>
        <w:t>(Ibid</w:t>
      </w:r>
      <w:r w:rsidR="00EC4FAE" w:rsidRPr="004E053C">
        <w:rPr>
          <w:rFonts w:cstheme="majorHAnsi"/>
          <w:noProof/>
          <w:sz w:val="22"/>
          <w:szCs w:val="22"/>
          <w:lang w:val="en-GB"/>
        </w:rPr>
        <w:t>.</w:t>
      </w:r>
      <w:r w:rsidR="00CC3E7B" w:rsidRPr="004E053C">
        <w:rPr>
          <w:rFonts w:cstheme="majorHAnsi"/>
          <w:noProof/>
          <w:sz w:val="22"/>
          <w:szCs w:val="22"/>
          <w:lang w:val="en-GB"/>
        </w:rPr>
        <w:t>)</w:t>
      </w:r>
      <w:r w:rsidR="00CC3E7B" w:rsidRPr="004E053C">
        <w:rPr>
          <w:rFonts w:cstheme="majorHAnsi"/>
          <w:sz w:val="22"/>
          <w:szCs w:val="22"/>
          <w:lang w:val="en-GB"/>
        </w:rPr>
        <w:fldChar w:fldCharType="end"/>
      </w:r>
      <w:r w:rsidR="00CC3E7B" w:rsidRPr="004E053C">
        <w:rPr>
          <w:rFonts w:cstheme="majorHAnsi"/>
          <w:sz w:val="22"/>
          <w:szCs w:val="22"/>
          <w:lang w:val="en-GB"/>
        </w:rPr>
        <w:t xml:space="preserve">. </w:t>
      </w:r>
      <w:r w:rsidRPr="004E053C">
        <w:rPr>
          <w:rFonts w:cstheme="majorHAnsi"/>
          <w:sz w:val="22"/>
          <w:szCs w:val="22"/>
          <w:lang w:val="en-GB"/>
        </w:rPr>
        <w:t xml:space="preserve">A case study of this particular translocal community is therefore representative of the wider phenomena of migratory ASM livelihoods, and has relevance to the many contexts of the world where ASM takes place. This makes the approach preferable to ethnography, as while the latter does allow an understanding of the workings of a particular group of people who interact over time </w:t>
      </w:r>
      <w:r w:rsidR="00CC3E7B"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 p.70)","plainTextFormattedCitation":"(Creswell, 2013)","previouslyFormattedCitation":"(Creswell, 2013)"},"properties":{"noteIndex":0},"schema":"https://github.com/citation-style-language/schema/raw/master/csl-citation.json"}</w:instrText>
      </w:r>
      <w:r w:rsidR="00CC3E7B" w:rsidRPr="004E053C">
        <w:rPr>
          <w:rFonts w:cstheme="majorHAnsi"/>
          <w:sz w:val="22"/>
          <w:szCs w:val="22"/>
          <w:lang w:val="en-GB"/>
        </w:rPr>
        <w:fldChar w:fldCharType="separate"/>
      </w:r>
      <w:r w:rsidR="00CC3E7B" w:rsidRPr="004E053C">
        <w:rPr>
          <w:rFonts w:cstheme="majorHAnsi"/>
          <w:noProof/>
          <w:sz w:val="22"/>
          <w:szCs w:val="22"/>
          <w:lang w:val="en-GB"/>
        </w:rPr>
        <w:t>(Creswell, 2013, p.70)</w:t>
      </w:r>
      <w:r w:rsidR="00CC3E7B" w:rsidRPr="004E053C">
        <w:rPr>
          <w:rFonts w:cstheme="majorHAnsi"/>
          <w:sz w:val="22"/>
          <w:szCs w:val="22"/>
          <w:lang w:val="en-GB"/>
        </w:rPr>
        <w:fldChar w:fldCharType="end"/>
      </w:r>
      <w:r w:rsidR="00CC3E7B" w:rsidRPr="004E053C">
        <w:rPr>
          <w:rFonts w:cstheme="majorHAnsi"/>
          <w:sz w:val="22"/>
          <w:szCs w:val="22"/>
          <w:lang w:val="en-GB"/>
        </w:rPr>
        <w:t xml:space="preserve"> </w:t>
      </w:r>
      <w:r w:rsidRPr="004E053C">
        <w:rPr>
          <w:rFonts w:cstheme="majorHAnsi"/>
          <w:sz w:val="22"/>
          <w:szCs w:val="22"/>
          <w:lang w:val="en-GB"/>
        </w:rPr>
        <w:t>it is generally context specific. As the intent in ethnography is to determine how one specific culture works</w:t>
      </w:r>
      <w:r w:rsidR="00CC3E7B" w:rsidRPr="004E053C">
        <w:rPr>
          <w:rFonts w:cstheme="majorHAnsi"/>
          <w:sz w:val="22"/>
          <w:szCs w:val="22"/>
          <w:lang w:val="en-GB"/>
        </w:rPr>
        <w:t xml:space="preserve"> </w:t>
      </w:r>
      <w:r w:rsidR="00CC3E7B"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2013)","manualFormatting":"(Ibid.)","plainTextFormattedCitation":"(Creswell, 2013)","previouslyFormattedCitation":"(Creswell, 2013)"},"properties":{"noteIndex":0},"schema":"https://github.com/citation-style-language/schema/raw/master/csl-citation.json"}</w:instrText>
      </w:r>
      <w:r w:rsidR="00CC3E7B" w:rsidRPr="004E053C">
        <w:rPr>
          <w:rFonts w:cstheme="majorHAnsi"/>
          <w:sz w:val="22"/>
          <w:szCs w:val="22"/>
          <w:lang w:val="en-GB"/>
        </w:rPr>
        <w:fldChar w:fldCharType="separate"/>
      </w:r>
      <w:r w:rsidR="00CC3E7B" w:rsidRPr="004E053C">
        <w:rPr>
          <w:rFonts w:cstheme="majorHAnsi"/>
          <w:noProof/>
          <w:sz w:val="22"/>
          <w:szCs w:val="22"/>
          <w:lang w:val="en-GB"/>
        </w:rPr>
        <w:t>(</w:t>
      </w:r>
      <w:r w:rsidR="00D16F05" w:rsidRPr="004E053C">
        <w:rPr>
          <w:rFonts w:cstheme="majorHAnsi"/>
          <w:noProof/>
          <w:sz w:val="22"/>
          <w:szCs w:val="22"/>
          <w:lang w:val="en-GB"/>
        </w:rPr>
        <w:t>Ibid</w:t>
      </w:r>
      <w:r w:rsidR="00EC4FAE" w:rsidRPr="004E053C">
        <w:rPr>
          <w:rFonts w:cstheme="majorHAnsi"/>
          <w:noProof/>
          <w:sz w:val="22"/>
          <w:szCs w:val="22"/>
          <w:lang w:val="en-GB"/>
        </w:rPr>
        <w:t>.</w:t>
      </w:r>
      <w:r w:rsidR="00CC3E7B" w:rsidRPr="004E053C">
        <w:rPr>
          <w:rFonts w:cstheme="majorHAnsi"/>
          <w:noProof/>
          <w:sz w:val="22"/>
          <w:szCs w:val="22"/>
          <w:lang w:val="en-GB"/>
        </w:rPr>
        <w:t>)</w:t>
      </w:r>
      <w:r w:rsidR="00CC3E7B" w:rsidRPr="004E053C">
        <w:rPr>
          <w:rFonts w:cstheme="majorHAnsi"/>
          <w:sz w:val="22"/>
          <w:szCs w:val="22"/>
          <w:lang w:val="en-GB"/>
        </w:rPr>
        <w:fldChar w:fldCharType="end"/>
      </w:r>
      <w:r w:rsidRPr="004E053C">
        <w:rPr>
          <w:rFonts w:cstheme="majorHAnsi"/>
          <w:sz w:val="22"/>
          <w:szCs w:val="22"/>
          <w:lang w:val="en-GB"/>
        </w:rPr>
        <w:t xml:space="preserve">, it is less useful for understanding the broader issue of migratory ASM livelihoods using this particular translocal community as a specific example. Furthermore, as the translocal nature of fieldwork meant being on the move a lot, this would have risked any attempt at a multi-sited ethnography lacking depth. Hage </w:t>
      </w:r>
      <w:r w:rsidR="00CC3E7B" w:rsidRPr="004E053C">
        <w:rPr>
          <w:rFonts w:cstheme="majorHAnsi"/>
          <w:sz w:val="22"/>
          <w:szCs w:val="22"/>
          <w:lang w:val="en-GB"/>
        </w:rPr>
        <w:fldChar w:fldCharType="begin" w:fldLock="1"/>
      </w:r>
      <w:r w:rsidR="00CC3E7B" w:rsidRPr="004E053C">
        <w:rPr>
          <w:rFonts w:cstheme="majorHAnsi"/>
          <w:sz w:val="22"/>
          <w:szCs w:val="22"/>
          <w:lang w:val="en-GB"/>
        </w:rPr>
        <w:instrText>ADDIN CSL_CITATION {"citationItems":[{"id":"ITEM-1","itemData":{"author":[{"dropping-particle":"","family":"Hage","given":"Ghassan","non-dropping-particle":"","parse-names":false,"suffix":""}],"container-title":"Anthropological Theory","id":"ITEM-1","issue":"4","issued":{"date-parts":[["2005"]]},"page":"463-475","title":"A not so multi-sited ethnography of a not so imagined community","type":"article-journal","volume":"5"},"uris":["http://www.mendeley.com/documents/?uuid=a9697d27-fb1a-4f79-bd4f-7f4d4f741fb7"]}],"mendeley":{"formattedCitation":"(Hage, 2005)","manualFormatting":"(2005)","plainTextFormattedCitation":"(Hage, 2005)","previouslyFormattedCitation":"(Hage, 2005)"},"properties":{"noteIndex":0},"schema":"https://github.com/citation-style-language/schema/raw/master/csl-citation.json"}</w:instrText>
      </w:r>
      <w:r w:rsidR="00CC3E7B" w:rsidRPr="004E053C">
        <w:rPr>
          <w:rFonts w:cstheme="majorHAnsi"/>
          <w:sz w:val="22"/>
          <w:szCs w:val="22"/>
          <w:lang w:val="en-GB"/>
        </w:rPr>
        <w:fldChar w:fldCharType="separate"/>
      </w:r>
      <w:r w:rsidR="00CC3E7B" w:rsidRPr="004E053C">
        <w:rPr>
          <w:rFonts w:cstheme="majorHAnsi"/>
          <w:noProof/>
          <w:sz w:val="22"/>
          <w:szCs w:val="22"/>
          <w:lang w:val="en-GB"/>
        </w:rPr>
        <w:t>(2005)</w:t>
      </w:r>
      <w:r w:rsidR="00CC3E7B" w:rsidRPr="004E053C">
        <w:rPr>
          <w:rFonts w:cstheme="majorHAnsi"/>
          <w:sz w:val="22"/>
          <w:szCs w:val="22"/>
          <w:lang w:val="en-GB"/>
        </w:rPr>
        <w:fldChar w:fldCharType="end"/>
      </w:r>
      <w:r w:rsidRPr="004E053C">
        <w:rPr>
          <w:rFonts w:cstheme="majorHAnsi"/>
          <w:sz w:val="22"/>
          <w:szCs w:val="22"/>
          <w:lang w:val="en-GB"/>
        </w:rPr>
        <w:t xml:space="preserve"> has argued that for this reason, true multi-sited </w:t>
      </w:r>
      <w:r w:rsidRPr="004E053C">
        <w:rPr>
          <w:rFonts w:cstheme="majorHAnsi"/>
          <w:sz w:val="22"/>
          <w:szCs w:val="22"/>
          <w:lang w:val="en-GB"/>
        </w:rPr>
        <w:lastRenderedPageBreak/>
        <w:t xml:space="preserve">ethnography is in fact not feasible. Selecting an ethnographic approach would have required judgement calls on which of the two localities to embed myself in, which would have undermined the translocal perspective I was hoping to achieve. I also felt that an over emphasis on one community would have prevented me from fully answering my research questions, particularly regarding competing definitions of illegality, which necessitated speaking to people at multiple levels and in multiple places. </w:t>
      </w:r>
    </w:p>
    <w:p w14:paraId="15F48350" w14:textId="77777777" w:rsidR="0077618A" w:rsidRPr="004E053C" w:rsidRDefault="0077618A" w:rsidP="004E053C">
      <w:pPr>
        <w:pStyle w:val="NoSpacing"/>
        <w:spacing w:line="360" w:lineRule="auto"/>
        <w:jc w:val="both"/>
        <w:rPr>
          <w:rFonts w:cstheme="majorHAnsi"/>
          <w:color w:val="FF0000"/>
          <w:sz w:val="22"/>
          <w:szCs w:val="22"/>
          <w:lang w:val="en-GB"/>
        </w:rPr>
      </w:pPr>
    </w:p>
    <w:p w14:paraId="605E61B0" w14:textId="591F170A" w:rsidR="0077618A" w:rsidRPr="004E053C" w:rsidRDefault="0077618A" w:rsidP="004E053C">
      <w:pPr>
        <w:pStyle w:val="NoSpacing"/>
        <w:spacing w:line="360" w:lineRule="auto"/>
        <w:jc w:val="both"/>
        <w:rPr>
          <w:rFonts w:cstheme="majorHAnsi"/>
          <w:sz w:val="22"/>
          <w:szCs w:val="22"/>
          <w:lang w:val="en-GB"/>
        </w:rPr>
      </w:pPr>
      <w:r w:rsidRPr="004E053C">
        <w:rPr>
          <w:rFonts w:cstheme="majorHAnsi"/>
          <w:sz w:val="22"/>
          <w:szCs w:val="22"/>
          <w:lang w:val="en-GB"/>
        </w:rPr>
        <w:t>As noted above, the translocal community that exists between the Andes and Madre de Dios consists of a complex web of connections and relationships between numerous origin and destination communities, rather than a simple linear connection. While the research design employed here takes the translocal community as a single case study, I primarily focus on two primary</w:t>
      </w:r>
      <w:r w:rsidR="002D6E5D" w:rsidRPr="004E053C">
        <w:rPr>
          <w:rFonts w:cstheme="majorHAnsi"/>
          <w:sz w:val="22"/>
          <w:szCs w:val="22"/>
          <w:lang w:val="en-GB"/>
        </w:rPr>
        <w:t xml:space="preserve"> locations, whilst also emphasis</w:t>
      </w:r>
      <w:r w:rsidRPr="004E053C">
        <w:rPr>
          <w:rFonts w:cstheme="majorHAnsi"/>
          <w:sz w:val="22"/>
          <w:szCs w:val="22"/>
          <w:lang w:val="en-GB"/>
        </w:rPr>
        <w:t>ing the links with other interconnected places. In doing so, I am able to magnify a slice of the complex web that constitutes the broader translocal community. This approach has been advocated elsewhere in translocal research, with Steinbrink</w:t>
      </w:r>
      <w:r w:rsidR="00D16F05" w:rsidRPr="004E053C">
        <w:rPr>
          <w:rFonts w:cstheme="majorHAnsi"/>
          <w:sz w:val="22"/>
          <w:szCs w:val="22"/>
          <w:lang w:val="en-GB"/>
        </w:rPr>
        <w:t xml:space="preserve"> </w:t>
      </w:r>
      <w:r w:rsidR="00D95F60" w:rsidRPr="004E053C">
        <w:rPr>
          <w:rFonts w:cstheme="majorHAnsi"/>
          <w:sz w:val="22"/>
          <w:szCs w:val="22"/>
          <w:lang w:val="en-GB"/>
        </w:rPr>
        <w:t xml:space="preserve">(2009) </w:t>
      </w:r>
      <w:r w:rsidRPr="004E053C">
        <w:rPr>
          <w:rFonts w:cstheme="majorHAnsi"/>
          <w:sz w:val="22"/>
          <w:szCs w:val="22"/>
          <w:lang w:val="en-GB"/>
        </w:rPr>
        <w:t>noting that the linkages between two study areas constitute only a section of the total translocal context i</w:t>
      </w:r>
      <w:r w:rsidR="00D95F60" w:rsidRPr="004E053C">
        <w:rPr>
          <w:rFonts w:cstheme="majorHAnsi"/>
          <w:sz w:val="22"/>
          <w:szCs w:val="22"/>
          <w:lang w:val="en-GB"/>
        </w:rPr>
        <w:t xml:space="preserve">n which the </w:t>
      </w:r>
      <w:r w:rsidR="00CC3E7B" w:rsidRPr="004E053C">
        <w:rPr>
          <w:rFonts w:cstheme="majorHAnsi"/>
          <w:sz w:val="22"/>
          <w:szCs w:val="22"/>
          <w:lang w:val="en-GB"/>
        </w:rPr>
        <w:t>people are embedd</w:t>
      </w:r>
      <w:r w:rsidR="00D95F60" w:rsidRPr="004E053C">
        <w:rPr>
          <w:rFonts w:cstheme="majorHAnsi"/>
          <w:sz w:val="22"/>
          <w:szCs w:val="22"/>
          <w:lang w:val="en-GB"/>
        </w:rPr>
        <w:t>ed</w:t>
      </w:r>
      <w:r w:rsidRPr="004E053C">
        <w:rPr>
          <w:rFonts w:cstheme="majorHAnsi"/>
          <w:sz w:val="22"/>
          <w:szCs w:val="22"/>
          <w:lang w:val="en-GB"/>
        </w:rPr>
        <w:t xml:space="preserve">. I have focused my research on one origin community and one destination community, which are the Andean district of Ocongate and the mining town of Laberinto respectively. However, due to the nature of the translocal community, I also discuss the connections with other places where relevant, particularly the informal mining settlement of KM108 in La Pampa, which lies within the National Park Buffer Zone. The following sections will introduce the Andean communities in Ocongate District and the town of Laberinto, and elaborates further on why they were selected. </w:t>
      </w:r>
    </w:p>
    <w:p w14:paraId="1FD67DAC" w14:textId="77777777" w:rsidR="0077618A" w:rsidRPr="004E053C" w:rsidRDefault="0077618A" w:rsidP="004E053C">
      <w:pPr>
        <w:spacing w:line="360" w:lineRule="auto"/>
        <w:jc w:val="both"/>
        <w:rPr>
          <w:rFonts w:cstheme="majorHAnsi"/>
          <w:color w:val="000000"/>
          <w:sz w:val="22"/>
          <w:szCs w:val="22"/>
          <w:lang w:val="en-GB"/>
        </w:rPr>
      </w:pPr>
    </w:p>
    <w:p w14:paraId="029FF612" w14:textId="6ADE49F4" w:rsidR="0077618A" w:rsidRPr="004E053C" w:rsidRDefault="00EA7F83" w:rsidP="004E053C">
      <w:pPr>
        <w:pStyle w:val="Heading2"/>
        <w:spacing w:before="0" w:line="360" w:lineRule="auto"/>
        <w:jc w:val="both"/>
        <w:rPr>
          <w:rFonts w:cstheme="majorHAnsi"/>
          <w:lang w:val="en-GB"/>
        </w:rPr>
      </w:pPr>
      <w:bookmarkStart w:id="60" w:name="_Toc424671892"/>
      <w:bookmarkStart w:id="61" w:name="_Toc33293102"/>
      <w:r w:rsidRPr="004E053C">
        <w:rPr>
          <w:rFonts w:cstheme="majorHAnsi"/>
          <w:lang w:val="en-GB"/>
        </w:rPr>
        <w:t>5</w:t>
      </w:r>
      <w:r w:rsidR="004A3EF1" w:rsidRPr="004E053C">
        <w:rPr>
          <w:rFonts w:cstheme="majorHAnsi"/>
          <w:lang w:val="en-GB"/>
        </w:rPr>
        <w:t>.5. Case study selection</w:t>
      </w:r>
      <w:bookmarkEnd w:id="60"/>
      <w:bookmarkEnd w:id="61"/>
    </w:p>
    <w:p w14:paraId="4DAFC80F" w14:textId="77777777" w:rsidR="0077618A" w:rsidRPr="004E053C" w:rsidRDefault="0077618A" w:rsidP="004E053C">
      <w:pPr>
        <w:spacing w:line="360" w:lineRule="auto"/>
        <w:jc w:val="both"/>
        <w:rPr>
          <w:rFonts w:cstheme="majorHAnsi"/>
          <w:sz w:val="22"/>
          <w:szCs w:val="22"/>
          <w:lang w:val="en-GB"/>
        </w:rPr>
      </w:pPr>
    </w:p>
    <w:p w14:paraId="6B9AD824" w14:textId="32BE781A"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 xml:space="preserve">Case studies can be selected for their intrinsic value or their instrumental value, depending on the particular problem being researched. Intrinsic case studies draw researchers toward an understanding of what is important about the case within its own world, including its own issues, contexts, and interpretations. In contrast, instrumental case study draws the researcher into illustrating how the concerns of researchers and theorists are manifest in the case </w:t>
      </w:r>
      <w:r w:rsidR="00D95F60" w:rsidRPr="004E053C">
        <w:rPr>
          <w:rFonts w:cstheme="majorHAnsi"/>
          <w:sz w:val="22"/>
          <w:szCs w:val="22"/>
          <w:lang w:val="en-GB"/>
        </w:rPr>
        <w:fldChar w:fldCharType="begin" w:fldLock="1"/>
      </w:r>
      <w:r w:rsidR="00D95F60" w:rsidRPr="004E053C">
        <w:rPr>
          <w:rFonts w:cstheme="majorHAnsi"/>
          <w:sz w:val="22"/>
          <w:szCs w:val="22"/>
          <w:lang w:val="en-GB"/>
        </w:rPr>
        <w:instrText>ADDIN CSL_CITATION {"citationItems":[{"id":"ITEM-1","itemData":{"author":[{"dropping-particle":"","family":"Stake","given":"R.E.","non-dropping-particle":"","parse-names":false,"suffix":""}],"container-title":"The Sage Handbook of Qualitative Research","edition":"3rd","editor":[{"dropping-particle":"","family":"Denzin","given":"N.K","non-dropping-particle":"","parse-names":false,"suffix":""},{"dropping-particle":"","family":"Lincoln","given":"Y.S","non-dropping-particle":"","parse-names":false,"suffix":""}],"id":"ITEM-1","issued":{"date-parts":[["2005"]]},"page":"443-466","publisher":"Sage Publications Ltd","publisher-place":"London, UK","title":"Qualitative Case Studies","type":"chapter"},"uris":["http://www.mendeley.com/documents/?uuid=6bf5a596-359d-42a9-8af0-963920701eb8"]}],"mendeley":{"formattedCitation":"(Stake, 2005)","plainTextFormattedCitation":"(Stake, 2005)","previouslyFormattedCitation":"(Stake, 2005)"},"properties":{"noteIndex":0},"schema":"https://github.com/citation-style-language/schema/raw/master/csl-citation.json"}</w:instrText>
      </w:r>
      <w:r w:rsidR="00D95F60" w:rsidRPr="004E053C">
        <w:rPr>
          <w:rFonts w:cstheme="majorHAnsi"/>
          <w:sz w:val="22"/>
          <w:szCs w:val="22"/>
          <w:lang w:val="en-GB"/>
        </w:rPr>
        <w:fldChar w:fldCharType="separate"/>
      </w:r>
      <w:r w:rsidR="00D95F60" w:rsidRPr="004E053C">
        <w:rPr>
          <w:rFonts w:cstheme="majorHAnsi"/>
          <w:noProof/>
          <w:sz w:val="22"/>
          <w:szCs w:val="22"/>
          <w:lang w:val="en-GB"/>
        </w:rPr>
        <w:t>(Stake, 2005)</w:t>
      </w:r>
      <w:r w:rsidR="00D95F60" w:rsidRPr="004E053C">
        <w:rPr>
          <w:rFonts w:cstheme="majorHAnsi"/>
          <w:sz w:val="22"/>
          <w:szCs w:val="22"/>
          <w:lang w:val="en-GB"/>
        </w:rPr>
        <w:fldChar w:fldCharType="end"/>
      </w:r>
      <w:r w:rsidRPr="004E053C">
        <w:rPr>
          <w:rFonts w:cstheme="majorHAnsi"/>
          <w:sz w:val="22"/>
          <w:szCs w:val="22"/>
          <w:lang w:val="en-GB"/>
        </w:rPr>
        <w:t xml:space="preserve">. With instrumental case studies, a researcher may decide they want to select a particular case because it is extreme, or because the site represents the least likely scenario for a theory to work, and thus can be used as a test-site </w:t>
      </w:r>
      <w:r w:rsidR="00D95F60" w:rsidRPr="004E053C">
        <w:rPr>
          <w:rFonts w:cstheme="majorHAnsi"/>
          <w:sz w:val="22"/>
          <w:szCs w:val="22"/>
          <w:lang w:val="en-GB"/>
        </w:rPr>
        <w:fldChar w:fldCharType="begin" w:fldLock="1"/>
      </w:r>
      <w:r w:rsidR="00D95F60" w:rsidRPr="004E053C">
        <w:rPr>
          <w:rFonts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2014)","plainTextFormattedCitation":"(Denscombe, 2014)","previouslyFormattedCitation":"(Denscombe, 2014)"},"properties":{"noteIndex":0},"schema":"https://github.com/citation-style-language/schema/raw/master/csl-citation.json"}</w:instrText>
      </w:r>
      <w:r w:rsidR="00D95F60" w:rsidRPr="004E053C">
        <w:rPr>
          <w:rFonts w:cstheme="majorHAnsi"/>
          <w:sz w:val="22"/>
          <w:szCs w:val="22"/>
          <w:lang w:val="en-GB"/>
        </w:rPr>
        <w:fldChar w:fldCharType="separate"/>
      </w:r>
      <w:r w:rsidR="00D95F60" w:rsidRPr="004E053C">
        <w:rPr>
          <w:rFonts w:cstheme="majorHAnsi"/>
          <w:noProof/>
          <w:sz w:val="22"/>
          <w:szCs w:val="22"/>
          <w:lang w:val="en-GB"/>
        </w:rPr>
        <w:t>(Denscombe, 2014)</w:t>
      </w:r>
      <w:r w:rsidR="00D95F60" w:rsidRPr="004E053C">
        <w:rPr>
          <w:rFonts w:cstheme="majorHAnsi"/>
          <w:sz w:val="22"/>
          <w:szCs w:val="22"/>
          <w:lang w:val="en-GB"/>
        </w:rPr>
        <w:fldChar w:fldCharType="end"/>
      </w:r>
      <w:r w:rsidRPr="004E053C">
        <w:rPr>
          <w:rFonts w:cstheme="majorHAnsi"/>
          <w:sz w:val="22"/>
          <w:szCs w:val="22"/>
          <w:lang w:val="en-GB"/>
        </w:rPr>
        <w:t xml:space="preserve">. Sites for case studies may also be selected because they represent the ‘typical case’ and the gleaned information is likely to be applicable </w:t>
      </w:r>
      <w:r w:rsidRPr="004E053C">
        <w:rPr>
          <w:rFonts w:cstheme="majorHAnsi"/>
          <w:sz w:val="22"/>
          <w:szCs w:val="22"/>
          <w:lang w:val="en-GB"/>
        </w:rPr>
        <w:lastRenderedPageBreak/>
        <w:t xml:space="preserve">elsewhere </w:t>
      </w:r>
      <w:r w:rsidR="00D95F60" w:rsidRPr="004E053C">
        <w:rPr>
          <w:rFonts w:cstheme="majorHAnsi"/>
          <w:sz w:val="22"/>
          <w:szCs w:val="22"/>
          <w:lang w:val="en-GB"/>
        </w:rPr>
        <w:fldChar w:fldCharType="begin" w:fldLock="1"/>
      </w:r>
      <w:r w:rsidR="00D95F60" w:rsidRPr="004E053C">
        <w:rPr>
          <w:rFonts w:cstheme="majorHAnsi"/>
          <w:sz w:val="22"/>
          <w:szCs w:val="22"/>
          <w:lang w:val="en-GB"/>
        </w:rPr>
        <w:instrText>ADDIN CSL_CITATION {"citationItems":[{"id":"ITEM-1","itemData":{"author":[{"dropping-particle":"","family":"Gerring","given":"J","non-dropping-particle":"","parse-names":false,"suffix":""}],"id":"ITEM-1","issued":{"date-parts":[["2007"]]},"publisher":"Cambridge University Press","publisher-place":"New York, NY","title":"Case Study Research: Principles and Practices","type":"book"},"uris":["http://www.mendeley.com/documents/?uuid=8aa9331e-e1d2-4790-a721-05cc272f3acb"]},{"id":"ITEM-2","itemData":{"author":[{"dropping-particle":"","family":"Denscombe","given":"Martyn","non-dropping-particle":"","parse-names":false,"suffix":""}],"id":"ITEM-2","issued":{"date-parts":[["2014"]]},"publisher":"Open University Press","publisher-place":"Maidenhead","title":"The Good Research Guide: For Small-scale Social Research Projects","type":"book"},"uris":["http://www.mendeley.com/documents/?uuid=4896e42c-c2a2-4701-b00b-4bd5eac455f6"]}],"mendeley":{"formattedCitation":"(Denscombe, 2014; Gerring, 2007)","plainTextFormattedCitation":"(Denscombe, 2014; Gerring, 2007)","previouslyFormattedCitation":"(Denscombe, 2014; Gerring, 2007)"},"properties":{"noteIndex":0},"schema":"https://github.com/citation-style-language/schema/raw/master/csl-citation.json"}</w:instrText>
      </w:r>
      <w:r w:rsidR="00D95F60" w:rsidRPr="004E053C">
        <w:rPr>
          <w:rFonts w:cstheme="majorHAnsi"/>
          <w:sz w:val="22"/>
          <w:szCs w:val="22"/>
          <w:lang w:val="en-GB"/>
        </w:rPr>
        <w:fldChar w:fldCharType="separate"/>
      </w:r>
      <w:r w:rsidR="00D95F60" w:rsidRPr="004E053C">
        <w:rPr>
          <w:rFonts w:cstheme="majorHAnsi"/>
          <w:noProof/>
          <w:sz w:val="22"/>
          <w:szCs w:val="22"/>
          <w:lang w:val="en-GB"/>
        </w:rPr>
        <w:t>(Denscombe, 2014; Gerring, 2007)</w:t>
      </w:r>
      <w:r w:rsidR="00D95F60" w:rsidRPr="004E053C">
        <w:rPr>
          <w:rFonts w:cstheme="majorHAnsi"/>
          <w:sz w:val="22"/>
          <w:szCs w:val="22"/>
          <w:lang w:val="en-GB"/>
        </w:rPr>
        <w:fldChar w:fldCharType="end"/>
      </w:r>
      <w:r w:rsidRPr="004E053C">
        <w:rPr>
          <w:rFonts w:cstheme="majorHAnsi"/>
          <w:sz w:val="22"/>
          <w:szCs w:val="22"/>
          <w:lang w:val="en-GB"/>
        </w:rPr>
        <w:t xml:space="preserve">. Denscombe </w:t>
      </w:r>
      <w:r w:rsidR="00D95F60" w:rsidRPr="004E053C">
        <w:rPr>
          <w:rFonts w:cstheme="majorHAnsi"/>
          <w:sz w:val="22"/>
          <w:szCs w:val="22"/>
          <w:lang w:val="en-GB"/>
        </w:rPr>
        <w:fldChar w:fldCharType="begin" w:fldLock="1"/>
      </w:r>
      <w:r w:rsidR="00D95F60" w:rsidRPr="004E053C">
        <w:rPr>
          <w:rFonts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2014)","manualFormatting":"(2014)","plainTextFormattedCitation":"(Denscombe, 2014)","previouslyFormattedCitation":"(Denscombe, 2014)"},"properties":{"noteIndex":0},"schema":"https://github.com/citation-style-language/schema/raw/master/csl-citation.json"}</w:instrText>
      </w:r>
      <w:r w:rsidR="00D95F60" w:rsidRPr="004E053C">
        <w:rPr>
          <w:rFonts w:cstheme="majorHAnsi"/>
          <w:sz w:val="22"/>
          <w:szCs w:val="22"/>
          <w:lang w:val="en-GB"/>
        </w:rPr>
        <w:fldChar w:fldCharType="separate"/>
      </w:r>
      <w:r w:rsidR="00D95F60" w:rsidRPr="004E053C">
        <w:rPr>
          <w:rFonts w:cstheme="majorHAnsi"/>
          <w:noProof/>
          <w:sz w:val="22"/>
          <w:szCs w:val="22"/>
          <w:lang w:val="en-GB"/>
        </w:rPr>
        <w:t>(2014)</w:t>
      </w:r>
      <w:r w:rsidR="00D95F60" w:rsidRPr="004E053C">
        <w:rPr>
          <w:rFonts w:cstheme="majorHAnsi"/>
          <w:sz w:val="22"/>
          <w:szCs w:val="22"/>
          <w:lang w:val="en-GB"/>
        </w:rPr>
        <w:fldChar w:fldCharType="end"/>
      </w:r>
      <w:r w:rsidRPr="004E053C">
        <w:rPr>
          <w:rFonts w:cstheme="majorHAnsi"/>
          <w:sz w:val="22"/>
          <w:szCs w:val="22"/>
          <w:lang w:val="en-GB"/>
        </w:rPr>
        <w:t xml:space="preserve"> also notes that while convenience may be an important factor in site selection, this should not be the main criterion and only comes into play once a range of potential typical sites have been identified. Once the case has been selected, there are subsequent choices to make about persons, places and events to observe. These can sometimes take the form of embedded cases or mini-cases </w:t>
      </w:r>
      <w:r w:rsidR="00D95F60" w:rsidRPr="004E053C">
        <w:rPr>
          <w:rFonts w:cstheme="majorHAnsi"/>
          <w:sz w:val="22"/>
          <w:szCs w:val="22"/>
          <w:lang w:val="en-GB"/>
        </w:rPr>
        <w:fldChar w:fldCharType="begin" w:fldLock="1"/>
      </w:r>
      <w:r w:rsidR="00D95F60" w:rsidRPr="004E053C">
        <w:rPr>
          <w:rFonts w:cstheme="majorHAnsi"/>
          <w:sz w:val="22"/>
          <w:szCs w:val="22"/>
          <w:lang w:val="en-GB"/>
        </w:rPr>
        <w:instrText>ADDIN CSL_CITATION {"citationItems":[{"id":"ITEM-1","itemData":{"author":[{"dropping-particle":"","family":"Stake","given":"R.E.","non-dropping-particle":"","parse-names":false,"suffix":""}],"container-title":"The Sage Handbook of Qualitative Research","edition":"3rd","editor":[{"dropping-particle":"","family":"Denzin","given":"N.K","non-dropping-particle":"","parse-names":false,"suffix":""},{"dropping-particle":"","family":"Lincoln","given":"Y.S","non-dropping-particle":"","parse-names":false,"suffix":""}],"id":"ITEM-1","issued":{"date-parts":[["2005"]]},"page":"443-466","publisher":"Sage Publications Ltd","publisher-place":"London, UK","title":"Qualitative Case Studies","type":"chapter"},"uris":["http://www.mendeley.com/documents/?uuid=6bf5a596-359d-42a9-8af0-963920701eb8"]}],"mendeley":{"formattedCitation":"(Stake, 2005)","plainTextFormattedCitation":"(Stake, 2005)","previouslyFormattedCitation":"(Stake, 2005)"},"properties":{"noteIndex":0},"schema":"https://github.com/citation-style-language/schema/raw/master/csl-citation.json"}</w:instrText>
      </w:r>
      <w:r w:rsidR="00D95F60" w:rsidRPr="004E053C">
        <w:rPr>
          <w:rFonts w:cstheme="majorHAnsi"/>
          <w:sz w:val="22"/>
          <w:szCs w:val="22"/>
          <w:lang w:val="en-GB"/>
        </w:rPr>
        <w:fldChar w:fldCharType="separate"/>
      </w:r>
      <w:r w:rsidR="00D95F60" w:rsidRPr="004E053C">
        <w:rPr>
          <w:rFonts w:cstheme="majorHAnsi"/>
          <w:noProof/>
          <w:sz w:val="22"/>
          <w:szCs w:val="22"/>
          <w:lang w:val="en-GB"/>
        </w:rPr>
        <w:t>(Stake, 2005)</w:t>
      </w:r>
      <w:r w:rsidR="00D95F60" w:rsidRPr="004E053C">
        <w:rPr>
          <w:rFonts w:cstheme="majorHAnsi"/>
          <w:sz w:val="22"/>
          <w:szCs w:val="22"/>
          <w:lang w:val="en-GB"/>
        </w:rPr>
        <w:fldChar w:fldCharType="end"/>
      </w:r>
      <w:r w:rsidRPr="004E053C">
        <w:rPr>
          <w:rFonts w:cstheme="majorHAnsi"/>
          <w:sz w:val="22"/>
          <w:szCs w:val="22"/>
          <w:lang w:val="en-GB"/>
        </w:rPr>
        <w:t xml:space="preserve">. </w:t>
      </w:r>
    </w:p>
    <w:p w14:paraId="2E62D51D" w14:textId="77777777" w:rsidR="0077618A" w:rsidRPr="004E053C" w:rsidRDefault="0077618A" w:rsidP="004E053C">
      <w:pPr>
        <w:spacing w:line="360" w:lineRule="auto"/>
        <w:jc w:val="both"/>
        <w:rPr>
          <w:rFonts w:cstheme="majorHAnsi"/>
          <w:sz w:val="22"/>
          <w:szCs w:val="22"/>
          <w:lang w:val="en-GB"/>
        </w:rPr>
      </w:pPr>
    </w:p>
    <w:p w14:paraId="20969314" w14:textId="324937B3"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 xml:space="preserve">For the purpose of this study, I selected sites based on the typical case. In general, a typical case should be representative and the results transferable. While the particular thing under investigation is unique, it is also a single example of a broader class of things </w:t>
      </w:r>
      <w:r w:rsidR="00D95F60" w:rsidRPr="004E053C">
        <w:rPr>
          <w:rFonts w:cstheme="majorHAnsi"/>
          <w:sz w:val="22"/>
          <w:szCs w:val="22"/>
          <w:lang w:val="en-GB"/>
        </w:rPr>
        <w:fldChar w:fldCharType="begin" w:fldLock="1"/>
      </w:r>
      <w:r w:rsidR="00D95F60" w:rsidRPr="004E053C">
        <w:rPr>
          <w:rFonts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2014)","plainTextFormattedCitation":"(Denscombe, 2014)","previouslyFormattedCitation":"(Denscombe, 2014)"},"properties":{"noteIndex":0},"schema":"https://github.com/citation-style-language/schema/raw/master/csl-citation.json"}</w:instrText>
      </w:r>
      <w:r w:rsidR="00D95F60" w:rsidRPr="004E053C">
        <w:rPr>
          <w:rFonts w:cstheme="majorHAnsi"/>
          <w:sz w:val="22"/>
          <w:szCs w:val="22"/>
          <w:lang w:val="en-GB"/>
        </w:rPr>
        <w:fldChar w:fldCharType="separate"/>
      </w:r>
      <w:r w:rsidR="00D95F60" w:rsidRPr="004E053C">
        <w:rPr>
          <w:rFonts w:cstheme="majorHAnsi"/>
          <w:noProof/>
          <w:sz w:val="22"/>
          <w:szCs w:val="22"/>
          <w:lang w:val="en-GB"/>
        </w:rPr>
        <w:t>(Denscombe, 2014)</w:t>
      </w:r>
      <w:r w:rsidR="00D95F60" w:rsidRPr="004E053C">
        <w:rPr>
          <w:rFonts w:cstheme="majorHAnsi"/>
          <w:sz w:val="22"/>
          <w:szCs w:val="22"/>
          <w:lang w:val="en-GB"/>
        </w:rPr>
        <w:fldChar w:fldCharType="end"/>
      </w:r>
      <w:r w:rsidRPr="004E053C">
        <w:rPr>
          <w:rFonts w:cstheme="majorHAnsi"/>
          <w:sz w:val="22"/>
          <w:szCs w:val="22"/>
          <w:lang w:val="en-GB"/>
        </w:rPr>
        <w:t xml:space="preserve">. While it is argued that the findings drawn from instrumental case studies are more easily applicable to other scenarios, Stake </w:t>
      </w:r>
      <w:r w:rsidR="00D95F60" w:rsidRPr="004E053C">
        <w:rPr>
          <w:rFonts w:cstheme="majorHAnsi"/>
          <w:sz w:val="22"/>
          <w:szCs w:val="22"/>
          <w:lang w:val="en-GB"/>
        </w:rPr>
        <w:fldChar w:fldCharType="begin" w:fldLock="1"/>
      </w:r>
      <w:r w:rsidR="00D95F60" w:rsidRPr="004E053C">
        <w:rPr>
          <w:rFonts w:cstheme="majorHAnsi"/>
          <w:sz w:val="22"/>
          <w:szCs w:val="22"/>
          <w:lang w:val="en-GB"/>
        </w:rPr>
        <w:instrText>ADDIN CSL_CITATION {"citationItems":[{"id":"ITEM-1","itemData":{"author":[{"dropping-particle":"","family":"Stake","given":"R.E.","non-dropping-particle":"","parse-names":false,"suffix":""}],"container-title":"The Sage Handbook of Qualitative Research","edition":"3rd","editor":[{"dropping-particle":"","family":"Denzin","given":"N.K","non-dropping-particle":"","parse-names":false,"suffix":""},{"dropping-particle":"","family":"Lincoln","given":"Y.S","non-dropping-particle":"","parse-names":false,"suffix":""}],"id":"ITEM-1","issued":{"date-parts":[["2005"]]},"page":"443-466","publisher":"Sage Publications Ltd","publisher-place":"London, UK","title":"Qualitative Case Studies","type":"chapter"},"uris":["http://www.mendeley.com/documents/?uuid=6bf5a596-359d-42a9-8af0-963920701eb8"]}],"mendeley":{"formattedCitation":"(Stake, 2005)","manualFormatting":"(2005)","plainTextFormattedCitation":"(Stake, 2005)","previouslyFormattedCitation":"(Stake, 2005)"},"properties":{"noteIndex":0},"schema":"https://github.com/citation-style-language/schema/raw/master/csl-citation.json"}</w:instrText>
      </w:r>
      <w:r w:rsidR="00D95F60" w:rsidRPr="004E053C">
        <w:rPr>
          <w:rFonts w:cstheme="majorHAnsi"/>
          <w:sz w:val="22"/>
          <w:szCs w:val="22"/>
          <w:lang w:val="en-GB"/>
        </w:rPr>
        <w:fldChar w:fldCharType="separate"/>
      </w:r>
      <w:r w:rsidR="00D95F60" w:rsidRPr="004E053C">
        <w:rPr>
          <w:rFonts w:cstheme="majorHAnsi"/>
          <w:noProof/>
          <w:sz w:val="22"/>
          <w:szCs w:val="22"/>
          <w:lang w:val="en-GB"/>
        </w:rPr>
        <w:t>(2005)</w:t>
      </w:r>
      <w:r w:rsidR="00D95F60" w:rsidRPr="004E053C">
        <w:rPr>
          <w:rFonts w:cstheme="majorHAnsi"/>
          <w:sz w:val="22"/>
          <w:szCs w:val="22"/>
          <w:lang w:val="en-GB"/>
        </w:rPr>
        <w:fldChar w:fldCharType="end"/>
      </w:r>
      <w:r w:rsidRPr="004E053C">
        <w:rPr>
          <w:rFonts w:cstheme="majorHAnsi"/>
          <w:sz w:val="22"/>
          <w:szCs w:val="22"/>
          <w:lang w:val="en-GB"/>
        </w:rPr>
        <w:t xml:space="preserve"> warns against the tendency for researchers to become obsessed with generalisability in site selection. He argues that even intrinsic case studies, which are selected purely because the investigator wants to understand that particular case more thoroughly, can be seen as a small step towards grand generalisation. However, an overzealous commitment to theorise runs the risk of detracting attention from important aspects of the specific case that are necessary fo</w:t>
      </w:r>
      <w:r w:rsidR="00D95F60" w:rsidRPr="004E053C">
        <w:rPr>
          <w:rFonts w:cstheme="majorHAnsi"/>
          <w:sz w:val="22"/>
          <w:szCs w:val="22"/>
          <w:lang w:val="en-GB"/>
        </w:rPr>
        <w:t xml:space="preserve">r its comprehension </w:t>
      </w:r>
      <w:r w:rsidR="00D95F60" w:rsidRPr="004E053C">
        <w:rPr>
          <w:rFonts w:cstheme="majorHAnsi"/>
          <w:sz w:val="22"/>
          <w:szCs w:val="22"/>
          <w:lang w:val="en-GB"/>
        </w:rPr>
        <w:fldChar w:fldCharType="begin" w:fldLock="1"/>
      </w:r>
      <w:r w:rsidR="00B67ED4" w:rsidRPr="004E053C">
        <w:rPr>
          <w:rFonts w:cstheme="majorHAnsi"/>
          <w:sz w:val="22"/>
          <w:szCs w:val="22"/>
          <w:lang w:val="en-GB"/>
        </w:rPr>
        <w:instrText>ADDIN CSL_CITATION {"citationItems":[{"id":"ITEM-1","itemData":{"author":[{"dropping-particle":"","family":"Stake","given":"R.E.","non-dropping-particle":"","parse-names":false,"suffix":""}],"container-title":"The Sage Handbook of Qualitative Research","edition":"3rd","editor":[{"dropping-particle":"","family":"Denzin","given":"N.K","non-dropping-particle":"","parse-names":false,"suffix":""},{"dropping-particle":"","family":"Lincoln","given":"Y.S","non-dropping-particle":"","parse-names":false,"suffix":""}],"id":"ITEM-1","issued":{"date-parts":[["2005"]]},"page":"443-466","publisher":"Sage Publications Ltd","publisher-place":"London, UK","title":"Qualitative Case Studies","type":"chapter"},"uris":["http://www.mendeley.com/documents/?uuid=6bf5a596-359d-42a9-8af0-963920701eb8"]}],"mendeley":{"formattedCitation":"(Stake, 2005)","manualFormatting":"(Ibid.)","plainTextFormattedCitation":"(Stake, 2005)","previouslyFormattedCitation":"(Stake, 2005)"},"properties":{"noteIndex":0},"schema":"https://github.com/citation-style-language/schema/raw/master/csl-citation.json"}</w:instrText>
      </w:r>
      <w:r w:rsidR="00D95F60" w:rsidRPr="004E053C">
        <w:rPr>
          <w:rFonts w:cstheme="majorHAnsi"/>
          <w:sz w:val="22"/>
          <w:szCs w:val="22"/>
          <w:lang w:val="en-GB"/>
        </w:rPr>
        <w:fldChar w:fldCharType="separate"/>
      </w:r>
      <w:r w:rsidR="004B0526" w:rsidRPr="004E053C">
        <w:rPr>
          <w:rFonts w:cstheme="majorHAnsi"/>
          <w:noProof/>
          <w:sz w:val="22"/>
          <w:szCs w:val="22"/>
          <w:lang w:val="en-GB"/>
        </w:rPr>
        <w:t>(Ibid</w:t>
      </w:r>
      <w:r w:rsidR="00EC4FAE" w:rsidRPr="004E053C">
        <w:rPr>
          <w:rFonts w:cstheme="majorHAnsi"/>
          <w:noProof/>
          <w:sz w:val="22"/>
          <w:szCs w:val="22"/>
          <w:lang w:val="en-GB"/>
        </w:rPr>
        <w:t>.</w:t>
      </w:r>
      <w:r w:rsidR="00D95F60" w:rsidRPr="004E053C">
        <w:rPr>
          <w:rFonts w:cstheme="majorHAnsi"/>
          <w:noProof/>
          <w:sz w:val="22"/>
          <w:szCs w:val="22"/>
          <w:lang w:val="en-GB"/>
        </w:rPr>
        <w:t>)</w:t>
      </w:r>
      <w:r w:rsidR="00D95F60" w:rsidRPr="004E053C">
        <w:rPr>
          <w:rFonts w:cstheme="majorHAnsi"/>
          <w:sz w:val="22"/>
          <w:szCs w:val="22"/>
          <w:lang w:val="en-GB"/>
        </w:rPr>
        <w:fldChar w:fldCharType="end"/>
      </w:r>
      <w:r w:rsidRPr="004E053C">
        <w:rPr>
          <w:rFonts w:cstheme="majorHAnsi"/>
          <w:sz w:val="22"/>
          <w:szCs w:val="22"/>
          <w:lang w:val="en-GB"/>
        </w:rPr>
        <w:t xml:space="preserve">. Similarly, Denscombe </w:t>
      </w:r>
      <w:r w:rsidR="00D95F60" w:rsidRPr="004E053C">
        <w:rPr>
          <w:rFonts w:cstheme="majorHAnsi"/>
          <w:sz w:val="22"/>
          <w:szCs w:val="22"/>
          <w:lang w:val="en-GB"/>
        </w:rPr>
        <w:fldChar w:fldCharType="begin" w:fldLock="1"/>
      </w:r>
      <w:r w:rsidR="008503BC" w:rsidRPr="004E053C">
        <w:rPr>
          <w:rFonts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2014)","manualFormatting":"(2014)","plainTextFormattedCitation":"(Denscombe, 2014)","previouslyFormattedCitation":"(Denscombe, 2014)"},"properties":{"noteIndex":0},"schema":"https://github.com/citation-style-language/schema/raw/master/csl-citation.json"}</w:instrText>
      </w:r>
      <w:r w:rsidR="00D95F60" w:rsidRPr="004E053C">
        <w:rPr>
          <w:rFonts w:cstheme="majorHAnsi"/>
          <w:sz w:val="22"/>
          <w:szCs w:val="22"/>
          <w:lang w:val="en-GB"/>
        </w:rPr>
        <w:fldChar w:fldCharType="separate"/>
      </w:r>
      <w:r w:rsidR="00D95F60" w:rsidRPr="004E053C">
        <w:rPr>
          <w:rFonts w:cstheme="majorHAnsi"/>
          <w:noProof/>
          <w:sz w:val="22"/>
          <w:szCs w:val="22"/>
          <w:lang w:val="en-GB"/>
        </w:rPr>
        <w:t>(2014)</w:t>
      </w:r>
      <w:r w:rsidR="00D95F60" w:rsidRPr="004E053C">
        <w:rPr>
          <w:rFonts w:cstheme="majorHAnsi"/>
          <w:sz w:val="22"/>
          <w:szCs w:val="22"/>
          <w:lang w:val="en-GB"/>
        </w:rPr>
        <w:fldChar w:fldCharType="end"/>
      </w:r>
      <w:r w:rsidRPr="004E053C">
        <w:rPr>
          <w:rFonts w:cstheme="majorHAnsi"/>
          <w:sz w:val="22"/>
          <w:szCs w:val="22"/>
          <w:lang w:val="en-GB"/>
        </w:rPr>
        <w:t xml:space="preserve"> argues that a case study provides a chance to analyse one particular setting and arrive at certain concepts and propositions that might explain what is happening and why. </w:t>
      </w:r>
    </w:p>
    <w:p w14:paraId="4B951C10" w14:textId="2FF4EB19" w:rsidR="0077618A" w:rsidRPr="004E053C" w:rsidRDefault="00D95F60" w:rsidP="004E053C">
      <w:pPr>
        <w:tabs>
          <w:tab w:val="left" w:pos="5193"/>
        </w:tabs>
        <w:spacing w:line="360" w:lineRule="auto"/>
        <w:jc w:val="both"/>
        <w:rPr>
          <w:rFonts w:cstheme="majorHAnsi"/>
          <w:color w:val="000000"/>
          <w:sz w:val="22"/>
          <w:szCs w:val="22"/>
          <w:lang w:val="en-GB"/>
        </w:rPr>
      </w:pPr>
      <w:r w:rsidRPr="004E053C">
        <w:rPr>
          <w:rFonts w:cstheme="majorHAnsi"/>
          <w:color w:val="000000"/>
          <w:sz w:val="22"/>
          <w:szCs w:val="22"/>
          <w:lang w:val="en-GB"/>
        </w:rPr>
        <w:tab/>
      </w:r>
    </w:p>
    <w:p w14:paraId="74486EC6" w14:textId="09935094" w:rsidR="00843DED"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In this translocal study, I focus on two main areas within the translocal ASM community - a community of origin and a community of destination. I felt that it was important to select a community of origin that was representative of localities with high levels of out-migration due to the mining industry. During an initial scoping visit to Peru in September-October 2016, I held a number of informal meetings with organisations and experts in order to help identify communities to work with. Through these discussions, I was able to identify criteria that the ‘typical’ origin commu</w:t>
      </w:r>
      <w:r w:rsidR="00844FD6" w:rsidRPr="004E053C">
        <w:rPr>
          <w:rFonts w:cstheme="majorHAnsi"/>
          <w:sz w:val="22"/>
          <w:szCs w:val="22"/>
          <w:lang w:val="en-GB"/>
        </w:rPr>
        <w:t>nity would have. The criteria are</w:t>
      </w:r>
      <w:r w:rsidRPr="004E053C">
        <w:rPr>
          <w:rFonts w:cstheme="majorHAnsi"/>
          <w:sz w:val="22"/>
          <w:szCs w:val="22"/>
          <w:lang w:val="en-GB"/>
        </w:rPr>
        <w:t xml:space="preserve"> as follows: </w:t>
      </w:r>
    </w:p>
    <w:p w14:paraId="04C73755" w14:textId="77777777" w:rsidR="009E022C" w:rsidRPr="004E053C" w:rsidRDefault="009E022C" w:rsidP="004E053C">
      <w:pPr>
        <w:spacing w:line="360" w:lineRule="auto"/>
        <w:jc w:val="both"/>
        <w:rPr>
          <w:rFonts w:cstheme="majorHAnsi"/>
          <w:sz w:val="22"/>
          <w:szCs w:val="22"/>
          <w:lang w:val="en-GB"/>
        </w:rPr>
      </w:pPr>
    </w:p>
    <w:p w14:paraId="072FDBAB" w14:textId="19CE8A28" w:rsidR="0077618A" w:rsidRPr="004E053C" w:rsidRDefault="0077618A" w:rsidP="004E053C">
      <w:pPr>
        <w:pStyle w:val="ListParagraph"/>
        <w:numPr>
          <w:ilvl w:val="0"/>
          <w:numId w:val="3"/>
        </w:numPr>
        <w:spacing w:after="0" w:line="360" w:lineRule="auto"/>
        <w:ind w:left="357" w:hanging="357"/>
        <w:jc w:val="both"/>
        <w:rPr>
          <w:rFonts w:cstheme="majorHAnsi"/>
          <w:sz w:val="24"/>
          <w:szCs w:val="24"/>
          <w:lang w:val="en-GB"/>
        </w:rPr>
      </w:pPr>
      <w:r w:rsidRPr="004E053C">
        <w:rPr>
          <w:rFonts w:cstheme="majorHAnsi"/>
          <w:b/>
          <w:lang w:val="en-GB"/>
        </w:rPr>
        <w:t xml:space="preserve">A small town or village – </w:t>
      </w:r>
      <w:r w:rsidRPr="004E053C">
        <w:rPr>
          <w:rFonts w:cstheme="majorHAnsi"/>
          <w:bCs/>
          <w:lang w:val="en-GB"/>
        </w:rPr>
        <w:t xml:space="preserve">Small towns and villages are much more ‘typical’ of origin communities than are big cities, as in the majority of all Peruvian migration cities tend to be the destination communities. Furthermore, while there may be large numbers of miners who do migrate from cities such as Lima or Cusco to the mining settlements in Madre de Dios, the impact on their origin community is not as obvious. </w:t>
      </w:r>
    </w:p>
    <w:p w14:paraId="520AE299" w14:textId="77777777" w:rsidR="0077618A" w:rsidRPr="004E053C" w:rsidRDefault="0077618A" w:rsidP="004E053C">
      <w:pPr>
        <w:pStyle w:val="NormalWeb"/>
        <w:numPr>
          <w:ilvl w:val="0"/>
          <w:numId w:val="3"/>
        </w:numPr>
        <w:spacing w:before="0" w:beforeAutospacing="0" w:after="0" w:afterAutospacing="0" w:line="360" w:lineRule="auto"/>
        <w:ind w:left="357" w:hanging="357"/>
        <w:jc w:val="both"/>
        <w:rPr>
          <w:rFonts w:asciiTheme="minorHAnsi" w:hAnsiTheme="minorHAnsi" w:cstheme="majorHAnsi"/>
          <w:sz w:val="22"/>
          <w:szCs w:val="22"/>
        </w:rPr>
      </w:pPr>
      <w:r w:rsidRPr="004E053C">
        <w:rPr>
          <w:rFonts w:asciiTheme="minorHAnsi" w:hAnsiTheme="minorHAnsi" w:cstheme="majorHAnsi"/>
          <w:b/>
          <w:sz w:val="22"/>
          <w:szCs w:val="22"/>
        </w:rPr>
        <w:t>Located in the Andes</w:t>
      </w:r>
      <w:r w:rsidRPr="004E053C">
        <w:rPr>
          <w:rFonts w:asciiTheme="minorHAnsi" w:hAnsiTheme="minorHAnsi" w:cstheme="majorHAnsi"/>
          <w:sz w:val="22"/>
          <w:szCs w:val="22"/>
        </w:rPr>
        <w:t xml:space="preserve"> – It is widely acknowledged that the majority of miners in Madre de Dios have migrated from towns and villages in the Andes. People from the Andes have been involved </w:t>
      </w:r>
      <w:r w:rsidRPr="004E053C">
        <w:rPr>
          <w:rFonts w:asciiTheme="minorHAnsi" w:hAnsiTheme="minorHAnsi" w:cstheme="majorHAnsi"/>
          <w:sz w:val="22"/>
          <w:szCs w:val="22"/>
        </w:rPr>
        <w:lastRenderedPageBreak/>
        <w:t>in mining for many years, and have travelled far to do so. They are also often thought of as being physically strong and in the past recruiters frequently visited towns in the Andes to find people to work in the mining in Madre de Dios.</w:t>
      </w:r>
    </w:p>
    <w:p w14:paraId="06A3D942" w14:textId="77777777" w:rsidR="0077618A" w:rsidRPr="004E053C" w:rsidRDefault="0077618A" w:rsidP="004E053C">
      <w:pPr>
        <w:pStyle w:val="NormalWeb"/>
        <w:numPr>
          <w:ilvl w:val="0"/>
          <w:numId w:val="3"/>
        </w:numPr>
        <w:spacing w:before="0" w:beforeAutospacing="0" w:after="0" w:afterAutospacing="0" w:line="360" w:lineRule="auto"/>
        <w:ind w:left="357" w:hanging="357"/>
        <w:jc w:val="both"/>
        <w:rPr>
          <w:rFonts w:asciiTheme="minorHAnsi" w:hAnsiTheme="minorHAnsi" w:cstheme="majorHAnsi"/>
          <w:sz w:val="22"/>
          <w:szCs w:val="22"/>
        </w:rPr>
      </w:pPr>
      <w:r w:rsidRPr="004E053C">
        <w:rPr>
          <w:rFonts w:asciiTheme="minorHAnsi" w:hAnsiTheme="minorHAnsi" w:cstheme="majorHAnsi"/>
          <w:b/>
          <w:sz w:val="22"/>
          <w:szCs w:val="22"/>
        </w:rPr>
        <w:t>A high incidence of families involved in the mining sector</w:t>
      </w:r>
      <w:r w:rsidRPr="004E053C">
        <w:rPr>
          <w:rFonts w:asciiTheme="minorHAnsi" w:hAnsiTheme="minorHAnsi" w:cstheme="majorHAnsi"/>
          <w:sz w:val="22"/>
          <w:szCs w:val="22"/>
        </w:rPr>
        <w:t xml:space="preserve"> – This is important as to see if the migration has an impact on the origin communities, there need to be many households involved in the sector. If there were only 1 or 2 families involved, there is unlikely to be much of impact.</w:t>
      </w:r>
    </w:p>
    <w:p w14:paraId="56D26C00" w14:textId="77777777" w:rsidR="0077618A" w:rsidRPr="004E053C" w:rsidRDefault="0077618A" w:rsidP="004E053C">
      <w:pPr>
        <w:pStyle w:val="NormalWeb"/>
        <w:numPr>
          <w:ilvl w:val="0"/>
          <w:numId w:val="3"/>
        </w:numPr>
        <w:spacing w:before="0" w:beforeAutospacing="0" w:after="0" w:afterAutospacing="0" w:line="360" w:lineRule="auto"/>
        <w:ind w:left="357" w:hanging="357"/>
        <w:jc w:val="both"/>
        <w:rPr>
          <w:rFonts w:asciiTheme="minorHAnsi" w:hAnsiTheme="minorHAnsi" w:cstheme="majorHAnsi"/>
          <w:sz w:val="22"/>
          <w:szCs w:val="22"/>
        </w:rPr>
      </w:pPr>
      <w:r w:rsidRPr="004E053C">
        <w:rPr>
          <w:rFonts w:asciiTheme="minorHAnsi" w:hAnsiTheme="minorHAnsi" w:cstheme="majorHAnsi"/>
          <w:b/>
          <w:sz w:val="22"/>
          <w:szCs w:val="22"/>
        </w:rPr>
        <w:t xml:space="preserve">Households have members who stayed in the area while others went away to work – </w:t>
      </w:r>
      <w:r w:rsidRPr="004E053C">
        <w:rPr>
          <w:rFonts w:asciiTheme="minorHAnsi" w:hAnsiTheme="minorHAnsi" w:cstheme="majorHAnsi"/>
          <w:sz w:val="22"/>
          <w:szCs w:val="22"/>
        </w:rPr>
        <w:t>I am interested to see if there are changes to both household and community relationships as a result of translocality. It is essential therefore that some household members remain in the village</w:t>
      </w:r>
      <w:r w:rsidRPr="004E053C">
        <w:rPr>
          <w:rFonts w:asciiTheme="minorHAnsi" w:hAnsiTheme="minorHAnsi" w:cstheme="majorHAnsi"/>
          <w:b/>
          <w:sz w:val="22"/>
          <w:szCs w:val="22"/>
        </w:rPr>
        <w:t>.</w:t>
      </w:r>
    </w:p>
    <w:p w14:paraId="473B5B72" w14:textId="77777777" w:rsidR="00843DED" w:rsidRPr="004E053C" w:rsidRDefault="00843DED" w:rsidP="004E053C">
      <w:pPr>
        <w:pStyle w:val="NormalWeb"/>
        <w:spacing w:before="0" w:beforeAutospacing="0" w:after="0" w:afterAutospacing="0" w:line="360" w:lineRule="auto"/>
        <w:ind w:left="720"/>
        <w:jc w:val="both"/>
        <w:rPr>
          <w:rFonts w:asciiTheme="minorHAnsi" w:hAnsiTheme="minorHAnsi" w:cstheme="majorHAnsi"/>
          <w:sz w:val="22"/>
          <w:szCs w:val="22"/>
        </w:rPr>
      </w:pPr>
    </w:p>
    <w:p w14:paraId="61863096" w14:textId="77777777" w:rsidR="0077618A" w:rsidRPr="004E053C" w:rsidRDefault="0077618A"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bCs/>
          <w:sz w:val="22"/>
          <w:szCs w:val="22"/>
        </w:rPr>
        <w:t xml:space="preserve">The ‘typical case’ of a community of origin embroiled in translocal ASM livelihoods is therefore a small town or village where a large number of households rely on seasonal or permanent migration of some of the family members to mining settlements. </w:t>
      </w:r>
      <w:r w:rsidRPr="004E053C">
        <w:rPr>
          <w:rFonts w:asciiTheme="minorHAnsi" w:hAnsiTheme="minorHAnsi" w:cstheme="majorHAnsi"/>
          <w:sz w:val="22"/>
          <w:szCs w:val="22"/>
        </w:rPr>
        <w:t xml:space="preserve">I planned to draw on the connections made in these origin communities to identify the destination community. </w:t>
      </w:r>
    </w:p>
    <w:p w14:paraId="2CAC596A"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bCs/>
          <w:sz w:val="22"/>
          <w:szCs w:val="22"/>
        </w:rPr>
      </w:pPr>
    </w:p>
    <w:p w14:paraId="7402DC9B" w14:textId="36A2DFFF" w:rsidR="0077618A" w:rsidRPr="004E053C" w:rsidRDefault="00F16371" w:rsidP="004E053C">
      <w:pPr>
        <w:pStyle w:val="Heading3"/>
        <w:rPr>
          <w:rFonts w:asciiTheme="minorHAnsi" w:hAnsiTheme="minorHAnsi"/>
        </w:rPr>
      </w:pPr>
      <w:r w:rsidRPr="004E053C">
        <w:rPr>
          <w:rFonts w:asciiTheme="minorHAnsi" w:hAnsiTheme="minorHAnsi"/>
        </w:rPr>
        <w:t>5</w:t>
      </w:r>
      <w:r w:rsidR="004A3EF1" w:rsidRPr="004E053C">
        <w:rPr>
          <w:rFonts w:asciiTheme="minorHAnsi" w:hAnsiTheme="minorHAnsi"/>
        </w:rPr>
        <w:t>.5.1. The origin community</w:t>
      </w:r>
    </w:p>
    <w:p w14:paraId="6AEEFF83" w14:textId="77777777" w:rsidR="00843DED" w:rsidRPr="004E053C" w:rsidRDefault="00843DED" w:rsidP="004E053C">
      <w:pPr>
        <w:jc w:val="both"/>
        <w:rPr>
          <w:lang w:val="en-GB"/>
        </w:rPr>
      </w:pPr>
    </w:p>
    <w:p w14:paraId="2CD618A7" w14:textId="1CC1DD5B" w:rsidR="0077618A" w:rsidRPr="004E053C" w:rsidRDefault="0077618A"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 xml:space="preserve">In order to gain access to the field site, I had hoped to find a gatekeeper who could introduce me to the communities and facilitate interviews and focus group discussions (FGDs). </w:t>
      </w:r>
      <w:r w:rsidR="00844FD6" w:rsidRPr="004E053C">
        <w:rPr>
          <w:rFonts w:asciiTheme="minorHAnsi" w:hAnsiTheme="minorHAnsi" w:cstheme="majorHAnsi"/>
          <w:sz w:val="22"/>
          <w:szCs w:val="22"/>
        </w:rPr>
        <w:t>I identified one international Non-Governmental O</w:t>
      </w:r>
      <w:r w:rsidRPr="004E053C">
        <w:rPr>
          <w:rFonts w:asciiTheme="minorHAnsi" w:hAnsiTheme="minorHAnsi" w:cstheme="majorHAnsi"/>
          <w:sz w:val="22"/>
          <w:szCs w:val="22"/>
        </w:rPr>
        <w:t xml:space="preserve">rganisation (INGO) </w:t>
      </w:r>
      <w:r w:rsidR="00D3785B" w:rsidRPr="004E053C">
        <w:rPr>
          <w:rFonts w:asciiTheme="minorHAnsi" w:hAnsiTheme="minorHAnsi" w:cstheme="majorHAnsi"/>
          <w:sz w:val="22"/>
          <w:szCs w:val="22"/>
        </w:rPr>
        <w:t>that</w:t>
      </w:r>
      <w:r w:rsidRPr="004E053C">
        <w:rPr>
          <w:rFonts w:asciiTheme="minorHAnsi" w:hAnsiTheme="minorHAnsi" w:cstheme="majorHAnsi"/>
          <w:sz w:val="22"/>
          <w:szCs w:val="22"/>
        </w:rPr>
        <w:t xml:space="preserve"> reported working in communities that fitted my criteria, and after discussions with them it was decided that my research should focus on the district of Pitumarca. However, after arranging meetings with the community leaders in Pitumarca, it was discovered that the majority of mining migrants were either students, who migrated temporarily during study vacations, or very young men without families. This meant they were unfortunately not appropriate research participants, as I was interested in how households manage translocal ASM livelihoods across a spatial divide. I therefore needed to change the study location, as Pitumarca did not meet the selection criteria. Fortunately, a benefit of case studies is that they have a flexible design </w:t>
      </w:r>
      <w:r w:rsidR="000B0DC6" w:rsidRPr="004E053C">
        <w:rPr>
          <w:rFonts w:asciiTheme="minorHAnsi" w:hAnsiTheme="minorHAnsi" w:cstheme="majorHAnsi"/>
          <w:sz w:val="22"/>
          <w:szCs w:val="22"/>
        </w:rPr>
        <w:fldChar w:fldCharType="begin" w:fldLock="1"/>
      </w:r>
      <w:r w:rsidR="000B0DC6" w:rsidRPr="004E053C">
        <w:rPr>
          <w:rFonts w:asciiTheme="minorHAnsi" w:hAnsiTheme="minorHAnsi" w:cstheme="majorHAnsi"/>
          <w:sz w:val="22"/>
          <w:szCs w:val="22"/>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Methods","type":"book"},"uris":["http://www.mendeley.com/documents/?uuid=986168dc-8e04-4844-b006-fa8bdfa744d3"]}],"mendeley":{"formattedCitation":"(Yin, 2009)","plainTextFormattedCitation":"(Yin, 2009)","previouslyFormattedCitation":"(Yin, 2009)"},"properties":{"noteIndex":0},"schema":"https://github.com/citation-style-language/schema/raw/master/csl-citation.json"}</w:instrText>
      </w:r>
      <w:r w:rsidR="000B0DC6" w:rsidRPr="004E053C">
        <w:rPr>
          <w:rFonts w:asciiTheme="minorHAnsi" w:hAnsiTheme="minorHAnsi" w:cstheme="majorHAnsi"/>
          <w:sz w:val="22"/>
          <w:szCs w:val="22"/>
        </w:rPr>
        <w:fldChar w:fldCharType="separate"/>
      </w:r>
      <w:r w:rsidR="000B0DC6" w:rsidRPr="004E053C">
        <w:rPr>
          <w:rFonts w:asciiTheme="minorHAnsi" w:hAnsiTheme="minorHAnsi" w:cstheme="majorHAnsi"/>
          <w:noProof/>
          <w:sz w:val="22"/>
          <w:szCs w:val="22"/>
        </w:rPr>
        <w:t>(Yin, 2009)</w:t>
      </w:r>
      <w:r w:rsidR="000B0DC6" w:rsidRPr="004E053C">
        <w:rPr>
          <w:rFonts w:asciiTheme="minorHAnsi" w:hAnsiTheme="minorHAnsi" w:cstheme="majorHAnsi"/>
          <w:sz w:val="22"/>
          <w:szCs w:val="22"/>
        </w:rPr>
        <w:fldChar w:fldCharType="end"/>
      </w:r>
      <w:r w:rsidR="000B0DC6" w:rsidRPr="004E053C">
        <w:rPr>
          <w:rFonts w:asciiTheme="minorHAnsi" w:hAnsiTheme="minorHAnsi" w:cstheme="majorHAnsi"/>
          <w:sz w:val="22"/>
          <w:szCs w:val="22"/>
        </w:rPr>
        <w:t xml:space="preserve"> </w:t>
      </w:r>
      <w:r w:rsidRPr="004E053C">
        <w:rPr>
          <w:rFonts w:asciiTheme="minorHAnsi" w:hAnsiTheme="minorHAnsi" w:cstheme="majorHAnsi"/>
          <w:sz w:val="22"/>
          <w:szCs w:val="22"/>
        </w:rPr>
        <w:t xml:space="preserve">and it was therefore possible to modify my case selection after this initial exploratory phase. </w:t>
      </w:r>
    </w:p>
    <w:p w14:paraId="2210B318"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sz w:val="22"/>
          <w:szCs w:val="22"/>
        </w:rPr>
      </w:pPr>
    </w:p>
    <w:p w14:paraId="2C7C7957" w14:textId="3EEFDB44" w:rsidR="0077618A" w:rsidRPr="004E053C" w:rsidRDefault="00844FD6"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Through discussion with local government</w:t>
      </w:r>
      <w:r w:rsidR="0077618A" w:rsidRPr="004E053C">
        <w:rPr>
          <w:rFonts w:asciiTheme="minorHAnsi" w:hAnsiTheme="minorHAnsi" w:cstheme="majorHAnsi"/>
          <w:sz w:val="22"/>
          <w:szCs w:val="22"/>
        </w:rPr>
        <w:t xml:space="preserve"> representatives in Pitumarca and the INGO it was discovered that communities in the nearby district of Ocongate would better fit my ‘typical case’. </w:t>
      </w:r>
      <w:r w:rsidR="007F1856" w:rsidRPr="004E053C">
        <w:rPr>
          <w:rFonts w:asciiTheme="minorHAnsi" w:hAnsiTheme="minorHAnsi" w:cstheme="majorHAnsi"/>
          <w:sz w:val="22"/>
          <w:szCs w:val="22"/>
        </w:rPr>
        <w:t xml:space="preserve">The district of </w:t>
      </w:r>
      <w:r w:rsidR="0077618A" w:rsidRPr="004E053C">
        <w:rPr>
          <w:rFonts w:asciiTheme="minorHAnsi" w:hAnsiTheme="minorHAnsi" w:cstheme="majorHAnsi"/>
          <w:sz w:val="22"/>
          <w:szCs w:val="22"/>
        </w:rPr>
        <w:t>Ocongate is in Quispicanci province, which is located in the Cusco region.</w:t>
      </w:r>
      <w:r w:rsidR="00E459B7" w:rsidRPr="004E053C">
        <w:rPr>
          <w:rFonts w:asciiTheme="minorHAnsi" w:hAnsiTheme="minorHAnsi" w:cstheme="majorHAnsi"/>
          <w:sz w:val="22"/>
          <w:szCs w:val="22"/>
        </w:rPr>
        <w:t xml:space="preserve"> In Figure 3</w:t>
      </w:r>
      <w:r w:rsidR="007F1856" w:rsidRPr="004E053C">
        <w:rPr>
          <w:rFonts w:asciiTheme="minorHAnsi" w:hAnsiTheme="minorHAnsi" w:cstheme="majorHAnsi"/>
          <w:sz w:val="22"/>
          <w:szCs w:val="22"/>
        </w:rPr>
        <w:t xml:space="preserve"> below, Cusco region is coloured in red, with the position of Ocongate within it highlighted in yellow.</w:t>
      </w:r>
      <w:r w:rsidR="0077618A" w:rsidRPr="004E053C">
        <w:rPr>
          <w:rFonts w:asciiTheme="minorHAnsi" w:hAnsiTheme="minorHAnsi" w:cstheme="majorHAnsi"/>
          <w:sz w:val="22"/>
          <w:szCs w:val="22"/>
        </w:rPr>
        <w:t xml:space="preserve"> Although Quispicanci province is a poor province generally, Ocongate is one of the poorest districts </w:t>
      </w:r>
      <w:r w:rsidR="0077618A" w:rsidRPr="004E053C">
        <w:rPr>
          <w:rFonts w:asciiTheme="minorHAnsi" w:hAnsiTheme="minorHAnsi" w:cstheme="majorHAnsi"/>
          <w:sz w:val="22"/>
          <w:szCs w:val="22"/>
        </w:rPr>
        <w:lastRenderedPageBreak/>
        <w:t>within it, with an estimated poverty rate of 83.3-93.3% in 2007</w:t>
      </w:r>
      <w:r w:rsidR="000B0DC6" w:rsidRPr="004E053C">
        <w:rPr>
          <w:rFonts w:asciiTheme="minorHAnsi" w:hAnsiTheme="minorHAnsi" w:cstheme="majorHAnsi"/>
          <w:sz w:val="22"/>
          <w:szCs w:val="22"/>
        </w:rPr>
        <w:t xml:space="preserve"> </w:t>
      </w:r>
      <w:r w:rsidR="00AE09AA" w:rsidRPr="004E053C">
        <w:rPr>
          <w:rFonts w:asciiTheme="minorHAnsi" w:hAnsiTheme="minorHAnsi" w:cstheme="majorHAnsi"/>
          <w:sz w:val="22"/>
          <w:szCs w:val="22"/>
        </w:rPr>
        <w:fldChar w:fldCharType="begin" w:fldLock="1"/>
      </w:r>
      <w:r w:rsidR="00061F17" w:rsidRPr="004E053C">
        <w:rPr>
          <w:rFonts w:asciiTheme="minorHAnsi" w:hAnsiTheme="minorHAnsi" w:cstheme="majorHAnsi"/>
          <w:sz w:val="22"/>
          <w:szCs w:val="22"/>
        </w:rPr>
        <w:instrText>ADDIN CSL_CITATION {"citationItems":[{"id":"ITEM-1","itemData":{"author":[{"dropping-particle":"","family":"Instituto Nacional de Estadistica e Informatica","given":"","non-dropping-particle":"","parse-names":false,"suffix":""}],"id":"ITEM-1","issued":{"date-parts":[["2008"]]},"publisher-place":"Lima, Peru","title":"Censos Nacionales 2007: XI de Poblacion y VI de Vivienda","type":"report"},"uris":["http://www.mendeley.com/documents/?uuid=92518981-4539-4396-b263-e462bbba04aa","http://www.mendeley.com/documents/?uuid=af70141e-c8fc-4005-82dd-dd48c93c4076"]}],"mendeley":{"formattedCitation":"(Instituto Nacional de Estadistica e Informatica, 2008a)","manualFormatting":"(INEI, 2008)","plainTextFormattedCitation":"(Instituto Nacional de Estadistica e Informatica, 2008a)","previouslyFormattedCitation":"(Instituto Nacional de Estadistica e Informatica, 2008a)"},"properties":{"noteIndex":0},"schema":"https://github.com/citation-style-language/schema/raw/master/csl-citation.json"}</w:instrText>
      </w:r>
      <w:r w:rsidR="00AE09AA" w:rsidRPr="004E053C">
        <w:rPr>
          <w:rFonts w:asciiTheme="minorHAnsi" w:hAnsiTheme="minorHAnsi" w:cstheme="majorHAnsi"/>
          <w:sz w:val="22"/>
          <w:szCs w:val="22"/>
        </w:rPr>
        <w:fldChar w:fldCharType="separate"/>
      </w:r>
      <w:r w:rsidR="00AE09AA" w:rsidRPr="004E053C">
        <w:rPr>
          <w:rFonts w:asciiTheme="minorHAnsi" w:hAnsiTheme="minorHAnsi" w:cstheme="majorHAnsi"/>
          <w:noProof/>
          <w:sz w:val="22"/>
          <w:szCs w:val="22"/>
        </w:rPr>
        <w:t>(INEI, 2008)</w:t>
      </w:r>
      <w:r w:rsidR="00AE09AA" w:rsidRPr="004E053C">
        <w:rPr>
          <w:rFonts w:asciiTheme="minorHAnsi" w:hAnsiTheme="minorHAnsi" w:cstheme="majorHAnsi"/>
          <w:sz w:val="22"/>
          <w:szCs w:val="22"/>
        </w:rPr>
        <w:fldChar w:fldCharType="end"/>
      </w:r>
      <w:r w:rsidR="0077618A" w:rsidRPr="004E053C">
        <w:rPr>
          <w:rFonts w:asciiTheme="minorHAnsi" w:hAnsiTheme="minorHAnsi" w:cstheme="majorHAnsi"/>
          <w:sz w:val="22"/>
          <w:szCs w:val="22"/>
        </w:rPr>
        <w:t xml:space="preserve">. As the district is in the Andean mountain range, a high altitude of up to 6,000 meters above sea level </w:t>
      </w:r>
      <w:r w:rsidR="00AE09AA" w:rsidRPr="004E053C">
        <w:rPr>
          <w:rFonts w:asciiTheme="minorHAnsi" w:hAnsiTheme="minorHAnsi" w:cstheme="majorHAnsi"/>
          <w:sz w:val="22"/>
          <w:szCs w:val="22"/>
        </w:rPr>
        <w:fldChar w:fldCharType="begin" w:fldLock="1"/>
      </w:r>
      <w:r w:rsidR="001705C6" w:rsidRPr="004E053C">
        <w:rPr>
          <w:rFonts w:asciiTheme="minorHAnsi" w:hAnsiTheme="minorHAnsi" w:cstheme="majorHAnsi"/>
          <w:sz w:val="22"/>
          <w:szCs w:val="22"/>
        </w:rPr>
        <w:instrText>ADDIN CSL_CITATION {"citationItems":[{"id":"ITEM-1","itemData":{"author":[{"dropping-particle":"","family":"Municipalidad Distrital de Ocongate","given":"","non-dropping-particle":"","parse-names":false,"suffix":""}],"id":"ITEM-1","issued":{"date-parts":[["2005"]]},"number-of-pages":"1-13","title":"Plan de Desarrollo Institucional 2007-2010","type":"report"},"uris":["http://www.mendeley.com/documents/?uuid=462a4001-7ab7-4d86-9896-73ad6a8a167a"]}],"mendeley":{"formattedCitation":"(Municipalidad Distrital de Ocongate, 2005)","plainTextFormattedCitation":"(Municipalidad Distrital de Ocongate, 2005)","previouslyFormattedCitation":"(Municipalidad Distrital de Ocongate, 2005)"},"properties":{"noteIndex":0},"schema":"https://github.com/citation-style-language/schema/raw/master/csl-citation.json"}</w:instrText>
      </w:r>
      <w:r w:rsidR="00AE09AA" w:rsidRPr="004E053C">
        <w:rPr>
          <w:rFonts w:asciiTheme="minorHAnsi" w:hAnsiTheme="minorHAnsi" w:cstheme="majorHAnsi"/>
          <w:sz w:val="22"/>
          <w:szCs w:val="22"/>
        </w:rPr>
        <w:fldChar w:fldCharType="separate"/>
      </w:r>
      <w:r w:rsidR="001705C6" w:rsidRPr="004E053C">
        <w:rPr>
          <w:rFonts w:asciiTheme="minorHAnsi" w:hAnsiTheme="minorHAnsi" w:cstheme="majorHAnsi"/>
          <w:noProof/>
          <w:sz w:val="22"/>
          <w:szCs w:val="22"/>
        </w:rPr>
        <w:t>(Municipalidad Distrital de Ocongate, 2005)</w:t>
      </w:r>
      <w:r w:rsidR="00AE09AA" w:rsidRPr="004E053C">
        <w:rPr>
          <w:rFonts w:asciiTheme="minorHAnsi" w:hAnsiTheme="minorHAnsi" w:cstheme="majorHAnsi"/>
          <w:sz w:val="22"/>
          <w:szCs w:val="22"/>
        </w:rPr>
        <w:fldChar w:fldCharType="end"/>
      </w:r>
      <w:r w:rsidR="00AE09AA" w:rsidRPr="004E053C">
        <w:rPr>
          <w:rFonts w:asciiTheme="minorHAnsi" w:hAnsiTheme="minorHAnsi" w:cstheme="majorHAnsi"/>
          <w:sz w:val="22"/>
          <w:szCs w:val="22"/>
        </w:rPr>
        <w:t xml:space="preserve"> </w:t>
      </w:r>
      <w:r w:rsidR="0077618A" w:rsidRPr="004E053C">
        <w:rPr>
          <w:rFonts w:asciiTheme="minorHAnsi" w:hAnsiTheme="minorHAnsi" w:cstheme="majorHAnsi"/>
          <w:sz w:val="22"/>
          <w:szCs w:val="22"/>
        </w:rPr>
        <w:t xml:space="preserve">contributes to the vulnerability of agricultural livelihoods in the face of climate change. According to census data, the population of the entire district was only 13,578 </w:t>
      </w:r>
      <w:r w:rsidR="000B0DC6" w:rsidRPr="004E053C">
        <w:rPr>
          <w:rFonts w:asciiTheme="minorHAnsi" w:hAnsiTheme="minorHAnsi" w:cstheme="majorHAnsi"/>
          <w:sz w:val="22"/>
          <w:szCs w:val="22"/>
        </w:rPr>
        <w:t xml:space="preserve">in 2007 </w:t>
      </w:r>
      <w:r w:rsidR="00176FA2" w:rsidRPr="004E053C">
        <w:rPr>
          <w:rFonts w:asciiTheme="minorHAnsi" w:hAnsiTheme="minorHAnsi" w:cstheme="majorHAnsi"/>
          <w:sz w:val="22"/>
          <w:szCs w:val="22"/>
        </w:rPr>
        <w:fldChar w:fldCharType="begin" w:fldLock="1"/>
      </w:r>
      <w:r w:rsidR="00061F17" w:rsidRPr="004E053C">
        <w:rPr>
          <w:rFonts w:asciiTheme="minorHAnsi" w:hAnsiTheme="minorHAnsi" w:cstheme="majorHAnsi"/>
          <w:sz w:val="22"/>
          <w:szCs w:val="22"/>
        </w:rPr>
        <w:instrText>ADDIN CSL_CITATION {"citationItems":[{"id":"ITEM-1","itemData":{"author":[{"dropping-particle":"","family":"Instituto Nacional de Estadistica e Informatica","given":"","non-dropping-particle":"","parse-names":false,"suffix":""}],"id":"ITEM-1","issued":{"date-parts":[["2008"]]},"publisher-place":"Lima, Peru","title":"Censos Nacionales 2007: XI de Poblacion y VI de Vivienda","type":"report"},"uris":["http://www.mendeley.com/documents/?uuid=af70141e-c8fc-4005-82dd-dd48c93c4076","http://www.mendeley.com/documents/?uuid=92518981-4539-4396-b263-e462bbba04aa"]}],"mendeley":{"formattedCitation":"(Instituto Nacional de Estadistica e Informatica, 2008b)","manualFormatting":"(INEI, 2008)","plainTextFormattedCitation":"(Instituto Nacional de Estadistica e Informatica, 2008b)","previouslyFormattedCitation":"(Instituto Nacional de Estadistica e Informatica, 2008b)"},"properties":{"noteIndex":0},"schema":"https://github.com/citation-style-language/schema/raw/master/csl-citation.json"}</w:instrText>
      </w:r>
      <w:r w:rsidR="00176FA2" w:rsidRPr="004E053C">
        <w:rPr>
          <w:rFonts w:asciiTheme="minorHAnsi" w:hAnsiTheme="minorHAnsi" w:cstheme="majorHAnsi"/>
          <w:sz w:val="22"/>
          <w:szCs w:val="22"/>
        </w:rPr>
        <w:fldChar w:fldCharType="separate"/>
      </w:r>
      <w:r w:rsidR="00176FA2" w:rsidRPr="004E053C">
        <w:rPr>
          <w:rFonts w:asciiTheme="minorHAnsi" w:hAnsiTheme="minorHAnsi" w:cstheme="majorHAnsi"/>
          <w:noProof/>
          <w:sz w:val="22"/>
          <w:szCs w:val="22"/>
        </w:rPr>
        <w:t>(INEI, 2008)</w:t>
      </w:r>
      <w:r w:rsidR="00176FA2" w:rsidRPr="004E053C">
        <w:rPr>
          <w:rFonts w:asciiTheme="minorHAnsi" w:hAnsiTheme="minorHAnsi" w:cstheme="majorHAnsi"/>
          <w:sz w:val="22"/>
          <w:szCs w:val="22"/>
        </w:rPr>
        <w:fldChar w:fldCharType="end"/>
      </w:r>
      <w:r w:rsidR="00176FA2" w:rsidRPr="004E053C">
        <w:rPr>
          <w:rFonts w:asciiTheme="minorHAnsi" w:hAnsiTheme="minorHAnsi" w:cstheme="majorHAnsi"/>
          <w:sz w:val="22"/>
          <w:szCs w:val="22"/>
        </w:rPr>
        <w:t xml:space="preserve"> </w:t>
      </w:r>
      <w:r w:rsidR="0077618A" w:rsidRPr="004E053C">
        <w:rPr>
          <w:rFonts w:asciiTheme="minorHAnsi" w:hAnsiTheme="minorHAnsi" w:cstheme="majorHAnsi"/>
          <w:sz w:val="22"/>
          <w:szCs w:val="22"/>
        </w:rPr>
        <w:t xml:space="preserve">and this is spread across 33 comunidades, with the majority living in one of the three biggest population centres of Ocongate town, Tinki and Lauramarca </w:t>
      </w:r>
      <w:r w:rsidR="00176FA2" w:rsidRPr="004E053C">
        <w:rPr>
          <w:rFonts w:asciiTheme="minorHAnsi" w:hAnsiTheme="minorHAnsi" w:cstheme="majorHAnsi"/>
          <w:sz w:val="22"/>
          <w:szCs w:val="22"/>
        </w:rPr>
        <w:fldChar w:fldCharType="begin" w:fldLock="1"/>
      </w:r>
      <w:r w:rsidR="001705C6" w:rsidRPr="004E053C">
        <w:rPr>
          <w:rFonts w:asciiTheme="minorHAnsi" w:hAnsiTheme="minorHAnsi" w:cstheme="majorHAnsi"/>
          <w:sz w:val="22"/>
          <w:szCs w:val="22"/>
        </w:rPr>
        <w:instrText>ADDIN CSL_CITATION {"citationItems":[{"id":"ITEM-1","itemData":{"author":[{"dropping-particle":"","family":"Municipalidad Distrital de Ocongate","given":"","non-dropping-particle":"","parse-names":false,"suffix":""}],"id":"ITEM-1","issued":{"date-parts":[["2005"]]},"number-of-pages":"1-13","title":"Plan de Desarrollo Institucional 2007-2010","type":"report"},"uris":["http://www.mendeley.com/documents/?uuid=462a4001-7ab7-4d86-9896-73ad6a8a167a"]}],"mendeley":{"formattedCitation":"(Municipalidad Distrital de Ocongate, 2005)","plainTextFormattedCitation":"(Municipalidad Distrital de Ocongate, 2005)","previouslyFormattedCitation":"(Municipalidad Distrital de Ocongate, 2005)"},"properties":{"noteIndex":0},"schema":"https://github.com/citation-style-language/schema/raw/master/csl-citation.json"}</w:instrText>
      </w:r>
      <w:r w:rsidR="00176FA2" w:rsidRPr="004E053C">
        <w:rPr>
          <w:rFonts w:asciiTheme="minorHAnsi" w:hAnsiTheme="minorHAnsi" w:cstheme="majorHAnsi"/>
          <w:sz w:val="22"/>
          <w:szCs w:val="22"/>
        </w:rPr>
        <w:fldChar w:fldCharType="separate"/>
      </w:r>
      <w:r w:rsidR="001705C6" w:rsidRPr="004E053C">
        <w:rPr>
          <w:rFonts w:asciiTheme="minorHAnsi" w:hAnsiTheme="minorHAnsi" w:cstheme="majorHAnsi"/>
          <w:noProof/>
          <w:sz w:val="22"/>
          <w:szCs w:val="22"/>
        </w:rPr>
        <w:t>(Municipalidad Distrital de Ocongate, 2005)</w:t>
      </w:r>
      <w:r w:rsidR="00176FA2" w:rsidRPr="004E053C">
        <w:rPr>
          <w:rFonts w:asciiTheme="minorHAnsi" w:hAnsiTheme="minorHAnsi" w:cstheme="majorHAnsi"/>
          <w:sz w:val="22"/>
          <w:szCs w:val="22"/>
        </w:rPr>
        <w:fldChar w:fldCharType="end"/>
      </w:r>
      <w:r w:rsidR="00176FA2" w:rsidRPr="004E053C">
        <w:rPr>
          <w:rFonts w:asciiTheme="minorHAnsi" w:hAnsiTheme="minorHAnsi" w:cstheme="majorHAnsi"/>
          <w:sz w:val="22"/>
          <w:szCs w:val="22"/>
        </w:rPr>
        <w:t>.</w:t>
      </w:r>
    </w:p>
    <w:p w14:paraId="75B368B2"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sz w:val="22"/>
          <w:szCs w:val="22"/>
        </w:rPr>
      </w:pPr>
    </w:p>
    <w:p w14:paraId="60D2326D" w14:textId="1D5FCC7D" w:rsidR="0077618A" w:rsidRPr="004E053C" w:rsidRDefault="00DB3DA8" w:rsidP="004E053C">
      <w:pPr>
        <w:pStyle w:val="NormalWeb"/>
        <w:spacing w:before="0" w:beforeAutospacing="0" w:after="0" w:afterAutospacing="0" w:line="360" w:lineRule="auto"/>
        <w:jc w:val="both"/>
        <w:rPr>
          <w:rFonts w:asciiTheme="minorHAnsi" w:hAnsiTheme="minorHAnsi" w:cstheme="majorHAnsi"/>
          <w:b/>
          <w:sz w:val="22"/>
          <w:szCs w:val="22"/>
        </w:rPr>
      </w:pPr>
      <w:r w:rsidRPr="004E053C">
        <w:rPr>
          <w:rFonts w:asciiTheme="minorHAnsi" w:hAnsiTheme="minorHAnsi" w:cstheme="majorHAnsi"/>
          <w:b/>
          <w:sz w:val="22"/>
          <w:szCs w:val="22"/>
        </w:rPr>
        <w:t>Figure 3</w:t>
      </w:r>
      <w:r w:rsidR="007F1856" w:rsidRPr="004E053C">
        <w:rPr>
          <w:rFonts w:asciiTheme="minorHAnsi" w:hAnsiTheme="minorHAnsi" w:cstheme="majorHAnsi"/>
          <w:b/>
          <w:sz w:val="22"/>
          <w:szCs w:val="22"/>
        </w:rPr>
        <w:t xml:space="preserve">: Position of Cusco and Madre de Dios Regions and </w:t>
      </w:r>
      <w:r w:rsidR="0077618A" w:rsidRPr="004E053C">
        <w:rPr>
          <w:rFonts w:asciiTheme="minorHAnsi" w:hAnsiTheme="minorHAnsi" w:cstheme="majorHAnsi"/>
          <w:b/>
          <w:sz w:val="22"/>
          <w:szCs w:val="22"/>
        </w:rPr>
        <w:t xml:space="preserve">Ocongate </w:t>
      </w:r>
      <w:r w:rsidR="007F1856" w:rsidRPr="004E053C">
        <w:rPr>
          <w:rFonts w:asciiTheme="minorHAnsi" w:hAnsiTheme="minorHAnsi" w:cstheme="majorHAnsi"/>
          <w:b/>
          <w:sz w:val="22"/>
          <w:szCs w:val="22"/>
        </w:rPr>
        <w:t xml:space="preserve">and Tambopata Districts </w:t>
      </w:r>
      <w:r w:rsidR="0077618A" w:rsidRPr="004E053C">
        <w:rPr>
          <w:rFonts w:asciiTheme="minorHAnsi" w:hAnsiTheme="minorHAnsi" w:cstheme="majorHAnsi"/>
          <w:b/>
          <w:sz w:val="22"/>
          <w:szCs w:val="22"/>
        </w:rPr>
        <w:t>within Peru</w:t>
      </w:r>
    </w:p>
    <w:p w14:paraId="054C43F4" w14:textId="5F45E6B1" w:rsidR="004B0526" w:rsidRPr="004E053C" w:rsidRDefault="00843DED" w:rsidP="004E053C">
      <w:pPr>
        <w:pStyle w:val="NormalWeb"/>
        <w:spacing w:before="0" w:beforeAutospacing="0" w:after="0" w:afterAutospacing="0" w:line="360" w:lineRule="auto"/>
        <w:jc w:val="both"/>
        <w:rPr>
          <w:rFonts w:asciiTheme="minorHAnsi" w:hAnsiTheme="minorHAnsi" w:cstheme="majorHAnsi"/>
          <w:b/>
          <w:sz w:val="22"/>
          <w:szCs w:val="22"/>
        </w:rPr>
      </w:pPr>
      <w:r w:rsidRPr="004E053C">
        <w:rPr>
          <w:rFonts w:asciiTheme="minorHAnsi" w:hAnsiTheme="minorHAnsi" w:cstheme="majorHAnsi"/>
          <w:b/>
          <w:sz w:val="22"/>
          <w:szCs w:val="22"/>
        </w:rPr>
        <w:t xml:space="preserve">              </w:t>
      </w:r>
      <w:r w:rsidRPr="004E053C">
        <w:rPr>
          <w:rFonts w:asciiTheme="minorHAnsi" w:hAnsiTheme="minorHAnsi" w:cstheme="majorHAnsi"/>
          <w:b/>
          <w:noProof/>
          <w:sz w:val="22"/>
          <w:szCs w:val="22"/>
          <w:lang w:eastAsia="zh-CN"/>
        </w:rPr>
        <w:drawing>
          <wp:inline distT="0" distB="0" distL="0" distR="0" wp14:anchorId="6AF076F6" wp14:editId="070B5EDE">
            <wp:extent cx="2266950" cy="2720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8-16 at 22.32.32.png"/>
                    <pic:cNvPicPr/>
                  </pic:nvPicPr>
                  <pic:blipFill>
                    <a:blip r:embed="rId15" cstate="screen">
                      <a:extLst>
                        <a:ext uri="{28A0092B-C50C-407E-A947-70E740481C1C}">
                          <a14:useLocalDpi xmlns:a14="http://schemas.microsoft.com/office/drawing/2010/main"/>
                        </a:ext>
                      </a:extLst>
                    </a:blip>
                    <a:stretch>
                      <a:fillRect/>
                    </a:stretch>
                  </pic:blipFill>
                  <pic:spPr>
                    <a:xfrm>
                      <a:off x="0" y="0"/>
                      <a:ext cx="2266950" cy="2720340"/>
                    </a:xfrm>
                    <a:prstGeom prst="rect">
                      <a:avLst/>
                    </a:prstGeom>
                  </pic:spPr>
                </pic:pic>
              </a:graphicData>
            </a:graphic>
          </wp:inline>
        </w:drawing>
      </w:r>
      <w:r w:rsidR="004B0526" w:rsidRPr="004E053C">
        <w:rPr>
          <w:rFonts w:asciiTheme="minorHAnsi" w:hAnsiTheme="minorHAnsi" w:cstheme="majorHAnsi"/>
          <w:b/>
          <w:noProof/>
          <w:sz w:val="22"/>
          <w:szCs w:val="22"/>
          <w:lang w:eastAsia="zh-CN"/>
        </w:rPr>
        <mc:AlternateContent>
          <mc:Choice Requires="wps">
            <w:drawing>
              <wp:anchor distT="0" distB="0" distL="114300" distR="114300" simplePos="0" relativeHeight="251629568" behindDoc="0" locked="0" layoutInCell="1" allowOverlap="1" wp14:anchorId="59FCBF9C" wp14:editId="5A432F22">
                <wp:simplePos x="0" y="0"/>
                <wp:positionH relativeFrom="column">
                  <wp:posOffset>2857500</wp:posOffset>
                </wp:positionH>
                <wp:positionV relativeFrom="paragraph">
                  <wp:posOffset>1718945</wp:posOffset>
                </wp:positionV>
                <wp:extent cx="19431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6424DC" w14:textId="77777777" w:rsidR="009A2C11" w:rsidRDefault="009A2C11" w:rsidP="007F1856">
                            <w:pPr>
                              <w:jc w:val="both"/>
                              <w:rPr>
                                <w:sz w:val="22"/>
                                <w:szCs w:val="22"/>
                              </w:rPr>
                            </w:pPr>
                            <w:r w:rsidRPr="007F1856">
                              <w:rPr>
                                <w:sz w:val="22"/>
                                <w:szCs w:val="22"/>
                              </w:rPr>
                              <w:t>Laberinto</w:t>
                            </w:r>
                            <w:r>
                              <w:rPr>
                                <w:sz w:val="22"/>
                                <w:szCs w:val="22"/>
                              </w:rPr>
                              <w:t xml:space="preserve"> District</w:t>
                            </w:r>
                          </w:p>
                          <w:p w14:paraId="09E996F1" w14:textId="7AF59F9C" w:rsidR="009A2C11" w:rsidRPr="007F1856" w:rsidRDefault="009A2C11" w:rsidP="007F1856">
                            <w:pPr>
                              <w:jc w:val="both"/>
                              <w:rPr>
                                <w:sz w:val="22"/>
                                <w:szCs w:val="22"/>
                              </w:rPr>
                            </w:pPr>
                            <w:r>
                              <w:rPr>
                                <w:sz w:val="22"/>
                                <w:szCs w:val="22"/>
                              </w:rPr>
                              <w:t>Ocongate District</w:t>
                            </w:r>
                            <w:r w:rsidRPr="007F1856">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CBF9C" id="Text Box 4" o:spid="_x0000_s1042" type="#_x0000_t202" style="position:absolute;left:0;text-align:left;margin-left:225pt;margin-top:135.35pt;width:153pt;height:4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2EqwIAAKoFAAAOAAAAZHJzL2Uyb0RvYy54bWysVE1v2zAMvQ/YfxB0T21nTtsYdQo3RYYB&#10;RVusHXpWZKkxZouapMTOhv33UbKdZt0uHXaxKfGRIh8/Li67piY7YWwFKqfJSUyJUBzKSj3n9Mvj&#10;anJOiXVMlawGJXK6F5ZeLt6/u2h1JqawgboUhqATZbNW53TjnM6iyPKNaJg9AS0UKiWYhjk8mueo&#10;NKxF700dTeP4NGrBlNoAF9bi7XWvpIvgX0rB3Z2UVjhS5xRjc+Frwnftv9HigmXPhulNxYcw2D9E&#10;0bBK4aMHV9fMMbI11R+umoobsCDdCYcmAikrLkIOmE0Sv8rmYcO0CLkgOVYfaLL/zy2/3d0bUpU5&#10;TSlRrMESPYrOkSvoSOrZabXNEPSgEeY6vMYqj/cWL33SnTSN/2M6BPXI8/7ArXfGvdE8/ZDEqOKo&#10;m50lM5TRffRirY11HwU0xAs5NVi7QCnb3VjXQ0eIf0zBqqrrUL9a/XaBPvsbERqgt2YZRoKiR/qY&#10;QnF+LGdn0+JsNp+cFrNkkibx+aQo4unkelXERZyulvP06ucQ52gfeUr61IPk9rXwXmv1WUikMjDg&#10;L0ITi2VtyI5h+zHOhXKBvBAhoj1KYhZvMRzwIY+Q31uMe0bGl0G5g3FTKTCB71dhl1/HkGWPx6Id&#10;5e1F16270EPnY2esodxjwxjoB85qvqqwqjfMuntmcMKwEXBruDv8yBranMIgUbIB8/1v9x6PjY9a&#10;Slqc2Jzab1tmBCX1J4UjMU/S1I94OKRYWDyYY836WKO2zRKwKgnuJ82D6PGuHkVpoHnC5VL4V1HF&#10;FMe3c+pGcen6PYLLiYuiCCAcas3cjXrQ3Lv2RfI9+9g9MaOHxnbYSLcwzjbLXvV3j/WWCoqtA1mF&#10;5vc896wO/ONCCOMzLC+/cY7PAfWyYhe/AAAA//8DAFBLAwQUAAYACAAAACEAJI+eFN4AAAALAQAA&#10;DwAAAGRycy9kb3ducmV2LnhtbEyPwU7DMBBE70j8g7VI3KhNaRII2VQIxBVEoZW4uck2iYjXUew2&#10;4e9ZTnDc2dHMm2I9u16daAydZ4TrhQFFXPm64wbh4/356hZUiJZr23smhG8KsC7Pzwqb137iNzpt&#10;YqMkhENuEdoYh1zrULXkbFj4gVh+Bz86G+UcG12PdpJw1+ulMal2tmNpaO1Ajy1VX5ujQ9i+HD53&#10;K/PaPLlkmPxsNLs7jXh5MT/cg4o0xz8z/OILOpTCtPdHroPqEVaJkS0RYZmZDJQ4siQVZY9wk4qi&#10;y0L/31D+AAAA//8DAFBLAQItABQABgAIAAAAIQC2gziS/gAAAOEBAAATAAAAAAAAAAAAAAAAAAAA&#10;AABbQ29udGVudF9UeXBlc10ueG1sUEsBAi0AFAAGAAgAAAAhADj9If/WAAAAlAEAAAsAAAAAAAAA&#10;AAAAAAAALwEAAF9yZWxzLy5yZWxzUEsBAi0AFAAGAAgAAAAhAGdk/YSrAgAAqgUAAA4AAAAAAAAA&#10;AAAAAAAALgIAAGRycy9lMm9Eb2MueG1sUEsBAi0AFAAGAAgAAAAhACSPnhTeAAAACwEAAA8AAAAA&#10;AAAAAAAAAAAABQUAAGRycy9kb3ducmV2LnhtbFBLBQYAAAAABAAEAPMAAAAQBgAAAAA=&#10;" filled="f" stroked="f">
                <v:textbox>
                  <w:txbxContent>
                    <w:p w14:paraId="796424DC" w14:textId="77777777" w:rsidR="009A2C11" w:rsidRDefault="009A2C11" w:rsidP="007F1856">
                      <w:pPr>
                        <w:jc w:val="both"/>
                        <w:rPr>
                          <w:sz w:val="22"/>
                          <w:szCs w:val="22"/>
                        </w:rPr>
                      </w:pPr>
                      <w:r w:rsidRPr="007F1856">
                        <w:rPr>
                          <w:sz w:val="22"/>
                          <w:szCs w:val="22"/>
                        </w:rPr>
                        <w:t>Laberinto</w:t>
                      </w:r>
                      <w:r>
                        <w:rPr>
                          <w:sz w:val="22"/>
                          <w:szCs w:val="22"/>
                        </w:rPr>
                        <w:t xml:space="preserve"> District</w:t>
                      </w:r>
                    </w:p>
                    <w:p w14:paraId="09E996F1" w14:textId="7AF59F9C" w:rsidR="009A2C11" w:rsidRPr="007F1856" w:rsidRDefault="009A2C11" w:rsidP="007F1856">
                      <w:pPr>
                        <w:jc w:val="both"/>
                        <w:rPr>
                          <w:sz w:val="22"/>
                          <w:szCs w:val="22"/>
                        </w:rPr>
                      </w:pPr>
                      <w:r>
                        <w:rPr>
                          <w:sz w:val="22"/>
                          <w:szCs w:val="22"/>
                        </w:rPr>
                        <w:t>Ocongate District</w:t>
                      </w:r>
                      <w:r w:rsidRPr="007F1856">
                        <w:rPr>
                          <w:sz w:val="22"/>
                          <w:szCs w:val="22"/>
                        </w:rPr>
                        <w:t xml:space="preserve"> </w:t>
                      </w:r>
                    </w:p>
                  </w:txbxContent>
                </v:textbox>
                <w10:wrap type="square"/>
              </v:shape>
            </w:pict>
          </mc:Fallback>
        </mc:AlternateContent>
      </w:r>
    </w:p>
    <w:p w14:paraId="579AE8E8" w14:textId="11EC9BC9" w:rsidR="00843DED" w:rsidRPr="004E053C" w:rsidRDefault="007F1856"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 xml:space="preserve">The presence in Ocongate of miners that fit my selection criteria was confirmed after discussions with LGA representatives and community leaders in Ocongate. With assistance from these local stakeholders, two neighbouring communities were identified to focus on. These are both small villages in the district of Ocongate and are in close proximity to the interoceanic highway. </w:t>
      </w:r>
      <w:r w:rsidR="006B5534" w:rsidRPr="004E053C">
        <w:rPr>
          <w:rFonts w:asciiTheme="minorHAnsi" w:hAnsiTheme="minorHAnsi" w:cstheme="majorHAnsi"/>
          <w:sz w:val="22"/>
          <w:szCs w:val="22"/>
        </w:rPr>
        <w:t>There is far greater through traffic and a number of shops, restaurants and other small businesses have sprung up along the highway. While the road brings business it also brings crime, with community members frequently complaining about the increasing insecurity in their previously sleepy community. However, the road also offers opportunities for investing in alternative livelihoods within the community. This is important, as aside from agriculture, which increasingly due to climate change is only at subsistence level, the only other notable income-generating activities are linked to the Festival of Senor Quollorit’i, a large annual religious festival and pilgrimage with both an Andean and Catholic history.</w:t>
      </w:r>
    </w:p>
    <w:p w14:paraId="3D212EE8" w14:textId="77777777" w:rsidR="009E022C" w:rsidRPr="004E053C" w:rsidRDefault="009E022C" w:rsidP="004E053C">
      <w:pPr>
        <w:pStyle w:val="NormalWeb"/>
        <w:spacing w:before="0" w:beforeAutospacing="0" w:after="0" w:afterAutospacing="0" w:line="360" w:lineRule="auto"/>
        <w:jc w:val="both"/>
        <w:rPr>
          <w:rFonts w:asciiTheme="minorHAnsi" w:hAnsiTheme="minorHAnsi" w:cstheme="majorHAnsi"/>
          <w:sz w:val="22"/>
          <w:szCs w:val="22"/>
        </w:rPr>
      </w:pPr>
    </w:p>
    <w:p w14:paraId="4F4B2554" w14:textId="57386901" w:rsidR="0077618A" w:rsidRPr="004E053C" w:rsidRDefault="00F16371" w:rsidP="004E053C">
      <w:pPr>
        <w:pStyle w:val="Heading3"/>
        <w:rPr>
          <w:rFonts w:asciiTheme="minorHAnsi" w:hAnsiTheme="minorHAnsi"/>
        </w:rPr>
      </w:pPr>
      <w:r w:rsidRPr="004E053C">
        <w:rPr>
          <w:rFonts w:asciiTheme="minorHAnsi" w:hAnsiTheme="minorHAnsi"/>
        </w:rPr>
        <w:lastRenderedPageBreak/>
        <w:t>5</w:t>
      </w:r>
      <w:r w:rsidR="004A3EF1" w:rsidRPr="004E053C">
        <w:rPr>
          <w:rFonts w:asciiTheme="minorHAnsi" w:hAnsiTheme="minorHAnsi"/>
        </w:rPr>
        <w:t>.5.2. The destination c</w:t>
      </w:r>
      <w:r w:rsidR="0077618A" w:rsidRPr="004E053C">
        <w:rPr>
          <w:rFonts w:asciiTheme="minorHAnsi" w:hAnsiTheme="minorHAnsi"/>
        </w:rPr>
        <w:t xml:space="preserve">ommunity </w:t>
      </w:r>
    </w:p>
    <w:p w14:paraId="10E3E45B" w14:textId="77777777" w:rsidR="0077618A" w:rsidRPr="004E053C" w:rsidRDefault="0077618A" w:rsidP="004E053C">
      <w:pPr>
        <w:spacing w:line="360" w:lineRule="auto"/>
        <w:jc w:val="both"/>
        <w:rPr>
          <w:rFonts w:eastAsiaTheme="minorHAnsi" w:cstheme="majorHAnsi"/>
          <w:sz w:val="22"/>
          <w:szCs w:val="22"/>
          <w:lang w:val="en-GB"/>
        </w:rPr>
      </w:pPr>
    </w:p>
    <w:p w14:paraId="11BC2C90" w14:textId="41ECFBF2" w:rsidR="0077618A" w:rsidRPr="004E053C" w:rsidRDefault="00E459B7" w:rsidP="004E053C">
      <w:pPr>
        <w:spacing w:line="360" w:lineRule="auto"/>
        <w:jc w:val="both"/>
        <w:rPr>
          <w:rFonts w:cstheme="majorHAnsi"/>
          <w:sz w:val="22"/>
          <w:szCs w:val="22"/>
          <w:lang w:val="en-GB"/>
        </w:rPr>
      </w:pPr>
      <w:r w:rsidRPr="004E053C">
        <w:rPr>
          <w:rFonts w:cstheme="majorHAnsi"/>
          <w:sz w:val="22"/>
          <w:szCs w:val="22"/>
          <w:lang w:val="en-GB"/>
        </w:rPr>
        <w:t>In Figure 3</w:t>
      </w:r>
      <w:r w:rsidR="007F1856" w:rsidRPr="004E053C">
        <w:rPr>
          <w:rFonts w:cstheme="majorHAnsi"/>
          <w:sz w:val="22"/>
          <w:szCs w:val="22"/>
          <w:lang w:val="en-GB"/>
        </w:rPr>
        <w:t xml:space="preserve"> above, the region of Madre de </w:t>
      </w:r>
      <w:r w:rsidR="00D3785B" w:rsidRPr="004E053C">
        <w:rPr>
          <w:rFonts w:cstheme="majorHAnsi"/>
          <w:sz w:val="22"/>
          <w:szCs w:val="22"/>
          <w:lang w:val="en-GB"/>
        </w:rPr>
        <w:t>Dios</w:t>
      </w:r>
      <w:r w:rsidR="007F1856" w:rsidRPr="004E053C">
        <w:rPr>
          <w:rFonts w:cstheme="majorHAnsi"/>
          <w:sz w:val="22"/>
          <w:szCs w:val="22"/>
          <w:lang w:val="en-GB"/>
        </w:rPr>
        <w:t xml:space="preserve"> is also highlighted, showing its proximity to Cusco. In order for me to understand the translocal community, it was necessary to conduct interviews in a mining town in Madre de Dios. </w:t>
      </w:r>
      <w:r w:rsidR="0077618A" w:rsidRPr="004E053C">
        <w:rPr>
          <w:rFonts w:cstheme="majorHAnsi"/>
          <w:sz w:val="22"/>
          <w:szCs w:val="22"/>
          <w:lang w:val="en-GB"/>
        </w:rPr>
        <w:t xml:space="preserve">This allowed me to see to the extent to which miners maintained links with home whilst conducting their livelihood translocally, but also how the translocal nature of their livelihood impacted on social relationships and community dynamics in the destination community. Experiences in the destination community were particularly important for understanding both how these dynamics were influenced by the fact that ASM is an illicit livelihood and that miners and the wider community were engaged in constant resistance and negotiations with the Government. </w:t>
      </w:r>
    </w:p>
    <w:p w14:paraId="7B0637F2" w14:textId="77777777" w:rsidR="0077618A" w:rsidRPr="004E053C" w:rsidRDefault="0077618A" w:rsidP="004E053C">
      <w:pPr>
        <w:spacing w:line="360" w:lineRule="auto"/>
        <w:jc w:val="both"/>
        <w:rPr>
          <w:rFonts w:cstheme="majorHAnsi"/>
          <w:sz w:val="22"/>
          <w:szCs w:val="22"/>
          <w:lang w:val="en-GB"/>
        </w:rPr>
      </w:pPr>
    </w:p>
    <w:p w14:paraId="389D427D" w14:textId="2BDEB1C1" w:rsidR="0077618A" w:rsidRPr="004E053C" w:rsidRDefault="0077618A" w:rsidP="004E053C">
      <w:pPr>
        <w:spacing w:line="360" w:lineRule="auto"/>
        <w:jc w:val="both"/>
        <w:rPr>
          <w:rFonts w:eastAsiaTheme="minorHAnsi" w:cstheme="majorHAnsi"/>
          <w:sz w:val="22"/>
          <w:szCs w:val="22"/>
          <w:highlight w:val="yellow"/>
          <w:lang w:val="en-GB"/>
        </w:rPr>
      </w:pPr>
      <w:r w:rsidRPr="004E053C">
        <w:rPr>
          <w:rFonts w:cstheme="majorHAnsi"/>
          <w:sz w:val="22"/>
          <w:szCs w:val="22"/>
          <w:lang w:val="en-GB"/>
        </w:rPr>
        <w:t xml:space="preserve">The original intention was to select interview participants using snowball sampling directly from the interviews held in Ocongate, which would enable me to ‘follow connections which were made meaningful from that setting’ </w:t>
      </w:r>
      <w:r w:rsidR="00176FA2" w:rsidRPr="004E053C">
        <w:rPr>
          <w:rFonts w:cstheme="majorHAnsi"/>
          <w:sz w:val="22"/>
          <w:szCs w:val="22"/>
          <w:lang w:val="en-GB"/>
        </w:rPr>
        <w:fldChar w:fldCharType="begin" w:fldLock="1"/>
      </w:r>
      <w:r w:rsidR="00504B6B" w:rsidRPr="004E053C">
        <w:rPr>
          <w:rFonts w:cstheme="majorHAnsi"/>
          <w:sz w:val="22"/>
          <w:szCs w:val="22"/>
          <w:lang w:val="en-GB"/>
        </w:rPr>
        <w:instrText>ADDIN CSL_CITATION {"citationItems":[{"id":"ITEM-1","itemData":{"author":[{"dropping-particle":"","family":"Hine","given":"Christine","non-dropping-particle":"","parse-names":false,"suffix":""}],"id":"ITEM-1","issued":{"date-parts":[["2000"]]},"publisher":"Sage Publications Ltd","publisher-place":"London, UK","title":"Virtual ethnography","type":"book"},"uris":["http://www.mendeley.com/documents/?uuid=4a33c357-ee92-448b-ac76-b1491041ce99"]}],"mendeley":{"formattedCitation":"(Hine, 2000)","plainTextFormattedCitation":"(Hine, 2000)","previouslyFormattedCitation":"(Hine, 2000)"},"properties":{"noteIndex":0},"schema":"https://github.com/citation-style-language/schema/raw/master/csl-citation.json"}</w:instrText>
      </w:r>
      <w:r w:rsidR="00176FA2" w:rsidRPr="004E053C">
        <w:rPr>
          <w:rFonts w:cstheme="majorHAnsi"/>
          <w:sz w:val="22"/>
          <w:szCs w:val="22"/>
          <w:lang w:val="en-GB"/>
        </w:rPr>
        <w:fldChar w:fldCharType="separate"/>
      </w:r>
      <w:r w:rsidR="00176FA2" w:rsidRPr="004E053C">
        <w:rPr>
          <w:rFonts w:cstheme="majorHAnsi"/>
          <w:noProof/>
          <w:sz w:val="22"/>
          <w:szCs w:val="22"/>
          <w:lang w:val="en-GB"/>
        </w:rPr>
        <w:t>(Hine, 2000)</w:t>
      </w:r>
      <w:r w:rsidR="00176FA2" w:rsidRPr="004E053C">
        <w:rPr>
          <w:rFonts w:cstheme="majorHAnsi"/>
          <w:sz w:val="22"/>
          <w:szCs w:val="22"/>
          <w:lang w:val="en-GB"/>
        </w:rPr>
        <w:fldChar w:fldCharType="end"/>
      </w:r>
      <w:r w:rsidRPr="004E053C">
        <w:rPr>
          <w:rFonts w:cstheme="majorHAnsi"/>
          <w:sz w:val="22"/>
          <w:szCs w:val="22"/>
          <w:lang w:val="en-GB"/>
        </w:rPr>
        <w:t xml:space="preserve">. However, there were two main problems with this approach. Firstly, many of the husbands of the interviewed women did not want to be interviewed, or in some cases the women did not even want to ask them. Secondly, many of the women’s husbands worked in La Pampa, most notably the informal settlement of KM108, which lies within the boundaries of the National Park buffer where all mining activity is prohibited. La Pampa is notorious for extremely high levels of crime and violence making it too dangerous to visit, let alone attempt to conduct fieldwork. Many local people told me that the area was far too dangerous for even them to visit, and it would have been worse for a foreigner. Staying overnight in La Pampa would also have been impossible as the majority of the hotels are extremely insecure and generally used as brothels. Fortunately, through various connections and meetings in Puerto Maldonado, it was discovered that the mining towns and settlements in the </w:t>
      </w:r>
      <w:r w:rsidRPr="004E053C">
        <w:rPr>
          <w:rFonts w:cstheme="majorHAnsi"/>
          <w:i/>
          <w:sz w:val="22"/>
          <w:szCs w:val="22"/>
          <w:lang w:val="en-GB"/>
        </w:rPr>
        <w:t xml:space="preserve">Corridor Minero </w:t>
      </w:r>
      <w:r w:rsidRPr="004E053C">
        <w:rPr>
          <w:rFonts w:cstheme="majorHAnsi"/>
          <w:sz w:val="22"/>
          <w:szCs w:val="22"/>
          <w:lang w:val="en-GB"/>
        </w:rPr>
        <w:t xml:space="preserve">were relatively safe in comparison with settlements in La Pampa. </w:t>
      </w:r>
    </w:p>
    <w:p w14:paraId="040C8DC1" w14:textId="77777777" w:rsidR="0077618A" w:rsidRPr="004E053C" w:rsidRDefault="0077618A" w:rsidP="004E053C">
      <w:pPr>
        <w:spacing w:line="360" w:lineRule="auto"/>
        <w:jc w:val="both"/>
        <w:rPr>
          <w:rFonts w:cstheme="majorHAnsi"/>
          <w:sz w:val="22"/>
          <w:szCs w:val="22"/>
          <w:lang w:val="en-GB"/>
        </w:rPr>
      </w:pPr>
    </w:p>
    <w:p w14:paraId="70A6DE81" w14:textId="4192F219" w:rsidR="0077618A" w:rsidRPr="004E053C" w:rsidRDefault="008C68C5"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There are several towns within the </w:t>
      </w:r>
      <w:r w:rsidRPr="004E053C">
        <w:rPr>
          <w:rFonts w:cstheme="majorHAnsi"/>
          <w:i/>
          <w:sz w:val="22"/>
          <w:szCs w:val="22"/>
          <w:lang w:val="en-GB"/>
        </w:rPr>
        <w:t>Corridor Minero</w:t>
      </w:r>
      <w:r w:rsidRPr="004E053C">
        <w:rPr>
          <w:rFonts w:cstheme="majorHAnsi"/>
          <w:sz w:val="22"/>
          <w:szCs w:val="22"/>
          <w:lang w:val="en-GB"/>
        </w:rPr>
        <w:t xml:space="preserve">, including Laberinto </w:t>
      </w:r>
      <w:r w:rsidR="006B5534" w:rsidRPr="004E053C">
        <w:rPr>
          <w:rFonts w:cstheme="majorHAnsi"/>
          <w:sz w:val="22"/>
          <w:szCs w:val="22"/>
          <w:lang w:val="en-GB"/>
        </w:rPr>
        <w:t xml:space="preserve">and </w:t>
      </w:r>
      <w:r w:rsidRPr="004E053C">
        <w:rPr>
          <w:rFonts w:cstheme="majorHAnsi"/>
          <w:sz w:val="22"/>
          <w:szCs w:val="22"/>
          <w:lang w:val="en-GB"/>
        </w:rPr>
        <w:t xml:space="preserve">Boca Colarado, that are all around the same size and much smaller settlements such as Boca Union. </w:t>
      </w:r>
      <w:r w:rsidR="0077618A" w:rsidRPr="004E053C">
        <w:rPr>
          <w:rFonts w:cstheme="majorHAnsi"/>
          <w:sz w:val="22"/>
          <w:szCs w:val="22"/>
          <w:lang w:val="en-GB"/>
        </w:rPr>
        <w:t>These</w:t>
      </w:r>
      <w:r w:rsidR="00E459B7" w:rsidRPr="004E053C">
        <w:rPr>
          <w:rFonts w:cstheme="majorHAnsi"/>
          <w:sz w:val="22"/>
          <w:szCs w:val="22"/>
          <w:lang w:val="en-GB"/>
        </w:rPr>
        <w:t xml:space="preserve"> can clearly be seen in Figure 4</w:t>
      </w:r>
      <w:r w:rsidR="0077618A" w:rsidRPr="004E053C">
        <w:rPr>
          <w:rFonts w:cstheme="majorHAnsi"/>
          <w:sz w:val="22"/>
          <w:szCs w:val="22"/>
          <w:lang w:val="en-GB"/>
        </w:rPr>
        <w:t xml:space="preserve"> below. Laberinto was eventually identified as the most suitable location for the interviews, due to its size and relative security, although I also conducted s</w:t>
      </w:r>
      <w:r w:rsidR="00504B6B" w:rsidRPr="004E053C">
        <w:rPr>
          <w:rFonts w:cstheme="majorHAnsi"/>
          <w:sz w:val="22"/>
          <w:szCs w:val="22"/>
          <w:lang w:val="en-GB"/>
        </w:rPr>
        <w:t xml:space="preserve">everal interviews in Boca Union, </w:t>
      </w:r>
      <w:r w:rsidR="0077618A" w:rsidRPr="004E053C">
        <w:rPr>
          <w:rFonts w:cstheme="majorHAnsi"/>
          <w:sz w:val="22"/>
          <w:szCs w:val="22"/>
          <w:lang w:val="en-GB"/>
        </w:rPr>
        <w:t xml:space="preserve">which is a short distance away. Laberinto is a formally established town located in a district of the same name in the province of Tambopata in Madre de Dios region. </w:t>
      </w:r>
      <w:r w:rsidR="0077618A" w:rsidRPr="004E053C">
        <w:rPr>
          <w:rFonts w:eastAsia="Times New Roman" w:cstheme="majorHAnsi"/>
          <w:sz w:val="22"/>
          <w:szCs w:val="22"/>
          <w:lang w:val="en-GB"/>
        </w:rPr>
        <w:t>The town lies on the bank of the River Madre de Dios about 34 miles away from Puerto Maldonado, along what is now the trans-</w:t>
      </w:r>
      <w:r w:rsidR="0077618A" w:rsidRPr="004E053C">
        <w:rPr>
          <w:rFonts w:eastAsia="Times New Roman" w:cstheme="majorHAnsi"/>
          <w:sz w:val="22"/>
          <w:szCs w:val="22"/>
          <w:lang w:val="en-GB"/>
        </w:rPr>
        <w:lastRenderedPageBreak/>
        <w:t xml:space="preserve">oceanic highway, which is represented by the </w:t>
      </w:r>
      <w:r w:rsidR="00E459B7" w:rsidRPr="004E053C">
        <w:rPr>
          <w:rFonts w:eastAsia="Times New Roman" w:cstheme="majorHAnsi"/>
          <w:sz w:val="22"/>
          <w:szCs w:val="22"/>
          <w:lang w:val="en-GB"/>
        </w:rPr>
        <w:t>black and white line in Figure 4</w:t>
      </w:r>
      <w:r w:rsidR="0077618A" w:rsidRPr="004E053C">
        <w:rPr>
          <w:rFonts w:eastAsia="Times New Roman" w:cstheme="majorHAnsi"/>
          <w:sz w:val="22"/>
          <w:szCs w:val="22"/>
          <w:lang w:val="en-GB"/>
        </w:rPr>
        <w:t xml:space="preserve">. The town’s name refers to the maze-like formation of </w:t>
      </w:r>
      <w:r w:rsidR="00E459B7" w:rsidRPr="004E053C">
        <w:rPr>
          <w:rFonts w:eastAsia="Times New Roman" w:cstheme="majorHAnsi"/>
          <w:sz w:val="22"/>
          <w:szCs w:val="22"/>
          <w:lang w:val="en-GB"/>
        </w:rPr>
        <w:t>the river in that area. Figure 4</w:t>
      </w:r>
      <w:r w:rsidR="0077618A" w:rsidRPr="004E053C">
        <w:rPr>
          <w:rFonts w:eastAsia="Times New Roman" w:cstheme="majorHAnsi"/>
          <w:sz w:val="22"/>
          <w:szCs w:val="22"/>
          <w:lang w:val="en-GB"/>
        </w:rPr>
        <w:t xml:space="preserve"> also shows the location of KM108, and high levels of deforestation can be seen to the south of the highway, very close to the national parks. </w:t>
      </w:r>
    </w:p>
    <w:p w14:paraId="4CB3004F" w14:textId="77777777" w:rsidR="0077618A" w:rsidRPr="004E053C" w:rsidRDefault="0077618A" w:rsidP="004E053C">
      <w:pPr>
        <w:spacing w:line="360" w:lineRule="auto"/>
        <w:jc w:val="both"/>
        <w:rPr>
          <w:rFonts w:eastAsia="Times New Roman" w:cstheme="majorHAnsi"/>
          <w:sz w:val="22"/>
          <w:szCs w:val="22"/>
          <w:lang w:val="en-GB"/>
        </w:rPr>
      </w:pPr>
    </w:p>
    <w:p w14:paraId="0A1FC3E0" w14:textId="1E8FEED4" w:rsidR="0077618A" w:rsidRPr="004E053C" w:rsidRDefault="00DB3DA8" w:rsidP="004E053C">
      <w:pPr>
        <w:spacing w:line="360" w:lineRule="auto"/>
        <w:jc w:val="both"/>
        <w:rPr>
          <w:rFonts w:cstheme="majorHAnsi"/>
          <w:b/>
          <w:sz w:val="22"/>
          <w:szCs w:val="22"/>
          <w:lang w:val="en-GB"/>
        </w:rPr>
      </w:pPr>
      <w:r w:rsidRPr="004E053C">
        <w:rPr>
          <w:rFonts w:eastAsia="Times New Roman" w:cstheme="majorHAnsi"/>
          <w:b/>
          <w:sz w:val="22"/>
          <w:szCs w:val="22"/>
          <w:lang w:val="en-GB"/>
        </w:rPr>
        <w:t>Figure 4</w:t>
      </w:r>
      <w:r w:rsidR="0077618A" w:rsidRPr="004E053C">
        <w:rPr>
          <w:rFonts w:eastAsia="Times New Roman" w:cstheme="majorHAnsi"/>
          <w:b/>
          <w:sz w:val="22"/>
          <w:szCs w:val="22"/>
          <w:lang w:val="en-GB"/>
        </w:rPr>
        <w:t>: Map of Tambopata</w:t>
      </w:r>
    </w:p>
    <w:p w14:paraId="7FAA0E6F" w14:textId="77777777" w:rsidR="0077618A" w:rsidRPr="004E053C" w:rsidRDefault="0077618A" w:rsidP="004E053C">
      <w:pPr>
        <w:spacing w:line="360" w:lineRule="auto"/>
        <w:jc w:val="both"/>
        <w:rPr>
          <w:rFonts w:eastAsia="Times New Roman" w:cstheme="majorHAnsi"/>
          <w:sz w:val="22"/>
          <w:szCs w:val="22"/>
          <w:lang w:val="en-GB"/>
        </w:rPr>
      </w:pPr>
    </w:p>
    <w:p w14:paraId="39F8C304" w14:textId="77777777" w:rsidR="0077618A" w:rsidRPr="004E053C" w:rsidRDefault="0077618A" w:rsidP="004E053C">
      <w:pPr>
        <w:spacing w:line="360" w:lineRule="auto"/>
        <w:jc w:val="both"/>
        <w:rPr>
          <w:rFonts w:cstheme="majorHAnsi"/>
          <w:sz w:val="22"/>
          <w:szCs w:val="22"/>
          <w:lang w:val="en-GB"/>
        </w:rPr>
      </w:pPr>
      <w:r w:rsidRPr="004E053C">
        <w:rPr>
          <w:rFonts w:cstheme="majorHAnsi"/>
          <w:noProof/>
          <w:sz w:val="22"/>
          <w:szCs w:val="22"/>
          <w:highlight w:val="yellow"/>
          <w:lang w:val="en-GB" w:eastAsia="zh-CN"/>
        </w:rPr>
        <w:drawing>
          <wp:inline distT="0" distB="0" distL="0" distR="0" wp14:anchorId="7364EC84" wp14:editId="46F35D65">
            <wp:extent cx="4572000" cy="2743409"/>
            <wp:effectExtent l="0" t="0" r="0" b="0"/>
            <wp:docPr id="7" name="Picture 6" descr="Mapa_CORREDOR MI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pa_CORREDOR MINERO.jp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4572565" cy="2743748"/>
                    </a:xfrm>
                    <a:prstGeom prst="rect">
                      <a:avLst/>
                    </a:prstGeom>
                  </pic:spPr>
                </pic:pic>
              </a:graphicData>
            </a:graphic>
          </wp:inline>
        </w:drawing>
      </w:r>
    </w:p>
    <w:p w14:paraId="2196E57F" w14:textId="38D32959" w:rsidR="00206FDD" w:rsidRPr="004E053C" w:rsidRDefault="00206FDD" w:rsidP="004E053C">
      <w:pPr>
        <w:spacing w:line="360" w:lineRule="auto"/>
        <w:jc w:val="both"/>
        <w:rPr>
          <w:rFonts w:cstheme="majorHAnsi"/>
          <w:sz w:val="16"/>
          <w:szCs w:val="16"/>
          <w:lang w:val="en-GB"/>
        </w:rPr>
      </w:pPr>
      <w:r w:rsidRPr="004E053C">
        <w:rPr>
          <w:rFonts w:cstheme="majorHAnsi"/>
          <w:sz w:val="16"/>
          <w:szCs w:val="16"/>
          <w:lang w:val="en-GB"/>
        </w:rPr>
        <w:t>Source: CINCIA, 2017</w:t>
      </w:r>
    </w:p>
    <w:p w14:paraId="17E61D6A" w14:textId="77777777" w:rsidR="00206FDD" w:rsidRPr="004E053C" w:rsidRDefault="00206FDD" w:rsidP="004E053C">
      <w:pPr>
        <w:spacing w:line="360" w:lineRule="auto"/>
        <w:jc w:val="both"/>
        <w:rPr>
          <w:rFonts w:cstheme="majorHAnsi"/>
          <w:sz w:val="16"/>
          <w:szCs w:val="16"/>
          <w:lang w:val="en-GB"/>
        </w:rPr>
      </w:pPr>
    </w:p>
    <w:p w14:paraId="6B1E1242" w14:textId="5AC29F50" w:rsidR="009E022C" w:rsidRPr="004E053C" w:rsidRDefault="00E459B7"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As discussed in chapter 3, during the </w:t>
      </w:r>
      <w:r w:rsidRPr="004E053C">
        <w:rPr>
          <w:rFonts w:cstheme="majorHAnsi"/>
          <w:sz w:val="22"/>
          <w:szCs w:val="22"/>
          <w:lang w:val="en-GB"/>
        </w:rPr>
        <w:t xml:space="preserve">1970s and 1980s, the Government actively encouraged migration to </w:t>
      </w:r>
      <w:r w:rsidRPr="00277027">
        <w:rPr>
          <w:rFonts w:cstheme="majorHAnsi"/>
          <w:sz w:val="22"/>
          <w:szCs w:val="22"/>
          <w:lang w:val="en-GB"/>
        </w:rPr>
        <w:t xml:space="preserve">Madre de Dios due to a desire to increase the population of Amazon. </w:t>
      </w:r>
      <w:r w:rsidR="009E022C" w:rsidRPr="00277027">
        <w:rPr>
          <w:rFonts w:cstheme="majorHAnsi"/>
          <w:sz w:val="22"/>
          <w:szCs w:val="22"/>
          <w:lang w:val="en-GB"/>
        </w:rPr>
        <w:t>Laberinto</w:t>
      </w:r>
      <w:r w:rsidR="009E022C" w:rsidRPr="004E053C">
        <w:rPr>
          <w:rFonts w:cstheme="majorHAnsi"/>
          <w:sz w:val="22"/>
          <w:szCs w:val="22"/>
          <w:lang w:val="en-GB"/>
        </w:rPr>
        <w:t xml:space="preserve"> was established in the 1970’s around the mining industry and has grown extensively in recent years as ASM continues to attract more migrant labour. </w:t>
      </w:r>
      <w:r w:rsidR="009E022C" w:rsidRPr="004E053C">
        <w:rPr>
          <w:rFonts w:eastAsia="Times New Roman" w:cstheme="majorHAnsi"/>
          <w:sz w:val="22"/>
          <w:szCs w:val="22"/>
          <w:lang w:val="en-GB"/>
        </w:rPr>
        <w:t xml:space="preserve">Originally, of three other nearby settlements, Laberinto was the smallest – consisting of a navy station and a cluster of about four houses. However, once it became clear how much gold was in the surrounding area, it was in Laberinto that the national </w:t>
      </w:r>
      <w:r w:rsidR="009E022C" w:rsidRPr="004E053C">
        <w:rPr>
          <w:rFonts w:eastAsia="Times New Roman" w:cstheme="majorHAnsi"/>
          <w:i/>
          <w:sz w:val="22"/>
          <w:szCs w:val="22"/>
          <w:lang w:val="en-GB"/>
        </w:rPr>
        <w:t>Banco Minero</w:t>
      </w:r>
      <w:r w:rsidR="009E022C" w:rsidRPr="004E053C">
        <w:rPr>
          <w:rFonts w:eastAsia="Times New Roman" w:cstheme="majorHAnsi"/>
          <w:sz w:val="22"/>
          <w:szCs w:val="22"/>
          <w:lang w:val="en-GB"/>
        </w:rPr>
        <w:t xml:space="preserve"> established a branch. For its part, Boca Union has remained very small, with a handful of houses and a few shops and hotels that cater exclusively for miners that work in camps in the jungle. </w:t>
      </w:r>
    </w:p>
    <w:p w14:paraId="253CB66F" w14:textId="77777777" w:rsidR="009E022C" w:rsidRPr="004E053C" w:rsidRDefault="009E022C" w:rsidP="004E053C">
      <w:pPr>
        <w:spacing w:line="360" w:lineRule="auto"/>
        <w:jc w:val="both"/>
        <w:rPr>
          <w:rFonts w:eastAsia="Times New Roman" w:cstheme="majorHAnsi"/>
          <w:sz w:val="22"/>
          <w:szCs w:val="22"/>
          <w:lang w:val="en-GB"/>
        </w:rPr>
      </w:pPr>
    </w:p>
    <w:p w14:paraId="252F7BD2" w14:textId="502FC562" w:rsidR="009E022C" w:rsidRPr="004E053C" w:rsidRDefault="00653891"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Figure 4 also shows the deforestation that has resulted from the patterns of gold deposit </w:t>
      </w:r>
      <w:r w:rsidR="009E022C" w:rsidRPr="004E053C">
        <w:rPr>
          <w:rFonts w:eastAsia="Times New Roman" w:cstheme="majorHAnsi"/>
          <w:sz w:val="22"/>
          <w:szCs w:val="22"/>
          <w:lang w:val="en-GB"/>
        </w:rPr>
        <w:t>under the Amazonian rainforest floor</w:t>
      </w:r>
      <w:r w:rsidRPr="004E053C">
        <w:rPr>
          <w:rFonts w:eastAsia="Times New Roman" w:cstheme="majorHAnsi"/>
          <w:sz w:val="22"/>
          <w:szCs w:val="22"/>
          <w:lang w:val="en-GB"/>
        </w:rPr>
        <w:t xml:space="preserve">, which are a main cause of deforestation. </w:t>
      </w:r>
      <w:r w:rsidR="009E022C" w:rsidRPr="004E053C">
        <w:rPr>
          <w:rFonts w:eastAsia="Times New Roman" w:cstheme="majorHAnsi"/>
          <w:sz w:val="22"/>
          <w:szCs w:val="22"/>
          <w:lang w:val="en-GB"/>
        </w:rPr>
        <w:t xml:space="preserve">However, in Laberinto ASM activity takes place in rivers with easy access provided through the local port. The nature of the gold deposits means there are very low barriers to entry, making it easy for miners with little or no previous experience or capital to find work opportunities. This was even easier in the early 1970’s </w:t>
      </w:r>
      <w:r w:rsidR="009E022C" w:rsidRPr="004E053C">
        <w:rPr>
          <w:rFonts w:eastAsia="Times New Roman" w:cstheme="majorHAnsi"/>
          <w:sz w:val="22"/>
          <w:szCs w:val="22"/>
          <w:lang w:val="en-GB"/>
        </w:rPr>
        <w:lastRenderedPageBreak/>
        <w:t xml:space="preserve">when there were no concessions, as the land did not officially belong to anyone and there was no need to negotiate with the </w:t>
      </w:r>
      <w:r w:rsidR="009E022C" w:rsidRPr="004E053C">
        <w:rPr>
          <w:rFonts w:eastAsia="Times New Roman" w:cstheme="majorHAnsi"/>
          <w:i/>
          <w:sz w:val="22"/>
          <w:szCs w:val="22"/>
          <w:lang w:val="en-GB"/>
        </w:rPr>
        <w:t>concessionarios</w:t>
      </w:r>
      <w:r w:rsidR="009E022C" w:rsidRPr="004E053C">
        <w:rPr>
          <w:rFonts w:eastAsia="Times New Roman" w:cstheme="majorHAnsi"/>
          <w:sz w:val="22"/>
          <w:szCs w:val="22"/>
          <w:lang w:val="en-GB"/>
        </w:rPr>
        <w:t xml:space="preserve">. Later, when the Government started selling concessions they were still relatively easy to buy. </w:t>
      </w:r>
      <w:r w:rsidR="009E022C" w:rsidRPr="004E053C">
        <w:rPr>
          <w:rFonts w:cstheme="majorHAnsi"/>
          <w:sz w:val="22"/>
          <w:szCs w:val="22"/>
          <w:lang w:val="en-GB"/>
        </w:rPr>
        <w:t xml:space="preserve">Nowadays, one does not have to travel far by boat from the port to observe miners illegally mining gold on the river. Although there are a large number of small businesses in Laberinto, all commerce is related to the mining industry in some way. This may be through garages where mechanics fix motors, gold merchants or suppliers of oil or mining equipment, or more indirectly through selling of food and other commodities to miners and their families. Thus, while Laberinto is formally established with local government institutions and public services, unlike the informal settlements of La Pampa, the entire economy hinges on ASM. </w:t>
      </w:r>
    </w:p>
    <w:p w14:paraId="29ADE34F" w14:textId="77777777" w:rsidR="009E022C" w:rsidRPr="004E053C" w:rsidRDefault="009E022C" w:rsidP="004E053C">
      <w:pPr>
        <w:spacing w:line="360" w:lineRule="auto"/>
        <w:jc w:val="both"/>
        <w:rPr>
          <w:rFonts w:cstheme="majorHAnsi"/>
          <w:sz w:val="22"/>
          <w:szCs w:val="22"/>
          <w:lang w:val="en-GB"/>
        </w:rPr>
      </w:pPr>
    </w:p>
    <w:p w14:paraId="0EF61423" w14:textId="77777777" w:rsidR="009E022C" w:rsidRPr="004E053C" w:rsidRDefault="009E022C" w:rsidP="004E053C">
      <w:pPr>
        <w:spacing w:line="360" w:lineRule="auto"/>
        <w:jc w:val="both"/>
        <w:rPr>
          <w:rFonts w:cstheme="majorHAnsi"/>
          <w:sz w:val="22"/>
          <w:szCs w:val="22"/>
          <w:lang w:val="en-GB"/>
        </w:rPr>
      </w:pPr>
      <w:r w:rsidRPr="004E053C">
        <w:rPr>
          <w:rFonts w:cstheme="majorHAnsi"/>
          <w:sz w:val="22"/>
          <w:szCs w:val="22"/>
          <w:lang w:val="en-GB"/>
        </w:rPr>
        <w:t>Through the connections in Puerto Maldonado it was possible to arrange a meeting with the head of FEDAMIN, the federation of artisanal and small-scale gold miners in Madre de Dios, who then referred us to the local FEDAMIN leaders. This connection was invaluable in arranging interviews with miners, as without a respected local gatekeeper it would have been impossible to gain the trust of the miners, most of whom are operating illegally. This connection with the local leader also gave us access to an LGA representative who was happy to assist us wherever possible. During the second phase of fieldwork, connections with more temporary miners were made through affiliation with the organisation CINCIA (Centro de Innovacion Cientifica Amazonica), a research centre established to assess the extent to which ASM is contributing to deforestation and contaminated waterways in the Amazon.</w:t>
      </w:r>
    </w:p>
    <w:p w14:paraId="427BDAE7" w14:textId="77777777" w:rsidR="0077618A" w:rsidRPr="004E053C" w:rsidRDefault="0077618A" w:rsidP="004E053C">
      <w:pPr>
        <w:spacing w:line="360" w:lineRule="auto"/>
        <w:jc w:val="both"/>
        <w:rPr>
          <w:rFonts w:cstheme="majorHAnsi"/>
          <w:sz w:val="22"/>
          <w:szCs w:val="22"/>
          <w:lang w:val="en-GB"/>
        </w:rPr>
      </w:pPr>
    </w:p>
    <w:p w14:paraId="2489B599" w14:textId="7BE0913D" w:rsidR="0077618A" w:rsidRPr="004E053C" w:rsidRDefault="00EA7F83" w:rsidP="004E053C">
      <w:pPr>
        <w:pStyle w:val="Heading2"/>
        <w:spacing w:before="0" w:line="360" w:lineRule="auto"/>
        <w:jc w:val="both"/>
        <w:rPr>
          <w:rFonts w:cstheme="majorHAnsi"/>
          <w:lang w:val="en-GB"/>
        </w:rPr>
      </w:pPr>
      <w:bookmarkStart w:id="62" w:name="_Toc424671893"/>
      <w:bookmarkStart w:id="63" w:name="_Toc33293103"/>
      <w:r w:rsidRPr="004E053C">
        <w:rPr>
          <w:rFonts w:cstheme="majorHAnsi"/>
          <w:lang w:val="en-GB"/>
        </w:rPr>
        <w:t>5</w:t>
      </w:r>
      <w:r w:rsidR="004A3EF1" w:rsidRPr="004E053C">
        <w:rPr>
          <w:rFonts w:cstheme="majorHAnsi"/>
          <w:lang w:val="en-GB"/>
        </w:rPr>
        <w:t>.6. Data collection m</w:t>
      </w:r>
      <w:r w:rsidR="0077618A" w:rsidRPr="004E053C">
        <w:rPr>
          <w:rFonts w:cstheme="majorHAnsi"/>
          <w:lang w:val="en-GB"/>
        </w:rPr>
        <w:t>ethods</w:t>
      </w:r>
      <w:bookmarkEnd w:id="62"/>
      <w:bookmarkEnd w:id="63"/>
    </w:p>
    <w:p w14:paraId="520874B7" w14:textId="77777777" w:rsidR="0077618A" w:rsidRPr="004E053C" w:rsidRDefault="0077618A" w:rsidP="004E053C">
      <w:pPr>
        <w:spacing w:line="360" w:lineRule="auto"/>
        <w:jc w:val="both"/>
        <w:rPr>
          <w:rFonts w:eastAsiaTheme="minorHAnsi" w:cstheme="majorHAnsi"/>
          <w:sz w:val="22"/>
          <w:szCs w:val="22"/>
          <w:highlight w:val="yellow"/>
          <w:lang w:val="en-GB"/>
        </w:rPr>
      </w:pPr>
    </w:p>
    <w:p w14:paraId="29726AEC" w14:textId="4E9577EE" w:rsidR="0077618A" w:rsidRPr="004E053C" w:rsidRDefault="0077618A" w:rsidP="004E053C">
      <w:pPr>
        <w:spacing w:line="360" w:lineRule="auto"/>
        <w:jc w:val="both"/>
        <w:rPr>
          <w:rFonts w:eastAsiaTheme="minorHAnsi" w:cstheme="majorHAnsi"/>
          <w:b/>
          <w:sz w:val="22"/>
          <w:szCs w:val="22"/>
          <w:lang w:val="en-GB"/>
        </w:rPr>
      </w:pPr>
      <w:r w:rsidRPr="004E053C">
        <w:rPr>
          <w:rFonts w:eastAsiaTheme="minorHAnsi" w:cstheme="majorHAnsi"/>
          <w:sz w:val="22"/>
          <w:szCs w:val="22"/>
          <w:lang w:val="en-GB"/>
        </w:rPr>
        <w:t xml:space="preserve">Conducting a qualitative study means trying to get as close as possible to the participants being studied, thus requiring the researcher to spend time collecting data ‘in the field’ in order to minimise distance or objective separateness </w:t>
      </w:r>
      <w:r w:rsidR="00E62FF5" w:rsidRPr="004E053C">
        <w:rPr>
          <w:rFonts w:eastAsiaTheme="minorHAnsi" w:cstheme="majorHAnsi"/>
          <w:sz w:val="22"/>
          <w:szCs w:val="22"/>
          <w:lang w:val="en-GB"/>
        </w:rPr>
        <w:fldChar w:fldCharType="begin" w:fldLock="1"/>
      </w:r>
      <w:r w:rsidR="007F27D0" w:rsidRPr="004E053C">
        <w:rPr>
          <w:rFonts w:eastAsiaTheme="minorHAnsi"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2013)","plainTextFormattedCitation":"(Creswell, 2013)","previouslyFormattedCitation":"(Creswell, 2013)"},"properties":{"noteIndex":0},"schema":"https://github.com/citation-style-language/schema/raw/master/csl-citation.json"}</w:instrText>
      </w:r>
      <w:r w:rsidR="00E62FF5" w:rsidRPr="004E053C">
        <w:rPr>
          <w:rFonts w:eastAsiaTheme="minorHAnsi" w:cstheme="majorHAnsi"/>
          <w:sz w:val="22"/>
          <w:szCs w:val="22"/>
          <w:lang w:val="en-GB"/>
        </w:rPr>
        <w:fldChar w:fldCharType="separate"/>
      </w:r>
      <w:r w:rsidR="00E62FF5" w:rsidRPr="004E053C">
        <w:rPr>
          <w:rFonts w:eastAsiaTheme="minorHAnsi" w:cstheme="majorHAnsi"/>
          <w:noProof/>
          <w:sz w:val="22"/>
          <w:szCs w:val="22"/>
          <w:lang w:val="en-GB"/>
        </w:rPr>
        <w:t>(Creswell, 2013)</w:t>
      </w:r>
      <w:r w:rsidR="00E62FF5" w:rsidRPr="004E053C">
        <w:rPr>
          <w:rFonts w:eastAsiaTheme="minorHAnsi" w:cstheme="majorHAnsi"/>
          <w:sz w:val="22"/>
          <w:szCs w:val="22"/>
          <w:lang w:val="en-GB"/>
        </w:rPr>
        <w:fldChar w:fldCharType="end"/>
      </w:r>
      <w:r w:rsidRPr="004E053C">
        <w:rPr>
          <w:rFonts w:eastAsiaTheme="minorHAnsi" w:cstheme="majorHAnsi"/>
          <w:sz w:val="22"/>
          <w:szCs w:val="22"/>
          <w:lang w:val="en-GB"/>
        </w:rPr>
        <w:t>. In total I conducted nine months of fieldwork across two periods of data collection; January-June 2017 and January-March 2018. I organised research activities around the main objective and the four questions outlined at the start of the chapter, which allowed me to identify the information I needed and the respondents I needed to talk to. Following this approach also meant that when faced with an initial field site that was inappropriate and with data collection techniques that didn’t work in the context, I could be flexible.</w:t>
      </w:r>
    </w:p>
    <w:p w14:paraId="257C9C6E" w14:textId="77777777" w:rsidR="0077618A" w:rsidRPr="004E053C" w:rsidRDefault="0077618A" w:rsidP="004E053C">
      <w:pPr>
        <w:spacing w:line="360" w:lineRule="auto"/>
        <w:jc w:val="both"/>
        <w:rPr>
          <w:rFonts w:eastAsiaTheme="minorHAnsi" w:cstheme="majorHAnsi"/>
          <w:sz w:val="22"/>
          <w:szCs w:val="22"/>
          <w:lang w:val="en-GB"/>
        </w:rPr>
      </w:pPr>
    </w:p>
    <w:p w14:paraId="3889E062" w14:textId="65ABFDB6" w:rsidR="0077618A" w:rsidRPr="004E053C" w:rsidRDefault="0077618A" w:rsidP="004E053C">
      <w:pPr>
        <w:spacing w:line="360" w:lineRule="auto"/>
        <w:jc w:val="both"/>
        <w:rPr>
          <w:rFonts w:eastAsiaTheme="minorHAnsi" w:cstheme="majorHAnsi"/>
          <w:sz w:val="22"/>
          <w:szCs w:val="22"/>
          <w:lang w:val="en-GB"/>
        </w:rPr>
      </w:pPr>
      <w:r w:rsidRPr="004E053C">
        <w:rPr>
          <w:rFonts w:cstheme="majorHAnsi"/>
          <w:sz w:val="22"/>
          <w:szCs w:val="22"/>
          <w:lang w:val="en-GB"/>
        </w:rPr>
        <w:t xml:space="preserve">One important aspect of case studies is that it facilitates the use of multiple methods </w:t>
      </w:r>
      <w:r w:rsidR="00055709" w:rsidRPr="004E053C">
        <w:rPr>
          <w:rFonts w:cstheme="majorHAnsi"/>
          <w:sz w:val="22"/>
          <w:szCs w:val="22"/>
          <w:lang w:val="en-GB"/>
        </w:rPr>
        <w:fldChar w:fldCharType="begin" w:fldLock="1"/>
      </w:r>
      <w:r w:rsidR="00055709" w:rsidRPr="004E053C">
        <w:rPr>
          <w:rFonts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2014)","plainTextFormattedCitation":"(Denscombe, 2014)","previouslyFormattedCitation":"(Denscombe, 2014)"},"properties":{"noteIndex":0},"schema":"https://github.com/citation-style-language/schema/raw/master/csl-citation.json"}</w:instrText>
      </w:r>
      <w:r w:rsidR="00055709" w:rsidRPr="004E053C">
        <w:rPr>
          <w:rFonts w:cstheme="majorHAnsi"/>
          <w:sz w:val="22"/>
          <w:szCs w:val="22"/>
          <w:lang w:val="en-GB"/>
        </w:rPr>
        <w:fldChar w:fldCharType="separate"/>
      </w:r>
      <w:r w:rsidR="00055709" w:rsidRPr="004E053C">
        <w:rPr>
          <w:rFonts w:cstheme="majorHAnsi"/>
          <w:noProof/>
          <w:sz w:val="22"/>
          <w:szCs w:val="22"/>
          <w:lang w:val="en-GB"/>
        </w:rPr>
        <w:t>(Denscombe, 2014)</w:t>
      </w:r>
      <w:r w:rsidR="00055709" w:rsidRPr="004E053C">
        <w:rPr>
          <w:rFonts w:cstheme="majorHAnsi"/>
          <w:sz w:val="22"/>
          <w:szCs w:val="22"/>
          <w:lang w:val="en-GB"/>
        </w:rPr>
        <w:fldChar w:fldCharType="end"/>
      </w:r>
      <w:r w:rsidRPr="004E053C">
        <w:rPr>
          <w:rFonts w:cstheme="majorHAnsi"/>
          <w:sz w:val="22"/>
          <w:szCs w:val="22"/>
          <w:lang w:val="en-GB"/>
        </w:rPr>
        <w:t xml:space="preserve">, as evidence can be taken from many sources including documentation, archival records, </w:t>
      </w:r>
      <w:r w:rsidRPr="004E053C">
        <w:rPr>
          <w:rFonts w:cstheme="majorHAnsi"/>
          <w:sz w:val="22"/>
          <w:szCs w:val="22"/>
          <w:lang w:val="en-GB"/>
        </w:rPr>
        <w:lastRenderedPageBreak/>
        <w:t>interviews, d</w:t>
      </w:r>
      <w:r w:rsidR="00D7211F">
        <w:rPr>
          <w:rFonts w:cstheme="majorHAnsi"/>
          <w:sz w:val="22"/>
          <w:szCs w:val="22"/>
          <w:lang w:val="en-GB"/>
        </w:rPr>
        <w:t xml:space="preserve">irect observations, participant </w:t>
      </w:r>
      <w:r w:rsidRPr="004E053C">
        <w:rPr>
          <w:rFonts w:cstheme="majorHAnsi"/>
          <w:sz w:val="22"/>
          <w:szCs w:val="22"/>
          <w:lang w:val="en-GB"/>
        </w:rPr>
        <w:t xml:space="preserve">observation and physical </w:t>
      </w:r>
      <w:r w:rsidR="00D3785B" w:rsidRPr="004E053C">
        <w:rPr>
          <w:rFonts w:cstheme="majorHAnsi"/>
          <w:sz w:val="22"/>
          <w:szCs w:val="22"/>
          <w:lang w:val="en-GB"/>
        </w:rPr>
        <w:t>artefacts</w:t>
      </w:r>
      <w:r w:rsidRPr="004E053C">
        <w:rPr>
          <w:rFonts w:cstheme="majorHAnsi"/>
          <w:sz w:val="22"/>
          <w:szCs w:val="22"/>
          <w:lang w:val="en-GB"/>
        </w:rPr>
        <w:t xml:space="preserve"> </w:t>
      </w:r>
      <w:r w:rsidR="00E62FF5" w:rsidRPr="004E053C">
        <w:rPr>
          <w:rFonts w:cstheme="majorHAnsi"/>
          <w:sz w:val="22"/>
          <w:szCs w:val="22"/>
          <w:lang w:val="en-GB"/>
        </w:rPr>
        <w:fldChar w:fldCharType="begin" w:fldLock="1"/>
      </w:r>
      <w:r w:rsidR="00E62FF5" w:rsidRPr="004E053C">
        <w:rPr>
          <w:rFonts w:cstheme="majorHAnsi"/>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Methods","type":"book"},"uris":["http://www.mendeley.com/documents/?uuid=986168dc-8e04-4844-b006-fa8bdfa744d3"]}],"mendeley":{"formattedCitation":"(Yin, 2009)","plainTextFormattedCitation":"(Yin, 2009)","previouslyFormattedCitation":"(Yin, 2009)"},"properties":{"noteIndex":0},"schema":"https://github.com/citation-style-language/schema/raw/master/csl-citation.json"}</w:instrText>
      </w:r>
      <w:r w:rsidR="00E62FF5" w:rsidRPr="004E053C">
        <w:rPr>
          <w:rFonts w:cstheme="majorHAnsi"/>
          <w:sz w:val="22"/>
          <w:szCs w:val="22"/>
          <w:lang w:val="en-GB"/>
        </w:rPr>
        <w:fldChar w:fldCharType="separate"/>
      </w:r>
      <w:r w:rsidR="00E62FF5" w:rsidRPr="004E053C">
        <w:rPr>
          <w:rFonts w:cstheme="majorHAnsi"/>
          <w:noProof/>
          <w:sz w:val="22"/>
          <w:szCs w:val="22"/>
          <w:lang w:val="en-GB"/>
        </w:rPr>
        <w:t>(Yin, 2009)</w:t>
      </w:r>
      <w:r w:rsidR="00E62FF5" w:rsidRPr="004E053C">
        <w:rPr>
          <w:rFonts w:cstheme="majorHAnsi"/>
          <w:sz w:val="22"/>
          <w:szCs w:val="22"/>
          <w:lang w:val="en-GB"/>
        </w:rPr>
        <w:fldChar w:fldCharType="end"/>
      </w:r>
      <w:r w:rsidRPr="004E053C">
        <w:rPr>
          <w:rFonts w:cstheme="majorHAnsi"/>
          <w:sz w:val="22"/>
          <w:szCs w:val="22"/>
          <w:lang w:val="en-GB"/>
        </w:rPr>
        <w:t>. However some authors insist that multiple sources of evidence must be used when conducting case studies in order to triangulate and co</w:t>
      </w:r>
      <w:r w:rsidR="00E62FF5" w:rsidRPr="004E053C">
        <w:rPr>
          <w:rFonts w:cstheme="majorHAnsi"/>
          <w:sz w:val="22"/>
          <w:szCs w:val="22"/>
          <w:lang w:val="en-GB"/>
        </w:rPr>
        <w:t>rroborate the gathered evidence</w:t>
      </w:r>
      <w:r w:rsidRPr="004E053C">
        <w:rPr>
          <w:rFonts w:cstheme="majorHAnsi"/>
          <w:sz w:val="22"/>
          <w:szCs w:val="22"/>
          <w:lang w:val="en-GB"/>
        </w:rPr>
        <w:t xml:space="preserve"> </w:t>
      </w:r>
      <w:r w:rsidR="00E62FF5" w:rsidRPr="004E053C">
        <w:rPr>
          <w:rFonts w:cstheme="majorHAnsi"/>
          <w:sz w:val="22"/>
          <w:szCs w:val="22"/>
          <w:lang w:val="en-GB"/>
        </w:rPr>
        <w:fldChar w:fldCharType="begin" w:fldLock="1"/>
      </w:r>
      <w:r w:rsidR="00B67ED4" w:rsidRPr="004E053C">
        <w:rPr>
          <w:rFonts w:cstheme="majorHAnsi"/>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Methods","type":"book"},"uris":["http://www.mendeley.com/documents/?uuid=986168dc-8e04-4844-b006-fa8bdfa744d3"]}],"mendeley":{"formattedCitation":"(Yin, 2009)","manualFormatting":"(Ibid.)","plainTextFormattedCitation":"(Yin, 2009)","previouslyFormattedCitation":"(Yin, 2009)"},"properties":{"noteIndex":0},"schema":"https://github.com/citation-style-language/schema/raw/master/csl-citation.json"}</w:instrText>
      </w:r>
      <w:r w:rsidR="00E62FF5" w:rsidRPr="004E053C">
        <w:rPr>
          <w:rFonts w:cstheme="majorHAnsi"/>
          <w:sz w:val="22"/>
          <w:szCs w:val="22"/>
          <w:lang w:val="en-GB"/>
        </w:rPr>
        <w:fldChar w:fldCharType="separate"/>
      </w:r>
      <w:r w:rsidR="007F1856" w:rsidRPr="004E053C">
        <w:rPr>
          <w:rFonts w:cstheme="majorHAnsi"/>
          <w:noProof/>
          <w:sz w:val="22"/>
          <w:szCs w:val="22"/>
          <w:lang w:val="en-GB"/>
        </w:rPr>
        <w:t>(Ibid</w:t>
      </w:r>
      <w:r w:rsidR="00EC4FAE" w:rsidRPr="004E053C">
        <w:rPr>
          <w:rFonts w:cstheme="majorHAnsi"/>
          <w:noProof/>
          <w:sz w:val="22"/>
          <w:szCs w:val="22"/>
          <w:lang w:val="en-GB"/>
        </w:rPr>
        <w:t>.</w:t>
      </w:r>
      <w:r w:rsidR="00E62FF5" w:rsidRPr="004E053C">
        <w:rPr>
          <w:rFonts w:cstheme="majorHAnsi"/>
          <w:noProof/>
          <w:sz w:val="22"/>
          <w:szCs w:val="22"/>
          <w:lang w:val="en-GB"/>
        </w:rPr>
        <w:t>)</w:t>
      </w:r>
      <w:r w:rsidR="00E62FF5" w:rsidRPr="004E053C">
        <w:rPr>
          <w:rFonts w:cstheme="majorHAnsi"/>
          <w:sz w:val="22"/>
          <w:szCs w:val="22"/>
          <w:lang w:val="en-GB"/>
        </w:rPr>
        <w:fldChar w:fldCharType="end"/>
      </w:r>
      <w:r w:rsidR="00E62FF5" w:rsidRPr="004E053C">
        <w:rPr>
          <w:rFonts w:cstheme="majorHAnsi"/>
          <w:sz w:val="22"/>
          <w:szCs w:val="22"/>
          <w:lang w:val="en-GB"/>
        </w:rPr>
        <w:t>.</w:t>
      </w:r>
      <w:r w:rsidRPr="004E053C">
        <w:rPr>
          <w:rFonts w:cstheme="majorHAnsi"/>
          <w:sz w:val="22"/>
          <w:szCs w:val="22"/>
          <w:lang w:val="en-GB"/>
        </w:rPr>
        <w:t xml:space="preserve"> In case studies triangulation is seen as imperative for verifying data </w:t>
      </w:r>
      <w:r w:rsidR="00E62FF5"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id":"ITEM-2","itemData":{"author":[{"dropping-particle":"","family":"Creswell","given":"John","non-dropping-particle":"","parse-names":false,"suffix":""}],"edition":"4th","id":"ITEM-2","issued":{"date-parts":[["2014"]]},"publisher":"Sage Publications Ltd","publisher-place":"Los Angeles, CA","title":"Research Design: Qualitative, Quantitative and Mixed Methods Approaches","type":"book"},"uris":["http://www.mendeley.com/documents/?uuid=7edc34a1-9390-429c-bb79-1b9ca0f21137"]},{"id":"ITEM-3","itemData":{"author":[{"dropping-particle":"","family":"Gerring","given":"J","non-dropping-particle":"","parse-names":false,"suffix":""}],"id":"ITEM-3","issued":{"date-parts":[["2007"]]},"publisher":"Cambridge University Press","publisher-place":"New York, NY","title":"Case Study Research: Principles and Practices","type":"book"},"uris":["http://www.mendeley.com/documents/?uuid=8aa9331e-e1d2-4790-a721-05cc272f3acb"]}],"mendeley":{"formattedCitation":"(Creswell, 2014; Gerring, 2007; Yin, 2009)","manualFormatting":"(Creswell, 2014; Gerring, 2007; Yin, 2009)","plainTextFormattedCitation":"(Creswell, 2014; Gerring, 2007; Yin, 2009)","previouslyFormattedCitation":"(Creswell, 2014; Gerring, 2007; Yin, 2009)"},"properties":{"noteIndex":0},"schema":"https://github.com/citation-style-language/schema/raw/master/csl-citation.json"}</w:instrText>
      </w:r>
      <w:r w:rsidR="00E62FF5" w:rsidRPr="004E053C">
        <w:rPr>
          <w:rFonts w:cstheme="majorHAnsi"/>
          <w:sz w:val="22"/>
          <w:szCs w:val="22"/>
          <w:lang w:val="en-GB"/>
        </w:rPr>
        <w:fldChar w:fldCharType="separate"/>
      </w:r>
      <w:r w:rsidR="00E62FF5" w:rsidRPr="004E053C">
        <w:rPr>
          <w:rFonts w:cstheme="majorHAnsi"/>
          <w:noProof/>
          <w:sz w:val="22"/>
          <w:szCs w:val="22"/>
          <w:lang w:val="en-GB"/>
        </w:rPr>
        <w:t>(Creswell, 2014; Gerring, 2007; Yin, 2009)</w:t>
      </w:r>
      <w:r w:rsidR="00E62FF5" w:rsidRPr="004E053C">
        <w:rPr>
          <w:rFonts w:cstheme="majorHAnsi"/>
          <w:sz w:val="22"/>
          <w:szCs w:val="22"/>
          <w:lang w:val="en-GB"/>
        </w:rPr>
        <w:fldChar w:fldCharType="end"/>
      </w:r>
      <w:r w:rsidRPr="004E053C">
        <w:rPr>
          <w:rFonts w:eastAsiaTheme="minorHAnsi" w:cstheme="majorHAnsi"/>
          <w:sz w:val="22"/>
          <w:szCs w:val="22"/>
          <w:lang w:val="en-GB"/>
        </w:rPr>
        <w:t>.</w:t>
      </w:r>
      <w:r w:rsidR="00E62FF5" w:rsidRPr="004E053C">
        <w:rPr>
          <w:rFonts w:eastAsiaTheme="minorHAnsi" w:cstheme="majorHAnsi"/>
          <w:sz w:val="22"/>
          <w:szCs w:val="22"/>
          <w:lang w:val="en-GB"/>
        </w:rPr>
        <w:t xml:space="preserve"> </w:t>
      </w:r>
      <w:r w:rsidRPr="004E053C">
        <w:rPr>
          <w:rFonts w:eastAsiaTheme="minorHAnsi" w:cstheme="majorHAnsi"/>
          <w:sz w:val="22"/>
          <w:szCs w:val="22"/>
          <w:lang w:val="en-GB"/>
        </w:rPr>
        <w:t xml:space="preserve">As will be demonstrated in this section, although multiple data collection methods were proposed in the planning stages, some of these were not possible to conduct in the field. This section will discuss the use of in-depth interviews and briefly explain why the other proposed methods were not practical. </w:t>
      </w:r>
    </w:p>
    <w:p w14:paraId="1C71E0D4" w14:textId="77777777" w:rsidR="0077618A" w:rsidRPr="004E053C" w:rsidRDefault="0077618A" w:rsidP="004E053C">
      <w:pPr>
        <w:spacing w:line="360" w:lineRule="auto"/>
        <w:jc w:val="both"/>
        <w:rPr>
          <w:rFonts w:eastAsiaTheme="minorHAnsi" w:cstheme="majorHAnsi"/>
          <w:sz w:val="22"/>
          <w:szCs w:val="22"/>
          <w:lang w:val="en-GB"/>
        </w:rPr>
      </w:pPr>
    </w:p>
    <w:p w14:paraId="57CAD498" w14:textId="13864ACC" w:rsidR="0077618A" w:rsidRPr="004E053C" w:rsidRDefault="00EA7F83" w:rsidP="004E053C">
      <w:pPr>
        <w:pStyle w:val="Heading3"/>
        <w:rPr>
          <w:rFonts w:asciiTheme="minorHAnsi" w:hAnsiTheme="minorHAnsi"/>
        </w:rPr>
      </w:pPr>
      <w:r w:rsidRPr="004E053C">
        <w:rPr>
          <w:rFonts w:asciiTheme="minorHAnsi" w:hAnsiTheme="minorHAnsi"/>
        </w:rPr>
        <w:t>5</w:t>
      </w:r>
      <w:r w:rsidR="0077618A" w:rsidRPr="004E053C">
        <w:rPr>
          <w:rFonts w:asciiTheme="minorHAnsi" w:hAnsiTheme="minorHAnsi"/>
        </w:rPr>
        <w:t>.6.1. Interviews</w:t>
      </w:r>
    </w:p>
    <w:p w14:paraId="6CE5F7E0" w14:textId="77777777" w:rsidR="00843DED" w:rsidRPr="004E053C" w:rsidRDefault="00843DED" w:rsidP="004E053C">
      <w:pPr>
        <w:jc w:val="both"/>
        <w:rPr>
          <w:lang w:val="en-GB"/>
        </w:rPr>
      </w:pPr>
    </w:p>
    <w:p w14:paraId="1B4AB22C" w14:textId="6130622E" w:rsidR="0077618A" w:rsidRPr="004E053C" w:rsidRDefault="0077618A" w:rsidP="004E053C">
      <w:pPr>
        <w:spacing w:line="360" w:lineRule="auto"/>
        <w:jc w:val="both"/>
        <w:rPr>
          <w:rFonts w:cstheme="majorHAnsi"/>
          <w:sz w:val="22"/>
          <w:szCs w:val="22"/>
          <w:lang w:val="en-GB"/>
        </w:rPr>
      </w:pPr>
      <w:r w:rsidRPr="004E053C">
        <w:rPr>
          <w:rFonts w:eastAsiaTheme="minorHAnsi" w:cstheme="majorHAnsi"/>
          <w:sz w:val="22"/>
          <w:szCs w:val="22"/>
          <w:lang w:val="en-GB"/>
        </w:rPr>
        <w:t xml:space="preserve">This research study draws on in-depth interviews to understand translocal community dynamics, place and community identity, and the implications of the illegality of ASM livelihoods. Qualitative interviewing is useful when applying an interpretivist approach, as it allows for a better exploration of the views and perceptions of the participants, allowing a deeper understanding than would be provided by a quantitative analysis of migration trends. </w:t>
      </w:r>
      <w:r w:rsidRPr="004E053C">
        <w:rPr>
          <w:rFonts w:cstheme="majorHAnsi"/>
          <w:sz w:val="22"/>
          <w:szCs w:val="22"/>
          <w:lang w:val="en-GB"/>
        </w:rPr>
        <w:t xml:space="preserve">Through the use of interviews, I am able to </w:t>
      </w:r>
      <w:r w:rsidRPr="004E053C">
        <w:rPr>
          <w:rFonts w:eastAsiaTheme="minorHAnsi" w:cstheme="majorHAnsi"/>
          <w:sz w:val="22"/>
          <w:szCs w:val="22"/>
          <w:lang w:val="en-GB"/>
        </w:rPr>
        <w:t xml:space="preserve">explore the complex and subtle phenomena that are embedded in translocal ASM communities, such as opinions, feelings, emotions and experiences </w:t>
      </w:r>
      <w:r w:rsidR="00055709" w:rsidRPr="004E053C">
        <w:rPr>
          <w:rFonts w:eastAsiaTheme="minorHAnsi" w:cstheme="majorHAnsi"/>
          <w:sz w:val="22"/>
          <w:szCs w:val="22"/>
          <w:lang w:val="en-GB"/>
        </w:rPr>
        <w:fldChar w:fldCharType="begin" w:fldLock="1"/>
      </w:r>
      <w:r w:rsidR="00055709" w:rsidRPr="004E053C">
        <w:rPr>
          <w:rFonts w:eastAsiaTheme="minorHAnsi"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2014)","plainTextFormattedCitation":"(Denscombe, 2014)","previouslyFormattedCitation":"(Denscombe, 2014)"},"properties":{"noteIndex":0},"schema":"https://github.com/citation-style-language/schema/raw/master/csl-citation.json"}</w:instrText>
      </w:r>
      <w:r w:rsidR="00055709" w:rsidRPr="004E053C">
        <w:rPr>
          <w:rFonts w:eastAsiaTheme="minorHAnsi" w:cstheme="majorHAnsi"/>
          <w:sz w:val="22"/>
          <w:szCs w:val="22"/>
          <w:lang w:val="en-GB"/>
        </w:rPr>
        <w:fldChar w:fldCharType="separate"/>
      </w:r>
      <w:r w:rsidR="00055709" w:rsidRPr="004E053C">
        <w:rPr>
          <w:rFonts w:eastAsiaTheme="minorHAnsi" w:cstheme="majorHAnsi"/>
          <w:noProof/>
          <w:sz w:val="22"/>
          <w:szCs w:val="22"/>
          <w:lang w:val="en-GB"/>
        </w:rPr>
        <w:t>(Denscombe, 2014)</w:t>
      </w:r>
      <w:r w:rsidR="00055709"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Peraklya </w:t>
      </w:r>
      <w:r w:rsidR="00055709" w:rsidRPr="004E053C">
        <w:rPr>
          <w:rFonts w:eastAsiaTheme="minorHAnsi" w:cstheme="majorHAnsi"/>
          <w:sz w:val="22"/>
          <w:szCs w:val="22"/>
          <w:lang w:val="en-GB"/>
        </w:rPr>
        <w:fldChar w:fldCharType="begin" w:fldLock="1"/>
      </w:r>
      <w:r w:rsidR="00055709" w:rsidRPr="004E053C">
        <w:rPr>
          <w:rFonts w:eastAsiaTheme="minorHAnsi" w:cstheme="majorHAnsi"/>
          <w:sz w:val="22"/>
          <w:szCs w:val="22"/>
          <w:lang w:val="en-GB"/>
        </w:rPr>
        <w:instrText>ADDIN CSL_CITATION {"citationItems":[{"id":"ITEM-1","itemData":{"author":[{"dropping-particle":"","family":"Perakyla","given":"A.","non-dropping-particle":"","parse-names":false,"suffix":""}],"container-title":"The Sage Handbook of Qualitative Research","edition":"3rd","editor":[{"dropping-particle":"","family":"Denzin","given":"N.K","non-dropping-particle":"","parse-names":false,"suffix":""},{"dropping-particle":"","family":"Lincoln","given":"Y.S","non-dropping-particle":"","parse-names":false,"suffix":""}],"id":"ITEM-1","issued":{"date-parts":[["2005"]]},"publisher":"Sage Publications Ltd","publisher-place":"London, UK","title":"Analyzing talk and text","type":"chapter"},"uris":["http://www.mendeley.com/documents/?uuid=56dc1785-03f9-493e-82fd-24c11c63fd5f"]}],"mendeley":{"formattedCitation":"(Perakyla, 2005)","manualFormatting":"(2005)","plainTextFormattedCitation":"(Perakyla, 2005)","previouslyFormattedCitation":"(Perakyla, 2005)"},"properties":{"noteIndex":0},"schema":"https://github.com/citation-style-language/schema/raw/master/csl-citation.json"}</w:instrText>
      </w:r>
      <w:r w:rsidR="00055709" w:rsidRPr="004E053C">
        <w:rPr>
          <w:rFonts w:eastAsiaTheme="minorHAnsi" w:cstheme="majorHAnsi"/>
          <w:sz w:val="22"/>
          <w:szCs w:val="22"/>
          <w:lang w:val="en-GB"/>
        </w:rPr>
        <w:fldChar w:fldCharType="separate"/>
      </w:r>
      <w:r w:rsidR="00055709" w:rsidRPr="004E053C">
        <w:rPr>
          <w:rFonts w:eastAsiaTheme="minorHAnsi" w:cstheme="majorHAnsi"/>
          <w:noProof/>
          <w:sz w:val="22"/>
          <w:szCs w:val="22"/>
          <w:lang w:val="en-GB"/>
        </w:rPr>
        <w:t>(2005)</w:t>
      </w:r>
      <w:r w:rsidR="00055709"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stresses that by tapping into people’s subjective experiences and attitudes in this way, interviews enable the researcher to reach areas of reality that would otherwise remain inaccessible, such as past events or faraway experiences. This enables the researcher to gain access to this knowledge in a way that other methods, such as participant observation, do not allow. Mason </w:t>
      </w:r>
      <w:r w:rsidR="00055709" w:rsidRPr="004E053C">
        <w:rPr>
          <w:rFonts w:eastAsiaTheme="minorHAnsi" w:cstheme="majorHAnsi"/>
          <w:sz w:val="22"/>
          <w:szCs w:val="22"/>
          <w:lang w:val="en-GB"/>
        </w:rPr>
        <w:fldChar w:fldCharType="begin" w:fldLock="1"/>
      </w:r>
      <w:r w:rsidR="00055709" w:rsidRPr="004E053C">
        <w:rPr>
          <w:rFonts w:eastAsiaTheme="minorHAnsi" w:cstheme="majorHAnsi"/>
          <w:sz w:val="22"/>
          <w:szCs w:val="22"/>
          <w:lang w:val="en-GB"/>
        </w:rPr>
        <w:instrText>ADDIN CSL_CITATION {"citationItems":[{"id":"ITEM-1","itemData":{"author":[{"dropping-particle":"","family":"Mason","given":"Jennifer","non-dropping-particle":"","parse-names":false,"suffix":""}],"id":"ITEM-1","issued":{"date-parts":[["2002"]]},"publisher":"Sage Publications Ltd","publisher-place":"London, UK","title":"Qualitative Researching","type":"book"},"uris":["http://www.mendeley.com/documents/?uuid=c5af782a-cf51-4780-902c-0c2fdb471010"]}],"mendeley":{"formattedCitation":"(Mason, 2002)","manualFormatting":"(2002)","plainTextFormattedCitation":"(Mason, 2002)","previouslyFormattedCitation":"(Mason, 2002)"},"properties":{"noteIndex":0},"schema":"https://github.com/citation-style-language/schema/raw/master/csl-citation.json"}</w:instrText>
      </w:r>
      <w:r w:rsidR="00055709" w:rsidRPr="004E053C">
        <w:rPr>
          <w:rFonts w:eastAsiaTheme="minorHAnsi" w:cstheme="majorHAnsi"/>
          <w:sz w:val="22"/>
          <w:szCs w:val="22"/>
          <w:lang w:val="en-GB"/>
        </w:rPr>
        <w:fldChar w:fldCharType="separate"/>
      </w:r>
      <w:r w:rsidR="00055709" w:rsidRPr="004E053C">
        <w:rPr>
          <w:rFonts w:eastAsiaTheme="minorHAnsi" w:cstheme="majorHAnsi"/>
          <w:noProof/>
          <w:sz w:val="22"/>
          <w:szCs w:val="22"/>
          <w:lang w:val="en-GB"/>
        </w:rPr>
        <w:t>(2002)</w:t>
      </w:r>
      <w:r w:rsidR="00055709"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notes that because </w:t>
      </w:r>
      <w:r w:rsidRPr="004E053C">
        <w:rPr>
          <w:rFonts w:cstheme="majorHAnsi"/>
          <w:sz w:val="22"/>
          <w:szCs w:val="22"/>
          <w:lang w:val="en-GB"/>
        </w:rPr>
        <w:t>qualitative interviews rely on people’s contextual accounts and experiences, they are particularly useful for explaining depth and nuance in social interactions.</w:t>
      </w:r>
    </w:p>
    <w:p w14:paraId="4D634648" w14:textId="77777777" w:rsidR="00843DED" w:rsidRPr="004E053C" w:rsidRDefault="00843DED" w:rsidP="004E053C">
      <w:pPr>
        <w:spacing w:line="360" w:lineRule="auto"/>
        <w:jc w:val="both"/>
        <w:rPr>
          <w:rFonts w:cstheme="majorHAnsi"/>
          <w:sz w:val="22"/>
          <w:szCs w:val="22"/>
          <w:lang w:val="en-GB"/>
        </w:rPr>
      </w:pPr>
    </w:p>
    <w:p w14:paraId="1BA20B7E" w14:textId="726E8557"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 xml:space="preserve">Rather than using completely structured questions in my interviews, I followed a semi-structured interview format. </w:t>
      </w:r>
      <w:r w:rsidRPr="004E053C">
        <w:rPr>
          <w:rFonts w:eastAsiaTheme="minorHAnsi" w:cstheme="majorHAnsi"/>
          <w:sz w:val="22"/>
          <w:szCs w:val="22"/>
          <w:lang w:val="en-GB"/>
        </w:rPr>
        <w:t xml:space="preserve">While I had a clear list of issues to be addressed, I wanted the flexibility to allow the interviewees to develop ideas and speak more widely on the issues that were most pertinent to them </w:t>
      </w:r>
      <w:r w:rsidR="00055709" w:rsidRPr="004E053C">
        <w:rPr>
          <w:rFonts w:eastAsiaTheme="minorHAnsi" w:cstheme="majorHAnsi"/>
          <w:sz w:val="22"/>
          <w:szCs w:val="22"/>
          <w:lang w:val="en-GB"/>
        </w:rPr>
        <w:fldChar w:fldCharType="begin" w:fldLock="1"/>
      </w:r>
      <w:r w:rsidR="00055709" w:rsidRPr="004E053C">
        <w:rPr>
          <w:rFonts w:eastAsiaTheme="minorHAnsi"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2014)","plainTextFormattedCitation":"(Denscombe, 2014)","previouslyFormattedCitation":"(Denscombe, 2014)"},"properties":{"noteIndex":0},"schema":"https://github.com/citation-style-language/schema/raw/master/csl-citation.json"}</w:instrText>
      </w:r>
      <w:r w:rsidR="00055709" w:rsidRPr="004E053C">
        <w:rPr>
          <w:rFonts w:eastAsiaTheme="minorHAnsi" w:cstheme="majorHAnsi"/>
          <w:sz w:val="22"/>
          <w:szCs w:val="22"/>
          <w:lang w:val="en-GB"/>
        </w:rPr>
        <w:fldChar w:fldCharType="separate"/>
      </w:r>
      <w:r w:rsidR="00055709" w:rsidRPr="004E053C">
        <w:rPr>
          <w:rFonts w:eastAsiaTheme="minorHAnsi" w:cstheme="majorHAnsi"/>
          <w:noProof/>
          <w:sz w:val="22"/>
          <w:szCs w:val="22"/>
          <w:lang w:val="en-GB"/>
        </w:rPr>
        <w:t>(Denscombe, 2014)</w:t>
      </w:r>
      <w:r w:rsidR="00055709"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Interviews that follow a semi-structured format are open-ended and there is more emphasis on the interviewee elaborating points of interest, providing opportunity for the interviews to develop and change through the course of the project </w:t>
      </w:r>
      <w:r w:rsidR="00055709" w:rsidRPr="004E053C">
        <w:rPr>
          <w:rFonts w:eastAsiaTheme="minorHAnsi" w:cstheme="majorHAnsi"/>
          <w:sz w:val="22"/>
          <w:szCs w:val="22"/>
          <w:lang w:val="en-GB"/>
        </w:rPr>
        <w:fldChar w:fldCharType="begin" w:fldLock="1"/>
      </w:r>
      <w:r w:rsidR="00B67ED4" w:rsidRPr="004E053C">
        <w:rPr>
          <w:rFonts w:eastAsiaTheme="minorHAnsi" w:cstheme="majorHAnsi"/>
          <w:sz w:val="22"/>
          <w:szCs w:val="22"/>
          <w:lang w:val="en-GB"/>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2014)","manualFormatting":"(Ibid.)","plainTextFormattedCitation":"(Denscombe, 2014)","previouslyFormattedCitation":"(Denscombe, 2014)"},"properties":{"noteIndex":0},"schema":"https://github.com/citation-style-language/schema/raw/master/csl-citation.json"}</w:instrText>
      </w:r>
      <w:r w:rsidR="00055709" w:rsidRPr="004E053C">
        <w:rPr>
          <w:rFonts w:eastAsiaTheme="minorHAnsi" w:cstheme="majorHAnsi"/>
          <w:sz w:val="22"/>
          <w:szCs w:val="22"/>
          <w:lang w:val="en-GB"/>
        </w:rPr>
        <w:fldChar w:fldCharType="separate"/>
      </w:r>
      <w:r w:rsidR="007F1856" w:rsidRPr="004E053C">
        <w:rPr>
          <w:rFonts w:eastAsiaTheme="minorHAnsi" w:cstheme="majorHAnsi"/>
          <w:noProof/>
          <w:sz w:val="22"/>
          <w:szCs w:val="22"/>
          <w:lang w:val="en-GB"/>
        </w:rPr>
        <w:t>(Ibid</w:t>
      </w:r>
      <w:r w:rsidR="00EC4FAE" w:rsidRPr="004E053C">
        <w:rPr>
          <w:rFonts w:eastAsiaTheme="minorHAnsi" w:cstheme="majorHAnsi"/>
          <w:noProof/>
          <w:sz w:val="22"/>
          <w:szCs w:val="22"/>
          <w:lang w:val="en-GB"/>
        </w:rPr>
        <w:t>.</w:t>
      </w:r>
      <w:r w:rsidR="00055709" w:rsidRPr="004E053C">
        <w:rPr>
          <w:rFonts w:eastAsiaTheme="minorHAnsi" w:cstheme="majorHAnsi"/>
          <w:noProof/>
          <w:sz w:val="22"/>
          <w:szCs w:val="22"/>
          <w:lang w:val="en-GB"/>
        </w:rPr>
        <w:t>)</w:t>
      </w:r>
      <w:r w:rsidR="00055709"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I found this particularly useful during the course of my fieldwork, as I learnt more about the realities of translocal ASM livelihoods. Semi-structured interviews also provide scope for follow up questions and probing </w:t>
      </w:r>
      <w:r w:rsidR="00212C09" w:rsidRPr="004E053C">
        <w:rPr>
          <w:rFonts w:eastAsiaTheme="minorHAnsi" w:cstheme="majorHAnsi"/>
          <w:sz w:val="22"/>
          <w:szCs w:val="22"/>
          <w:lang w:val="en-GB"/>
        </w:rPr>
        <w:fldChar w:fldCharType="begin" w:fldLock="1"/>
      </w:r>
      <w:r w:rsidR="001705C6" w:rsidRPr="004E053C">
        <w:rPr>
          <w:rFonts w:eastAsiaTheme="minorHAnsi" w:cstheme="majorHAnsi"/>
          <w:sz w:val="22"/>
          <w:szCs w:val="22"/>
          <w:lang w:val="en-GB"/>
        </w:rPr>
        <w:instrText>ADDIN CSL_CITATION {"citationItems":[{"id":"ITEM-1","itemData":{"author":[{"dropping-particle":"","family":"Brockington","given":"Dan","non-dropping-particle":"","parse-names":false,"suffix":""},{"dropping-particle":"","family":"Sullivan","given":"S","non-dropping-particle":"","parse-names":false,"suffix":""}],"container-title":"Development Fieldwork: A Practical Guide","editor":[{"dropping-particle":"","family":"Scheyvens","given":"R","non-dropping-particle":"","parse-names":false,"suffix":""},{"dropping-particle":"","family":"Storey","given":"D","non-dropping-particle":"","parse-names":false,"suffix":""}],"id":"ITEM-1","issued":{"date-parts":[["2003"]]},"page":"57-72","publisher":"Sage","publisher-place":"London, UK","title":"Qualitative research","type":"chapter"},"uris":["http://www.mendeley.com/documents/?uuid=b347749f-bc16-49ea-aad8-831075080501","http://www.mendeley.com/documents/?uuid=402a2baa-aa92-4fbf-9f1d-66a1cd546eb9"]},{"id":"ITEM-2","itemData":{"author":[{"dropping-particle":"","family":"Bryman","given":"Alan","non-dropping-particle":"","parse-names":false,"suffix":""}],"edition":"4th","id":"ITEM-2","issued":{"date-parts":[["2001"]]},"publisher":"Oxford University Press","publisher-place":"Oxford","title":"Social Research Methods","type":"book"},"uris":["http://www.mendeley.com/documents/?uuid=be73eb83-a206-4681-a98c-bda55c82b47e"]},{"id":"ITEM-3","itemData":{"author":[{"dropping-particle":"","family":"Perakyla","given":"A.","non-dropping-particle":"","parse-names":false,"suffix":""}],"container-title":"The Sage Handbook of Qualitative Research","edition":"3rd","editor":[{"dropping-particle":"","family":"Denzin","given":"N.K","non-dropping-particle":"","parse-names":false,"suffix":""},{"dropping-particle":"","family":"Lincoln","given":"Y.S","non-dropping-particle":"","parse-names":false,"suffix":""}],"id":"ITEM-3","issued":{"date-parts":[["2005"]]},"publisher":"Sage Publications Ltd","publisher-place":"London, UK","title":"Analyzing talk and text","type":"chapter"},"uris":["http://www.mendeley.com/documents/?uuid=56dc1785-03f9-493e-82fd-24c11c63fd5f"]}],"mendeley":{"formattedCitation":"(Brockington &amp; Sullivan, 2003; Bryman, 2001; Perakyla, 2005)","plainTextFormattedCitation":"(Brockington &amp; Sullivan, 2003; Bryman, 2001; Perakyla, 2005)","previouslyFormattedCitation":"(Brockington &amp; Sullivan, 2003; Bryman, 2001; Perakyla, 2005)"},"properties":{"noteIndex":0},"schema":"https://github.com/citation-style-language/schema/raw/master/csl-citation.json"}</w:instrText>
      </w:r>
      <w:r w:rsidR="00212C09" w:rsidRPr="004E053C">
        <w:rPr>
          <w:rFonts w:eastAsiaTheme="minorHAnsi" w:cstheme="majorHAnsi"/>
          <w:sz w:val="22"/>
          <w:szCs w:val="22"/>
          <w:lang w:val="en-GB"/>
        </w:rPr>
        <w:fldChar w:fldCharType="separate"/>
      </w:r>
      <w:r w:rsidR="00212C09" w:rsidRPr="004E053C">
        <w:rPr>
          <w:rFonts w:eastAsiaTheme="minorHAnsi" w:cstheme="majorHAnsi"/>
          <w:noProof/>
          <w:sz w:val="22"/>
          <w:szCs w:val="22"/>
          <w:lang w:val="en-GB"/>
        </w:rPr>
        <w:t>(Brockington &amp; Sullivan, 2003; Bryman, 2001; Perakyla, 2005)</w:t>
      </w:r>
      <w:r w:rsidR="00212C09"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which allowed me to investigate further into points of interest. In particular, semi-structured interviews suit a constructivist approach, because as the questions remain broad and general, there is more scope for participants </w:t>
      </w:r>
      <w:r w:rsidRPr="004E053C">
        <w:rPr>
          <w:rFonts w:eastAsiaTheme="minorHAnsi" w:cstheme="majorHAnsi"/>
          <w:sz w:val="22"/>
          <w:szCs w:val="22"/>
          <w:lang w:val="en-GB"/>
        </w:rPr>
        <w:lastRenderedPageBreak/>
        <w:t xml:space="preserve">to construct the meaning of a situation </w:t>
      </w:r>
      <w:r w:rsidR="00212C09" w:rsidRPr="004E053C">
        <w:rPr>
          <w:rFonts w:eastAsiaTheme="minorHAnsi" w:cstheme="majorHAnsi"/>
          <w:sz w:val="22"/>
          <w:szCs w:val="22"/>
          <w:lang w:val="en-GB"/>
        </w:rPr>
        <w:fldChar w:fldCharType="begin" w:fldLock="1"/>
      </w:r>
      <w:r w:rsidR="007F27D0" w:rsidRPr="004E053C">
        <w:rPr>
          <w:rFonts w:eastAsiaTheme="minorHAnsi"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2013)","plainTextFormattedCitation":"(Creswell, 2013)","previouslyFormattedCitation":"(Creswell, 2013)"},"properties":{"noteIndex":0},"schema":"https://github.com/citation-style-language/schema/raw/master/csl-citation.json"}</w:instrText>
      </w:r>
      <w:r w:rsidR="00212C09" w:rsidRPr="004E053C">
        <w:rPr>
          <w:rFonts w:eastAsiaTheme="minorHAnsi" w:cstheme="majorHAnsi"/>
          <w:sz w:val="22"/>
          <w:szCs w:val="22"/>
          <w:lang w:val="en-GB"/>
        </w:rPr>
        <w:fldChar w:fldCharType="separate"/>
      </w:r>
      <w:r w:rsidR="00212C09" w:rsidRPr="004E053C">
        <w:rPr>
          <w:rFonts w:eastAsiaTheme="minorHAnsi" w:cstheme="majorHAnsi"/>
          <w:noProof/>
          <w:sz w:val="22"/>
          <w:szCs w:val="22"/>
          <w:lang w:val="en-GB"/>
        </w:rPr>
        <w:t>(Creswell, 2013)</w:t>
      </w:r>
      <w:r w:rsidR="00212C09"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w:t>
      </w:r>
      <w:r w:rsidRPr="004E053C">
        <w:rPr>
          <w:rFonts w:cstheme="majorHAnsi"/>
          <w:sz w:val="22"/>
          <w:szCs w:val="22"/>
          <w:lang w:val="en-GB"/>
        </w:rPr>
        <w:t xml:space="preserve">They are also generally regarded as being extremely useful for exploring migrants’ sense of place </w:t>
      </w:r>
      <w:r w:rsidR="00212C09" w:rsidRPr="004E053C">
        <w:rPr>
          <w:rFonts w:cstheme="majorHAnsi"/>
          <w:sz w:val="22"/>
          <w:szCs w:val="22"/>
          <w:lang w:val="en-GB"/>
        </w:rPr>
        <w:fldChar w:fldCharType="begin" w:fldLock="1"/>
      </w:r>
      <w:r w:rsidR="00212C09" w:rsidRPr="004E053C">
        <w:rPr>
          <w:rFonts w:cstheme="majorHAnsi"/>
          <w:sz w:val="22"/>
          <w:szCs w:val="22"/>
          <w:lang w:val="en-GB"/>
        </w:rPr>
        <w:instrText>ADDIN CSL_CITATION {"citationItems":[{"id":"ITEM-1","itemData":{"author":[{"dropping-particle":"","family":"Mendoza","given":"C","non-dropping-particle":"","parse-names":false,"suffix":""},{"dropping-particle":"","family":"Moren-Alegret","given":"R","non-dropping-particle":"","parse-names":false,"suffix":""}],"container-title":"Progress in Human Geography","id":"ITEM-1","issue":"6","issued":{"date-parts":[["2013"]]},"page":"762-785","title":"Exploring methods and techniques for the analysis of senses of place and migration","type":"article-journal","volume":"37"},"uris":["http://www.mendeley.com/documents/?uuid=60088731-744e-4a42-a3b8-5b5fcb165097"]}],"mendeley":{"formattedCitation":"(Mendoza &amp; Moren-Alegret, 2013)","plainTextFormattedCitation":"(Mendoza &amp; Moren-Alegret, 2013)","previouslyFormattedCitation":"(Mendoza &amp; Moren-Alegret, 2013)"},"properties":{"noteIndex":0},"schema":"https://github.com/citation-style-language/schema/raw/master/csl-citation.json"}</w:instrText>
      </w:r>
      <w:r w:rsidR="00212C09" w:rsidRPr="004E053C">
        <w:rPr>
          <w:rFonts w:cstheme="majorHAnsi"/>
          <w:sz w:val="22"/>
          <w:szCs w:val="22"/>
          <w:lang w:val="en-GB"/>
        </w:rPr>
        <w:fldChar w:fldCharType="separate"/>
      </w:r>
      <w:r w:rsidR="00212C09" w:rsidRPr="004E053C">
        <w:rPr>
          <w:rFonts w:cstheme="majorHAnsi"/>
          <w:noProof/>
          <w:sz w:val="22"/>
          <w:szCs w:val="22"/>
          <w:lang w:val="en-GB"/>
        </w:rPr>
        <w:t>(Mendoza &amp; Moren-Alegret, 2013)</w:t>
      </w:r>
      <w:r w:rsidR="00212C09" w:rsidRPr="004E053C">
        <w:rPr>
          <w:rFonts w:cstheme="majorHAnsi"/>
          <w:sz w:val="22"/>
          <w:szCs w:val="22"/>
          <w:lang w:val="en-GB"/>
        </w:rPr>
        <w:fldChar w:fldCharType="end"/>
      </w:r>
      <w:r w:rsidRPr="004E053C">
        <w:rPr>
          <w:rFonts w:cstheme="majorHAnsi"/>
          <w:sz w:val="22"/>
          <w:szCs w:val="22"/>
          <w:lang w:val="en-GB"/>
        </w:rPr>
        <w:t>.</w:t>
      </w:r>
    </w:p>
    <w:p w14:paraId="748C265F" w14:textId="77777777" w:rsidR="00843DED" w:rsidRPr="004E053C" w:rsidRDefault="00843DED" w:rsidP="004E053C">
      <w:pPr>
        <w:spacing w:line="360" w:lineRule="auto"/>
        <w:jc w:val="both"/>
        <w:rPr>
          <w:rFonts w:eastAsiaTheme="minorHAnsi" w:cstheme="majorHAnsi"/>
          <w:sz w:val="22"/>
          <w:szCs w:val="22"/>
          <w:lang w:val="en-GB"/>
        </w:rPr>
      </w:pPr>
    </w:p>
    <w:p w14:paraId="329F9B85" w14:textId="2D8DA98F" w:rsidR="0077618A" w:rsidRPr="004E053C" w:rsidRDefault="0077618A" w:rsidP="004E053C">
      <w:pPr>
        <w:spacing w:line="360" w:lineRule="auto"/>
        <w:jc w:val="both"/>
        <w:rPr>
          <w:rFonts w:cstheme="majorHAnsi"/>
          <w:sz w:val="22"/>
          <w:szCs w:val="22"/>
          <w:lang w:val="en-GB"/>
        </w:rPr>
      </w:pPr>
      <w:r w:rsidRPr="004E053C">
        <w:rPr>
          <w:rFonts w:eastAsiaTheme="minorHAnsi" w:cstheme="majorHAnsi"/>
          <w:sz w:val="22"/>
          <w:szCs w:val="22"/>
          <w:lang w:val="en-GB"/>
        </w:rPr>
        <w:t xml:space="preserve">In order to ensure a semi-structured approach to interviewing, I created topic guides for each type of stakeholder rather than lists of questions. The topic guides were based around a number of key themes, which acted as a starting point for discussions. By making the discussion flexible and open-ended in this way, it was hoped that unexpected themes would emerge </w:t>
      </w:r>
      <w:r w:rsidR="00212C09" w:rsidRPr="004E053C">
        <w:rPr>
          <w:rFonts w:eastAsiaTheme="minorHAnsi" w:cstheme="majorHAnsi"/>
          <w:sz w:val="22"/>
          <w:szCs w:val="22"/>
          <w:lang w:val="en-GB"/>
        </w:rPr>
        <w:fldChar w:fldCharType="begin" w:fldLock="1"/>
      </w:r>
      <w:r w:rsidR="00212C09" w:rsidRPr="004E053C">
        <w:rPr>
          <w:rFonts w:eastAsiaTheme="minorHAnsi" w:cstheme="majorHAnsi"/>
          <w:sz w:val="22"/>
          <w:szCs w:val="22"/>
          <w:lang w:val="en-GB"/>
        </w:rPr>
        <w:instrText>ADDIN CSL_CITATION {"citationItems":[{"id":"ITEM-1","itemData":{"author":[{"dropping-particle":"","family":"Mason","given":"Jennifer","non-dropping-particle":"","parse-names":false,"suffix":""}],"id":"ITEM-1","issued":{"date-parts":[["2002"]]},"publisher":"Sage Publications Ltd","publisher-place":"London, UK","title":"Qualitative Researching","type":"book"},"uris":["http://www.mendeley.com/documents/?uuid=c5af782a-cf51-4780-902c-0c2fdb471010"]}],"mendeley":{"formattedCitation":"(Mason, 2002)","plainTextFormattedCitation":"(Mason, 2002)","previouslyFormattedCitation":"(Mason, 2002)"},"properties":{"noteIndex":0},"schema":"https://github.com/citation-style-language/schema/raw/master/csl-citation.json"}</w:instrText>
      </w:r>
      <w:r w:rsidR="00212C09" w:rsidRPr="004E053C">
        <w:rPr>
          <w:rFonts w:eastAsiaTheme="minorHAnsi" w:cstheme="majorHAnsi"/>
          <w:sz w:val="22"/>
          <w:szCs w:val="22"/>
          <w:lang w:val="en-GB"/>
        </w:rPr>
        <w:fldChar w:fldCharType="separate"/>
      </w:r>
      <w:r w:rsidR="00212C09" w:rsidRPr="004E053C">
        <w:rPr>
          <w:rFonts w:eastAsiaTheme="minorHAnsi" w:cstheme="majorHAnsi"/>
          <w:noProof/>
          <w:sz w:val="22"/>
          <w:szCs w:val="22"/>
          <w:lang w:val="en-GB"/>
        </w:rPr>
        <w:t>(Mason, 2002)</w:t>
      </w:r>
      <w:r w:rsidR="00212C09"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w:t>
      </w:r>
      <w:r w:rsidRPr="004E053C">
        <w:rPr>
          <w:rFonts w:cstheme="majorHAnsi"/>
          <w:sz w:val="22"/>
          <w:szCs w:val="22"/>
          <w:lang w:val="en-GB"/>
        </w:rPr>
        <w:t xml:space="preserve">While the guides were not overly prescriptive, working on them beforehand allowed time to think about ways to interact with the participant </w:t>
      </w:r>
      <w:r w:rsidR="00212C09" w:rsidRPr="004E053C">
        <w:rPr>
          <w:rFonts w:eastAsiaTheme="minorHAnsi" w:cstheme="majorHAnsi"/>
          <w:sz w:val="22"/>
          <w:szCs w:val="22"/>
          <w:lang w:val="en-GB"/>
        </w:rPr>
        <w:fldChar w:fldCharType="begin" w:fldLock="1"/>
      </w:r>
      <w:r w:rsidR="00212C09" w:rsidRPr="004E053C">
        <w:rPr>
          <w:rFonts w:eastAsiaTheme="minorHAnsi" w:cstheme="majorHAnsi"/>
          <w:sz w:val="22"/>
          <w:szCs w:val="22"/>
          <w:lang w:val="en-GB"/>
        </w:rPr>
        <w:instrText>ADDIN CSL_CITATION {"citationItems":[{"id":"ITEM-1","itemData":{"author":[{"dropping-particle":"","family":"Mason","given":"Jennifer","non-dropping-particle":"","parse-names":false,"suffix":""}],"id":"ITEM-1","issued":{"date-parts":[["2002"]]},"publisher":"Sage Publications Ltd","publisher-place":"London, UK","title":"Qualitative Researching","type":"book"},"uris":["http://www.mendeley.com/documents/?uuid=c5af782a-cf51-4780-902c-0c2fdb471010"]}],"mendeley":{"formattedCitation":"(Mason, 2002)","plainTextFormattedCitation":"(Mason, 2002)","previouslyFormattedCitation":"(Mason, 2002)"},"properties":{"noteIndex":0},"schema":"https://github.com/citation-style-language/schema/raw/master/csl-citation.json"}</w:instrText>
      </w:r>
      <w:r w:rsidR="00212C09" w:rsidRPr="004E053C">
        <w:rPr>
          <w:rFonts w:eastAsiaTheme="minorHAnsi" w:cstheme="majorHAnsi"/>
          <w:sz w:val="22"/>
          <w:szCs w:val="22"/>
          <w:lang w:val="en-GB"/>
        </w:rPr>
        <w:fldChar w:fldCharType="separate"/>
      </w:r>
      <w:r w:rsidR="00212C09" w:rsidRPr="004E053C">
        <w:rPr>
          <w:rFonts w:eastAsiaTheme="minorHAnsi" w:cstheme="majorHAnsi"/>
          <w:noProof/>
          <w:sz w:val="22"/>
          <w:szCs w:val="22"/>
          <w:lang w:val="en-GB"/>
        </w:rPr>
        <w:t>(Mason, 2002)</w:t>
      </w:r>
      <w:r w:rsidR="00212C09" w:rsidRPr="004E053C">
        <w:rPr>
          <w:rFonts w:eastAsiaTheme="minorHAnsi" w:cstheme="majorHAnsi"/>
          <w:sz w:val="22"/>
          <w:szCs w:val="22"/>
          <w:lang w:val="en-GB"/>
        </w:rPr>
        <w:fldChar w:fldCharType="end"/>
      </w:r>
      <w:r w:rsidR="00212C09" w:rsidRPr="004E053C">
        <w:rPr>
          <w:rFonts w:eastAsiaTheme="minorHAnsi" w:cstheme="majorHAnsi"/>
          <w:sz w:val="22"/>
          <w:szCs w:val="22"/>
          <w:lang w:val="en-GB"/>
        </w:rPr>
        <w:t xml:space="preserve">. </w:t>
      </w:r>
      <w:r w:rsidRPr="004E053C">
        <w:rPr>
          <w:rFonts w:cstheme="majorHAnsi"/>
          <w:sz w:val="22"/>
          <w:szCs w:val="22"/>
          <w:lang w:val="en-GB"/>
        </w:rPr>
        <w:t>Themes included:</w:t>
      </w:r>
    </w:p>
    <w:p w14:paraId="30BE4108" w14:textId="77777777" w:rsidR="00843DED" w:rsidRPr="004E053C" w:rsidRDefault="00843DED" w:rsidP="004E053C">
      <w:pPr>
        <w:pStyle w:val="ListParagraph"/>
        <w:spacing w:after="0" w:line="360" w:lineRule="auto"/>
        <w:ind w:left="0"/>
        <w:jc w:val="both"/>
        <w:rPr>
          <w:rFonts w:cstheme="majorHAnsi"/>
          <w:lang w:val="en-GB"/>
        </w:rPr>
      </w:pPr>
    </w:p>
    <w:p w14:paraId="301E0061" w14:textId="77777777" w:rsidR="0077618A" w:rsidRPr="004E053C" w:rsidRDefault="0077618A" w:rsidP="004E053C">
      <w:pPr>
        <w:pStyle w:val="ListParagraph"/>
        <w:numPr>
          <w:ilvl w:val="0"/>
          <w:numId w:val="4"/>
        </w:numPr>
        <w:spacing w:after="0" w:line="360" w:lineRule="auto"/>
        <w:jc w:val="both"/>
        <w:rPr>
          <w:rFonts w:cstheme="majorHAnsi"/>
          <w:lang w:val="en-GB"/>
        </w:rPr>
      </w:pPr>
      <w:r w:rsidRPr="004E053C">
        <w:rPr>
          <w:rFonts w:cstheme="majorHAnsi"/>
          <w:lang w:val="en-GB"/>
        </w:rPr>
        <w:t>Descriptive details about the mine and the nature of the work</w:t>
      </w:r>
    </w:p>
    <w:p w14:paraId="0C5F6988" w14:textId="77777777" w:rsidR="00843DED" w:rsidRPr="004E053C" w:rsidRDefault="0077618A" w:rsidP="004E053C">
      <w:pPr>
        <w:pStyle w:val="ListParagraph"/>
        <w:numPr>
          <w:ilvl w:val="0"/>
          <w:numId w:val="4"/>
        </w:numPr>
        <w:spacing w:after="0" w:line="360" w:lineRule="auto"/>
        <w:jc w:val="both"/>
        <w:rPr>
          <w:rFonts w:cstheme="majorHAnsi"/>
          <w:lang w:val="en-GB"/>
        </w:rPr>
      </w:pPr>
      <w:r w:rsidRPr="004E053C">
        <w:rPr>
          <w:rFonts w:cstheme="majorHAnsi"/>
          <w:lang w:val="en-GB"/>
        </w:rPr>
        <w:t>Influencing factors in the decision to start mining</w:t>
      </w:r>
    </w:p>
    <w:p w14:paraId="40D83B04" w14:textId="77777777" w:rsidR="00843DED" w:rsidRPr="004E053C" w:rsidRDefault="0077618A" w:rsidP="004E053C">
      <w:pPr>
        <w:pStyle w:val="ListParagraph"/>
        <w:numPr>
          <w:ilvl w:val="0"/>
          <w:numId w:val="4"/>
        </w:numPr>
        <w:spacing w:after="0" w:line="360" w:lineRule="auto"/>
        <w:jc w:val="both"/>
        <w:rPr>
          <w:rFonts w:cstheme="majorHAnsi"/>
          <w:lang w:val="en-GB"/>
        </w:rPr>
      </w:pPr>
      <w:r w:rsidRPr="004E053C">
        <w:rPr>
          <w:rFonts w:cstheme="majorHAnsi"/>
          <w:lang w:val="en-GB"/>
        </w:rPr>
        <w:t>Planned livelihood trajectories into the future</w:t>
      </w:r>
    </w:p>
    <w:p w14:paraId="5433B1BD" w14:textId="425CD661" w:rsidR="0077618A" w:rsidRPr="004E053C" w:rsidRDefault="0077618A" w:rsidP="004E053C">
      <w:pPr>
        <w:pStyle w:val="ListParagraph"/>
        <w:numPr>
          <w:ilvl w:val="0"/>
          <w:numId w:val="4"/>
        </w:numPr>
        <w:spacing w:after="0" w:line="360" w:lineRule="auto"/>
        <w:jc w:val="both"/>
        <w:rPr>
          <w:rFonts w:cstheme="majorHAnsi"/>
          <w:lang w:val="en-GB"/>
        </w:rPr>
      </w:pPr>
      <w:r w:rsidRPr="004E053C">
        <w:rPr>
          <w:rFonts w:cstheme="majorHAnsi"/>
          <w:lang w:val="en-GB"/>
        </w:rPr>
        <w:t>Changes with family relationships as a result of migration</w:t>
      </w:r>
    </w:p>
    <w:p w14:paraId="5E368E2E" w14:textId="77777777" w:rsidR="0077618A" w:rsidRPr="004E053C" w:rsidRDefault="0077618A" w:rsidP="004E053C">
      <w:pPr>
        <w:pStyle w:val="ListParagraph"/>
        <w:numPr>
          <w:ilvl w:val="0"/>
          <w:numId w:val="4"/>
        </w:numPr>
        <w:spacing w:after="0" w:line="360" w:lineRule="auto"/>
        <w:jc w:val="both"/>
        <w:rPr>
          <w:rFonts w:cstheme="majorHAnsi"/>
          <w:lang w:val="en-GB"/>
        </w:rPr>
      </w:pPr>
      <w:r w:rsidRPr="004E053C">
        <w:rPr>
          <w:rFonts w:cstheme="majorHAnsi"/>
          <w:lang w:val="en-GB"/>
        </w:rPr>
        <w:t>Changes within the community as a result of migration</w:t>
      </w:r>
    </w:p>
    <w:p w14:paraId="6DF9517A" w14:textId="77777777" w:rsidR="0077618A" w:rsidRPr="004E053C" w:rsidRDefault="0077618A" w:rsidP="004E053C">
      <w:pPr>
        <w:pStyle w:val="ListParagraph"/>
        <w:numPr>
          <w:ilvl w:val="0"/>
          <w:numId w:val="4"/>
        </w:numPr>
        <w:spacing w:after="0" w:line="360" w:lineRule="auto"/>
        <w:jc w:val="both"/>
        <w:rPr>
          <w:rFonts w:cstheme="majorHAnsi"/>
          <w:lang w:val="en-GB"/>
        </w:rPr>
      </w:pPr>
      <w:r w:rsidRPr="004E053C">
        <w:rPr>
          <w:rFonts w:cstheme="majorHAnsi"/>
          <w:lang w:val="en-GB"/>
        </w:rPr>
        <w:t>The working/social life of the miner</w:t>
      </w:r>
    </w:p>
    <w:p w14:paraId="10B79C33" w14:textId="77777777" w:rsidR="0077618A" w:rsidRPr="004E053C" w:rsidRDefault="0077618A" w:rsidP="004E053C">
      <w:pPr>
        <w:pStyle w:val="ListParagraph"/>
        <w:numPr>
          <w:ilvl w:val="0"/>
          <w:numId w:val="4"/>
        </w:numPr>
        <w:spacing w:after="0" w:line="360" w:lineRule="auto"/>
        <w:jc w:val="both"/>
        <w:rPr>
          <w:rFonts w:cstheme="majorHAnsi"/>
          <w:lang w:val="en-GB"/>
        </w:rPr>
      </w:pPr>
      <w:r w:rsidRPr="004E053C">
        <w:rPr>
          <w:rFonts w:cstheme="majorHAnsi"/>
          <w:lang w:val="en-GB"/>
        </w:rPr>
        <w:t>Political and social problems associated with mining and migration</w:t>
      </w:r>
    </w:p>
    <w:p w14:paraId="5429737F" w14:textId="77777777" w:rsidR="00843DED" w:rsidRPr="004E053C" w:rsidRDefault="00843DED" w:rsidP="004E053C">
      <w:pPr>
        <w:pStyle w:val="ListParagraph"/>
        <w:spacing w:after="0" w:line="360" w:lineRule="auto"/>
        <w:ind w:left="0"/>
        <w:jc w:val="both"/>
        <w:rPr>
          <w:rFonts w:cstheme="majorHAnsi"/>
          <w:lang w:val="en-GB"/>
        </w:rPr>
      </w:pPr>
    </w:p>
    <w:p w14:paraId="6EF01323" w14:textId="77777777"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Some of these themes were only discussed with the miners themselves, such as details about their working life, while others were applicable to participants in both Laberinto and Ocongate. As I was working with interpreters, the themes were shared with the interpreters and translated into Spanish and Quechua with their assistance.</w:t>
      </w:r>
    </w:p>
    <w:p w14:paraId="428BCE18" w14:textId="77777777" w:rsidR="00843DED" w:rsidRPr="004E053C" w:rsidRDefault="00843DED" w:rsidP="004E053C">
      <w:pPr>
        <w:spacing w:line="360" w:lineRule="auto"/>
        <w:jc w:val="both"/>
        <w:rPr>
          <w:rFonts w:cstheme="majorHAnsi"/>
          <w:sz w:val="22"/>
          <w:szCs w:val="22"/>
          <w:lang w:val="en-GB"/>
        </w:rPr>
      </w:pPr>
    </w:p>
    <w:p w14:paraId="0B1B11EA" w14:textId="77777777"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t xml:space="preserve">The semi-structured approach became more important than I initially expected, as my research questions changed substantially after arriving at my field sites and initiating relationships and dialogue with the local communities. Initially I had been most interested in changes in the origin community, whilst expecting some form of exclusion of in-migrants in Laberinto, this was not what I found. Furthermore, a focus on deviant narratives was not expected until I began to witness these different narratives in the field. I subsequently altered my research questions and objectives, reflecting the inductive approach I took to data collection and analysis. Fortunately, despite these changes, the use of semi-structured interviews allowed me to adapt my questions to better reflect these realities. </w:t>
      </w:r>
    </w:p>
    <w:p w14:paraId="288AFC93" w14:textId="77777777" w:rsidR="0077618A" w:rsidRPr="004E053C" w:rsidRDefault="0077618A" w:rsidP="004E053C">
      <w:pPr>
        <w:spacing w:line="360" w:lineRule="auto"/>
        <w:jc w:val="both"/>
        <w:rPr>
          <w:rFonts w:eastAsiaTheme="minorHAnsi" w:cstheme="majorHAnsi"/>
          <w:sz w:val="22"/>
          <w:szCs w:val="22"/>
          <w:lang w:val="en-GB"/>
        </w:rPr>
      </w:pPr>
    </w:p>
    <w:p w14:paraId="77086093" w14:textId="6DC46D5E"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lastRenderedPageBreak/>
        <w:t>There is often debate over how many qualitative intervi</w:t>
      </w:r>
      <w:r w:rsidR="00DB3DA8" w:rsidRPr="004E053C">
        <w:rPr>
          <w:rFonts w:cstheme="majorHAnsi"/>
          <w:sz w:val="22"/>
          <w:szCs w:val="22"/>
          <w:lang w:val="en-GB"/>
        </w:rPr>
        <w:t xml:space="preserve">ews is ‘enough’ </w:t>
      </w:r>
      <w:r w:rsidR="00212C09" w:rsidRPr="004E053C">
        <w:rPr>
          <w:rFonts w:cstheme="majorHAnsi"/>
          <w:sz w:val="22"/>
          <w:szCs w:val="22"/>
          <w:lang w:val="en-GB"/>
        </w:rPr>
        <w:fldChar w:fldCharType="begin" w:fldLock="1"/>
      </w:r>
      <w:r w:rsidR="00212C09" w:rsidRPr="004E053C">
        <w:rPr>
          <w:rFonts w:cstheme="majorHAnsi"/>
          <w:sz w:val="22"/>
          <w:szCs w:val="22"/>
          <w:lang w:val="en-GB"/>
        </w:rPr>
        <w:instrText>ADDIN CSL_CITATION {"citationItems":[{"id":"ITEM-1","itemData":{"author":[{"dropping-particle":"","family":"Baker","given":"Sarah","non-dropping-particle":"","parse-names":false,"suffix":""},{"dropping-particle":"","family":"Edwards","given":"Rosalind","non-dropping-particle":"","parse-names":false,"suffix":""}],"id":"ITEM-1","issued":{"date-parts":[["2012"]]},"number-of-pages":"42","publisher-place":"Southampton","title":"How many qualitative interviews is enough? Expert voices and early career reflections on sampling and cases in qualitative research","type":"report"},"uris":["http://www.mendeley.com/documents/?uuid=8bf0e1d0-08a0-40bb-9066-1dd6e27dac71"]}],"mendeley":{"formattedCitation":"(Baker &amp; Edwards, 2012)","manualFormatting":"(see for example Baker &amp; Edwards, 2012)","plainTextFormattedCitation":"(Baker &amp; Edwards, 2012)","previouslyFormattedCitation":"(Baker &amp; Edwards, 2012)"},"properties":{"noteIndex":0},"schema":"https://github.com/citation-style-language/schema/raw/master/csl-citation.json"}</w:instrText>
      </w:r>
      <w:r w:rsidR="00212C09" w:rsidRPr="004E053C">
        <w:rPr>
          <w:rFonts w:cstheme="majorHAnsi"/>
          <w:sz w:val="22"/>
          <w:szCs w:val="22"/>
          <w:lang w:val="en-GB"/>
        </w:rPr>
        <w:fldChar w:fldCharType="separate"/>
      </w:r>
      <w:r w:rsidR="00212C09" w:rsidRPr="004E053C">
        <w:rPr>
          <w:rFonts w:cstheme="majorHAnsi"/>
          <w:noProof/>
          <w:sz w:val="22"/>
          <w:szCs w:val="22"/>
          <w:lang w:val="en-GB"/>
        </w:rPr>
        <w:t>(see for example Baker &amp; Edwards, 2012)</w:t>
      </w:r>
      <w:r w:rsidR="00212C09" w:rsidRPr="004E053C">
        <w:rPr>
          <w:rFonts w:cstheme="majorHAnsi"/>
          <w:sz w:val="22"/>
          <w:szCs w:val="22"/>
          <w:lang w:val="en-GB"/>
        </w:rPr>
        <w:fldChar w:fldCharType="end"/>
      </w:r>
      <w:r w:rsidRPr="004E053C">
        <w:rPr>
          <w:rFonts w:cstheme="majorHAnsi"/>
          <w:sz w:val="22"/>
          <w:szCs w:val="22"/>
          <w:lang w:val="en-GB"/>
        </w:rPr>
        <w:t xml:space="preserve">. Positivist researchers for example argue that even dozens of interviews are not representative of all the immigrants and residents in a specific place. However, others academics, particularly in the fields of human geography, point out that this is largely irrelevant if the aim is to promote a detailed understanding of sociospatial experiences </w:t>
      </w:r>
      <w:r w:rsidR="00212C09" w:rsidRPr="004E053C">
        <w:rPr>
          <w:rFonts w:cstheme="majorHAnsi"/>
          <w:sz w:val="22"/>
          <w:szCs w:val="22"/>
          <w:lang w:val="en-GB"/>
        </w:rPr>
        <w:fldChar w:fldCharType="begin" w:fldLock="1"/>
      </w:r>
      <w:r w:rsidR="00544273" w:rsidRPr="004E053C">
        <w:rPr>
          <w:rFonts w:cstheme="majorHAnsi"/>
          <w:sz w:val="22"/>
          <w:szCs w:val="22"/>
          <w:lang w:val="en-GB"/>
        </w:rPr>
        <w:instrText>ADDIN CSL_CITATION {"citationItems":[{"id":"ITEM-1","itemData":{"author":[{"dropping-particle":"","family":"Mendoza","given":"C","non-dropping-particle":"","parse-names":false,"suffix":""},{"dropping-particle":"","family":"Moren-Alegret","given":"R","non-dropping-particle":"","parse-names":false,"suffix":""}],"container-title":"Progress in Human Geography","id":"ITEM-1","issue":"6","issued":{"date-parts":[["2013"]]},"page":"762-785","title":"Exploring methods and techniques for the analysis of senses of place and migration","type":"article-journal","volume":"37"},"uris":["http://www.mendeley.com/documents/?uuid=60088731-744e-4a42-a3b8-5b5fcb165097"]}],"mendeley":{"formattedCitation":"(Mendoza &amp; Moren-Alegret, 2013)","plainTextFormattedCitation":"(Mendoza &amp; Moren-Alegret, 2013)","previouslyFormattedCitation":"(Mendoza &amp; Moren-Alegret, 2013)"},"properties":{"noteIndex":0},"schema":"https://github.com/citation-style-language/schema/raw/master/csl-citation.json"}</w:instrText>
      </w:r>
      <w:r w:rsidR="00212C09" w:rsidRPr="004E053C">
        <w:rPr>
          <w:rFonts w:cstheme="majorHAnsi"/>
          <w:sz w:val="22"/>
          <w:szCs w:val="22"/>
          <w:lang w:val="en-GB"/>
        </w:rPr>
        <w:fldChar w:fldCharType="separate"/>
      </w:r>
      <w:r w:rsidR="00212C09" w:rsidRPr="004E053C">
        <w:rPr>
          <w:rFonts w:cstheme="majorHAnsi"/>
          <w:noProof/>
          <w:sz w:val="22"/>
          <w:szCs w:val="22"/>
          <w:lang w:val="en-GB"/>
        </w:rPr>
        <w:t>(Mendoza &amp; Moren-Alegret, 2013)</w:t>
      </w:r>
      <w:r w:rsidR="00212C09" w:rsidRPr="004E053C">
        <w:rPr>
          <w:rFonts w:cstheme="majorHAnsi"/>
          <w:sz w:val="22"/>
          <w:szCs w:val="22"/>
          <w:lang w:val="en-GB"/>
        </w:rPr>
        <w:fldChar w:fldCharType="end"/>
      </w:r>
      <w:r w:rsidRPr="004E053C">
        <w:rPr>
          <w:rFonts w:cstheme="majorHAnsi"/>
          <w:sz w:val="22"/>
          <w:szCs w:val="22"/>
          <w:lang w:val="en-GB"/>
        </w:rPr>
        <w:t xml:space="preserve">. As, Mendoza and Moren-Alegret </w:t>
      </w:r>
      <w:r w:rsidR="00544273" w:rsidRPr="004E053C">
        <w:rPr>
          <w:rFonts w:cstheme="majorHAnsi"/>
          <w:sz w:val="22"/>
          <w:szCs w:val="22"/>
          <w:lang w:val="en-GB"/>
        </w:rPr>
        <w:fldChar w:fldCharType="begin" w:fldLock="1"/>
      </w:r>
      <w:r w:rsidR="00544273" w:rsidRPr="004E053C">
        <w:rPr>
          <w:rFonts w:cstheme="majorHAnsi"/>
          <w:sz w:val="22"/>
          <w:szCs w:val="22"/>
          <w:lang w:val="en-GB"/>
        </w:rPr>
        <w:instrText>ADDIN CSL_CITATION {"citationItems":[{"id":"ITEM-1","itemData":{"author":[{"dropping-particle":"","family":"Mendoza","given":"C","non-dropping-particle":"","parse-names":false,"suffix":""},{"dropping-particle":"","family":"Moren-Alegret","given":"R","non-dropping-particle":"","parse-names":false,"suffix":""}],"container-title":"Progress in Human Geography","id":"ITEM-1","issue":"6","issued":{"date-parts":[["2013"]]},"page":"762-785","title":"Exploring methods and techniques for the analysis of senses of place and migration","type":"article-journal","volume":"37"},"uris":["http://www.mendeley.com/documents/?uuid=60088731-744e-4a42-a3b8-5b5fcb165097"]}],"mendeley":{"formattedCitation":"(Mendoza &amp; Moren-Alegret, 2013)","manualFormatting":"(2013)","plainTextFormattedCitation":"(Mendoza &amp; Moren-Alegret, 2013)","previouslyFormattedCitation":"(Mendoza &amp; Moren-Alegret, 2013)"},"properties":{"noteIndex":0},"schema":"https://github.com/citation-style-language/schema/raw/master/csl-citation.json"}</w:instrText>
      </w:r>
      <w:r w:rsidR="00544273" w:rsidRPr="004E053C">
        <w:rPr>
          <w:rFonts w:cstheme="majorHAnsi"/>
          <w:sz w:val="22"/>
          <w:szCs w:val="22"/>
          <w:lang w:val="en-GB"/>
        </w:rPr>
        <w:fldChar w:fldCharType="separate"/>
      </w:r>
      <w:r w:rsidR="00544273" w:rsidRPr="004E053C">
        <w:rPr>
          <w:rFonts w:cstheme="majorHAnsi"/>
          <w:noProof/>
          <w:sz w:val="22"/>
          <w:szCs w:val="22"/>
          <w:lang w:val="en-GB"/>
        </w:rPr>
        <w:t>(2013)</w:t>
      </w:r>
      <w:r w:rsidR="00544273" w:rsidRPr="004E053C">
        <w:rPr>
          <w:rFonts w:cstheme="majorHAnsi"/>
          <w:sz w:val="22"/>
          <w:szCs w:val="22"/>
          <w:lang w:val="en-GB"/>
        </w:rPr>
        <w:fldChar w:fldCharType="end"/>
      </w:r>
      <w:r w:rsidRPr="004E053C">
        <w:rPr>
          <w:rFonts w:cstheme="majorHAnsi"/>
          <w:sz w:val="22"/>
          <w:szCs w:val="22"/>
          <w:lang w:val="en-GB"/>
        </w:rPr>
        <w:t xml:space="preserve"> point out, it is necessary to take into account the spatial implementation of migration policies and more specifically, the embodied geographies of the nation state. Therefore, in order to understand the working of the translocal ASM community, interviews were also conducted with community leaders, government officials at the regional and national-level, and NGO representatives. This is important as Ferguson </w:t>
      </w:r>
      <w:r w:rsidR="00544273" w:rsidRPr="004E053C">
        <w:rPr>
          <w:rFonts w:cstheme="majorHAnsi"/>
          <w:sz w:val="22"/>
          <w:szCs w:val="22"/>
          <w:lang w:val="en-GB"/>
        </w:rPr>
        <w:fldChar w:fldCharType="begin" w:fldLock="1"/>
      </w:r>
      <w:r w:rsidR="00544273" w:rsidRPr="004E053C">
        <w:rPr>
          <w:rFonts w:cstheme="majorHAnsi"/>
          <w:sz w:val="22"/>
          <w:szCs w:val="22"/>
          <w:lang w:val="en-GB"/>
        </w:rPr>
        <w:instrText>ADDIN CSL_CITATION {"citationItems":[{"id":"ITEM-1","itemData":{"author":[{"dropping-particle":"","family":"Ferguson","given":"James","non-dropping-particle":"","parse-names":false,"suffix":""}],"id":"ITEM-1","issued":{"date-parts":[["1999"]]},"number-of-pages":"348","publisher":"University of California Press","title":"Expectations of Modernity: Myths and Meanings of Urban Life on the Zambian Copperbelt","type":"book"},"uris":["http://www.mendeley.com/documents/?uuid=b47dfa2f-73ef-453b-a1f7-80721fc71d42"]}],"mendeley":{"formattedCitation":"(Ferguson, 1999)","manualFormatting":"(1999)","plainTextFormattedCitation":"(Ferguson, 1999)","previouslyFormattedCitation":"(Ferguson, 1999)"},"properties":{"noteIndex":0},"schema":"https://github.com/citation-style-language/schema/raw/master/csl-citation.json"}</w:instrText>
      </w:r>
      <w:r w:rsidR="00544273" w:rsidRPr="004E053C">
        <w:rPr>
          <w:rFonts w:cstheme="majorHAnsi"/>
          <w:sz w:val="22"/>
          <w:szCs w:val="22"/>
          <w:lang w:val="en-GB"/>
        </w:rPr>
        <w:fldChar w:fldCharType="separate"/>
      </w:r>
      <w:r w:rsidR="00544273" w:rsidRPr="004E053C">
        <w:rPr>
          <w:rFonts w:cstheme="majorHAnsi"/>
          <w:noProof/>
          <w:sz w:val="22"/>
          <w:szCs w:val="22"/>
          <w:lang w:val="en-GB"/>
        </w:rPr>
        <w:t>(1999)</w:t>
      </w:r>
      <w:r w:rsidR="00544273" w:rsidRPr="004E053C">
        <w:rPr>
          <w:rFonts w:cstheme="majorHAnsi"/>
          <w:sz w:val="22"/>
          <w:szCs w:val="22"/>
          <w:lang w:val="en-GB"/>
        </w:rPr>
        <w:fldChar w:fldCharType="end"/>
      </w:r>
      <w:r w:rsidR="00544273" w:rsidRPr="004E053C">
        <w:rPr>
          <w:rFonts w:cstheme="majorHAnsi"/>
          <w:sz w:val="22"/>
          <w:szCs w:val="22"/>
          <w:lang w:val="en-GB"/>
        </w:rPr>
        <w:t xml:space="preserve"> </w:t>
      </w:r>
      <w:r w:rsidRPr="004E053C">
        <w:rPr>
          <w:rFonts w:cstheme="majorHAnsi"/>
          <w:sz w:val="22"/>
          <w:szCs w:val="22"/>
          <w:lang w:val="en-GB"/>
        </w:rPr>
        <w:t xml:space="preserve">observed in his study of migrant workers in the Zambian copper-belt, away from the archetypal image of the culturally homogenous village community, all the participants in the scene are themselves a little confused and find ‘some things that are clear and others that are unintelligible or only partially intelligible’ </w:t>
      </w:r>
      <w:r w:rsidR="00544273" w:rsidRPr="004E053C">
        <w:rPr>
          <w:rFonts w:cstheme="majorHAnsi"/>
          <w:sz w:val="22"/>
          <w:szCs w:val="22"/>
          <w:lang w:val="en-GB"/>
        </w:rPr>
        <w:fldChar w:fldCharType="begin" w:fldLock="1"/>
      </w:r>
      <w:r w:rsidR="00544273" w:rsidRPr="004E053C">
        <w:rPr>
          <w:rFonts w:cstheme="majorHAnsi"/>
          <w:sz w:val="22"/>
          <w:szCs w:val="22"/>
          <w:lang w:val="en-GB"/>
        </w:rPr>
        <w:instrText>ADDIN CSL_CITATION {"citationItems":[{"id":"ITEM-1","itemData":{"author":[{"dropping-particle":"","family":"Ferguson","given":"James","non-dropping-particle":"","parse-names":false,"suffix":""}],"id":"ITEM-1","issued":{"date-parts":[["1999"]]},"number-of-pages":"348","publisher":"University of California Press","title":"Expectations of Modernity: Myths and Meanings of Urban Life on the Zambian Copperbelt","type":"book"},"uris":["http://www.mendeley.com/documents/?uuid=b47dfa2f-73ef-453b-a1f7-80721fc71d42"]}],"mendeley":{"formattedCitation":"(Ferguson, 1999)","manualFormatting":"(Ferguson, 1999, p.208)","plainTextFormattedCitation":"(Ferguson, 1999)","previouslyFormattedCitation":"(Ferguson, 1999)"},"properties":{"noteIndex":0},"schema":"https://github.com/citation-style-language/schema/raw/master/csl-citation.json"}</w:instrText>
      </w:r>
      <w:r w:rsidR="00544273" w:rsidRPr="004E053C">
        <w:rPr>
          <w:rFonts w:cstheme="majorHAnsi"/>
          <w:sz w:val="22"/>
          <w:szCs w:val="22"/>
          <w:lang w:val="en-GB"/>
        </w:rPr>
        <w:fldChar w:fldCharType="separate"/>
      </w:r>
      <w:r w:rsidR="00544273" w:rsidRPr="004E053C">
        <w:rPr>
          <w:rFonts w:cstheme="majorHAnsi"/>
          <w:noProof/>
          <w:sz w:val="22"/>
          <w:szCs w:val="22"/>
          <w:lang w:val="en-GB"/>
        </w:rPr>
        <w:t>(Ferguson, 1999, p.208)</w:t>
      </w:r>
      <w:r w:rsidR="00544273" w:rsidRPr="004E053C">
        <w:rPr>
          <w:rFonts w:cstheme="majorHAnsi"/>
          <w:sz w:val="22"/>
          <w:szCs w:val="22"/>
          <w:lang w:val="en-GB"/>
        </w:rPr>
        <w:fldChar w:fldCharType="end"/>
      </w:r>
      <w:r w:rsidRPr="004E053C">
        <w:rPr>
          <w:rFonts w:cstheme="majorHAnsi"/>
          <w:sz w:val="22"/>
          <w:szCs w:val="22"/>
          <w:lang w:val="en-GB"/>
        </w:rPr>
        <w:t>. Thus</w:t>
      </w:r>
      <w:r w:rsidR="003B5DCB" w:rsidRPr="004E053C">
        <w:rPr>
          <w:rFonts w:cstheme="majorHAnsi"/>
          <w:sz w:val="22"/>
          <w:szCs w:val="22"/>
          <w:lang w:val="en-GB"/>
        </w:rPr>
        <w:t>, particularly in scenes where ‘</w:t>
      </w:r>
      <w:r w:rsidRPr="004E053C">
        <w:rPr>
          <w:rFonts w:cstheme="majorHAnsi"/>
          <w:sz w:val="22"/>
          <w:szCs w:val="22"/>
          <w:lang w:val="en-GB"/>
        </w:rPr>
        <w:t>different cultures, diverse social microworlds and discordant frames of meaning are all thrown together</w:t>
      </w:r>
      <w:r w:rsidR="003B5DCB" w:rsidRPr="004E053C">
        <w:rPr>
          <w:rFonts w:cstheme="majorHAnsi"/>
          <w:sz w:val="22"/>
          <w:szCs w:val="22"/>
          <w:lang w:val="en-GB"/>
        </w:rPr>
        <w:t xml:space="preserve"> in the normal course of things’</w:t>
      </w:r>
      <w:r w:rsidRPr="004E053C">
        <w:rPr>
          <w:rFonts w:cstheme="majorHAnsi"/>
          <w:sz w:val="22"/>
          <w:szCs w:val="22"/>
          <w:lang w:val="en-GB"/>
        </w:rPr>
        <w:t>, it is important to remember that the objective becomes which aspect of the even</w:t>
      </w:r>
      <w:r w:rsidR="003B5DCB" w:rsidRPr="004E053C">
        <w:rPr>
          <w:rFonts w:cstheme="majorHAnsi"/>
          <w:sz w:val="22"/>
          <w:szCs w:val="22"/>
          <w:lang w:val="en-GB"/>
        </w:rPr>
        <w:t>ts does any given social actor ‘get’</w:t>
      </w:r>
      <w:r w:rsidRPr="004E053C">
        <w:rPr>
          <w:rFonts w:cstheme="majorHAnsi"/>
          <w:sz w:val="22"/>
          <w:szCs w:val="22"/>
          <w:lang w:val="en-GB"/>
        </w:rPr>
        <w:t xml:space="preserve"> </w:t>
      </w:r>
      <w:r w:rsidR="00544273" w:rsidRPr="004E053C">
        <w:rPr>
          <w:rFonts w:cstheme="majorHAnsi"/>
          <w:sz w:val="22"/>
          <w:szCs w:val="22"/>
          <w:lang w:val="en-GB"/>
        </w:rPr>
        <w:fldChar w:fldCharType="begin" w:fldLock="1"/>
      </w:r>
      <w:r w:rsidR="00B67ED4" w:rsidRPr="004E053C">
        <w:rPr>
          <w:rFonts w:cstheme="majorHAnsi"/>
          <w:sz w:val="22"/>
          <w:szCs w:val="22"/>
          <w:lang w:val="en-GB"/>
        </w:rPr>
        <w:instrText>ADDIN CSL_CITATION {"citationItems":[{"id":"ITEM-1","itemData":{"author":[{"dropping-particle":"","family":"Ferguson","given":"James","non-dropping-particle":"","parse-names":false,"suffix":""}],"id":"ITEM-1","issued":{"date-parts":[["1999"]]},"number-of-pages":"348","publisher":"University of California Press","title":"Expectations of Modernity: Myths and Meanings of Urban Life on the Zambian Copperbelt","type":"book"},"uris":["http://www.mendeley.com/documents/?uuid=b47dfa2f-73ef-453b-a1f7-80721fc71d42"]}],"mendeley":{"formattedCitation":"(Ferguson, 1999)","manualFormatting":"(Ibid., p.208)","plainTextFormattedCitation":"(Ferguson, 1999)","previouslyFormattedCitation":"(Ferguson, 1999)"},"properties":{"noteIndex":0},"schema":"https://github.com/citation-style-language/schema/raw/master/csl-citation.json"}</w:instrText>
      </w:r>
      <w:r w:rsidR="00544273" w:rsidRPr="004E053C">
        <w:rPr>
          <w:rFonts w:cstheme="majorHAnsi"/>
          <w:sz w:val="22"/>
          <w:szCs w:val="22"/>
          <w:lang w:val="en-GB"/>
        </w:rPr>
        <w:fldChar w:fldCharType="separate"/>
      </w:r>
      <w:r w:rsidR="003B5DCB" w:rsidRPr="004E053C">
        <w:rPr>
          <w:rFonts w:cstheme="majorHAnsi"/>
          <w:noProof/>
          <w:sz w:val="22"/>
          <w:szCs w:val="22"/>
          <w:lang w:val="en-GB"/>
        </w:rPr>
        <w:t>(Ibid</w:t>
      </w:r>
      <w:r w:rsidR="00EC4FAE" w:rsidRPr="004E053C">
        <w:rPr>
          <w:rFonts w:cstheme="majorHAnsi"/>
          <w:noProof/>
          <w:sz w:val="22"/>
          <w:szCs w:val="22"/>
          <w:lang w:val="en-GB"/>
        </w:rPr>
        <w:t>.</w:t>
      </w:r>
      <w:r w:rsidR="003B5DCB" w:rsidRPr="004E053C">
        <w:rPr>
          <w:rFonts w:cstheme="majorHAnsi"/>
          <w:noProof/>
          <w:sz w:val="22"/>
          <w:szCs w:val="22"/>
          <w:lang w:val="en-GB"/>
        </w:rPr>
        <w:t xml:space="preserve">, </w:t>
      </w:r>
      <w:r w:rsidR="00544273" w:rsidRPr="004E053C">
        <w:rPr>
          <w:rFonts w:cstheme="majorHAnsi"/>
          <w:noProof/>
          <w:sz w:val="22"/>
          <w:szCs w:val="22"/>
          <w:lang w:val="en-GB"/>
        </w:rPr>
        <w:t>p.208)</w:t>
      </w:r>
      <w:r w:rsidR="00544273" w:rsidRPr="004E053C">
        <w:rPr>
          <w:rFonts w:cstheme="majorHAnsi"/>
          <w:sz w:val="22"/>
          <w:szCs w:val="22"/>
          <w:lang w:val="en-GB"/>
        </w:rPr>
        <w:fldChar w:fldCharType="end"/>
      </w:r>
      <w:r w:rsidR="00544273" w:rsidRPr="004E053C">
        <w:rPr>
          <w:rFonts w:cstheme="majorHAnsi"/>
          <w:sz w:val="22"/>
          <w:szCs w:val="22"/>
          <w:lang w:val="en-GB"/>
        </w:rPr>
        <w:t xml:space="preserve">. </w:t>
      </w:r>
      <w:r w:rsidRPr="004E053C">
        <w:rPr>
          <w:rFonts w:cstheme="majorHAnsi"/>
          <w:sz w:val="22"/>
          <w:szCs w:val="22"/>
          <w:lang w:val="en-GB"/>
        </w:rPr>
        <w:t>Given the complexities of translocal communities and illicit ASM livelihoods, consulting a range of stakeholders is crucial. In total I conducted 68 interviews; 23 interviews with female miners or wives of miners, 28 with male miners, 8 wit</w:t>
      </w:r>
      <w:r w:rsidR="002D6E5D" w:rsidRPr="004E053C">
        <w:rPr>
          <w:rFonts w:cstheme="majorHAnsi"/>
          <w:sz w:val="22"/>
          <w:szCs w:val="22"/>
          <w:lang w:val="en-GB"/>
        </w:rPr>
        <w:t>h NGOs and civil society organis</w:t>
      </w:r>
      <w:r w:rsidRPr="004E053C">
        <w:rPr>
          <w:rFonts w:cstheme="majorHAnsi"/>
          <w:sz w:val="22"/>
          <w:szCs w:val="22"/>
          <w:lang w:val="en-GB"/>
        </w:rPr>
        <w:t xml:space="preserve">ations, 4 with government representatives and 5 with community leaders and local ASM experts. The spatial breakdown is shown in the following table 4.1. I will explain how participants were recruited in both communities in turn. </w:t>
      </w:r>
    </w:p>
    <w:p w14:paraId="176DEB0E" w14:textId="77777777" w:rsidR="0077618A" w:rsidRPr="004E053C" w:rsidRDefault="0077618A" w:rsidP="004E053C">
      <w:pPr>
        <w:spacing w:line="360" w:lineRule="auto"/>
        <w:jc w:val="both"/>
        <w:rPr>
          <w:rFonts w:cstheme="majorHAnsi"/>
          <w:sz w:val="22"/>
          <w:szCs w:val="22"/>
          <w:lang w:val="en-GB"/>
        </w:rPr>
      </w:pPr>
    </w:p>
    <w:p w14:paraId="6EDF311B" w14:textId="77777777" w:rsidR="0077618A" w:rsidRPr="004E053C" w:rsidRDefault="0077618A" w:rsidP="004E053C">
      <w:pPr>
        <w:spacing w:line="360" w:lineRule="auto"/>
        <w:jc w:val="both"/>
        <w:rPr>
          <w:rFonts w:cstheme="majorHAnsi"/>
          <w:b/>
          <w:bCs/>
          <w:sz w:val="22"/>
          <w:szCs w:val="22"/>
          <w:lang w:val="en-GB"/>
        </w:rPr>
      </w:pPr>
      <w:r w:rsidRPr="004E053C">
        <w:rPr>
          <w:rFonts w:cstheme="majorHAnsi"/>
          <w:b/>
          <w:bCs/>
          <w:sz w:val="22"/>
          <w:szCs w:val="22"/>
          <w:lang w:val="en-GB"/>
        </w:rPr>
        <w:t>Table 4.1: Number of interviews by stakeholder and location</w:t>
      </w:r>
    </w:p>
    <w:p w14:paraId="036BBB6B" w14:textId="77777777" w:rsidR="0077618A" w:rsidRPr="004E053C" w:rsidRDefault="0077618A" w:rsidP="004E053C">
      <w:pPr>
        <w:spacing w:line="360" w:lineRule="auto"/>
        <w:jc w:val="both"/>
        <w:rPr>
          <w:rFonts w:cstheme="majorHAnsi"/>
          <w:sz w:val="22"/>
          <w:szCs w:val="22"/>
          <w:lang w:val="en-GB"/>
        </w:rPr>
      </w:pPr>
    </w:p>
    <w:tbl>
      <w:tblPr>
        <w:tblStyle w:val="TableGrid"/>
        <w:tblW w:w="0" w:type="auto"/>
        <w:tblLook w:val="04A0" w:firstRow="1" w:lastRow="0" w:firstColumn="1" w:lastColumn="0" w:noHBand="0" w:noVBand="1"/>
      </w:tblPr>
      <w:tblGrid>
        <w:gridCol w:w="2830"/>
        <w:gridCol w:w="1701"/>
        <w:gridCol w:w="2410"/>
        <w:gridCol w:w="1349"/>
      </w:tblGrid>
      <w:tr w:rsidR="0077618A" w:rsidRPr="004E053C" w14:paraId="48D5B49C" w14:textId="77777777" w:rsidTr="0077618A">
        <w:tc>
          <w:tcPr>
            <w:tcW w:w="2830" w:type="dxa"/>
          </w:tcPr>
          <w:p w14:paraId="5701ACD8" w14:textId="77777777" w:rsidR="0077618A" w:rsidRPr="004E053C" w:rsidRDefault="0077618A" w:rsidP="004E053C">
            <w:pPr>
              <w:spacing w:line="360" w:lineRule="auto"/>
              <w:jc w:val="both"/>
              <w:rPr>
                <w:rFonts w:cstheme="majorHAnsi"/>
                <w:lang w:val="en-GB"/>
              </w:rPr>
            </w:pPr>
          </w:p>
        </w:tc>
        <w:tc>
          <w:tcPr>
            <w:tcW w:w="1701" w:type="dxa"/>
          </w:tcPr>
          <w:p w14:paraId="7650C46A" w14:textId="77777777" w:rsidR="0077618A" w:rsidRPr="004E053C" w:rsidRDefault="0077618A" w:rsidP="004E053C">
            <w:pPr>
              <w:spacing w:line="360" w:lineRule="auto"/>
              <w:jc w:val="both"/>
              <w:rPr>
                <w:rFonts w:cstheme="majorHAnsi"/>
                <w:lang w:val="en-GB"/>
              </w:rPr>
            </w:pPr>
            <w:r w:rsidRPr="004E053C">
              <w:rPr>
                <w:rFonts w:cstheme="majorHAnsi"/>
                <w:lang w:val="en-GB"/>
              </w:rPr>
              <w:t>Ocongate</w:t>
            </w:r>
          </w:p>
        </w:tc>
        <w:tc>
          <w:tcPr>
            <w:tcW w:w="2410" w:type="dxa"/>
          </w:tcPr>
          <w:p w14:paraId="138C1092" w14:textId="77777777" w:rsidR="0077618A" w:rsidRPr="004E053C" w:rsidRDefault="0077618A" w:rsidP="004E053C">
            <w:pPr>
              <w:spacing w:line="360" w:lineRule="auto"/>
              <w:jc w:val="both"/>
              <w:rPr>
                <w:rFonts w:cstheme="majorHAnsi"/>
                <w:lang w:val="en-GB"/>
              </w:rPr>
            </w:pPr>
            <w:r w:rsidRPr="004E053C">
              <w:rPr>
                <w:rFonts w:cstheme="majorHAnsi"/>
                <w:lang w:val="en-GB"/>
              </w:rPr>
              <w:t>Laberinto</w:t>
            </w:r>
          </w:p>
        </w:tc>
        <w:tc>
          <w:tcPr>
            <w:tcW w:w="1349" w:type="dxa"/>
          </w:tcPr>
          <w:p w14:paraId="7F646077" w14:textId="77777777" w:rsidR="0077618A" w:rsidRPr="004E053C" w:rsidRDefault="0077618A" w:rsidP="004E053C">
            <w:pPr>
              <w:spacing w:line="360" w:lineRule="auto"/>
              <w:jc w:val="both"/>
              <w:rPr>
                <w:rFonts w:cstheme="majorHAnsi"/>
                <w:lang w:val="en-GB"/>
              </w:rPr>
            </w:pPr>
            <w:r w:rsidRPr="004E053C">
              <w:rPr>
                <w:rFonts w:cstheme="majorHAnsi"/>
                <w:lang w:val="en-GB"/>
              </w:rPr>
              <w:t>Lima</w:t>
            </w:r>
          </w:p>
        </w:tc>
      </w:tr>
      <w:tr w:rsidR="0077618A" w:rsidRPr="004E053C" w14:paraId="207F90CC" w14:textId="77777777" w:rsidTr="0077618A">
        <w:tc>
          <w:tcPr>
            <w:tcW w:w="2830" w:type="dxa"/>
          </w:tcPr>
          <w:p w14:paraId="497E966B" w14:textId="77777777" w:rsidR="0077618A" w:rsidRPr="004E053C" w:rsidRDefault="0077618A" w:rsidP="004E053C">
            <w:pPr>
              <w:spacing w:line="360" w:lineRule="auto"/>
              <w:jc w:val="both"/>
              <w:rPr>
                <w:rFonts w:cstheme="majorHAnsi"/>
                <w:lang w:val="en-GB"/>
              </w:rPr>
            </w:pPr>
            <w:r w:rsidRPr="004E053C">
              <w:rPr>
                <w:rFonts w:cstheme="majorHAnsi"/>
                <w:lang w:val="en-GB"/>
              </w:rPr>
              <w:t>Female miners/wives of miners</w:t>
            </w:r>
          </w:p>
        </w:tc>
        <w:tc>
          <w:tcPr>
            <w:tcW w:w="1701" w:type="dxa"/>
          </w:tcPr>
          <w:p w14:paraId="185D673B" w14:textId="77777777" w:rsidR="0077618A" w:rsidRPr="004E053C" w:rsidRDefault="0077618A" w:rsidP="004E053C">
            <w:pPr>
              <w:spacing w:line="360" w:lineRule="auto"/>
              <w:jc w:val="both"/>
              <w:rPr>
                <w:rFonts w:cstheme="majorHAnsi"/>
                <w:lang w:val="en-GB"/>
              </w:rPr>
            </w:pPr>
            <w:r w:rsidRPr="004E053C">
              <w:rPr>
                <w:rFonts w:cstheme="majorHAnsi"/>
                <w:lang w:val="en-GB"/>
              </w:rPr>
              <w:t>16</w:t>
            </w:r>
          </w:p>
        </w:tc>
        <w:tc>
          <w:tcPr>
            <w:tcW w:w="2410" w:type="dxa"/>
          </w:tcPr>
          <w:p w14:paraId="524E0C89" w14:textId="77777777" w:rsidR="0077618A" w:rsidRPr="004E053C" w:rsidRDefault="0077618A" w:rsidP="004E053C">
            <w:pPr>
              <w:spacing w:line="360" w:lineRule="auto"/>
              <w:jc w:val="both"/>
              <w:rPr>
                <w:rFonts w:cstheme="majorHAnsi"/>
                <w:lang w:val="en-GB"/>
              </w:rPr>
            </w:pPr>
            <w:r w:rsidRPr="004E053C">
              <w:rPr>
                <w:rFonts w:cstheme="majorHAnsi"/>
                <w:lang w:val="en-GB"/>
              </w:rPr>
              <w:t>7</w:t>
            </w:r>
          </w:p>
        </w:tc>
        <w:tc>
          <w:tcPr>
            <w:tcW w:w="1349" w:type="dxa"/>
          </w:tcPr>
          <w:p w14:paraId="1743D643" w14:textId="77777777" w:rsidR="0077618A" w:rsidRPr="004E053C" w:rsidRDefault="0077618A" w:rsidP="004E053C">
            <w:pPr>
              <w:spacing w:line="360" w:lineRule="auto"/>
              <w:jc w:val="both"/>
              <w:rPr>
                <w:rFonts w:cstheme="majorHAnsi"/>
                <w:lang w:val="en-GB"/>
              </w:rPr>
            </w:pPr>
            <w:r w:rsidRPr="004E053C">
              <w:rPr>
                <w:rFonts w:cstheme="majorHAnsi"/>
                <w:lang w:val="en-GB"/>
              </w:rPr>
              <w:t>0</w:t>
            </w:r>
          </w:p>
        </w:tc>
      </w:tr>
      <w:tr w:rsidR="0077618A" w:rsidRPr="004E053C" w14:paraId="6B271AE7" w14:textId="77777777" w:rsidTr="0077618A">
        <w:tc>
          <w:tcPr>
            <w:tcW w:w="2830" w:type="dxa"/>
          </w:tcPr>
          <w:p w14:paraId="58E2AE63" w14:textId="77777777" w:rsidR="0077618A" w:rsidRPr="004E053C" w:rsidRDefault="0077618A" w:rsidP="004E053C">
            <w:pPr>
              <w:spacing w:line="360" w:lineRule="auto"/>
              <w:jc w:val="both"/>
              <w:rPr>
                <w:rFonts w:cstheme="majorHAnsi"/>
                <w:lang w:val="en-GB"/>
              </w:rPr>
            </w:pPr>
            <w:r w:rsidRPr="004E053C">
              <w:rPr>
                <w:rFonts w:cstheme="majorHAnsi"/>
                <w:lang w:val="en-GB"/>
              </w:rPr>
              <w:t>Male miners</w:t>
            </w:r>
          </w:p>
        </w:tc>
        <w:tc>
          <w:tcPr>
            <w:tcW w:w="1701" w:type="dxa"/>
          </w:tcPr>
          <w:p w14:paraId="0B48E25C" w14:textId="77777777" w:rsidR="0077618A" w:rsidRPr="004E053C" w:rsidRDefault="0077618A" w:rsidP="004E053C">
            <w:pPr>
              <w:spacing w:line="360" w:lineRule="auto"/>
              <w:jc w:val="both"/>
              <w:rPr>
                <w:rFonts w:cstheme="majorHAnsi"/>
                <w:lang w:val="en-GB"/>
              </w:rPr>
            </w:pPr>
            <w:r w:rsidRPr="004E053C">
              <w:rPr>
                <w:rFonts w:cstheme="majorHAnsi"/>
                <w:lang w:val="en-GB"/>
              </w:rPr>
              <w:t>2</w:t>
            </w:r>
          </w:p>
        </w:tc>
        <w:tc>
          <w:tcPr>
            <w:tcW w:w="2410" w:type="dxa"/>
          </w:tcPr>
          <w:p w14:paraId="0620A776" w14:textId="77777777" w:rsidR="0077618A" w:rsidRPr="004E053C" w:rsidRDefault="0077618A" w:rsidP="004E053C">
            <w:pPr>
              <w:spacing w:line="360" w:lineRule="auto"/>
              <w:jc w:val="both"/>
              <w:rPr>
                <w:rFonts w:cstheme="majorHAnsi"/>
                <w:lang w:val="en-GB"/>
              </w:rPr>
            </w:pPr>
            <w:r w:rsidRPr="004E053C">
              <w:rPr>
                <w:rFonts w:cstheme="majorHAnsi"/>
                <w:lang w:val="en-GB"/>
              </w:rPr>
              <w:t>26</w:t>
            </w:r>
          </w:p>
          <w:p w14:paraId="2DC50AA6" w14:textId="77777777" w:rsidR="0077618A" w:rsidRPr="004E053C" w:rsidRDefault="0077618A" w:rsidP="004E053C">
            <w:pPr>
              <w:spacing w:line="360" w:lineRule="auto"/>
              <w:jc w:val="both"/>
              <w:rPr>
                <w:rFonts w:cstheme="majorHAnsi"/>
                <w:lang w:val="en-GB"/>
              </w:rPr>
            </w:pPr>
          </w:p>
        </w:tc>
        <w:tc>
          <w:tcPr>
            <w:tcW w:w="1349" w:type="dxa"/>
          </w:tcPr>
          <w:p w14:paraId="7B363F4B" w14:textId="77777777" w:rsidR="0077618A" w:rsidRPr="004E053C" w:rsidRDefault="0077618A" w:rsidP="004E053C">
            <w:pPr>
              <w:spacing w:line="360" w:lineRule="auto"/>
              <w:jc w:val="both"/>
              <w:rPr>
                <w:rFonts w:cstheme="majorHAnsi"/>
                <w:lang w:val="en-GB"/>
              </w:rPr>
            </w:pPr>
            <w:r w:rsidRPr="004E053C">
              <w:rPr>
                <w:rFonts w:cstheme="majorHAnsi"/>
                <w:lang w:val="en-GB"/>
              </w:rPr>
              <w:t>0</w:t>
            </w:r>
          </w:p>
        </w:tc>
      </w:tr>
      <w:tr w:rsidR="0077618A" w:rsidRPr="004E053C" w14:paraId="27C93279" w14:textId="77777777" w:rsidTr="0077618A">
        <w:tc>
          <w:tcPr>
            <w:tcW w:w="2830" w:type="dxa"/>
          </w:tcPr>
          <w:p w14:paraId="563FF718" w14:textId="77777777" w:rsidR="0077618A" w:rsidRPr="004E053C" w:rsidRDefault="0077618A" w:rsidP="004E053C">
            <w:pPr>
              <w:spacing w:line="360" w:lineRule="auto"/>
              <w:jc w:val="both"/>
              <w:rPr>
                <w:rFonts w:cstheme="majorHAnsi"/>
                <w:lang w:val="en-GB"/>
              </w:rPr>
            </w:pPr>
            <w:r w:rsidRPr="004E053C">
              <w:rPr>
                <w:rFonts w:cstheme="majorHAnsi"/>
                <w:lang w:val="en-GB"/>
              </w:rPr>
              <w:t>NGOs and CSOs</w:t>
            </w:r>
          </w:p>
        </w:tc>
        <w:tc>
          <w:tcPr>
            <w:tcW w:w="1701" w:type="dxa"/>
          </w:tcPr>
          <w:p w14:paraId="6EF73233" w14:textId="77777777" w:rsidR="0077618A" w:rsidRPr="004E053C" w:rsidRDefault="0077618A" w:rsidP="004E053C">
            <w:pPr>
              <w:spacing w:line="360" w:lineRule="auto"/>
              <w:jc w:val="both"/>
              <w:rPr>
                <w:rFonts w:cstheme="majorHAnsi"/>
                <w:lang w:val="en-GB"/>
              </w:rPr>
            </w:pPr>
            <w:r w:rsidRPr="004E053C">
              <w:rPr>
                <w:rFonts w:cstheme="majorHAnsi"/>
                <w:lang w:val="en-GB"/>
              </w:rPr>
              <w:t>0</w:t>
            </w:r>
          </w:p>
        </w:tc>
        <w:tc>
          <w:tcPr>
            <w:tcW w:w="2410" w:type="dxa"/>
          </w:tcPr>
          <w:p w14:paraId="1C4DD09B" w14:textId="77777777" w:rsidR="0077618A" w:rsidRPr="004E053C" w:rsidRDefault="0077618A" w:rsidP="004E053C">
            <w:pPr>
              <w:spacing w:line="360" w:lineRule="auto"/>
              <w:jc w:val="both"/>
              <w:rPr>
                <w:rFonts w:cstheme="majorHAnsi"/>
                <w:lang w:val="en-GB"/>
              </w:rPr>
            </w:pPr>
            <w:r w:rsidRPr="004E053C">
              <w:rPr>
                <w:rFonts w:cstheme="majorHAnsi"/>
                <w:lang w:val="en-GB"/>
              </w:rPr>
              <w:t>7</w:t>
            </w:r>
          </w:p>
          <w:p w14:paraId="70488A5F" w14:textId="77777777" w:rsidR="0077618A" w:rsidRPr="004E053C" w:rsidRDefault="0077618A" w:rsidP="004E053C">
            <w:pPr>
              <w:spacing w:line="360" w:lineRule="auto"/>
              <w:jc w:val="both"/>
              <w:rPr>
                <w:rFonts w:cstheme="majorHAnsi"/>
                <w:lang w:val="en-GB"/>
              </w:rPr>
            </w:pPr>
          </w:p>
        </w:tc>
        <w:tc>
          <w:tcPr>
            <w:tcW w:w="1349" w:type="dxa"/>
          </w:tcPr>
          <w:p w14:paraId="29F143F7" w14:textId="77777777" w:rsidR="0077618A" w:rsidRPr="004E053C" w:rsidRDefault="0077618A" w:rsidP="004E053C">
            <w:pPr>
              <w:spacing w:line="360" w:lineRule="auto"/>
              <w:jc w:val="both"/>
              <w:rPr>
                <w:rFonts w:cstheme="majorHAnsi"/>
                <w:lang w:val="en-GB"/>
              </w:rPr>
            </w:pPr>
            <w:r w:rsidRPr="004E053C">
              <w:rPr>
                <w:rFonts w:cstheme="majorHAnsi"/>
                <w:lang w:val="en-GB"/>
              </w:rPr>
              <w:t>1</w:t>
            </w:r>
          </w:p>
        </w:tc>
      </w:tr>
      <w:tr w:rsidR="0077618A" w:rsidRPr="004E053C" w14:paraId="458FF0AE" w14:textId="77777777" w:rsidTr="0077618A">
        <w:tc>
          <w:tcPr>
            <w:tcW w:w="2830" w:type="dxa"/>
          </w:tcPr>
          <w:p w14:paraId="6CA21A54" w14:textId="77777777" w:rsidR="0077618A" w:rsidRPr="004E053C" w:rsidRDefault="0077618A" w:rsidP="004E053C">
            <w:pPr>
              <w:spacing w:line="360" w:lineRule="auto"/>
              <w:jc w:val="both"/>
              <w:rPr>
                <w:rFonts w:cstheme="majorHAnsi"/>
                <w:lang w:val="en-GB"/>
              </w:rPr>
            </w:pPr>
            <w:r w:rsidRPr="004E053C">
              <w:rPr>
                <w:rFonts w:cstheme="majorHAnsi"/>
                <w:lang w:val="en-GB"/>
              </w:rPr>
              <w:t xml:space="preserve">Government </w:t>
            </w:r>
            <w:r w:rsidRPr="004E053C">
              <w:rPr>
                <w:rFonts w:cstheme="majorHAnsi"/>
                <w:lang w:val="en-GB"/>
              </w:rPr>
              <w:lastRenderedPageBreak/>
              <w:t>Representatives</w:t>
            </w:r>
          </w:p>
        </w:tc>
        <w:tc>
          <w:tcPr>
            <w:tcW w:w="1701" w:type="dxa"/>
          </w:tcPr>
          <w:p w14:paraId="21D90892" w14:textId="77777777" w:rsidR="0077618A" w:rsidRPr="004E053C" w:rsidRDefault="0077618A" w:rsidP="004E053C">
            <w:pPr>
              <w:spacing w:line="360" w:lineRule="auto"/>
              <w:jc w:val="both"/>
              <w:rPr>
                <w:rFonts w:cstheme="majorHAnsi"/>
                <w:lang w:val="en-GB"/>
              </w:rPr>
            </w:pPr>
            <w:r w:rsidRPr="004E053C">
              <w:rPr>
                <w:rFonts w:cstheme="majorHAnsi"/>
                <w:lang w:val="en-GB"/>
              </w:rPr>
              <w:lastRenderedPageBreak/>
              <w:t>1</w:t>
            </w:r>
          </w:p>
        </w:tc>
        <w:tc>
          <w:tcPr>
            <w:tcW w:w="2410" w:type="dxa"/>
          </w:tcPr>
          <w:p w14:paraId="1E2A8CDA" w14:textId="77777777" w:rsidR="0077618A" w:rsidRPr="004E053C" w:rsidRDefault="0077618A" w:rsidP="004E053C">
            <w:pPr>
              <w:spacing w:line="360" w:lineRule="auto"/>
              <w:jc w:val="both"/>
              <w:rPr>
                <w:rFonts w:cstheme="majorHAnsi"/>
                <w:lang w:val="en-GB"/>
              </w:rPr>
            </w:pPr>
            <w:r w:rsidRPr="004E053C">
              <w:rPr>
                <w:rFonts w:cstheme="majorHAnsi"/>
                <w:lang w:val="en-GB"/>
              </w:rPr>
              <w:t>2</w:t>
            </w:r>
          </w:p>
        </w:tc>
        <w:tc>
          <w:tcPr>
            <w:tcW w:w="1349" w:type="dxa"/>
          </w:tcPr>
          <w:p w14:paraId="616A496E" w14:textId="77777777" w:rsidR="0077618A" w:rsidRPr="004E053C" w:rsidRDefault="0077618A" w:rsidP="004E053C">
            <w:pPr>
              <w:spacing w:line="360" w:lineRule="auto"/>
              <w:jc w:val="both"/>
              <w:rPr>
                <w:rFonts w:cstheme="majorHAnsi"/>
                <w:lang w:val="en-GB"/>
              </w:rPr>
            </w:pPr>
            <w:r w:rsidRPr="004E053C">
              <w:rPr>
                <w:rFonts w:cstheme="majorHAnsi"/>
                <w:lang w:val="en-GB"/>
              </w:rPr>
              <w:t>1</w:t>
            </w:r>
          </w:p>
        </w:tc>
      </w:tr>
      <w:tr w:rsidR="0077618A" w:rsidRPr="004E053C" w14:paraId="41326179" w14:textId="77777777" w:rsidTr="0077618A">
        <w:tc>
          <w:tcPr>
            <w:tcW w:w="2830" w:type="dxa"/>
          </w:tcPr>
          <w:p w14:paraId="3E111662" w14:textId="77777777" w:rsidR="0077618A" w:rsidRPr="004E053C" w:rsidRDefault="0077618A" w:rsidP="004E053C">
            <w:pPr>
              <w:spacing w:line="360" w:lineRule="auto"/>
              <w:jc w:val="both"/>
              <w:rPr>
                <w:rFonts w:cstheme="majorHAnsi"/>
                <w:lang w:val="en-GB"/>
              </w:rPr>
            </w:pPr>
            <w:r w:rsidRPr="004E053C">
              <w:rPr>
                <w:rFonts w:cstheme="majorHAnsi"/>
                <w:lang w:val="en-GB"/>
              </w:rPr>
              <w:t>Community leaders and local ASM experts</w:t>
            </w:r>
          </w:p>
        </w:tc>
        <w:tc>
          <w:tcPr>
            <w:tcW w:w="1701" w:type="dxa"/>
          </w:tcPr>
          <w:p w14:paraId="309478E8" w14:textId="77777777" w:rsidR="0077618A" w:rsidRPr="004E053C" w:rsidRDefault="0077618A" w:rsidP="004E053C">
            <w:pPr>
              <w:spacing w:line="360" w:lineRule="auto"/>
              <w:jc w:val="both"/>
              <w:rPr>
                <w:rFonts w:cstheme="majorHAnsi"/>
                <w:lang w:val="en-GB"/>
              </w:rPr>
            </w:pPr>
            <w:r w:rsidRPr="004E053C">
              <w:rPr>
                <w:rFonts w:cstheme="majorHAnsi"/>
                <w:lang w:val="en-GB"/>
              </w:rPr>
              <w:t>2</w:t>
            </w:r>
          </w:p>
        </w:tc>
        <w:tc>
          <w:tcPr>
            <w:tcW w:w="2410" w:type="dxa"/>
          </w:tcPr>
          <w:p w14:paraId="4AEF24D0" w14:textId="77777777" w:rsidR="0077618A" w:rsidRPr="004E053C" w:rsidRDefault="0077618A" w:rsidP="004E053C">
            <w:pPr>
              <w:spacing w:line="360" w:lineRule="auto"/>
              <w:jc w:val="both"/>
              <w:rPr>
                <w:rFonts w:cstheme="majorHAnsi"/>
                <w:lang w:val="en-GB"/>
              </w:rPr>
            </w:pPr>
            <w:r w:rsidRPr="004E053C">
              <w:rPr>
                <w:rFonts w:cstheme="majorHAnsi"/>
                <w:lang w:val="en-GB"/>
              </w:rPr>
              <w:t>2</w:t>
            </w:r>
          </w:p>
        </w:tc>
        <w:tc>
          <w:tcPr>
            <w:tcW w:w="1349" w:type="dxa"/>
          </w:tcPr>
          <w:p w14:paraId="536412CF" w14:textId="77777777" w:rsidR="0077618A" w:rsidRPr="004E053C" w:rsidRDefault="0077618A" w:rsidP="004E053C">
            <w:pPr>
              <w:spacing w:line="360" w:lineRule="auto"/>
              <w:jc w:val="both"/>
              <w:rPr>
                <w:rFonts w:cstheme="majorHAnsi"/>
                <w:lang w:val="en-GB"/>
              </w:rPr>
            </w:pPr>
            <w:r w:rsidRPr="004E053C">
              <w:rPr>
                <w:rFonts w:cstheme="majorHAnsi"/>
                <w:lang w:val="en-GB"/>
              </w:rPr>
              <w:t>1</w:t>
            </w:r>
          </w:p>
        </w:tc>
      </w:tr>
    </w:tbl>
    <w:p w14:paraId="44D2235E" w14:textId="77777777" w:rsidR="0077618A" w:rsidRPr="004E053C" w:rsidRDefault="0077618A" w:rsidP="004E053C">
      <w:pPr>
        <w:spacing w:line="360" w:lineRule="auto"/>
        <w:jc w:val="both"/>
        <w:rPr>
          <w:rFonts w:cstheme="majorHAnsi"/>
          <w:sz w:val="22"/>
          <w:szCs w:val="22"/>
          <w:lang w:val="en-GB"/>
        </w:rPr>
      </w:pPr>
    </w:p>
    <w:p w14:paraId="4CA3A0C5" w14:textId="6B8C91A1"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t>Participants in the</w:t>
      </w:r>
      <w:r w:rsidRPr="004E053C">
        <w:rPr>
          <w:rFonts w:cstheme="majorHAnsi"/>
          <w:sz w:val="22"/>
          <w:szCs w:val="22"/>
          <w:lang w:val="en-GB"/>
        </w:rPr>
        <w:t xml:space="preserve"> Ocongate</w:t>
      </w:r>
      <w:r w:rsidRPr="004E053C">
        <w:rPr>
          <w:rFonts w:eastAsiaTheme="minorHAnsi" w:cstheme="majorHAnsi"/>
          <w:sz w:val="22"/>
          <w:szCs w:val="22"/>
          <w:lang w:val="en-GB"/>
        </w:rPr>
        <w:t xml:space="preserve"> interviewees were identified through snowball sampling and through discussions with the community. Snowball sampling is often used to draw on expertise to identify cases of interest </w:t>
      </w:r>
      <w:r w:rsidR="00544273" w:rsidRPr="004E053C">
        <w:rPr>
          <w:rFonts w:eastAsiaTheme="minorHAnsi" w:cstheme="majorHAnsi"/>
          <w:sz w:val="22"/>
          <w:szCs w:val="22"/>
          <w:lang w:val="en-GB"/>
        </w:rPr>
        <w:fldChar w:fldCharType="begin" w:fldLock="1"/>
      </w:r>
      <w:r w:rsidR="007F27D0" w:rsidRPr="004E053C">
        <w:rPr>
          <w:rFonts w:eastAsiaTheme="minorHAnsi"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2013)","plainTextFormattedCitation":"(Creswell, 2013)","previouslyFormattedCitation":"(Creswell, 2013)"},"properties":{"noteIndex":0},"schema":"https://github.com/citation-style-language/schema/raw/master/csl-citation.json"}</w:instrText>
      </w:r>
      <w:r w:rsidR="00544273" w:rsidRPr="004E053C">
        <w:rPr>
          <w:rFonts w:eastAsiaTheme="minorHAnsi" w:cstheme="majorHAnsi"/>
          <w:sz w:val="22"/>
          <w:szCs w:val="22"/>
          <w:lang w:val="en-GB"/>
        </w:rPr>
        <w:fldChar w:fldCharType="separate"/>
      </w:r>
      <w:r w:rsidR="00544273" w:rsidRPr="004E053C">
        <w:rPr>
          <w:rFonts w:eastAsiaTheme="minorHAnsi" w:cstheme="majorHAnsi"/>
          <w:noProof/>
          <w:sz w:val="22"/>
          <w:szCs w:val="22"/>
          <w:lang w:val="en-GB"/>
        </w:rPr>
        <w:t>(Creswell, 2013)</w:t>
      </w:r>
      <w:r w:rsidR="00544273" w:rsidRPr="004E053C">
        <w:rPr>
          <w:rFonts w:eastAsiaTheme="minorHAnsi" w:cstheme="majorHAnsi"/>
          <w:sz w:val="22"/>
          <w:szCs w:val="22"/>
          <w:lang w:val="en-GB"/>
        </w:rPr>
        <w:fldChar w:fldCharType="end"/>
      </w:r>
      <w:r w:rsidRPr="004E053C">
        <w:rPr>
          <w:rFonts w:eastAsiaTheme="minorHAnsi" w:cstheme="majorHAnsi"/>
          <w:sz w:val="22"/>
          <w:szCs w:val="22"/>
          <w:lang w:val="en-GB"/>
        </w:rPr>
        <w:t>. I initially drew on people with knowledge of the area to identify which households were engaged in a translocal ASM livelihood, before using the participants themselves to identify others. The lack of an INGO gatekeeper made identifying participants challenging and also created difficulties with gaining trust, especially given the nature of the research. Instead, I initially met with the two local community leaders who advised on some of the households involved in ASM. I also engaged with two of the local community groups, the Guinea-Pig Association and the Artisanal Craft Association, both of which are community-based trade organisations. Attending their meetings enabled me to build familiarity with the members and they helped me identify the households that were involved in mining. I also attended the weekly women’s football practice in order to build rapport with them and went along to a weekend men’s football tournament against other Ocongate communities. However, securing interviews was still difficult, as many of the women were very shy. In total I interviewed fifteen women whose husbands worked in the informal mining sector, or had previously done so. A few of these women had experience of working in the mining areas themselves, although as cooks rather than being directly involved in ASM activity. Whilst in Ocongate I was also able to interview two miners who were back at home visiting their families, as well as two community leaders and an LGA representative</w:t>
      </w:r>
      <w:r w:rsidRPr="004E053C">
        <w:rPr>
          <w:rFonts w:eastAsiaTheme="minorHAnsi" w:cstheme="majorHAnsi"/>
          <w:i/>
          <w:iCs/>
          <w:sz w:val="22"/>
          <w:szCs w:val="22"/>
          <w:lang w:val="en-GB"/>
        </w:rPr>
        <w:t>.</w:t>
      </w:r>
      <w:r w:rsidRPr="004E053C">
        <w:rPr>
          <w:rFonts w:eastAsiaTheme="minorHAnsi" w:cstheme="majorHAnsi"/>
          <w:sz w:val="22"/>
          <w:szCs w:val="22"/>
          <w:lang w:val="en-GB"/>
        </w:rPr>
        <w:t xml:space="preserve"> I also conducted a phone interview with one of the women’s husbands who were working in La Pampa at the time.</w:t>
      </w:r>
    </w:p>
    <w:p w14:paraId="3C5B7451" w14:textId="77777777" w:rsidR="0077618A" w:rsidRPr="004E053C" w:rsidRDefault="0077618A" w:rsidP="004E053C">
      <w:pPr>
        <w:spacing w:line="360" w:lineRule="auto"/>
        <w:jc w:val="both"/>
        <w:rPr>
          <w:rFonts w:eastAsiaTheme="minorHAnsi" w:cstheme="majorHAnsi"/>
          <w:sz w:val="22"/>
          <w:szCs w:val="22"/>
          <w:lang w:val="en-GB"/>
        </w:rPr>
      </w:pPr>
    </w:p>
    <w:p w14:paraId="1B8A1D99" w14:textId="15AF6037"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t xml:space="preserve">As previously mentioned, the original plan of travelling to the areas in which the women’s husbands worked and interviewing them there turned out to be impossible due to security reasons and issues of trust. This meant that miners had to be recruited through different means. Fortunately, through connections in Puerto Maldonado it was possible to meet the FEDAMIN leaders in Laberinto. From here snowball sampling was used to recruit participants. One limitation of this method was that the majority of the miners who were interviewed had migrated to Laberinto and settled there, rather than being </w:t>
      </w:r>
      <w:r w:rsidR="00C21441" w:rsidRPr="004E053C">
        <w:rPr>
          <w:rFonts w:eastAsiaTheme="minorHAnsi" w:cstheme="majorHAnsi"/>
          <w:sz w:val="22"/>
          <w:szCs w:val="22"/>
          <w:lang w:val="en-GB"/>
        </w:rPr>
        <w:t>temporary</w:t>
      </w:r>
      <w:r w:rsidRPr="004E053C">
        <w:rPr>
          <w:rFonts w:eastAsiaTheme="minorHAnsi" w:cstheme="majorHAnsi"/>
          <w:sz w:val="22"/>
          <w:szCs w:val="22"/>
          <w:lang w:val="en-GB"/>
        </w:rPr>
        <w:t xml:space="preserve"> miners. It became clear that an additional period of data collection would be necessary in order to interview more recent settlers and </w:t>
      </w:r>
      <w:r w:rsidR="00C21441" w:rsidRPr="004E053C">
        <w:rPr>
          <w:rFonts w:eastAsiaTheme="minorHAnsi" w:cstheme="majorHAnsi"/>
          <w:sz w:val="22"/>
          <w:szCs w:val="22"/>
          <w:lang w:val="en-GB"/>
        </w:rPr>
        <w:t>temporary</w:t>
      </w:r>
      <w:r w:rsidRPr="004E053C">
        <w:rPr>
          <w:rFonts w:eastAsiaTheme="minorHAnsi" w:cstheme="majorHAnsi"/>
          <w:sz w:val="22"/>
          <w:szCs w:val="22"/>
          <w:lang w:val="en-GB"/>
        </w:rPr>
        <w:t xml:space="preserve"> migrants. Six months later I returned to Laberinto to conduct more interviews, specifically aimed at interviewing </w:t>
      </w:r>
      <w:r w:rsidR="00C21441" w:rsidRPr="004E053C">
        <w:rPr>
          <w:rFonts w:eastAsiaTheme="minorHAnsi" w:cstheme="majorHAnsi"/>
          <w:sz w:val="22"/>
          <w:szCs w:val="22"/>
          <w:lang w:val="en-GB"/>
        </w:rPr>
        <w:t>temporary</w:t>
      </w:r>
      <w:r w:rsidRPr="004E053C">
        <w:rPr>
          <w:rFonts w:eastAsiaTheme="minorHAnsi" w:cstheme="majorHAnsi"/>
          <w:sz w:val="22"/>
          <w:szCs w:val="22"/>
          <w:lang w:val="en-GB"/>
        </w:rPr>
        <w:t xml:space="preserve"> </w:t>
      </w:r>
      <w:r w:rsidRPr="004E053C">
        <w:rPr>
          <w:rFonts w:eastAsiaTheme="minorHAnsi" w:cstheme="majorHAnsi"/>
          <w:sz w:val="22"/>
          <w:szCs w:val="22"/>
          <w:lang w:val="en-GB"/>
        </w:rPr>
        <w:lastRenderedPageBreak/>
        <w:t xml:space="preserve">miners. For this, I used a sampling method more akin to stratified purposeful sampling </w:t>
      </w:r>
      <w:r w:rsidR="00544273" w:rsidRPr="004E053C">
        <w:rPr>
          <w:rFonts w:eastAsiaTheme="minorHAnsi" w:cstheme="majorHAnsi"/>
          <w:sz w:val="22"/>
          <w:szCs w:val="22"/>
          <w:lang w:val="en-GB"/>
        </w:rPr>
        <w:fldChar w:fldCharType="begin" w:fldLock="1"/>
      </w:r>
      <w:r w:rsidR="007F27D0" w:rsidRPr="004E053C">
        <w:rPr>
          <w:rFonts w:eastAsiaTheme="minorHAnsi" w:cstheme="majorHAnsi"/>
          <w:sz w:val="22"/>
          <w:szCs w:val="22"/>
          <w:lang w:val="en-GB"/>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2013)","plainTextFormattedCitation":"(Creswell, 2013)","previouslyFormattedCitation":"(Creswell, 2013)"},"properties":{"noteIndex":0},"schema":"https://github.com/citation-style-language/schema/raw/master/csl-citation.json"}</w:instrText>
      </w:r>
      <w:r w:rsidR="00544273" w:rsidRPr="004E053C">
        <w:rPr>
          <w:rFonts w:eastAsiaTheme="minorHAnsi" w:cstheme="majorHAnsi"/>
          <w:sz w:val="22"/>
          <w:szCs w:val="22"/>
          <w:lang w:val="en-GB"/>
        </w:rPr>
        <w:fldChar w:fldCharType="separate"/>
      </w:r>
      <w:r w:rsidR="00544273" w:rsidRPr="004E053C">
        <w:rPr>
          <w:rFonts w:eastAsiaTheme="minorHAnsi" w:cstheme="majorHAnsi"/>
          <w:noProof/>
          <w:sz w:val="22"/>
          <w:szCs w:val="22"/>
          <w:lang w:val="en-GB"/>
        </w:rPr>
        <w:t>(Creswell, 2013)</w:t>
      </w:r>
      <w:r w:rsidR="00544273" w:rsidRPr="004E053C">
        <w:rPr>
          <w:rFonts w:eastAsiaTheme="minorHAnsi" w:cstheme="majorHAnsi"/>
          <w:sz w:val="22"/>
          <w:szCs w:val="22"/>
          <w:lang w:val="en-GB"/>
        </w:rPr>
        <w:fldChar w:fldCharType="end"/>
      </w:r>
      <w:r w:rsidR="00544273" w:rsidRPr="004E053C">
        <w:rPr>
          <w:rFonts w:eastAsiaTheme="minorHAnsi" w:cstheme="majorHAnsi"/>
          <w:sz w:val="22"/>
          <w:szCs w:val="22"/>
          <w:lang w:val="en-GB"/>
        </w:rPr>
        <w:t xml:space="preserve">, </w:t>
      </w:r>
      <w:r w:rsidRPr="004E053C">
        <w:rPr>
          <w:rFonts w:eastAsiaTheme="minorHAnsi" w:cstheme="majorHAnsi"/>
          <w:sz w:val="22"/>
          <w:szCs w:val="22"/>
          <w:lang w:val="en-GB"/>
        </w:rPr>
        <w:t xml:space="preserve">specially looking to locate these </w:t>
      </w:r>
      <w:r w:rsidR="00C21441" w:rsidRPr="004E053C">
        <w:rPr>
          <w:rFonts w:eastAsiaTheme="minorHAnsi" w:cstheme="majorHAnsi"/>
          <w:sz w:val="22"/>
          <w:szCs w:val="22"/>
          <w:lang w:val="en-GB"/>
        </w:rPr>
        <w:t>temporary</w:t>
      </w:r>
      <w:r w:rsidRPr="004E053C">
        <w:rPr>
          <w:rFonts w:eastAsiaTheme="minorHAnsi" w:cstheme="majorHAnsi"/>
          <w:sz w:val="22"/>
          <w:szCs w:val="22"/>
          <w:lang w:val="en-GB"/>
        </w:rPr>
        <w:t xml:space="preserve"> miners. This was challenging as they move around more frequently and often did not want to be interviewed, perhaps because they saw less personal benefit in telling me their story. Fortunately, the links I made through my affiliation with CINCIA assisted in recruiting these more short-term miners. The second period of fieldwork also provided more time to conduct interviews with NGOs and government stakeholders, both in Lima and Puerto Maldonado. </w:t>
      </w:r>
    </w:p>
    <w:p w14:paraId="1C9E25B7" w14:textId="77777777" w:rsidR="0077618A" w:rsidRPr="004E053C" w:rsidRDefault="0077618A" w:rsidP="004E053C">
      <w:pPr>
        <w:spacing w:line="360" w:lineRule="auto"/>
        <w:jc w:val="both"/>
        <w:rPr>
          <w:rFonts w:eastAsiaTheme="minorHAnsi" w:cstheme="majorHAnsi"/>
          <w:sz w:val="22"/>
          <w:szCs w:val="22"/>
          <w:lang w:val="en-GB"/>
        </w:rPr>
      </w:pPr>
    </w:p>
    <w:p w14:paraId="7A199A9E" w14:textId="77777777" w:rsidR="0077618A" w:rsidRPr="004E053C" w:rsidRDefault="0077618A" w:rsidP="004E053C">
      <w:pPr>
        <w:spacing w:line="360" w:lineRule="auto"/>
        <w:jc w:val="both"/>
        <w:rPr>
          <w:rFonts w:eastAsiaTheme="minorHAnsi" w:cstheme="majorHAnsi"/>
          <w:sz w:val="22"/>
          <w:szCs w:val="22"/>
          <w:lang w:val="en-GB"/>
        </w:rPr>
      </w:pPr>
      <w:r w:rsidRPr="004E053C">
        <w:rPr>
          <w:rFonts w:eastAsiaTheme="minorHAnsi" w:cstheme="majorHAnsi"/>
          <w:sz w:val="22"/>
          <w:szCs w:val="22"/>
          <w:lang w:val="en-GB"/>
        </w:rPr>
        <w:t>The interviews were translated in the field by an interpreter and recorded electronically. As I spent the majority of my fieldwork in small communities, I had plenty of time to work in the evenings and at times when no one was available for interview. This provided ample opportunity to transcribe my field notes at the end of each day and to write reflections on each interview to ensure that all observations and interpretations were included and no important insights were forgotten. After each interview I debriefed with my translator to identify any problems.</w:t>
      </w:r>
    </w:p>
    <w:p w14:paraId="434DA7FE" w14:textId="77777777" w:rsidR="0077618A" w:rsidRPr="004E053C" w:rsidRDefault="0077618A" w:rsidP="004E053C">
      <w:pPr>
        <w:spacing w:line="360" w:lineRule="auto"/>
        <w:jc w:val="both"/>
        <w:rPr>
          <w:rFonts w:eastAsiaTheme="minorHAnsi" w:cstheme="majorHAnsi"/>
          <w:sz w:val="22"/>
          <w:szCs w:val="22"/>
          <w:lang w:val="en-GB"/>
        </w:rPr>
      </w:pPr>
    </w:p>
    <w:p w14:paraId="15329A36" w14:textId="5AFBCB30" w:rsidR="0077618A" w:rsidRPr="004E053C" w:rsidRDefault="00EA7F83" w:rsidP="004E053C">
      <w:pPr>
        <w:pStyle w:val="Heading3"/>
        <w:rPr>
          <w:rFonts w:asciiTheme="minorHAnsi" w:hAnsiTheme="minorHAnsi"/>
        </w:rPr>
      </w:pPr>
      <w:r w:rsidRPr="004E053C">
        <w:rPr>
          <w:rFonts w:asciiTheme="minorHAnsi" w:hAnsiTheme="minorHAnsi"/>
        </w:rPr>
        <w:t>5</w:t>
      </w:r>
      <w:r w:rsidR="0077618A" w:rsidRPr="004E053C">
        <w:rPr>
          <w:rFonts w:asciiTheme="minorHAnsi" w:hAnsiTheme="minorHAnsi"/>
        </w:rPr>
        <w:t xml:space="preserve">.6.2. Issues with other planned methods </w:t>
      </w:r>
    </w:p>
    <w:p w14:paraId="5152C269" w14:textId="77777777" w:rsidR="0077618A" w:rsidRPr="004E053C" w:rsidRDefault="0077618A" w:rsidP="004E053C">
      <w:pPr>
        <w:spacing w:line="360" w:lineRule="auto"/>
        <w:jc w:val="both"/>
        <w:rPr>
          <w:rFonts w:cstheme="majorHAnsi"/>
          <w:b/>
          <w:sz w:val="22"/>
          <w:szCs w:val="22"/>
          <w:lang w:val="en-GB"/>
        </w:rPr>
      </w:pPr>
    </w:p>
    <w:p w14:paraId="6EF92A35" w14:textId="63119C9A"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As case studies b</w:t>
      </w:r>
      <w:r w:rsidR="00D7211F">
        <w:rPr>
          <w:rFonts w:cstheme="majorHAnsi"/>
          <w:sz w:val="22"/>
          <w:szCs w:val="22"/>
          <w:lang w:val="en-GB"/>
        </w:rPr>
        <w:t xml:space="preserve">enefit from the use of multiple </w:t>
      </w:r>
      <w:r w:rsidRPr="004E053C">
        <w:rPr>
          <w:rFonts w:cstheme="majorHAnsi"/>
          <w:sz w:val="22"/>
          <w:szCs w:val="22"/>
          <w:lang w:val="en-GB"/>
        </w:rPr>
        <w:t>sources of evidence, gleaned through a variety of methods, I did not want to rely on interviews to gather data. I had initially planned to</w:t>
      </w:r>
      <w:r w:rsidR="00544273" w:rsidRPr="004E053C">
        <w:rPr>
          <w:rFonts w:cstheme="majorHAnsi"/>
          <w:sz w:val="22"/>
          <w:szCs w:val="22"/>
          <w:lang w:val="en-GB"/>
        </w:rPr>
        <w:t xml:space="preserve"> use both FGDs</w:t>
      </w:r>
      <w:r w:rsidRPr="004E053C">
        <w:rPr>
          <w:rFonts w:cstheme="majorHAnsi"/>
          <w:sz w:val="22"/>
          <w:szCs w:val="22"/>
          <w:lang w:val="en-GB"/>
        </w:rPr>
        <w:t xml:space="preserve"> and diaries in my research, but unfortunately, these methods proved inappropriate and not feasible in the context. </w:t>
      </w:r>
    </w:p>
    <w:p w14:paraId="67D51AF4" w14:textId="77777777" w:rsidR="0077618A" w:rsidRPr="004E053C" w:rsidRDefault="0077618A" w:rsidP="004E053C">
      <w:pPr>
        <w:spacing w:line="360" w:lineRule="auto"/>
        <w:jc w:val="both"/>
        <w:rPr>
          <w:rFonts w:cstheme="majorHAnsi"/>
          <w:sz w:val="22"/>
          <w:szCs w:val="22"/>
          <w:lang w:val="en-GB"/>
        </w:rPr>
      </w:pPr>
    </w:p>
    <w:p w14:paraId="7577EB76" w14:textId="0AA09B03"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 xml:space="preserve">I thought </w:t>
      </w:r>
      <w:r w:rsidR="00544273" w:rsidRPr="004E053C">
        <w:rPr>
          <w:rFonts w:cstheme="majorHAnsi"/>
          <w:sz w:val="22"/>
          <w:szCs w:val="22"/>
          <w:lang w:val="en-GB"/>
        </w:rPr>
        <w:t>FGD</w:t>
      </w:r>
      <w:r w:rsidRPr="004E053C">
        <w:rPr>
          <w:rFonts w:cstheme="majorHAnsi"/>
          <w:sz w:val="22"/>
          <w:szCs w:val="22"/>
          <w:lang w:val="en-GB"/>
        </w:rPr>
        <w:t xml:space="preserve">s would be particularly useful, given their generally exploratory </w:t>
      </w:r>
      <w:r w:rsidR="00844FD6" w:rsidRPr="004E053C">
        <w:rPr>
          <w:rFonts w:cstheme="majorHAnsi"/>
          <w:sz w:val="22"/>
          <w:szCs w:val="22"/>
          <w:lang w:val="en-GB"/>
        </w:rPr>
        <w:t xml:space="preserve">nature, </w:t>
      </w:r>
      <w:r w:rsidRPr="004E053C">
        <w:rPr>
          <w:rFonts w:cstheme="majorHAnsi"/>
          <w:sz w:val="22"/>
          <w:szCs w:val="22"/>
          <w:lang w:val="en-GB"/>
        </w:rPr>
        <w:t xml:space="preserve">to facilitate getting to know the community members and identifying key informants. They are also generally considered to be useful for gaining information about the experiences shared by group members, as well as for triangulation with other data-gathering techniques as they enable individual accounts to be put into context </w:t>
      </w:r>
      <w:r w:rsidR="00544273"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Fontana","given":"Andrea","non-dropping-particle":"","parse-names":false,"suffix":""},{"dropping-particle":"","family":"Frey","given":"James","non-dropping-particle":"","parse-names":false,"suffix":""}],"chapter-number":"27","container-title":"The Sage Handbook of Qualitative Research","edition":"3rd","editor":[{"dropping-particle":"","family":"Denzin","given":"N.K.","non-dropping-particle":"","parse-names":false,"suffix":""},{"dropping-particle":"","family":"Lincoln","given":"Y.S.","non-dropping-particle":"","parse-names":false,"suffix":""}],"id":"ITEM-1","issued":{"date-parts":[["2005"]]},"page":"695-728","publisher":"Sage Publications Ltd","publisher-place":"London, UK","title":"The interview: from neutral stance to political involvement","type":"chapter"},"uris":["http://www.mendeley.com/documents/?uuid=7f690da8-7937-4e23-b467-6faa3f7429d0"]}],"mendeley":{"formattedCitation":"(Fontana &amp; Frey, 2005)","plainTextFormattedCitation":"(Fontana &amp; Frey, 2005)","previouslyFormattedCitation":"(Fontana &amp; Frey, 2005)"},"properties":{"noteIndex":0},"schema":"https://github.com/citation-style-language/schema/raw/master/csl-citation.json"}</w:instrText>
      </w:r>
      <w:r w:rsidR="00544273" w:rsidRPr="004E053C">
        <w:rPr>
          <w:rFonts w:cstheme="majorHAnsi"/>
          <w:sz w:val="22"/>
          <w:szCs w:val="22"/>
          <w:lang w:val="en-GB"/>
        </w:rPr>
        <w:fldChar w:fldCharType="separate"/>
      </w:r>
      <w:r w:rsidR="00F2183E" w:rsidRPr="004E053C">
        <w:rPr>
          <w:rFonts w:cstheme="majorHAnsi"/>
          <w:noProof/>
          <w:sz w:val="22"/>
          <w:szCs w:val="22"/>
          <w:lang w:val="en-GB"/>
        </w:rPr>
        <w:t>(Fontana &amp; Frey, 2005)</w:t>
      </w:r>
      <w:r w:rsidR="00544273" w:rsidRPr="004E053C">
        <w:rPr>
          <w:rFonts w:cstheme="majorHAnsi"/>
          <w:sz w:val="22"/>
          <w:szCs w:val="22"/>
          <w:lang w:val="en-GB"/>
        </w:rPr>
        <w:fldChar w:fldCharType="end"/>
      </w:r>
      <w:r w:rsidRPr="004E053C">
        <w:rPr>
          <w:rFonts w:cstheme="majorHAnsi"/>
          <w:sz w:val="22"/>
          <w:szCs w:val="22"/>
          <w:lang w:val="en-GB"/>
        </w:rPr>
        <w:t>. I thought that this would be most practical in Ocongate to initiate household identification and to gain insights into existing community dynamics. However, FGDs were extremely difficult to organi</w:t>
      </w:r>
      <w:r w:rsidR="002D6E5D" w:rsidRPr="004E053C">
        <w:rPr>
          <w:rFonts w:cstheme="majorHAnsi"/>
          <w:sz w:val="22"/>
          <w:szCs w:val="22"/>
          <w:lang w:val="en-GB"/>
        </w:rPr>
        <w:t>s</w:t>
      </w:r>
      <w:r w:rsidRPr="004E053C">
        <w:rPr>
          <w:rFonts w:cstheme="majorHAnsi"/>
          <w:sz w:val="22"/>
          <w:szCs w:val="22"/>
          <w:lang w:val="en-GB"/>
        </w:rPr>
        <w:t>e without the assistance of an INGO that could draw on their strong relationship</w:t>
      </w:r>
      <w:r w:rsidR="002D6E5D" w:rsidRPr="004E053C">
        <w:rPr>
          <w:rFonts w:cstheme="majorHAnsi"/>
          <w:sz w:val="22"/>
          <w:szCs w:val="22"/>
          <w:lang w:val="en-GB"/>
        </w:rPr>
        <w:t xml:space="preserve"> within the community to organis</w:t>
      </w:r>
      <w:r w:rsidRPr="004E053C">
        <w:rPr>
          <w:rFonts w:cstheme="majorHAnsi"/>
          <w:sz w:val="22"/>
          <w:szCs w:val="22"/>
          <w:lang w:val="en-GB"/>
        </w:rPr>
        <w:t xml:space="preserve">e meetings. It took a lot of time to identify individual households through snowball sampling and to then build up enough rapport with the individuals to be able to hold interviews. This was at least partly due to the illicit nature of ASM, which made people less willing to tell me if their friends or relatives were working in the sector. Although it would have been easier to build this rapport and select individuals through holding FGDs </w:t>
      </w:r>
      <w:r w:rsidRPr="004E053C">
        <w:rPr>
          <w:rFonts w:cstheme="majorHAnsi"/>
          <w:sz w:val="22"/>
          <w:szCs w:val="22"/>
          <w:lang w:val="en-GB"/>
        </w:rPr>
        <w:lastRenderedPageBreak/>
        <w:t>first, there was no way of initiating these FGDs as the community leaders were unable, or perhaps unwilling, to help us bring community members together in this way. Although the community leaders assisted by providing lists of names of households involved in mining, which was very helpful,</w:t>
      </w:r>
      <w:r w:rsidR="002D6E5D" w:rsidRPr="004E053C">
        <w:rPr>
          <w:rFonts w:cstheme="majorHAnsi"/>
          <w:sz w:val="22"/>
          <w:szCs w:val="22"/>
          <w:lang w:val="en-GB"/>
        </w:rPr>
        <w:t xml:space="preserve"> it became apparent that organis</w:t>
      </w:r>
      <w:r w:rsidRPr="004E053C">
        <w:rPr>
          <w:rFonts w:cstheme="majorHAnsi"/>
          <w:sz w:val="22"/>
          <w:szCs w:val="22"/>
          <w:lang w:val="en-GB"/>
        </w:rPr>
        <w:t>ing an FGD was not feasible.</w:t>
      </w:r>
    </w:p>
    <w:p w14:paraId="1491127E" w14:textId="77777777" w:rsidR="0077618A" w:rsidRPr="004E053C" w:rsidRDefault="0077618A" w:rsidP="004E053C">
      <w:pPr>
        <w:spacing w:line="360" w:lineRule="auto"/>
        <w:jc w:val="both"/>
        <w:rPr>
          <w:rFonts w:cstheme="majorHAnsi"/>
          <w:sz w:val="22"/>
          <w:szCs w:val="22"/>
          <w:lang w:val="en-GB"/>
        </w:rPr>
      </w:pPr>
    </w:p>
    <w:p w14:paraId="1C7F32BC" w14:textId="53849966"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Diaries were also a problem due to literacy issues. I had originally planned to ask ten of the women from the community to keep diaries for a week in which they wrote about their feelings when their husbands were away and the problems they faced on a daily basis. Diaries are considered useful within the field of human geography because they promote participation and engagement of participant</w:t>
      </w:r>
      <w:r w:rsidR="00844FD6" w:rsidRPr="004E053C">
        <w:rPr>
          <w:rFonts w:cstheme="majorHAnsi"/>
          <w:sz w:val="22"/>
          <w:szCs w:val="22"/>
          <w:lang w:val="en-GB"/>
        </w:rPr>
        <w:t>s in the research process, and are</w:t>
      </w:r>
      <w:r w:rsidRPr="004E053C">
        <w:rPr>
          <w:rFonts w:cstheme="majorHAnsi"/>
          <w:sz w:val="22"/>
          <w:szCs w:val="22"/>
          <w:lang w:val="en-GB"/>
        </w:rPr>
        <w:t xml:space="preserve"> thought to have particular use as a feminist research method due to their collaborative nature and ability to let the respondent define the boundaries of their shared knowledge </w:t>
      </w:r>
      <w:r w:rsidR="00544273"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Meth","given":"Paula","non-dropping-particle":"","parse-names":false,"suffix":""}],"container-title":"Area","id":"ITEM-1","issue":"2","issued":{"date-parts":[["2003"]]},"page":"195-205","title":"Entries and omissions: using solicited diaries in geographical research","type":"article-journal","volume":"35"},"uris":["http://www.mendeley.com/documents/?uuid=6100b3a4-8960-4177-8192-96eb7d508f76"]}],"mendeley":{"formattedCitation":"(Meth, 2003)","plainTextFormattedCitation":"(Meth, 2003)","previouslyFormattedCitation":"(Meth, 2003)"},"properties":{"noteIndex":0},"schema":"https://github.com/citation-style-language/schema/raw/master/csl-citation.json"}</w:instrText>
      </w:r>
      <w:r w:rsidR="00544273" w:rsidRPr="004E053C">
        <w:rPr>
          <w:rFonts w:cstheme="majorHAnsi"/>
          <w:sz w:val="22"/>
          <w:szCs w:val="22"/>
          <w:lang w:val="en-GB"/>
        </w:rPr>
        <w:fldChar w:fldCharType="separate"/>
      </w:r>
      <w:r w:rsidR="00544273" w:rsidRPr="004E053C">
        <w:rPr>
          <w:rFonts w:cstheme="majorHAnsi"/>
          <w:noProof/>
          <w:sz w:val="22"/>
          <w:szCs w:val="22"/>
          <w:lang w:val="en-GB"/>
        </w:rPr>
        <w:t>(Meth, 2003)</w:t>
      </w:r>
      <w:r w:rsidR="00544273" w:rsidRPr="004E053C">
        <w:rPr>
          <w:rFonts w:cstheme="majorHAnsi"/>
          <w:sz w:val="22"/>
          <w:szCs w:val="22"/>
          <w:lang w:val="en-GB"/>
        </w:rPr>
        <w:fldChar w:fldCharType="end"/>
      </w:r>
      <w:r w:rsidR="00544273" w:rsidRPr="004E053C">
        <w:rPr>
          <w:rFonts w:cstheme="majorHAnsi"/>
          <w:sz w:val="22"/>
          <w:szCs w:val="22"/>
          <w:lang w:val="en-GB"/>
        </w:rPr>
        <w:t xml:space="preserve">. </w:t>
      </w:r>
      <w:r w:rsidRPr="004E053C">
        <w:rPr>
          <w:rFonts w:cstheme="majorHAnsi"/>
          <w:sz w:val="22"/>
          <w:szCs w:val="22"/>
          <w:lang w:val="en-GB"/>
        </w:rPr>
        <w:t xml:space="preserve">However, of the sixteen women interviewed in Ocongate, only four felt confident enough at writing in Spanish to complete the task. Of these four, three were unable to complete the diaries due to time constraints, while the fourth said that she did not think her husband would like her to keep such a diary. There may have been additional problems here due to the illegality of ASM that meant they were less keen to participate in additional research activities. Some researchers discuss the use of financial incentives, for interviews but also for keeping diaries </w:t>
      </w:r>
      <w:r w:rsidR="00544273"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Meth","given":"Paula","non-dropping-particle":"","parse-names":false,"suffix":""}],"container-title":"Area","id":"ITEM-1","issue":"2","issued":{"date-parts":[["2003"]]},"page":"195-205","title":"Entries and omissions: using solicited diaries in geographical research","type":"article-journal","volume":"35"},"uris":["http://www.mendeley.com/documents/?uuid=6100b3a4-8960-4177-8192-96eb7d508f76"]},{"id":"ITEM-2","itemData":{"author":[{"dropping-particle":"","family":"Creswell","given":"John","non-dropping-particle":"","parse-names":false,"suffix":""}],"edition":"4th","id":"ITEM-2","issued":{"date-parts":[["2014"]]},"publisher":"Sage Publications Ltd","publisher-place":"Los Angeles, CA","title":"Research Design: Qualitative, Quantitative and Mixed Methods Approaches","type":"book"},"uris":["http://www.mendeley.com/documents/?uuid=7edc34a1-9390-429c-bb79-1b9ca0f21137"]}],"mendeley":{"formattedCitation":"(Creswell, 2014; Meth, 2003)","manualFormatting":"(Creswell, 2014; Meth, 2003)","plainTextFormattedCitation":"(Creswell, 2014; Meth, 2003)","previouslyFormattedCitation":"(Creswell, 2014; Meth, 2003)"},"properties":{"noteIndex":0},"schema":"https://github.com/citation-style-language/schema/raw/master/csl-citation.json"}</w:instrText>
      </w:r>
      <w:r w:rsidR="00544273" w:rsidRPr="004E053C">
        <w:rPr>
          <w:rFonts w:cstheme="majorHAnsi"/>
          <w:sz w:val="22"/>
          <w:szCs w:val="22"/>
          <w:lang w:val="en-GB"/>
        </w:rPr>
        <w:fldChar w:fldCharType="separate"/>
      </w:r>
      <w:r w:rsidR="00544273" w:rsidRPr="004E053C">
        <w:rPr>
          <w:rFonts w:cstheme="majorHAnsi"/>
          <w:noProof/>
          <w:sz w:val="22"/>
          <w:szCs w:val="22"/>
          <w:lang w:val="en-GB"/>
        </w:rPr>
        <w:t>(Creswell, 2014; Meth, 2003)</w:t>
      </w:r>
      <w:r w:rsidR="00544273" w:rsidRPr="004E053C">
        <w:rPr>
          <w:rFonts w:cstheme="majorHAnsi"/>
          <w:sz w:val="22"/>
          <w:szCs w:val="22"/>
          <w:lang w:val="en-GB"/>
        </w:rPr>
        <w:fldChar w:fldCharType="end"/>
      </w:r>
      <w:r w:rsidRPr="004E053C">
        <w:rPr>
          <w:rFonts w:cstheme="majorHAnsi"/>
          <w:sz w:val="22"/>
          <w:szCs w:val="22"/>
          <w:lang w:val="en-GB"/>
        </w:rPr>
        <w:t xml:space="preserve">, with the understanding that it can dramatically increase response rates </w:t>
      </w:r>
      <w:r w:rsidR="00544273"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Edwards","given":"Phil","non-dropping-particle":"","parse-names":false,"suffix":""},{"dropping-particle":"","family":"Roberts","given":"Ian","non-dropping-particle":"","parse-names":false,"suffix":""},{"dropping-particle":"","family":"Clarke","given":"Mike","non-dropping-particle":"","parse-names":false,"suffix":""},{"dropping-particle":"","family":"DiGuiseppi","given":"Carolyn","non-dropping-particle":"","parse-names":false,"suffix":""},{"dropping-particle":"","family":"Pratap","given":"Sarah","non-dropping-particle":"","parse-names":false,"suffix":""},{"dropping-particle":"","family":"Wentz","given":"Reinhard","non-dropping-particle":"","parse-names":false,"suffix":""},{"dropping-particle":"","family":"Kwan","given":"Irene","non-dropping-particle":"","parse-names":false,"suffix":""}],"container-title":"British Medical Journal","id":"ITEM-1","issued":{"date-parts":[["2002"]]},"page":"1183-1185","title":"Increasing response rates to postal questionnaires: systematic review","type":"article-journal","volume":"324"},"uris":["http://www.mendeley.com/documents/?uuid=07b805a9-55b5-49f2-bf71-3f55e0cc0f78"]}],"mendeley":{"formattedCitation":"(Edwards et al., 2002)","plainTextFormattedCitation":"(Edwards et al., 2002)","previouslyFormattedCitation":"(Edwards et al., 2002)"},"properties":{"noteIndex":0},"schema":"https://github.com/citation-style-language/schema/raw/master/csl-citation.json"}</w:instrText>
      </w:r>
      <w:r w:rsidR="00544273" w:rsidRPr="004E053C">
        <w:rPr>
          <w:rFonts w:cstheme="majorHAnsi"/>
          <w:sz w:val="22"/>
          <w:szCs w:val="22"/>
          <w:lang w:val="en-GB"/>
        </w:rPr>
        <w:fldChar w:fldCharType="separate"/>
      </w:r>
      <w:r w:rsidR="00544273" w:rsidRPr="004E053C">
        <w:rPr>
          <w:rFonts w:cstheme="majorHAnsi"/>
          <w:noProof/>
          <w:sz w:val="22"/>
          <w:szCs w:val="22"/>
          <w:lang w:val="en-GB"/>
        </w:rPr>
        <w:t>(Edwards et al., 2002)</w:t>
      </w:r>
      <w:r w:rsidR="00544273" w:rsidRPr="004E053C">
        <w:rPr>
          <w:rFonts w:cstheme="majorHAnsi"/>
          <w:sz w:val="22"/>
          <w:szCs w:val="22"/>
          <w:lang w:val="en-GB"/>
        </w:rPr>
        <w:fldChar w:fldCharType="end"/>
      </w:r>
      <w:r w:rsidRPr="004E053C">
        <w:rPr>
          <w:rFonts w:cstheme="majorHAnsi"/>
          <w:sz w:val="22"/>
          <w:szCs w:val="22"/>
          <w:lang w:val="en-GB"/>
        </w:rPr>
        <w:t xml:space="preserve">. Although I had planned to offer financial incentives for the writing of diaries, as it is a more time-consuming process than one interview, my translator, who was herself an anthropologist and a researcher, did not think it was advisable to offer financial incentives in the Andean context. This was initially unexpected, especially given that some researchers highlight how paying respondents can do something to address the unequal power relationship that exists between interviewer and interviewee </w:t>
      </w:r>
      <w:r w:rsidR="00544273"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{"citationItems":[{"id":"ITEM-1","itemData":{"author":[{"dropping-particle":"","family":"Creswell","given":"John","non-dropping-particle":"","parse-names":false,"suffix":""}],"edition":"4th","id":"ITEM-1","issued":{"date-parts":[["2014"]]},"publisher":"Sage Publications Ltd","publisher-place":"Los Angeles, CA","title":"Research Design: Qualitative, Quantitative and Mixed Methods Approaches","type":"book"},"uris":["http://www.mendeley.com/documents/?uuid=7edc34a1-9390-429c-bb79-1b9ca0f21137"]},{"id":"ITEM-2","itemData":{"author":[{"dropping-particle":"","family":"Head","given":"Emma","non-dropping-particle":"","parse-names":false,"suffix":""}],"container-title":"International Journal of Social Research Methods","id":"ITEM-2","issue":"4","issued":{"date-parts":[["2009"]]},"page":"335-344","title":"The ethics and implications of paying participants in qualitative research","type":"article-journal","volume":"12"},"uris":["http://www.mendeley.com/documents/?uuid=2f85d92a-bbb9-4f46-8511-7f7a59341b19"]}],"mendeley":{"formattedCitation":"(Creswell, 2014; Head, 2009)","manualFormatting":"(Creswell, 2014; Head, 2009)","plainTextFormattedCitation":"(Creswell, 2014; Head, 2009)","previouslyFormattedCitation":"(Creswell, 2014; Head, 2009)"},"properties":{"noteIndex":0},"schema":"https://github.com/citation-style-language/schema/raw/master/csl-citation.json"}</w:instrText>
      </w:r>
      <w:r w:rsidR="00544273" w:rsidRPr="004E053C">
        <w:rPr>
          <w:rFonts w:cstheme="majorHAnsi"/>
          <w:sz w:val="22"/>
          <w:szCs w:val="22"/>
          <w:lang w:val="en-GB"/>
        </w:rPr>
        <w:fldChar w:fldCharType="separate"/>
      </w:r>
      <w:r w:rsidR="001705C6" w:rsidRPr="004E053C">
        <w:rPr>
          <w:rFonts w:cstheme="majorHAnsi"/>
          <w:noProof/>
          <w:sz w:val="22"/>
          <w:szCs w:val="22"/>
          <w:lang w:val="en-GB"/>
        </w:rPr>
        <w:t>(</w:t>
      </w:r>
      <w:r w:rsidR="00544273" w:rsidRPr="004E053C">
        <w:rPr>
          <w:rFonts w:cstheme="majorHAnsi"/>
          <w:noProof/>
          <w:sz w:val="22"/>
          <w:szCs w:val="22"/>
          <w:lang w:val="en-GB"/>
        </w:rPr>
        <w:t>Creswell, 2014; Head, 2009)</w:t>
      </w:r>
      <w:r w:rsidR="00544273" w:rsidRPr="004E053C">
        <w:rPr>
          <w:rFonts w:cstheme="majorHAnsi"/>
          <w:sz w:val="22"/>
          <w:szCs w:val="22"/>
          <w:lang w:val="en-GB"/>
        </w:rPr>
        <w:fldChar w:fldCharType="end"/>
      </w:r>
      <w:r w:rsidRPr="004E053C">
        <w:rPr>
          <w:rFonts w:cstheme="majorHAnsi"/>
          <w:sz w:val="22"/>
          <w:szCs w:val="22"/>
          <w:lang w:val="en-GB"/>
        </w:rPr>
        <w:t xml:space="preserve">. It has however been argued that monetary incentives risk compromising the key ethical principle of free and informed consent, as it can represent coercion in poor low-income environments </w:t>
      </w:r>
      <w:r w:rsidR="00544273" w:rsidRPr="004E053C">
        <w:rPr>
          <w:rFonts w:cstheme="majorHAnsi"/>
          <w:sz w:val="22"/>
          <w:szCs w:val="22"/>
          <w:lang w:val="en-GB"/>
        </w:rPr>
        <w:fldChar w:fldCharType="begin" w:fldLock="1"/>
      </w:r>
      <w:r w:rsidR="00544273" w:rsidRPr="004E053C">
        <w:rPr>
          <w:rFonts w:cstheme="majorHAnsi"/>
          <w:sz w:val="22"/>
          <w:szCs w:val="22"/>
          <w:lang w:val="en-GB"/>
        </w:rPr>
        <w:instrText>ADDIN CSL_CITATION {"citationItems":[{"id":"ITEM-1","itemData":{"author":[{"dropping-particle":"","family":"Head","given":"Emma","non-dropping-particle":"","parse-names":false,"suffix":""}],"container-title":"International Journal of Social Research Methods","id":"ITEM-1","issue":"4","issued":{"date-parts":[["2009"]]},"page":"335-344","title":"The ethics and implications of paying participants in qualitative research","type":"article-journal","volume":"12"},"uris":["http://www.mendeley.com/documents/?uuid=2f85d92a-bbb9-4f46-8511-7f7a59341b19"]}],"mendeley":{"formattedCitation":"(Head, 2009)","plainTextFormattedCitation":"(Head, 2009)","previouslyFormattedCitation":"(Head, 2009)"},"properties":{"noteIndex":0},"schema":"https://github.com/citation-style-language/schema/raw/master/csl-citation.json"}</w:instrText>
      </w:r>
      <w:r w:rsidR="00544273" w:rsidRPr="004E053C">
        <w:rPr>
          <w:rFonts w:cstheme="majorHAnsi"/>
          <w:sz w:val="22"/>
          <w:szCs w:val="22"/>
          <w:lang w:val="en-GB"/>
        </w:rPr>
        <w:fldChar w:fldCharType="separate"/>
      </w:r>
      <w:r w:rsidR="00544273" w:rsidRPr="004E053C">
        <w:rPr>
          <w:rFonts w:cstheme="majorHAnsi"/>
          <w:noProof/>
          <w:sz w:val="22"/>
          <w:szCs w:val="22"/>
          <w:lang w:val="en-GB"/>
        </w:rPr>
        <w:t>(Head, 2009)</w:t>
      </w:r>
      <w:r w:rsidR="00544273" w:rsidRPr="004E053C">
        <w:rPr>
          <w:rFonts w:cstheme="majorHAnsi"/>
          <w:sz w:val="22"/>
          <w:szCs w:val="22"/>
          <w:lang w:val="en-GB"/>
        </w:rPr>
        <w:fldChar w:fldCharType="end"/>
      </w:r>
      <w:r w:rsidRPr="004E053C">
        <w:rPr>
          <w:rFonts w:cstheme="majorHAnsi"/>
          <w:sz w:val="22"/>
          <w:szCs w:val="22"/>
          <w:lang w:val="en-GB"/>
        </w:rPr>
        <w:t xml:space="preserve">. I therefore dropped the idea of diaries, as it was clear that the women were uncomfortable with this aspect of the research and that needed to be respected. </w:t>
      </w:r>
    </w:p>
    <w:p w14:paraId="56CA0A4C" w14:textId="77777777" w:rsidR="0077618A" w:rsidRPr="004E053C" w:rsidRDefault="0077618A" w:rsidP="004E053C">
      <w:pPr>
        <w:spacing w:line="360" w:lineRule="auto"/>
        <w:jc w:val="both"/>
        <w:rPr>
          <w:rFonts w:cstheme="majorHAnsi"/>
          <w:b/>
          <w:color w:val="000000"/>
          <w:sz w:val="22"/>
          <w:szCs w:val="22"/>
          <w:lang w:val="en-GB"/>
        </w:rPr>
      </w:pPr>
    </w:p>
    <w:p w14:paraId="1FF9E1B3" w14:textId="0C97DB8E" w:rsidR="0077618A" w:rsidRPr="004E053C" w:rsidRDefault="00EA7F83" w:rsidP="004E053C">
      <w:pPr>
        <w:pStyle w:val="Heading2"/>
        <w:spacing w:before="0" w:line="360" w:lineRule="auto"/>
        <w:jc w:val="both"/>
        <w:rPr>
          <w:rFonts w:cstheme="majorHAnsi"/>
          <w:color w:val="000000"/>
          <w:lang w:val="en-GB"/>
        </w:rPr>
      </w:pPr>
      <w:bookmarkStart w:id="64" w:name="_Toc424671894"/>
      <w:bookmarkStart w:id="65" w:name="_Toc33293104"/>
      <w:r w:rsidRPr="004E053C">
        <w:rPr>
          <w:rFonts w:cstheme="majorHAnsi"/>
          <w:lang w:val="en-GB"/>
        </w:rPr>
        <w:t>5</w:t>
      </w:r>
      <w:r w:rsidR="004A3EF1" w:rsidRPr="004E053C">
        <w:rPr>
          <w:rFonts w:cstheme="majorHAnsi"/>
          <w:lang w:val="en-GB"/>
        </w:rPr>
        <w:t>.7. Data coding and a</w:t>
      </w:r>
      <w:r w:rsidR="0077618A" w:rsidRPr="004E053C">
        <w:rPr>
          <w:rFonts w:cstheme="majorHAnsi"/>
          <w:lang w:val="en-GB"/>
        </w:rPr>
        <w:t>nalysis</w:t>
      </w:r>
      <w:bookmarkEnd w:id="64"/>
      <w:bookmarkEnd w:id="65"/>
    </w:p>
    <w:p w14:paraId="50544C92" w14:textId="77777777" w:rsidR="0077618A" w:rsidRPr="004E053C" w:rsidRDefault="0077618A" w:rsidP="004E053C">
      <w:pPr>
        <w:spacing w:line="360" w:lineRule="auto"/>
        <w:jc w:val="both"/>
        <w:rPr>
          <w:rFonts w:eastAsiaTheme="minorHAnsi" w:cstheme="majorHAnsi"/>
          <w:sz w:val="22"/>
          <w:szCs w:val="22"/>
          <w:lang w:val="en-GB"/>
        </w:rPr>
      </w:pPr>
    </w:p>
    <w:p w14:paraId="4D0A4DE3" w14:textId="38AC3F76" w:rsidR="0077618A" w:rsidRPr="004E053C" w:rsidRDefault="0077618A" w:rsidP="004E053C">
      <w:pPr>
        <w:spacing w:line="360" w:lineRule="auto"/>
        <w:jc w:val="both"/>
        <w:rPr>
          <w:rFonts w:cstheme="majorHAnsi"/>
          <w:sz w:val="22"/>
          <w:szCs w:val="22"/>
          <w:lang w:val="en-GB"/>
        </w:rPr>
      </w:pPr>
      <w:r w:rsidRPr="004E053C">
        <w:rPr>
          <w:rFonts w:eastAsiaTheme="minorHAnsi" w:cstheme="majorHAnsi"/>
          <w:sz w:val="22"/>
          <w:szCs w:val="22"/>
          <w:lang w:val="en-GB"/>
        </w:rPr>
        <w:t xml:space="preserve">On arrival back in the UK, the transcripts were coded using nVivo and analysed accordingly. </w:t>
      </w:r>
      <w:r w:rsidRPr="004E053C">
        <w:rPr>
          <w:rFonts w:cstheme="majorHAnsi"/>
          <w:bCs/>
          <w:color w:val="000000"/>
          <w:sz w:val="22"/>
          <w:szCs w:val="22"/>
          <w:lang w:val="en-GB"/>
        </w:rPr>
        <w:t xml:space="preserve">Stake </w:t>
      </w:r>
      <w:r w:rsidR="00544273" w:rsidRPr="004E053C">
        <w:rPr>
          <w:rFonts w:cstheme="majorHAnsi"/>
          <w:bCs/>
          <w:color w:val="000000"/>
          <w:sz w:val="22"/>
          <w:szCs w:val="22"/>
          <w:lang w:val="en-GB"/>
        </w:rPr>
        <w:fldChar w:fldCharType="begin" w:fldLock="1"/>
      </w:r>
      <w:r w:rsidR="00544273" w:rsidRPr="004E053C">
        <w:rPr>
          <w:rFonts w:cstheme="majorHAnsi"/>
          <w:bCs/>
          <w:color w:val="000000"/>
          <w:sz w:val="22"/>
          <w:szCs w:val="22"/>
          <w:lang w:val="en-GB"/>
        </w:rPr>
        <w:instrText>ADDIN CSL_CITATION {"citationItems":[{"id":"ITEM-1","itemData":{"author":[{"dropping-particle":"","family":"Stake","given":"R.E.","non-dropping-particle":"","parse-names":false,"suffix":""}],"container-title":"The Sage Handbook of Qualitative Research","edition":"3rd","editor":[{"dropping-particle":"","family":"Denzin","given":"N.K","non-dropping-particle":"","parse-names":false,"suffix":""},{"dropping-particle":"","family":"Lincoln","given":"Y.S","non-dropping-particle":"","parse-names":false,"suffix":""}],"id":"ITEM-1","issued":{"date-parts":[["2005"]]},"page":"443-466","publisher":"Sage Publications Ltd","publisher-place":"London, UK","title":"Qualitative Case Studies","type":"chapter"},"uris":["http://www.mendeley.com/documents/?uuid=6bf5a596-359d-42a9-8af0-963920701eb8"]}],"mendeley":{"formattedCitation":"(Stake, 2005)","manualFormatting":"(2005)","plainTextFormattedCitation":"(Stake, 2005)","previouslyFormattedCitation":"(Stake, 2005)"},"properties":{"noteIndex":0},"schema":"https://github.com/citation-style-language/schema/raw/master/csl-citation.json"}</w:instrText>
      </w:r>
      <w:r w:rsidR="00544273" w:rsidRPr="004E053C">
        <w:rPr>
          <w:rFonts w:cstheme="majorHAnsi"/>
          <w:bCs/>
          <w:color w:val="000000"/>
          <w:sz w:val="22"/>
          <w:szCs w:val="22"/>
          <w:lang w:val="en-GB"/>
        </w:rPr>
        <w:fldChar w:fldCharType="separate"/>
      </w:r>
      <w:r w:rsidR="00544273" w:rsidRPr="004E053C">
        <w:rPr>
          <w:rFonts w:cstheme="majorHAnsi"/>
          <w:bCs/>
          <w:noProof/>
          <w:color w:val="000000"/>
          <w:sz w:val="22"/>
          <w:szCs w:val="22"/>
          <w:lang w:val="en-GB"/>
        </w:rPr>
        <w:t>(2005)</w:t>
      </w:r>
      <w:r w:rsidR="00544273" w:rsidRPr="004E053C">
        <w:rPr>
          <w:rFonts w:cstheme="majorHAnsi"/>
          <w:bCs/>
          <w:color w:val="000000"/>
          <w:sz w:val="22"/>
          <w:szCs w:val="22"/>
          <w:lang w:val="en-GB"/>
        </w:rPr>
        <w:fldChar w:fldCharType="end"/>
      </w:r>
      <w:r w:rsidRPr="004E053C">
        <w:rPr>
          <w:rFonts w:cstheme="majorHAnsi"/>
          <w:bCs/>
          <w:color w:val="000000"/>
          <w:sz w:val="22"/>
          <w:szCs w:val="22"/>
          <w:lang w:val="en-GB"/>
        </w:rPr>
        <w:t xml:space="preserve"> argues that qualitative data is continuously interpreted, first against one issue, perspective or utility, and then against others. </w:t>
      </w:r>
      <w:r w:rsidRPr="004E053C">
        <w:rPr>
          <w:rFonts w:cstheme="majorHAnsi"/>
          <w:bCs/>
          <w:sz w:val="22"/>
          <w:szCs w:val="22"/>
          <w:lang w:val="en-GB"/>
        </w:rPr>
        <w:t xml:space="preserve">Yin </w:t>
      </w:r>
      <w:r w:rsidR="00544273" w:rsidRPr="004E053C">
        <w:rPr>
          <w:rFonts w:cstheme="majorHAnsi"/>
          <w:bCs/>
          <w:sz w:val="22"/>
          <w:szCs w:val="22"/>
          <w:lang w:val="en-GB"/>
        </w:rPr>
        <w:fldChar w:fldCharType="begin" w:fldLock="1"/>
      </w:r>
      <w:r w:rsidR="00417A90" w:rsidRPr="004E053C">
        <w:rPr>
          <w:rFonts w:cstheme="majorHAnsi"/>
          <w:bCs/>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Methods","type":"book"},"uris":["http://www.mendeley.com/documents/?uuid=986168dc-8e04-4844-b006-fa8bdfa744d3"]}],"mendeley":{"formattedCitation":"(Yin, 2009)","manualFormatting":"(2009)","plainTextFormattedCitation":"(Yin, 2009)","previouslyFormattedCitation":"(Yin, 2009)"},"properties":{"noteIndex":0},"schema":"https://github.com/citation-style-language/schema/raw/master/csl-citation.json"}</w:instrText>
      </w:r>
      <w:r w:rsidR="00544273" w:rsidRPr="004E053C">
        <w:rPr>
          <w:rFonts w:cstheme="majorHAnsi"/>
          <w:bCs/>
          <w:sz w:val="22"/>
          <w:szCs w:val="22"/>
          <w:lang w:val="en-GB"/>
        </w:rPr>
        <w:fldChar w:fldCharType="separate"/>
      </w:r>
      <w:r w:rsidR="00544273" w:rsidRPr="004E053C">
        <w:rPr>
          <w:rFonts w:cstheme="majorHAnsi"/>
          <w:bCs/>
          <w:noProof/>
          <w:sz w:val="22"/>
          <w:szCs w:val="22"/>
          <w:lang w:val="en-GB"/>
        </w:rPr>
        <w:t>(2009)</w:t>
      </w:r>
      <w:r w:rsidR="00544273" w:rsidRPr="004E053C">
        <w:rPr>
          <w:rFonts w:cstheme="majorHAnsi"/>
          <w:bCs/>
          <w:sz w:val="22"/>
          <w:szCs w:val="22"/>
          <w:lang w:val="en-GB"/>
        </w:rPr>
        <w:fldChar w:fldCharType="end"/>
      </w:r>
      <w:r w:rsidRPr="004E053C">
        <w:rPr>
          <w:rFonts w:cstheme="majorHAnsi"/>
          <w:bCs/>
          <w:color w:val="000000"/>
          <w:sz w:val="22"/>
          <w:szCs w:val="22"/>
          <w:lang w:val="en-GB"/>
        </w:rPr>
        <w:t xml:space="preserve"> explains that for this reason, case studies benefit from </w:t>
      </w:r>
      <w:r w:rsidRPr="004E053C">
        <w:rPr>
          <w:rFonts w:cstheme="majorHAnsi"/>
          <w:bCs/>
          <w:color w:val="000000"/>
          <w:sz w:val="22"/>
          <w:szCs w:val="22"/>
          <w:lang w:val="en-GB"/>
        </w:rPr>
        <w:lastRenderedPageBreak/>
        <w:t>prior development of a theoretical position to guide data collection and analysis. While this is true, through the course of my fieldwork</w:t>
      </w:r>
      <w:r w:rsidRPr="004E053C">
        <w:rPr>
          <w:rFonts w:cstheme="majorHAnsi"/>
          <w:color w:val="000000"/>
          <w:sz w:val="22"/>
          <w:szCs w:val="22"/>
          <w:lang w:val="en-GB"/>
        </w:rPr>
        <w:t>, I became aware of the importance of theory that I had not initially considered. On some occasions, this led to me re-coding the data, although I believe that this process was an important for my engagement with it. During analysis, I used t</w:t>
      </w:r>
      <w:r w:rsidRPr="004E053C">
        <w:rPr>
          <w:rFonts w:cstheme="majorHAnsi"/>
          <w:sz w:val="22"/>
          <w:szCs w:val="22"/>
          <w:lang w:val="en-GB"/>
        </w:rPr>
        <w:t>hematic analysis to identify themes from within the transcripts. In order to prevent overly deductive coding, the codes used for the analysis were not identified until reading through the transcripts. This was to prevent me cherry picking certain aspects from the data that reflected prior assumptions. I started with broad categories of ‘migration processes’, ‘community’, ‘household’, ‘environment’ and ‘conflict’, because these had been the key areas of discussion during interview, and then built up nodes from there. This inductive approach to analysis was suc</w:t>
      </w:r>
      <w:r w:rsidR="004A3001" w:rsidRPr="004E053C">
        <w:rPr>
          <w:rFonts w:cstheme="majorHAnsi"/>
          <w:sz w:val="22"/>
          <w:szCs w:val="22"/>
          <w:lang w:val="en-GB"/>
        </w:rPr>
        <w:t xml:space="preserve">cessful because I did find </w:t>
      </w:r>
      <w:r w:rsidRPr="004E053C">
        <w:rPr>
          <w:rFonts w:cstheme="majorHAnsi"/>
          <w:sz w:val="22"/>
          <w:szCs w:val="22"/>
          <w:lang w:val="en-GB"/>
        </w:rPr>
        <w:t xml:space="preserve">surprises in the data, with some unexpected points mentioned numerous times by very different actors. </w:t>
      </w:r>
    </w:p>
    <w:p w14:paraId="086E596C" w14:textId="77777777" w:rsidR="00843DED" w:rsidRPr="004E053C" w:rsidRDefault="00843DED" w:rsidP="004E053C">
      <w:pPr>
        <w:spacing w:line="360" w:lineRule="auto"/>
        <w:jc w:val="both"/>
        <w:rPr>
          <w:rFonts w:cstheme="majorHAnsi"/>
          <w:sz w:val="22"/>
          <w:szCs w:val="22"/>
          <w:lang w:val="en-GB"/>
        </w:rPr>
      </w:pPr>
    </w:p>
    <w:p w14:paraId="1F5AD6EE" w14:textId="5967CFB9" w:rsidR="0077618A" w:rsidRPr="004E053C" w:rsidRDefault="0077618A" w:rsidP="004E053C">
      <w:pPr>
        <w:pStyle w:val="NormalWeb"/>
        <w:spacing w:before="0" w:beforeAutospacing="0" w:after="0" w:afterAutospacing="0" w:line="360" w:lineRule="auto"/>
        <w:jc w:val="both"/>
        <w:rPr>
          <w:rFonts w:asciiTheme="minorHAnsi" w:hAnsiTheme="minorHAnsi" w:cstheme="majorHAnsi"/>
          <w:bCs/>
          <w:color w:val="000000"/>
          <w:sz w:val="22"/>
          <w:szCs w:val="22"/>
        </w:rPr>
      </w:pPr>
      <w:r w:rsidRPr="004E053C">
        <w:rPr>
          <w:rFonts w:asciiTheme="minorHAnsi" w:hAnsiTheme="minorHAnsi" w:cstheme="majorHAnsi"/>
          <w:sz w:val="22"/>
          <w:szCs w:val="22"/>
        </w:rPr>
        <w:t xml:space="preserve">Mason </w:t>
      </w:r>
      <w:r w:rsidR="00417A90" w:rsidRPr="004E053C">
        <w:rPr>
          <w:rFonts w:asciiTheme="minorHAnsi" w:hAnsiTheme="minorHAnsi" w:cstheme="majorHAnsi"/>
          <w:sz w:val="22"/>
          <w:szCs w:val="22"/>
        </w:rPr>
        <w:fldChar w:fldCharType="begin" w:fldLock="1"/>
      </w:r>
      <w:r w:rsidR="00417A90" w:rsidRPr="004E053C">
        <w:rPr>
          <w:rFonts w:asciiTheme="minorHAnsi" w:hAnsiTheme="minorHAnsi" w:cstheme="majorHAnsi"/>
          <w:sz w:val="22"/>
          <w:szCs w:val="22"/>
        </w:rPr>
        <w:instrText>ADDIN CSL_CITATION {"citationItems":[{"id":"ITEM-1","itemData":{"author":[{"dropping-particle":"","family":"Mason","given":"Jennifer","non-dropping-particle":"","parse-names":false,"suffix":""}],"id":"ITEM-1","issued":{"date-parts":[["2002"]]},"publisher":"Sage Publications Ltd","publisher-place":"London, UK","title":"Qualitative Researching","type":"book"},"uris":["http://www.mendeley.com/documents/?uuid=c5af782a-cf51-4780-902c-0c2fdb471010"]}],"mendeley":{"formattedCitation":"(Mason, 2002)","manualFormatting":"(2002)","plainTextFormattedCitation":"(Mason, 2002)","previouslyFormattedCitation":"(Mason, 2002)"},"properties":{"noteIndex":0},"schema":"https://github.com/citation-style-language/schema/raw/master/csl-citation.json"}</w:instrText>
      </w:r>
      <w:r w:rsidR="00417A90" w:rsidRPr="004E053C">
        <w:rPr>
          <w:rFonts w:asciiTheme="minorHAnsi" w:hAnsiTheme="minorHAnsi" w:cstheme="majorHAnsi"/>
          <w:sz w:val="22"/>
          <w:szCs w:val="22"/>
        </w:rPr>
        <w:fldChar w:fldCharType="separate"/>
      </w:r>
      <w:r w:rsidR="00417A90" w:rsidRPr="004E053C">
        <w:rPr>
          <w:rFonts w:asciiTheme="minorHAnsi" w:hAnsiTheme="minorHAnsi" w:cstheme="majorHAnsi"/>
          <w:noProof/>
          <w:sz w:val="22"/>
          <w:szCs w:val="22"/>
        </w:rPr>
        <w:t>(2002)</w:t>
      </w:r>
      <w:r w:rsidR="00417A90"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explains that a major challenge for interpretivist approaches is the risk of misrepresenting the research participants' perspectives and it is important to be mindful of that. Systematic coding should help avoid this as it builds an interpretation through a series of stages, avoiding the temptation of jumping to premature conclusions </w:t>
      </w:r>
      <w:r w:rsidR="00417A90" w:rsidRPr="004E053C">
        <w:rPr>
          <w:rFonts w:asciiTheme="minorHAnsi" w:hAnsiTheme="minorHAnsi" w:cstheme="majorHAnsi"/>
          <w:sz w:val="22"/>
          <w:szCs w:val="22"/>
        </w:rPr>
        <w:fldChar w:fldCharType="begin" w:fldLock="1"/>
      </w:r>
      <w:r w:rsidR="00417A90" w:rsidRPr="004E053C">
        <w:rPr>
          <w:rFonts w:asciiTheme="minorHAnsi" w:hAnsiTheme="minorHAnsi" w:cstheme="majorHAnsi"/>
          <w:sz w:val="22"/>
          <w:szCs w:val="22"/>
        </w:rPr>
        <w:instrText>ADDIN CSL_CITATION {"citationItems":[{"id":"ITEM-1","itemData":{"author":[{"dropping-particle":"","family":"Jackson","given":"P","non-dropping-particle":"","parse-names":false,"suffix":""}],"container-title":"Qualitative methodologies for geographers: issues and debates","editor":[{"dropping-particle":"","family":"Limb","given":"Melanie","non-dropping-particle":"","parse-names":false,"suffix":""},{"dropping-particle":"","family":"Dwyer","given":"Claire","non-dropping-particle":"","parse-names":false,"suffix":""}],"id":"ITEM-1","issued":{"date-parts":[["2001"]]},"publisher":"Arnold","publisher-place":"London, UK","title":"Making sense of qualitative data","type":"chapter"},"uris":["http://www.mendeley.com/documents/?uuid=14fd1a3e-5960-4527-ba6d-09cad2a5e397"]}],"mendeley":{"formattedCitation":"(Jackson, 2001)","plainTextFormattedCitation":"(Jackson, 2001)","previouslyFormattedCitation":"(Jackson, 2001)"},"properties":{"noteIndex":0},"schema":"https://github.com/citation-style-language/schema/raw/master/csl-citation.json"}</w:instrText>
      </w:r>
      <w:r w:rsidR="00417A90" w:rsidRPr="004E053C">
        <w:rPr>
          <w:rFonts w:asciiTheme="minorHAnsi" w:hAnsiTheme="minorHAnsi" w:cstheme="majorHAnsi"/>
          <w:sz w:val="22"/>
          <w:szCs w:val="22"/>
        </w:rPr>
        <w:fldChar w:fldCharType="separate"/>
      </w:r>
      <w:r w:rsidR="00417A90" w:rsidRPr="004E053C">
        <w:rPr>
          <w:rFonts w:asciiTheme="minorHAnsi" w:hAnsiTheme="minorHAnsi" w:cstheme="majorHAnsi"/>
          <w:noProof/>
          <w:sz w:val="22"/>
          <w:szCs w:val="22"/>
        </w:rPr>
        <w:t>(Jackson, 2001)</w:t>
      </w:r>
      <w:r w:rsidR="00417A90"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w:t>
      </w:r>
      <w:r w:rsidRPr="004E053C">
        <w:rPr>
          <w:rFonts w:asciiTheme="minorHAnsi" w:hAnsiTheme="minorHAnsi" w:cstheme="majorHAnsi"/>
          <w:bCs/>
          <w:color w:val="000000"/>
          <w:sz w:val="22"/>
          <w:szCs w:val="22"/>
        </w:rPr>
        <w:t xml:space="preserve">As Denscombe </w:t>
      </w:r>
      <w:r w:rsidR="00417A90" w:rsidRPr="004E053C">
        <w:rPr>
          <w:rFonts w:asciiTheme="minorHAnsi" w:hAnsiTheme="minorHAnsi" w:cstheme="majorHAnsi"/>
          <w:bCs/>
          <w:color w:val="000000"/>
          <w:sz w:val="22"/>
          <w:szCs w:val="22"/>
        </w:rPr>
        <w:fldChar w:fldCharType="begin" w:fldLock="1"/>
      </w:r>
      <w:r w:rsidR="00417A90" w:rsidRPr="004E053C">
        <w:rPr>
          <w:rFonts w:asciiTheme="minorHAnsi" w:hAnsiTheme="minorHAnsi" w:cstheme="majorHAnsi"/>
          <w:bCs/>
          <w:color w:val="000000"/>
          <w:sz w:val="22"/>
          <w:szCs w:val="22"/>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2014)","manualFormatting":"(2014)","plainTextFormattedCitation":"(Denscombe, 2014)","previouslyFormattedCitation":"(Denscombe, 2014)"},"properties":{"noteIndex":0},"schema":"https://github.com/citation-style-language/schema/raw/master/csl-citation.json"}</w:instrText>
      </w:r>
      <w:r w:rsidR="00417A90" w:rsidRPr="004E053C">
        <w:rPr>
          <w:rFonts w:asciiTheme="minorHAnsi" w:hAnsiTheme="minorHAnsi" w:cstheme="majorHAnsi"/>
          <w:bCs/>
          <w:color w:val="000000"/>
          <w:sz w:val="22"/>
          <w:szCs w:val="22"/>
        </w:rPr>
        <w:fldChar w:fldCharType="separate"/>
      </w:r>
      <w:r w:rsidR="00417A90" w:rsidRPr="004E053C">
        <w:rPr>
          <w:rFonts w:asciiTheme="minorHAnsi" w:hAnsiTheme="minorHAnsi" w:cstheme="majorHAnsi"/>
          <w:bCs/>
          <w:noProof/>
          <w:color w:val="000000"/>
          <w:sz w:val="22"/>
          <w:szCs w:val="22"/>
        </w:rPr>
        <w:t>(2014)</w:t>
      </w:r>
      <w:r w:rsidR="00417A90" w:rsidRPr="004E053C">
        <w:rPr>
          <w:rFonts w:asciiTheme="minorHAnsi" w:hAnsiTheme="minorHAnsi" w:cstheme="majorHAnsi"/>
          <w:bCs/>
          <w:color w:val="000000"/>
          <w:sz w:val="22"/>
          <w:szCs w:val="22"/>
        </w:rPr>
        <w:fldChar w:fldCharType="end"/>
      </w:r>
      <w:r w:rsidRPr="004E053C">
        <w:rPr>
          <w:rFonts w:asciiTheme="minorHAnsi" w:hAnsiTheme="minorHAnsi" w:cstheme="majorHAnsi"/>
          <w:bCs/>
          <w:color w:val="000000"/>
          <w:sz w:val="22"/>
          <w:szCs w:val="22"/>
        </w:rPr>
        <w:t xml:space="preserve"> notes, it is important not to take everything a respondent says at face value and to always question its validity. This is best done through triangulation and identifying emerging themes across transcr</w:t>
      </w:r>
      <w:r w:rsidR="001705C6" w:rsidRPr="004E053C">
        <w:rPr>
          <w:rFonts w:asciiTheme="minorHAnsi" w:hAnsiTheme="minorHAnsi" w:cstheme="majorHAnsi"/>
          <w:bCs/>
          <w:color w:val="000000"/>
          <w:sz w:val="22"/>
          <w:szCs w:val="22"/>
        </w:rPr>
        <w:t>ipts, but in some cases it may</w:t>
      </w:r>
      <w:r w:rsidRPr="004E053C">
        <w:rPr>
          <w:rFonts w:asciiTheme="minorHAnsi" w:hAnsiTheme="minorHAnsi" w:cstheme="majorHAnsi"/>
          <w:bCs/>
          <w:color w:val="000000"/>
          <w:sz w:val="22"/>
          <w:szCs w:val="22"/>
        </w:rPr>
        <w:t xml:space="preserve"> also be possible to go back over the transcript with the respondents. I took a critical approach to analysing the information provided to me by participants, particular in their account of the on-going political interactions with the Government, realising that because the situation is highly political people have extreme views. </w:t>
      </w:r>
    </w:p>
    <w:p w14:paraId="0C692A87"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bCs/>
          <w:color w:val="000000"/>
          <w:sz w:val="22"/>
          <w:szCs w:val="22"/>
        </w:rPr>
      </w:pPr>
    </w:p>
    <w:p w14:paraId="7AF43DA7" w14:textId="3468E5F9" w:rsidR="0077618A" w:rsidRPr="004E053C" w:rsidRDefault="00EA7F83" w:rsidP="004E053C">
      <w:pPr>
        <w:pStyle w:val="Heading2"/>
        <w:spacing w:before="0" w:line="360" w:lineRule="auto"/>
        <w:jc w:val="both"/>
        <w:rPr>
          <w:rFonts w:cstheme="majorHAnsi"/>
          <w:lang w:val="en-GB"/>
        </w:rPr>
      </w:pPr>
      <w:bookmarkStart w:id="66" w:name="_Toc424671895"/>
      <w:bookmarkStart w:id="67" w:name="_Toc33293105"/>
      <w:r w:rsidRPr="004E053C">
        <w:rPr>
          <w:rFonts w:cstheme="majorHAnsi"/>
          <w:lang w:val="en-GB"/>
        </w:rPr>
        <w:t>5</w:t>
      </w:r>
      <w:r w:rsidR="0077618A" w:rsidRPr="004E053C">
        <w:rPr>
          <w:rFonts w:cstheme="majorHAnsi"/>
          <w:lang w:val="en-GB"/>
        </w:rPr>
        <w:t>.</w:t>
      </w:r>
      <w:r w:rsidR="004A3EF1" w:rsidRPr="004E053C">
        <w:rPr>
          <w:rFonts w:cstheme="majorHAnsi"/>
          <w:lang w:val="en-GB"/>
        </w:rPr>
        <w:t>8. Field work i</w:t>
      </w:r>
      <w:r w:rsidR="0077618A" w:rsidRPr="004E053C">
        <w:rPr>
          <w:rFonts w:cstheme="majorHAnsi"/>
          <w:lang w:val="en-GB"/>
        </w:rPr>
        <w:t>ssues</w:t>
      </w:r>
      <w:bookmarkEnd w:id="66"/>
      <w:bookmarkEnd w:id="67"/>
    </w:p>
    <w:p w14:paraId="06EE1DAB" w14:textId="77777777" w:rsidR="0077618A" w:rsidRPr="004E053C" w:rsidRDefault="0077618A" w:rsidP="004E053C">
      <w:pPr>
        <w:spacing w:line="360" w:lineRule="auto"/>
        <w:jc w:val="both"/>
        <w:rPr>
          <w:rFonts w:cstheme="majorHAnsi"/>
          <w:lang w:val="en-GB"/>
        </w:rPr>
      </w:pPr>
    </w:p>
    <w:p w14:paraId="77F4CF1B" w14:textId="4F6757E2" w:rsidR="0077618A" w:rsidRPr="004E053C" w:rsidRDefault="0077618A" w:rsidP="004E053C">
      <w:pPr>
        <w:spacing w:line="360" w:lineRule="auto"/>
        <w:jc w:val="both"/>
        <w:rPr>
          <w:rFonts w:cstheme="majorHAnsi"/>
          <w:sz w:val="22"/>
          <w:szCs w:val="22"/>
          <w:lang w:val="en-GB"/>
        </w:rPr>
      </w:pPr>
      <w:r w:rsidRPr="004E053C">
        <w:rPr>
          <w:rFonts w:eastAsiaTheme="minorHAnsi" w:cstheme="majorHAnsi"/>
          <w:sz w:val="22"/>
          <w:szCs w:val="22"/>
          <w:lang w:val="en-GB"/>
        </w:rPr>
        <w:t xml:space="preserve">Fontana and Frey </w:t>
      </w:r>
      <w:r w:rsidR="00417A90" w:rsidRPr="004E053C">
        <w:rPr>
          <w:rFonts w:eastAsiaTheme="minorHAnsi" w:cstheme="majorHAnsi"/>
          <w:sz w:val="22"/>
          <w:szCs w:val="22"/>
          <w:lang w:val="en-GB"/>
        </w:rPr>
        <w:fldChar w:fldCharType="begin" w:fldLock="1"/>
      </w:r>
      <w:r w:rsidR="007A757C" w:rsidRPr="004E053C">
        <w:rPr>
          <w:rFonts w:eastAsiaTheme="minorHAnsi" w:cstheme="majorHAnsi"/>
          <w:sz w:val="22"/>
          <w:szCs w:val="22"/>
          <w:lang w:val="en-GB"/>
        </w:rPr>
        <w:instrText>ADDIN CSL_CITATION {"citationItems":[{"id":"ITEM-1","itemData":{"author":[{"dropping-particle":"","family":"Fontana","given":"Andrea","non-dropping-particle":"","parse-names":false,"suffix":""},{"dropping-particle":"","family":"Frey","given":"James","non-dropping-particle":"","parse-names":false,"suffix":""}],"chapter-number":"27","container-title":"The Sage Handbook of Qualitative Research","edition":"3rd","editor":[{"dropping-particle":"","family":"Denzin","given":"N.K.","non-dropping-particle":"","parse-names":false,"suffix":""},{"dropping-particle":"","family":"Lincoln","given":"Y.S.","non-dropping-particle":"","parse-names":false,"suffix":""}],"id":"ITEM-1","issued":{"date-parts":[["2005"]]},"page":"695-728","publisher":"Sage Publications Ltd","publisher-place":"London, UK","title":"The interview: from neutral stance to political involvement","type":"chapter"},"uris":["http://www.mendeley.com/documents/?uuid=7f690da8-7937-4e23-b467-6faa3f7429d0"]}],"mendeley":{"formattedCitation":"(Fontana &amp; Frey, 2005)","manualFormatting":"(2005)","plainTextFormattedCitation":"(Fontana &amp; Frey, 2005)","previouslyFormattedCitation":"(Fontana &amp; Frey, 2005)"},"properties":{"noteIndex":0},"schema":"https://github.com/citation-style-language/schema/raw/master/csl-citation.json"}</w:instrText>
      </w:r>
      <w:r w:rsidR="00417A90" w:rsidRPr="004E053C">
        <w:rPr>
          <w:rFonts w:eastAsiaTheme="minorHAnsi" w:cstheme="majorHAnsi"/>
          <w:sz w:val="22"/>
          <w:szCs w:val="22"/>
          <w:lang w:val="en-GB"/>
        </w:rPr>
        <w:fldChar w:fldCharType="separate"/>
      </w:r>
      <w:r w:rsidR="00417A90" w:rsidRPr="004E053C">
        <w:rPr>
          <w:rFonts w:eastAsiaTheme="minorHAnsi" w:cstheme="majorHAnsi"/>
          <w:noProof/>
          <w:sz w:val="22"/>
          <w:szCs w:val="22"/>
          <w:lang w:val="en-GB"/>
        </w:rPr>
        <w:t>(2005)</w:t>
      </w:r>
      <w:r w:rsidR="00417A90"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discuss how interviews are a collaborative process, resulting in a contextually bound and mutually agreed story. However, it is also important to unders</w:t>
      </w:r>
      <w:r w:rsidR="00417A90" w:rsidRPr="004E053C">
        <w:rPr>
          <w:rFonts w:eastAsiaTheme="minorHAnsi" w:cstheme="majorHAnsi"/>
          <w:sz w:val="22"/>
          <w:szCs w:val="22"/>
          <w:lang w:val="en-GB"/>
        </w:rPr>
        <w:t>tand that interviewing is also ‘</w:t>
      </w:r>
      <w:r w:rsidRPr="004E053C">
        <w:rPr>
          <w:rFonts w:eastAsiaTheme="minorHAnsi" w:cstheme="majorHAnsi"/>
          <w:sz w:val="22"/>
          <w:szCs w:val="22"/>
          <w:lang w:val="en-GB"/>
        </w:rPr>
        <w:t>inextricably and unavoidably historically, pol</w:t>
      </w:r>
      <w:r w:rsidR="00417A90" w:rsidRPr="004E053C">
        <w:rPr>
          <w:rFonts w:eastAsiaTheme="minorHAnsi" w:cstheme="majorHAnsi"/>
          <w:sz w:val="22"/>
          <w:szCs w:val="22"/>
          <w:lang w:val="en-GB"/>
        </w:rPr>
        <w:t>itically and contextually bound’</w:t>
      </w:r>
      <w:r w:rsidRPr="004E053C">
        <w:rPr>
          <w:rFonts w:eastAsiaTheme="minorHAnsi" w:cstheme="majorHAnsi"/>
          <w:sz w:val="22"/>
          <w:szCs w:val="22"/>
          <w:lang w:val="en-GB"/>
        </w:rPr>
        <w:t xml:space="preserve"> </w:t>
      </w:r>
      <w:r w:rsidR="00417A90" w:rsidRPr="004E053C">
        <w:rPr>
          <w:rFonts w:eastAsiaTheme="minorHAnsi" w:cstheme="majorHAnsi"/>
          <w:sz w:val="22"/>
          <w:szCs w:val="22"/>
          <w:lang w:val="en-GB"/>
        </w:rPr>
        <w:fldChar w:fldCharType="begin" w:fldLock="1"/>
      </w:r>
      <w:r w:rsidR="007A757C" w:rsidRPr="004E053C">
        <w:rPr>
          <w:rFonts w:eastAsiaTheme="minorHAnsi" w:cstheme="majorHAnsi"/>
          <w:sz w:val="22"/>
          <w:szCs w:val="22"/>
          <w:lang w:val="en-GB"/>
        </w:rPr>
        <w:instrText>ADDIN CSL_CITATION {"citationItems":[{"id":"ITEM-1","itemData":{"author":[{"dropping-particle":"","family":"Fontana","given":"Andrea","non-dropping-particle":"","parse-names":false,"suffix":""},{"dropping-particle":"","family":"Frey","given":"James","non-dropping-particle":"","parse-names":false,"suffix":""}],"chapter-number":"27","container-title":"The Sage Handbook of Qualitative Research","edition":"3rd","editor":[{"dropping-particle":"","family":"Denzin","given":"N.K.","non-dropping-particle":"","parse-names":false,"suffix":""},{"dropping-particle":"","family":"Lincoln","given":"Y.S.","non-dropping-particle":"","parse-names":false,"suffix":""}],"id":"ITEM-1","issued":{"date-parts":[["2005"]]},"page":"695-728","publisher":"Sage Publications Ltd","publisher-place":"London, UK","title":"The interview: from neutral stance to political involvement","type":"chapter"},"uris":["http://www.mendeley.com/documents/?uuid=7f690da8-7937-4e23-b467-6faa3f7429d0"]}],"mendeley":{"formattedCitation":"(Fontana &amp; Frey, 2005)","manualFormatting":"(Ibid., p.695)","plainTextFormattedCitation":"(Fontana &amp; Frey, 2005)","previouslyFormattedCitation":"(Fontana &amp; Frey, 2005)"},"properties":{"noteIndex":0},"schema":"https://github.com/citation-style-language/schema/raw/master/csl-citation.json"}</w:instrText>
      </w:r>
      <w:r w:rsidR="00417A90" w:rsidRPr="004E053C">
        <w:rPr>
          <w:rFonts w:eastAsiaTheme="minorHAnsi" w:cstheme="majorHAnsi"/>
          <w:sz w:val="22"/>
          <w:szCs w:val="22"/>
          <w:lang w:val="en-GB"/>
        </w:rPr>
        <w:fldChar w:fldCharType="separate"/>
      </w:r>
      <w:r w:rsidR="007F1856" w:rsidRPr="004E053C">
        <w:rPr>
          <w:rFonts w:eastAsiaTheme="minorHAnsi" w:cstheme="majorHAnsi"/>
          <w:noProof/>
          <w:sz w:val="22"/>
          <w:szCs w:val="22"/>
          <w:lang w:val="en-GB"/>
        </w:rPr>
        <w:t>(Ibid</w:t>
      </w:r>
      <w:r w:rsidR="00EC4FAE" w:rsidRPr="004E053C">
        <w:rPr>
          <w:rFonts w:eastAsiaTheme="minorHAnsi" w:cstheme="majorHAnsi"/>
          <w:noProof/>
          <w:sz w:val="22"/>
          <w:szCs w:val="22"/>
          <w:lang w:val="en-GB"/>
        </w:rPr>
        <w:t>.</w:t>
      </w:r>
      <w:r w:rsidR="007F1856" w:rsidRPr="004E053C">
        <w:rPr>
          <w:rFonts w:eastAsiaTheme="minorHAnsi" w:cstheme="majorHAnsi"/>
          <w:noProof/>
          <w:sz w:val="22"/>
          <w:szCs w:val="22"/>
          <w:lang w:val="en-GB"/>
        </w:rPr>
        <w:t>, p.695</w:t>
      </w:r>
      <w:r w:rsidR="00417A90" w:rsidRPr="004E053C">
        <w:rPr>
          <w:rFonts w:eastAsiaTheme="minorHAnsi" w:cstheme="majorHAnsi"/>
          <w:noProof/>
          <w:sz w:val="22"/>
          <w:szCs w:val="22"/>
          <w:lang w:val="en-GB"/>
        </w:rPr>
        <w:t>)</w:t>
      </w:r>
      <w:r w:rsidR="00417A90" w:rsidRPr="004E053C">
        <w:rPr>
          <w:rFonts w:eastAsiaTheme="minorHAnsi" w:cstheme="majorHAnsi"/>
          <w:sz w:val="22"/>
          <w:szCs w:val="22"/>
          <w:lang w:val="en-GB"/>
        </w:rPr>
        <w:fldChar w:fldCharType="end"/>
      </w:r>
      <w:r w:rsidRPr="004E053C">
        <w:rPr>
          <w:rFonts w:eastAsiaTheme="minorHAnsi" w:cstheme="majorHAnsi"/>
          <w:sz w:val="22"/>
          <w:szCs w:val="22"/>
          <w:lang w:val="en-GB"/>
        </w:rPr>
        <w:t xml:space="preserve">. Thus, the story that is arrived at through collaboration between researcher and respondent ultimately hinges on their relationship and the interpretations of each other. </w:t>
      </w:r>
      <w:r w:rsidRPr="004E053C">
        <w:rPr>
          <w:rFonts w:cstheme="majorHAnsi"/>
          <w:sz w:val="22"/>
          <w:szCs w:val="22"/>
          <w:lang w:val="en-GB"/>
        </w:rPr>
        <w:t xml:space="preserve">Yin </w:t>
      </w:r>
      <w:r w:rsidR="00417A90" w:rsidRPr="004E053C">
        <w:rPr>
          <w:rFonts w:cstheme="majorHAnsi"/>
          <w:sz w:val="22"/>
          <w:szCs w:val="22"/>
          <w:lang w:val="en-GB"/>
        </w:rPr>
        <w:fldChar w:fldCharType="begin" w:fldLock="1"/>
      </w:r>
      <w:r w:rsidR="001705C6" w:rsidRPr="004E053C">
        <w:rPr>
          <w:rFonts w:cstheme="majorHAnsi"/>
          <w:sz w:val="22"/>
          <w:szCs w:val="22"/>
          <w:lang w:val="en-GB"/>
        </w:rPr>
        <w:instrText>ADDIN CSL_CITATION {"citationItems":[{"id":"ITEM-1","itemData":{"author":[{"dropping-particle":"","family":"Yin","given":"Robert","non-dropping-particle":"","parse-names":false,"suffix":""}],"edition":"4th","id":"ITEM-1","issued":{"date-parts":[["2009"]]},"publisher":"Sage Publications Ltd","publisher-place":"London, UK","title":"Case Study Research: Design and Methods","type":"book"},"uris":["http://www.mendeley.com/documents/?uuid=986168dc-8e04-4844-b006-fa8bdfa744d3"]}],"mendeley":{"formattedCitation":"(Yin, 2009)","manualFormatting":"(2009)","plainTextFormattedCitation":"(Yin, 2009)","previouslyFormattedCitation":"(Yin, 2009)"},"properties":{"noteIndex":0},"schema":"https://github.com/citation-style-language/schema/raw/master/csl-citation.json"}</w:instrText>
      </w:r>
      <w:r w:rsidR="00417A90" w:rsidRPr="004E053C">
        <w:rPr>
          <w:rFonts w:cstheme="majorHAnsi"/>
          <w:sz w:val="22"/>
          <w:szCs w:val="22"/>
          <w:lang w:val="en-GB"/>
        </w:rPr>
        <w:fldChar w:fldCharType="separate"/>
      </w:r>
      <w:r w:rsidR="00417A90" w:rsidRPr="004E053C">
        <w:rPr>
          <w:rFonts w:cstheme="majorHAnsi"/>
          <w:noProof/>
          <w:sz w:val="22"/>
          <w:szCs w:val="22"/>
          <w:lang w:val="en-GB"/>
        </w:rPr>
        <w:t>(2009)</w:t>
      </w:r>
      <w:r w:rsidR="00417A90" w:rsidRPr="004E053C">
        <w:rPr>
          <w:rFonts w:cstheme="majorHAnsi"/>
          <w:sz w:val="22"/>
          <w:szCs w:val="22"/>
          <w:lang w:val="en-GB"/>
        </w:rPr>
        <w:fldChar w:fldCharType="end"/>
      </w:r>
      <w:r w:rsidRPr="004E053C">
        <w:rPr>
          <w:rFonts w:cstheme="majorHAnsi"/>
          <w:sz w:val="22"/>
          <w:szCs w:val="22"/>
          <w:lang w:val="en-GB"/>
        </w:rPr>
        <w:t xml:space="preserve"> notes that this criticism is often </w:t>
      </w:r>
      <w:r w:rsidR="00D3785B" w:rsidRPr="004E053C">
        <w:rPr>
          <w:rFonts w:cstheme="majorHAnsi"/>
          <w:sz w:val="22"/>
          <w:szCs w:val="22"/>
          <w:lang w:val="en-GB"/>
        </w:rPr>
        <w:t>levelled</w:t>
      </w:r>
      <w:r w:rsidRPr="004E053C">
        <w:rPr>
          <w:rFonts w:cstheme="majorHAnsi"/>
          <w:sz w:val="22"/>
          <w:szCs w:val="22"/>
          <w:lang w:val="en-GB"/>
        </w:rPr>
        <w:t xml:space="preserve"> at case study research in particular, because if the researcher fails to adopt appropriate measures this can often result in </w:t>
      </w:r>
      <w:r w:rsidR="003B5DCB" w:rsidRPr="004E053C">
        <w:rPr>
          <w:rFonts w:cstheme="majorHAnsi"/>
          <w:sz w:val="22"/>
          <w:szCs w:val="22"/>
          <w:lang w:val="en-GB"/>
        </w:rPr>
        <w:t>subjective</w:t>
      </w:r>
      <w:r w:rsidR="004A3001" w:rsidRPr="004E053C">
        <w:rPr>
          <w:rFonts w:cstheme="majorHAnsi"/>
          <w:sz w:val="22"/>
          <w:szCs w:val="22"/>
          <w:lang w:val="en-GB"/>
        </w:rPr>
        <w:t xml:space="preserve"> judgement being used in analysis</w:t>
      </w:r>
      <w:r w:rsidRPr="004E053C">
        <w:rPr>
          <w:rFonts w:cstheme="majorHAnsi"/>
          <w:sz w:val="22"/>
          <w:szCs w:val="22"/>
          <w:lang w:val="en-GB"/>
        </w:rPr>
        <w:t xml:space="preserve">. </w:t>
      </w:r>
    </w:p>
    <w:p w14:paraId="05BA4289" w14:textId="77777777" w:rsidR="0077618A" w:rsidRPr="004E053C" w:rsidRDefault="0077618A" w:rsidP="004E053C">
      <w:pPr>
        <w:spacing w:line="360" w:lineRule="auto"/>
        <w:jc w:val="both"/>
        <w:rPr>
          <w:rFonts w:cstheme="majorHAnsi"/>
          <w:sz w:val="22"/>
          <w:szCs w:val="22"/>
          <w:lang w:val="en-GB"/>
        </w:rPr>
      </w:pPr>
    </w:p>
    <w:p w14:paraId="559741D5" w14:textId="1EE35EE7" w:rsidR="0077618A" w:rsidRPr="004E053C" w:rsidRDefault="00EA7F83" w:rsidP="004E053C">
      <w:pPr>
        <w:pStyle w:val="Heading3"/>
        <w:rPr>
          <w:rFonts w:asciiTheme="minorHAnsi" w:hAnsiTheme="minorHAnsi"/>
        </w:rPr>
      </w:pPr>
      <w:r w:rsidRPr="004E053C">
        <w:rPr>
          <w:rFonts w:asciiTheme="minorHAnsi" w:hAnsiTheme="minorHAnsi"/>
        </w:rPr>
        <w:lastRenderedPageBreak/>
        <w:t>5</w:t>
      </w:r>
      <w:r w:rsidR="0077618A" w:rsidRPr="004E053C">
        <w:rPr>
          <w:rFonts w:asciiTheme="minorHAnsi" w:hAnsiTheme="minorHAnsi"/>
        </w:rPr>
        <w:t>.8.1. Interviewer effects</w:t>
      </w:r>
    </w:p>
    <w:p w14:paraId="3991298D" w14:textId="77777777" w:rsidR="00843DED" w:rsidRPr="004E053C" w:rsidRDefault="00843DED" w:rsidP="004E053C">
      <w:pPr>
        <w:jc w:val="both"/>
        <w:rPr>
          <w:lang w:val="en-GB"/>
        </w:rPr>
      </w:pPr>
    </w:p>
    <w:p w14:paraId="26C56DD5" w14:textId="0CA829CD" w:rsidR="0077618A" w:rsidRPr="004E053C" w:rsidRDefault="0077618A"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One key issue confronted in the field that may have distorted the responses was the interviewer effect. It is widely acknowledged that the personal characteristics of the interviewer, such as their sex, age</w:t>
      </w:r>
      <w:r w:rsidR="004A3001" w:rsidRPr="004E053C">
        <w:rPr>
          <w:rFonts w:asciiTheme="minorHAnsi" w:hAnsiTheme="minorHAnsi" w:cstheme="majorHAnsi"/>
          <w:sz w:val="22"/>
          <w:szCs w:val="22"/>
        </w:rPr>
        <w:t>, and ethnic origin, can often a</w:t>
      </w:r>
      <w:r w:rsidRPr="004E053C">
        <w:rPr>
          <w:rFonts w:asciiTheme="minorHAnsi" w:hAnsiTheme="minorHAnsi" w:cstheme="majorHAnsi"/>
          <w:sz w:val="22"/>
          <w:szCs w:val="22"/>
        </w:rPr>
        <w:t xml:space="preserve">ffect how much information the respondent is willing to give </w:t>
      </w:r>
      <w:r w:rsidR="001705C6" w:rsidRPr="004E053C">
        <w:rPr>
          <w:rFonts w:asciiTheme="minorHAnsi" w:hAnsiTheme="minorHAnsi" w:cstheme="majorHAnsi"/>
          <w:sz w:val="22"/>
          <w:szCs w:val="22"/>
        </w:rPr>
        <w:fldChar w:fldCharType="begin" w:fldLock="1"/>
      </w:r>
      <w:r w:rsidR="001705C6" w:rsidRPr="004E053C">
        <w:rPr>
          <w:rFonts w:asciiTheme="minorHAnsi" w:hAnsiTheme="minorHAnsi" w:cstheme="majorHAnsi"/>
          <w:sz w:val="22"/>
          <w:szCs w:val="22"/>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2014)","plainTextFormattedCitation":"(Denscombe, 2014)","previouslyFormattedCitation":"(Denscombe, 2014)"},"properties":{"noteIndex":0},"schema":"https://github.com/citation-style-language/schema/raw/master/csl-citation.json"}</w:instrText>
      </w:r>
      <w:r w:rsidR="001705C6" w:rsidRPr="004E053C">
        <w:rPr>
          <w:rFonts w:asciiTheme="minorHAnsi" w:hAnsiTheme="minorHAnsi" w:cstheme="majorHAnsi"/>
          <w:sz w:val="22"/>
          <w:szCs w:val="22"/>
        </w:rPr>
        <w:fldChar w:fldCharType="separate"/>
      </w:r>
      <w:r w:rsidR="001705C6" w:rsidRPr="004E053C">
        <w:rPr>
          <w:rFonts w:asciiTheme="minorHAnsi" w:hAnsiTheme="minorHAnsi" w:cstheme="majorHAnsi"/>
          <w:noProof/>
          <w:sz w:val="22"/>
          <w:szCs w:val="22"/>
        </w:rPr>
        <w:t>(Denscombe, 2014)</w:t>
      </w:r>
      <w:r w:rsidR="001705C6"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The strength of these effects depends on the topic under investigation and is likely to increase if the topic is particularly sensitive, perhaps focusing on sexuality, abuse and illegal activity for example. In some instances, the respondents may make assumptions about what the interviewer wants to hear based on their appearance or certain characteristics and either offer or withhold certain information accordingly </w:t>
      </w:r>
      <w:r w:rsidR="001705C6" w:rsidRPr="004E053C">
        <w:rPr>
          <w:rFonts w:asciiTheme="minorHAnsi" w:hAnsiTheme="minorHAnsi" w:cstheme="majorHAnsi"/>
          <w:sz w:val="22"/>
          <w:szCs w:val="22"/>
        </w:rPr>
        <w:fldChar w:fldCharType="begin" w:fldLock="1"/>
      </w:r>
      <w:r w:rsidR="001705C6" w:rsidRPr="004E053C">
        <w:rPr>
          <w:rFonts w:asciiTheme="minorHAnsi" w:hAnsiTheme="minorHAnsi" w:cstheme="majorHAnsi"/>
          <w:sz w:val="22"/>
          <w:szCs w:val="22"/>
        </w:rPr>
        <w:instrText>ADDIN CSL_CITATION {"citationItems":[{"id":"ITEM-1","itemData":{"author":[{"dropping-particle":"","family":"Denscombe","given":"Martyn","non-dropping-particle":"","parse-names":false,"suffix":""}],"id":"ITEM-1","issued":{"date-parts":[["2014"]]},"publisher":"Open University Press","publisher-place":"Maidenhead","title":"The Good Research Guide: For Small-scale Social Research Projects","type":"book"},"uris":["http://www.mendeley.com/documents/?uuid=4896e42c-c2a2-4701-b00b-4bd5eac455f6"]}],"mendeley":{"formattedCitation":"(Denscombe, 2014)","plainTextFormattedCitation":"(Denscombe, 2014)","previouslyFormattedCitation":"(Denscombe, 2014)"},"properties":{"noteIndex":0},"schema":"https://github.com/citation-style-language/schema/raw/master/csl-citation.json"}</w:instrText>
      </w:r>
      <w:r w:rsidR="001705C6" w:rsidRPr="004E053C">
        <w:rPr>
          <w:rFonts w:asciiTheme="minorHAnsi" w:hAnsiTheme="minorHAnsi" w:cstheme="majorHAnsi"/>
          <w:sz w:val="22"/>
          <w:szCs w:val="22"/>
        </w:rPr>
        <w:fldChar w:fldCharType="separate"/>
      </w:r>
      <w:r w:rsidR="001705C6" w:rsidRPr="004E053C">
        <w:rPr>
          <w:rFonts w:asciiTheme="minorHAnsi" w:hAnsiTheme="minorHAnsi" w:cstheme="majorHAnsi"/>
          <w:noProof/>
          <w:sz w:val="22"/>
          <w:szCs w:val="22"/>
        </w:rPr>
        <w:t>(Denscombe, 2014)</w:t>
      </w:r>
      <w:r w:rsidR="001705C6" w:rsidRPr="004E053C">
        <w:rPr>
          <w:rFonts w:asciiTheme="minorHAnsi" w:hAnsiTheme="minorHAnsi" w:cstheme="majorHAnsi"/>
          <w:sz w:val="22"/>
          <w:szCs w:val="22"/>
        </w:rPr>
        <w:fldChar w:fldCharType="end"/>
      </w:r>
      <w:r w:rsidRPr="004E053C">
        <w:rPr>
          <w:rFonts w:asciiTheme="minorHAnsi" w:hAnsiTheme="minorHAnsi" w:cstheme="majorHAnsi"/>
          <w:sz w:val="22"/>
          <w:szCs w:val="22"/>
        </w:rPr>
        <w:t>.</w:t>
      </w:r>
    </w:p>
    <w:p w14:paraId="10F3DC05"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sz w:val="22"/>
          <w:szCs w:val="22"/>
        </w:rPr>
      </w:pPr>
    </w:p>
    <w:p w14:paraId="7F135BF7" w14:textId="5F53C997" w:rsidR="0077618A" w:rsidRPr="004E053C" w:rsidRDefault="0077618A"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 xml:space="preserve">When planning fieldwork, I realised that being a woman could be particularly problematic. The gender of a researcher can have huge implications in many studies, thus influencing the type of data that is collected. The </w:t>
      </w:r>
      <w:r w:rsidR="001705C6" w:rsidRPr="004E053C">
        <w:rPr>
          <w:rFonts w:asciiTheme="minorHAnsi" w:hAnsiTheme="minorHAnsi" w:cstheme="majorHAnsi"/>
          <w:sz w:val="22"/>
          <w:szCs w:val="22"/>
        </w:rPr>
        <w:t xml:space="preserve">potential effects are </w:t>
      </w:r>
      <w:r w:rsidRPr="004E053C">
        <w:rPr>
          <w:rFonts w:asciiTheme="minorHAnsi" w:hAnsiTheme="minorHAnsi" w:cstheme="majorHAnsi"/>
          <w:sz w:val="22"/>
          <w:szCs w:val="22"/>
        </w:rPr>
        <w:t>so great that gender</w:t>
      </w:r>
      <w:r w:rsidR="001705C6" w:rsidRPr="004E053C">
        <w:rPr>
          <w:rFonts w:asciiTheme="minorHAnsi" w:hAnsiTheme="minorHAnsi" w:cstheme="majorHAnsi"/>
          <w:sz w:val="22"/>
          <w:szCs w:val="22"/>
        </w:rPr>
        <w:t xml:space="preserve"> has been said to filter knowledge</w:t>
      </w:r>
      <w:r w:rsidRPr="004E053C">
        <w:rPr>
          <w:rFonts w:asciiTheme="minorHAnsi" w:hAnsiTheme="minorHAnsi" w:cstheme="majorHAnsi"/>
          <w:sz w:val="22"/>
          <w:szCs w:val="22"/>
        </w:rPr>
        <w:t xml:space="preserve"> </w:t>
      </w:r>
      <w:r w:rsidR="001705C6" w:rsidRPr="004E053C">
        <w:rPr>
          <w:rFonts w:asciiTheme="minorHAnsi" w:hAnsiTheme="minorHAnsi" w:cstheme="majorHAnsi"/>
          <w:sz w:val="22"/>
          <w:szCs w:val="22"/>
        </w:rPr>
        <w:fldChar w:fldCharType="begin" w:fldLock="1"/>
      </w:r>
      <w:r w:rsidR="005D0B08">
        <w:rPr>
          <w:rFonts w:asciiTheme="minorHAnsi" w:hAnsiTheme="minorHAnsi" w:cstheme="majorHAnsi"/>
          <w:sz w:val="22"/>
          <w:szCs w:val="22"/>
        </w:rPr>
        <w:instrText>ADDIN CSL_CITATION {"citationItems":[{"id":"ITEM-1","itemData":{"author":[{"dropping-particle":"","family":"Denzin","given":"Norman. K","non-dropping-particle":"","parse-names":false,"suffix":""}],"id":"ITEM-1","issued":{"date-parts":[["1989"]]},"publisher":"Sage Publications Ltd","publisher-place":"London","title":"Interpretive Ethnography: Ethnographic Practices for the 21st Century","type":"book"},"uris":["http://www.mendeley.com/documents/?uuid=afdeafd2-94f6-4d74-a16e-3df3c85fa096"]}],"mendeley":{"formattedCitation":"(Norman. K Denzin, 1989)","manualFormatting":"(Denzin, 1989)","plainTextFormattedCitation":"(Norman. K Denzin, 1989)","previouslyFormattedCitation":"(Norman. K Denzin, 1989)"},"properties":{"noteIndex":0},"schema":"https://github.com/citation-style-language/schema/raw/master/csl-citation.json"}</w:instrText>
      </w:r>
      <w:r w:rsidR="001705C6" w:rsidRPr="004E053C">
        <w:rPr>
          <w:rFonts w:asciiTheme="minorHAnsi" w:hAnsiTheme="minorHAnsi" w:cstheme="majorHAnsi"/>
          <w:sz w:val="22"/>
          <w:szCs w:val="22"/>
        </w:rPr>
        <w:fldChar w:fldCharType="separate"/>
      </w:r>
      <w:r w:rsidR="001705C6" w:rsidRPr="004E053C">
        <w:rPr>
          <w:rFonts w:asciiTheme="minorHAnsi" w:hAnsiTheme="minorHAnsi" w:cstheme="majorHAnsi"/>
          <w:noProof/>
          <w:sz w:val="22"/>
          <w:szCs w:val="22"/>
        </w:rPr>
        <w:t>(Denzin, 1989)</w:t>
      </w:r>
      <w:r w:rsidR="001705C6" w:rsidRPr="004E053C">
        <w:rPr>
          <w:rFonts w:asciiTheme="minorHAnsi" w:hAnsiTheme="minorHAnsi" w:cstheme="majorHAnsi"/>
          <w:sz w:val="22"/>
          <w:szCs w:val="22"/>
        </w:rPr>
        <w:fldChar w:fldCharType="end"/>
      </w:r>
      <w:r w:rsidR="001705C6" w:rsidRPr="004E053C">
        <w:rPr>
          <w:rFonts w:asciiTheme="minorHAnsi" w:hAnsiTheme="minorHAnsi" w:cstheme="majorHAnsi"/>
          <w:sz w:val="22"/>
          <w:szCs w:val="22"/>
        </w:rPr>
        <w:t xml:space="preserve">, and this is </w:t>
      </w:r>
      <w:r w:rsidRPr="004E053C">
        <w:rPr>
          <w:rFonts w:asciiTheme="minorHAnsi" w:hAnsiTheme="minorHAnsi" w:cstheme="majorHAnsi"/>
          <w:sz w:val="22"/>
          <w:szCs w:val="22"/>
        </w:rPr>
        <w:t>more of a problem with sensitive information. The impact of a male researcher asking female participants about gender based violence, for example, may not produce good results. However, quite apart from gender filtering knowledge, it can also restrict the ability of the re</w:t>
      </w:r>
      <w:r w:rsidR="001705C6" w:rsidRPr="004E053C">
        <w:rPr>
          <w:rFonts w:asciiTheme="minorHAnsi" w:hAnsiTheme="minorHAnsi" w:cstheme="majorHAnsi"/>
          <w:sz w:val="22"/>
          <w:szCs w:val="22"/>
        </w:rPr>
        <w:t>searcher to ‘access the setting’</w:t>
      </w:r>
      <w:r w:rsidRPr="004E053C">
        <w:rPr>
          <w:rFonts w:asciiTheme="minorHAnsi" w:hAnsiTheme="minorHAnsi" w:cstheme="majorHAnsi"/>
          <w:sz w:val="22"/>
          <w:szCs w:val="22"/>
        </w:rPr>
        <w:t xml:space="preserve"> </w:t>
      </w:r>
      <w:r w:rsidR="001705C6" w:rsidRPr="004E053C">
        <w:rPr>
          <w:rFonts w:asciiTheme="minorHAnsi" w:hAnsiTheme="minorHAnsi" w:cstheme="majorHAnsi"/>
          <w:sz w:val="22"/>
          <w:szCs w:val="22"/>
        </w:rPr>
        <w:fldChar w:fldCharType="begin" w:fldLock="1"/>
      </w:r>
      <w:r w:rsidR="007A757C" w:rsidRPr="004E053C">
        <w:rPr>
          <w:rFonts w:asciiTheme="minorHAnsi" w:hAnsiTheme="minorHAnsi" w:cstheme="majorHAnsi"/>
          <w:sz w:val="22"/>
          <w:szCs w:val="22"/>
        </w:rPr>
        <w:instrText>ADDIN CSL_CITATION {"citationItems":[{"id":"ITEM-1","itemData":{"author":[{"dropping-particle":"","family":"Fontana","given":"Andrea","non-dropping-particle":"","parse-names":false,"suffix":""},{"dropping-particle":"","family":"Frey","given":"James","non-dropping-particle":"","parse-names":false,"suffix":""}],"chapter-number":"27","container-title":"The Sage Handbook of Qualitative Research","edition":"3rd","editor":[{"dropping-particle":"","family":"Denzin","given":"N.K.","non-dropping-particle":"","parse-names":false,"suffix":""},{"dropping-particle":"","family":"Lincoln","given":"Y.S.","non-dropping-particle":"","parse-names":false,"suffix":""}],"id":"ITEM-1","issued":{"date-parts":[["2005"]]},"page":"695-728","publisher":"Sage Publications Ltd","publisher-place":"London, UK","title":"The interview: from neutral stance to political involvement","type":"chapter"},"uris":["http://www.mendeley.com/documents/?uuid=7f690da8-7937-4e23-b467-6faa3f7429d0"]}],"mendeley":{"formattedCitation":"(Fontana &amp; Frey, 2005)","manualFormatting":"(Fontana and Frey, 2005, p.707)","plainTextFormattedCitation":"(Fontana &amp; Frey, 2005)","previouslyFormattedCitation":"(Fontana &amp; Frey, 2005)"},"properties":{"noteIndex":0},"schema":"https://github.com/citation-style-language/schema/raw/master/csl-citation.json"}</w:instrText>
      </w:r>
      <w:r w:rsidR="001705C6" w:rsidRPr="004E053C">
        <w:rPr>
          <w:rFonts w:asciiTheme="minorHAnsi" w:hAnsiTheme="minorHAnsi" w:cstheme="majorHAnsi"/>
          <w:sz w:val="22"/>
          <w:szCs w:val="22"/>
        </w:rPr>
        <w:fldChar w:fldCharType="separate"/>
      </w:r>
      <w:r w:rsidR="001705C6" w:rsidRPr="004E053C">
        <w:rPr>
          <w:rFonts w:asciiTheme="minorHAnsi" w:hAnsiTheme="minorHAnsi" w:cstheme="majorHAnsi"/>
          <w:noProof/>
          <w:sz w:val="22"/>
          <w:szCs w:val="22"/>
        </w:rPr>
        <w:t>(Fontana and Frey, 2005, p.707)</w:t>
      </w:r>
      <w:r w:rsidR="001705C6"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In deeply patriarchal societies, men may find it challenging to interview women, while for women, conducting research in certain settings may put them ‘out of place’ </w:t>
      </w:r>
      <w:r w:rsidR="001705C6" w:rsidRPr="004E053C">
        <w:rPr>
          <w:rFonts w:asciiTheme="minorHAnsi" w:hAnsiTheme="minorHAnsi" w:cstheme="majorHAnsi"/>
          <w:sz w:val="22"/>
          <w:szCs w:val="22"/>
        </w:rPr>
        <w:fldChar w:fldCharType="begin" w:fldLock="1"/>
      </w:r>
      <w:r w:rsidR="007F27D0" w:rsidRPr="004E053C">
        <w:rPr>
          <w:rFonts w:asciiTheme="minorHAnsi" w:hAnsiTheme="minorHAnsi" w:cstheme="majorHAnsi"/>
          <w:sz w:val="22"/>
          <w:szCs w:val="22"/>
        </w:rPr>
        <w:instrText>ADDIN CSL_CITATION {"citationItems":[{"id":"ITEM-1","itemData":{"author":[{"dropping-particle":"","family":"Cresswell","given":"Tim","non-dropping-particle":"","parse-names":false,"suffix":""}],"id":"ITEM-1","issued":{"date-parts":[["1996"]]},"publisher":"University of Minnesota Press","publisher-place":"Minneapolis, MN","title":"In Place/Out of Place: Geography, Ideology and Transgression","type":"book"},"uris":["http://www.mendeley.com/documents/?uuid=17f6312b-970a-4412-9f2f-c45c38fbb6d0"]}],"mendeley":{"formattedCitation":"(Cresswell, 1996)","manualFormatting":"(Creswell, 1996)","plainTextFormattedCitation":"(Cresswell, 1996)","previouslyFormattedCitation":"(Cresswell, 1996)"},"properties":{"noteIndex":0},"schema":"https://github.com/citation-style-language/schema/raw/master/csl-citation.json"}</w:instrText>
      </w:r>
      <w:r w:rsidR="001705C6" w:rsidRPr="004E053C">
        <w:rPr>
          <w:rFonts w:asciiTheme="minorHAnsi" w:hAnsiTheme="minorHAnsi" w:cstheme="majorHAnsi"/>
          <w:sz w:val="22"/>
          <w:szCs w:val="22"/>
        </w:rPr>
        <w:fldChar w:fldCharType="separate"/>
      </w:r>
      <w:r w:rsidR="001705C6" w:rsidRPr="004E053C">
        <w:rPr>
          <w:rFonts w:asciiTheme="minorHAnsi" w:hAnsiTheme="minorHAnsi" w:cstheme="majorHAnsi"/>
          <w:noProof/>
          <w:sz w:val="22"/>
          <w:szCs w:val="22"/>
        </w:rPr>
        <w:t>(Creswell, 1996)</w:t>
      </w:r>
      <w:r w:rsidR="001705C6"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causing difficulties, especially as it comes with additional security risks. Indeed, female interviewers do at times face the added burden of sexual ov</w:t>
      </w:r>
      <w:r w:rsidR="001705C6" w:rsidRPr="004E053C">
        <w:rPr>
          <w:rFonts w:asciiTheme="minorHAnsi" w:hAnsiTheme="minorHAnsi" w:cstheme="majorHAnsi"/>
          <w:sz w:val="22"/>
          <w:szCs w:val="22"/>
        </w:rPr>
        <w:t>ertures or covert sexual harrassment</w:t>
      </w:r>
      <w:r w:rsidRPr="004E053C">
        <w:rPr>
          <w:rFonts w:asciiTheme="minorHAnsi" w:hAnsiTheme="minorHAnsi" w:cstheme="majorHAnsi"/>
          <w:sz w:val="22"/>
          <w:szCs w:val="22"/>
        </w:rPr>
        <w:t xml:space="preserve"> </w:t>
      </w:r>
      <w:r w:rsidR="001705C6" w:rsidRPr="004E053C">
        <w:rPr>
          <w:rFonts w:asciiTheme="minorHAnsi" w:hAnsiTheme="minorHAnsi" w:cstheme="majorHAnsi"/>
          <w:sz w:val="22"/>
          <w:szCs w:val="22"/>
        </w:rPr>
        <w:fldChar w:fldCharType="begin" w:fldLock="1"/>
      </w:r>
      <w:r w:rsidR="007A757C" w:rsidRPr="004E053C">
        <w:rPr>
          <w:rFonts w:asciiTheme="minorHAnsi" w:hAnsiTheme="minorHAnsi" w:cstheme="majorHAnsi"/>
          <w:sz w:val="22"/>
          <w:szCs w:val="22"/>
        </w:rPr>
        <w:instrText>ADDIN CSL_CITATION {"citationItems":[{"id":"ITEM-1","itemData":{"author":[{"dropping-particle":"","family":"Fontana","given":"Andrea","non-dropping-particle":"","parse-names":false,"suffix":""},{"dropping-particle":"","family":"Frey","given":"James","non-dropping-particle":"","parse-names":false,"suffix":""}],"chapter-number":"27","container-title":"The Sage Handbook of Qualitative Research","edition":"3rd","editor":[{"dropping-particle":"","family":"Denzin","given":"N.K.","non-dropping-particle":"","parse-names":false,"suffix":""},{"dropping-particle":"","family":"Lincoln","given":"Y.S.","non-dropping-particle":"","parse-names":false,"suffix":""}],"id":"ITEM-1","issued":{"date-parts":[["2005"]]},"page":"695-728","publisher":"Sage Publications Ltd","publisher-place":"London, UK","title":"The interview: from neutral stance to political involvement","type":"chapter"},"uris":["http://www.mendeley.com/documents/?uuid=7f690da8-7937-4e23-b467-6faa3f7429d0"]}],"mendeley":{"formattedCitation":"(Fontana &amp; Frey, 2005)","manualFormatting":"(Fontana and Frey, 2005)","plainTextFormattedCitation":"(Fontana &amp; Frey, 2005)","previouslyFormattedCitation":"(Fontana &amp; Frey, 2005)"},"properties":{"noteIndex":0},"schema":"https://github.com/citation-style-language/schema/raw/master/csl-citation.json"}</w:instrText>
      </w:r>
      <w:r w:rsidR="001705C6" w:rsidRPr="004E053C">
        <w:rPr>
          <w:rFonts w:asciiTheme="minorHAnsi" w:hAnsiTheme="minorHAnsi" w:cstheme="majorHAnsi"/>
          <w:sz w:val="22"/>
          <w:szCs w:val="22"/>
        </w:rPr>
        <w:fldChar w:fldCharType="separate"/>
      </w:r>
      <w:r w:rsidR="001705C6" w:rsidRPr="004E053C">
        <w:rPr>
          <w:rFonts w:asciiTheme="minorHAnsi" w:hAnsiTheme="minorHAnsi" w:cstheme="majorHAnsi"/>
          <w:noProof/>
          <w:sz w:val="22"/>
          <w:szCs w:val="22"/>
        </w:rPr>
        <w:t>(Fontana and Frey, 2005)</w:t>
      </w:r>
      <w:r w:rsidR="001705C6"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However, Warren </w:t>
      </w:r>
      <w:r w:rsidR="00871DD3" w:rsidRPr="004E053C">
        <w:rPr>
          <w:rFonts w:asciiTheme="minorHAnsi" w:hAnsiTheme="minorHAnsi" w:cstheme="majorHAnsi"/>
          <w:sz w:val="22"/>
          <w:szCs w:val="22"/>
        </w:rPr>
        <w:fldChar w:fldCharType="begin" w:fldLock="1"/>
      </w:r>
      <w:r w:rsidR="00F2183E" w:rsidRPr="004E053C">
        <w:rPr>
          <w:rFonts w:asciiTheme="minorHAnsi" w:hAnsiTheme="minorHAnsi" w:cstheme="majorHAnsi"/>
          <w:sz w:val="22"/>
          <w:szCs w:val="22"/>
        </w:rPr>
        <w:instrText>ADDIN CSL_CITATION {"citationItems":[{"id":"ITEM-1","itemData":{"author":[{"dropping-particle":"","family":"Warren","given":"Carol","non-dropping-particle":"","parse-names":false,"suffix":""}],"id":"ITEM-1","issued":{"date-parts":[["1988"]]},"publisher":"Sage Publications Ltd","publisher-place":"Newbury, UK","title":"Gender Issues in Field Research","type":"book"},"uris":["http://www.mendeley.com/documents/?uuid=f66ba791-057e-41a2-a1ac-d55565eaa9da","http://www.mendeley.com/documents/?uuid=afec3fb4-f7da-4dd6-b53c-43ebf427f779"]}],"mendeley":{"formattedCitation":"(Warren, 1988)","manualFormatting":"(1988)","plainTextFormattedCitation":"(Warren, 1988)","previouslyFormattedCitation":"(Warren, 1988)"},"properties":{"noteIndex":0},"schema":"https://github.com/citation-style-language/schema/raw/master/csl-citation.json"}</w:instrText>
      </w:r>
      <w:r w:rsidR="00871DD3" w:rsidRPr="004E053C">
        <w:rPr>
          <w:rFonts w:asciiTheme="minorHAnsi" w:hAnsiTheme="minorHAnsi" w:cstheme="majorHAnsi"/>
          <w:sz w:val="22"/>
          <w:szCs w:val="22"/>
        </w:rPr>
        <w:fldChar w:fldCharType="separate"/>
      </w:r>
      <w:r w:rsidR="00871DD3" w:rsidRPr="004E053C">
        <w:rPr>
          <w:rFonts w:asciiTheme="minorHAnsi" w:hAnsiTheme="minorHAnsi" w:cstheme="majorHAnsi"/>
          <w:noProof/>
          <w:sz w:val="22"/>
          <w:szCs w:val="22"/>
        </w:rPr>
        <w:t>(1988)</w:t>
      </w:r>
      <w:r w:rsidR="00871DD3"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has pointed out that there are some advantages or the researcher being female, particularly because they can often be</w:t>
      </w:r>
      <w:r w:rsidR="00871DD3" w:rsidRPr="004E053C">
        <w:rPr>
          <w:rFonts w:asciiTheme="minorHAnsi" w:hAnsiTheme="minorHAnsi" w:cstheme="majorHAnsi"/>
          <w:sz w:val="22"/>
          <w:szCs w:val="22"/>
        </w:rPr>
        <w:t xml:space="preserve"> seen as harmless or invisible. </w:t>
      </w:r>
      <w:r w:rsidRPr="004E053C">
        <w:rPr>
          <w:rFonts w:asciiTheme="minorHAnsi" w:hAnsiTheme="minorHAnsi" w:cstheme="majorHAnsi"/>
          <w:sz w:val="22"/>
          <w:szCs w:val="22"/>
        </w:rPr>
        <w:t xml:space="preserve"> </w:t>
      </w:r>
    </w:p>
    <w:p w14:paraId="764C5E77"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sz w:val="22"/>
          <w:szCs w:val="22"/>
        </w:rPr>
      </w:pPr>
    </w:p>
    <w:p w14:paraId="24BC1FE6" w14:textId="5BB4F341"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 xml:space="preserve">For my research on illicit ASM livelihoods, I had to carefully consider how the community members would react to a female researcher and the ease with which I would be able to access the field. During data collection in Ocongate, being a woman was somewhat advantageous, as some of the women I was interviewing were quite timid and may have been less comfortable talking with a man. In this context, it was important that my translator was also a woman. However, in Laberinto interviewing miners was difficult. It was not possible for me to socialise with miners in bars, as it is not common for women in Peru to do this unless they are prostitutes and it may have been interpreted </w:t>
      </w:r>
      <w:r w:rsidR="00B41A6B" w:rsidRPr="004E053C">
        <w:rPr>
          <w:rFonts w:cstheme="majorHAnsi"/>
          <w:sz w:val="22"/>
          <w:szCs w:val="22"/>
          <w:lang w:val="en-GB"/>
        </w:rPr>
        <w:t>incorrect</w:t>
      </w:r>
      <w:r w:rsidRPr="004E053C">
        <w:rPr>
          <w:rFonts w:cstheme="majorHAnsi"/>
          <w:sz w:val="22"/>
          <w:szCs w:val="22"/>
          <w:lang w:val="en-GB"/>
        </w:rPr>
        <w:t xml:space="preserve">ly. However, once male respondents were identified for interview, they seemed happy to discuss issues with me. I found my gender to be less problematic than my ethnic background. It is possible that being a woman had some benefits in the context, as the miners did </w:t>
      </w:r>
      <w:r w:rsidRPr="004E053C">
        <w:rPr>
          <w:rFonts w:cstheme="majorHAnsi"/>
          <w:sz w:val="22"/>
          <w:szCs w:val="22"/>
          <w:lang w:val="en-GB"/>
        </w:rPr>
        <w:lastRenderedPageBreak/>
        <w:t xml:space="preserve">not assume that I was an engineer or a miner sent from a foreign extractives company and may have done had I been a man. </w:t>
      </w:r>
    </w:p>
    <w:p w14:paraId="6AD0F357" w14:textId="77777777" w:rsidR="00843DED" w:rsidRPr="004E053C" w:rsidRDefault="00843DED" w:rsidP="004E053C">
      <w:pPr>
        <w:spacing w:line="360" w:lineRule="auto"/>
        <w:jc w:val="both"/>
        <w:rPr>
          <w:rFonts w:cstheme="majorHAnsi"/>
          <w:sz w:val="22"/>
          <w:szCs w:val="22"/>
          <w:lang w:val="en-GB"/>
        </w:rPr>
      </w:pPr>
    </w:p>
    <w:p w14:paraId="6020761F" w14:textId="79EF7F7B" w:rsidR="0077618A" w:rsidRPr="004E053C" w:rsidRDefault="0077618A"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 xml:space="preserve">The nationality or ethnicity of a researcher can obviously have an important impact. Collins </w:t>
      </w:r>
      <w:r w:rsidR="00871DD3" w:rsidRPr="004E053C">
        <w:rPr>
          <w:rFonts w:asciiTheme="minorHAnsi" w:hAnsiTheme="minorHAnsi" w:cstheme="majorHAnsi"/>
          <w:sz w:val="22"/>
          <w:szCs w:val="22"/>
        </w:rPr>
        <w:fldChar w:fldCharType="begin" w:fldLock="1"/>
      </w:r>
      <w:r w:rsidR="00F2183E" w:rsidRPr="004E053C">
        <w:rPr>
          <w:rFonts w:asciiTheme="minorHAnsi" w:hAnsiTheme="minorHAnsi" w:cstheme="majorHAnsi"/>
          <w:sz w:val="22"/>
          <w:szCs w:val="22"/>
        </w:rPr>
        <w:instrText>ADDIN CSL_CITATION {"citationItems":[{"id":"ITEM-1","itemData":{"author":[{"dropping-particle":"","family":"Collins","given":"PH","non-dropping-particle":"","parse-names":false,"suffix":""}],"id":"ITEM-1","issued":{"date-parts":[["1990"]]},"publisher":"Uwin Hyman","publisher-place":"Boston, MA.","title":"Black Feminist Thought: Knowledge, Consciousness, and the Politics of Empowerment","type":"book"},"uris":["http://www.mendeley.com/documents/?uuid=e900f0cb-1266-4d44-a08d-6e0d771b8f7e","http://www.mendeley.com/documents/?uuid=0cf55ff1-d821-4972-b5fc-0c2dfa8c01da"]}],"mendeley":{"formattedCitation":"(Collins, 1990)","manualFormatting":"(1990)","plainTextFormattedCitation":"(Collins, 1990)","previouslyFormattedCitation":"(Collins, 1990)"},"properties":{"noteIndex":0},"schema":"https://github.com/citation-style-language/schema/raw/master/csl-citation.json"}</w:instrText>
      </w:r>
      <w:r w:rsidR="00871DD3" w:rsidRPr="004E053C">
        <w:rPr>
          <w:rFonts w:asciiTheme="minorHAnsi" w:hAnsiTheme="minorHAnsi" w:cstheme="majorHAnsi"/>
          <w:sz w:val="22"/>
          <w:szCs w:val="22"/>
        </w:rPr>
        <w:fldChar w:fldCharType="separate"/>
      </w:r>
      <w:r w:rsidR="00871DD3" w:rsidRPr="004E053C">
        <w:rPr>
          <w:rFonts w:asciiTheme="minorHAnsi" w:hAnsiTheme="minorHAnsi" w:cstheme="majorHAnsi"/>
          <w:noProof/>
          <w:sz w:val="22"/>
          <w:szCs w:val="22"/>
        </w:rPr>
        <w:t>(1990)</w:t>
      </w:r>
      <w:r w:rsidR="00871DD3"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for example wrote how, like gender, aspects of identity such as being black and American also filtered knowledge. There was an obvious wariness amongst the miners of revealing details of their illicit livelihood activities with a foreigner. In Laberinto and some of the smaller mining settlements in particular, I was initially assumed to be from a conservation NGO. It was only by spending time in the communities in order to make myself known by the locals that I was able to shed this image. In Sherman</w:t>
      </w:r>
      <w:r w:rsidR="00871DD3" w:rsidRPr="004E053C">
        <w:rPr>
          <w:rFonts w:asciiTheme="minorHAnsi" w:hAnsiTheme="minorHAnsi" w:cstheme="majorHAnsi"/>
          <w:sz w:val="22"/>
          <w:szCs w:val="22"/>
        </w:rPr>
        <w:t xml:space="preserve"> et al</w:t>
      </w:r>
      <w:r w:rsidRPr="004E053C">
        <w:rPr>
          <w:rFonts w:asciiTheme="minorHAnsi" w:hAnsiTheme="minorHAnsi" w:cstheme="majorHAnsi"/>
          <w:sz w:val="22"/>
          <w:szCs w:val="22"/>
        </w:rPr>
        <w:t xml:space="preserve">’s </w:t>
      </w:r>
      <w:r w:rsidR="00871DD3" w:rsidRPr="004E053C">
        <w:rPr>
          <w:rFonts w:asciiTheme="minorHAnsi" w:hAnsiTheme="minorHAnsi" w:cstheme="majorHAnsi"/>
          <w:sz w:val="22"/>
          <w:szCs w:val="22"/>
        </w:rPr>
        <w:fldChar w:fldCharType="begin" w:fldLock="1"/>
      </w:r>
      <w:r w:rsidR="007F27D0" w:rsidRPr="004E053C">
        <w:rPr>
          <w:rFonts w:asciiTheme="minorHAnsi" w:hAnsiTheme="minorHAnsi" w:cstheme="majorHAnsi"/>
          <w:sz w:val="22"/>
          <w:szCs w:val="22"/>
        </w:rPr>
        <w:instrText>ADDIN CSL_CITATION {"citationItems":[{"id":"ITEM-1","itemData":{"abstract":"Rainfall variability and related hydrological disasters are serious threats to agricultural production in developing countries. Since projections of climate change indicate an increase in the frequency and intensity of climatic hazards such as flooding and droughts, it is important to understand communities’ adaptive capacity to extreme hydrological events. This research uses a case study approach to characterize the current vulnerability and adaptive capacity of the food system to hydrological hazards in Panaillo, a flood-prone indigenous community in the Peruvian Amazon. Participatory methods were utilized to examine how biophysical and socioeconomic factors constrain or enable local adaptive capacity to climatic hazards over time. Seasonal flooding was shown to strongly influence agriculture and fishing cycles. Panaillo residents have developed several adaptive strategies to adjust to hydrological extremes, such as food-sharing and the cultivation of fast-growing crops on riverbeds. However, Panaillo residents generally lack the necessary human, physical, social, and natural resources to effectively employ their adaptive mechanisms as a result of major social and environmental changes in the area. Economic development, low institutional capacity, climate variability, and the assimilation social model in Peru all have profound effects on the food system and health by affecting the ways in which adaptive strategies and traditional livelihoods are practiced. Climate change has the potential to exacerbate these socioeconomic and biophysical drivers and further compromise community food systems in the Peruvian Amazon in the future.","author":[{"dropping-particle":"","family":"Sherman","given":"Mya","non-dropping-particle":"","parse-names":false,"suffix":""},{"dropping-particle":"","family":"Ford","given":"James","non-dropping-particle":"","parse-names":false,"suffix":""},{"dropping-particle":"","family":"Llanos-Cuentas","given":"Alejandro","non-dropping-particle":"","parse-names":false,"suffix":""},{"dropping-particle":"","family":"Valdivia","given":"Mar??a Jos??","non-dropping-particle":"","parse-names":false,"suffix":""},{"dropping-particle":"","family":"Bussalleu","given":"Alejandra","non-dropping-particle":"","parse-names":false,"suffix":""}],"container-title":"Natural Hazards","id":"ITEM-1","issued":{"date-parts":[["2015"]]},"title":"Vulnerability and adaptive capacity of community food systems in the Peruvian Amazon: a case study from Panaillo","type":"article-journal"},"uris":["http://www.mendeley.com/documents/?uuid=2bcdc22b-da1a-3d46-8ab1-f82cda897f1d"]}],"mendeley":{"formattedCitation":"(Sherman, Ford, Llanos-Cuentas, Valdivia, &amp; Bussalleu, 2015)","manualFormatting":"(2015)","plainTextFormattedCitation":"(Sherman, Ford, Llanos-Cuentas, Valdivia, &amp; Bussalleu, 2015)","previouslyFormattedCitation":"(Sherman, Ford, Llanos-Cuentas, Valdivia, &amp; Bussalleu, 2015)"},"properties":{"noteIndex":0},"schema":"https://github.com/citation-style-language/schema/raw/master/csl-citation.json"}</w:instrText>
      </w:r>
      <w:r w:rsidR="00871DD3" w:rsidRPr="004E053C">
        <w:rPr>
          <w:rFonts w:asciiTheme="minorHAnsi" w:hAnsiTheme="minorHAnsi" w:cstheme="majorHAnsi"/>
          <w:sz w:val="22"/>
          <w:szCs w:val="22"/>
        </w:rPr>
        <w:fldChar w:fldCharType="separate"/>
      </w:r>
      <w:r w:rsidR="00871DD3" w:rsidRPr="004E053C">
        <w:rPr>
          <w:rFonts w:asciiTheme="minorHAnsi" w:hAnsiTheme="minorHAnsi" w:cstheme="majorHAnsi"/>
          <w:noProof/>
          <w:sz w:val="22"/>
          <w:szCs w:val="22"/>
        </w:rPr>
        <w:t>(2015)</w:t>
      </w:r>
      <w:r w:rsidR="00871DD3"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work on a rural Peruvian community, she notes that arranging a home-stay for the duration of her fieldwork allowed her to establish better relationships with community members. Unfortunately, I was unable to arrange a home-stay. Instead</w:t>
      </w:r>
      <w:r w:rsidR="00871DD3" w:rsidRPr="004E053C">
        <w:rPr>
          <w:rFonts w:asciiTheme="minorHAnsi" w:hAnsiTheme="minorHAnsi" w:cstheme="majorHAnsi"/>
          <w:sz w:val="22"/>
          <w:szCs w:val="22"/>
        </w:rPr>
        <w:t>,</w:t>
      </w:r>
      <w:r w:rsidRPr="004E053C">
        <w:rPr>
          <w:rFonts w:asciiTheme="minorHAnsi" w:hAnsiTheme="minorHAnsi" w:cstheme="majorHAnsi"/>
          <w:sz w:val="22"/>
          <w:szCs w:val="22"/>
        </w:rPr>
        <w:t xml:space="preserve"> I forged links with</w:t>
      </w:r>
      <w:r w:rsidR="00871DD3" w:rsidRPr="004E053C">
        <w:rPr>
          <w:rFonts w:asciiTheme="minorHAnsi" w:hAnsiTheme="minorHAnsi" w:cstheme="majorHAnsi"/>
          <w:sz w:val="22"/>
          <w:szCs w:val="22"/>
        </w:rPr>
        <w:t xml:space="preserve"> </w:t>
      </w:r>
      <w:r w:rsidRPr="004E053C">
        <w:rPr>
          <w:rFonts w:asciiTheme="minorHAnsi" w:hAnsiTheme="minorHAnsi" w:cstheme="majorHAnsi"/>
          <w:sz w:val="22"/>
          <w:szCs w:val="22"/>
        </w:rPr>
        <w:t xml:space="preserve">community groups and the local FEDAMIN organisation and was eventually able to win trust. In Laberinto, a key turning point in the data collection came when a new acquaintance announced on his local radio programme that people should not be concerned about the </w:t>
      </w:r>
      <w:r w:rsidRPr="004E053C">
        <w:rPr>
          <w:rFonts w:asciiTheme="minorHAnsi" w:hAnsiTheme="minorHAnsi" w:cstheme="majorHAnsi"/>
          <w:i/>
          <w:iCs/>
          <w:sz w:val="22"/>
          <w:szCs w:val="22"/>
        </w:rPr>
        <w:t>gringa</w:t>
      </w:r>
      <w:r w:rsidRPr="004E053C">
        <w:rPr>
          <w:rFonts w:asciiTheme="minorHAnsi" w:hAnsiTheme="minorHAnsi" w:cstheme="majorHAnsi"/>
          <w:sz w:val="22"/>
          <w:szCs w:val="22"/>
        </w:rPr>
        <w:t xml:space="preserve"> and her friend as they were not conservationists and were keen to hear their stories. In Ocongate being a foreigner was also a problem, but rather than just being wary of white people, the local people were equally concerned about non-Quechua speaking Peruvians. I was careful to ensure my interpreter for this part of the fieldwork was a woman from the Andean highlands who spoke fluent Quechua. This did mean that the interpreter</w:t>
      </w:r>
      <w:r w:rsidR="004A3001" w:rsidRPr="004E053C">
        <w:rPr>
          <w:rFonts w:asciiTheme="minorHAnsi" w:hAnsiTheme="minorHAnsi" w:cstheme="majorHAnsi"/>
          <w:sz w:val="22"/>
          <w:szCs w:val="22"/>
        </w:rPr>
        <w:t>’</w:t>
      </w:r>
      <w:r w:rsidRPr="004E053C">
        <w:rPr>
          <w:rFonts w:asciiTheme="minorHAnsi" w:hAnsiTheme="minorHAnsi" w:cstheme="majorHAnsi"/>
          <w:sz w:val="22"/>
          <w:szCs w:val="22"/>
        </w:rPr>
        <w:t>s English was more limited, potentially creating some limitations in the depth of conversation due to my own limited Spanish language skills, but as the interviews were all recorded precise meanings could be gleaned after the interview. Thus, my position as a white, non-Spanish speaking foreigner has undoubtedly influenced the type of information I was able to collect. I discuss my positionality and the language</w:t>
      </w:r>
      <w:r w:rsidR="00D7211F">
        <w:rPr>
          <w:rFonts w:asciiTheme="minorHAnsi" w:hAnsiTheme="minorHAnsi" w:cstheme="majorHAnsi"/>
          <w:sz w:val="22"/>
          <w:szCs w:val="22"/>
        </w:rPr>
        <w:t xml:space="preserve"> </w:t>
      </w:r>
      <w:r w:rsidR="004A3001" w:rsidRPr="004E053C">
        <w:rPr>
          <w:rFonts w:asciiTheme="minorHAnsi" w:hAnsiTheme="minorHAnsi" w:cstheme="majorHAnsi"/>
          <w:sz w:val="22"/>
          <w:szCs w:val="22"/>
        </w:rPr>
        <w:t>barriers in detail in section 5</w:t>
      </w:r>
      <w:r w:rsidRPr="004E053C">
        <w:rPr>
          <w:rFonts w:asciiTheme="minorHAnsi" w:hAnsiTheme="minorHAnsi" w:cstheme="majorHAnsi"/>
          <w:sz w:val="22"/>
          <w:szCs w:val="22"/>
        </w:rPr>
        <w:t>.8.2 below.</w:t>
      </w:r>
    </w:p>
    <w:p w14:paraId="6D143109"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sz w:val="22"/>
          <w:szCs w:val="22"/>
        </w:rPr>
      </w:pPr>
    </w:p>
    <w:p w14:paraId="58606C9C" w14:textId="4C5C6890" w:rsidR="0077618A" w:rsidRPr="004E053C" w:rsidRDefault="0077618A"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eastAsiaTheme="minorHAnsi" w:hAnsiTheme="minorHAnsi" w:cstheme="majorHAnsi"/>
          <w:sz w:val="22"/>
          <w:szCs w:val="22"/>
        </w:rPr>
        <w:t xml:space="preserve">Aside from respondents being influenced by interview effects, what is said in interviews is also heavily dependent on people’s </w:t>
      </w:r>
      <w:r w:rsidRPr="004E053C">
        <w:rPr>
          <w:rFonts w:asciiTheme="minorHAnsi" w:hAnsiTheme="minorHAnsi" w:cstheme="majorHAnsi"/>
          <w:sz w:val="22"/>
          <w:szCs w:val="22"/>
        </w:rPr>
        <w:t xml:space="preserve">capacity to verbalise, interact, conceptualise and remember </w:t>
      </w:r>
      <w:r w:rsidR="00871DD3" w:rsidRPr="004E053C">
        <w:rPr>
          <w:rFonts w:asciiTheme="minorHAnsi" w:hAnsiTheme="minorHAnsi" w:cstheme="majorHAnsi"/>
          <w:sz w:val="22"/>
          <w:szCs w:val="22"/>
        </w:rPr>
        <w:fldChar w:fldCharType="begin" w:fldLock="1"/>
      </w:r>
      <w:r w:rsidR="00871DD3" w:rsidRPr="004E053C">
        <w:rPr>
          <w:rFonts w:asciiTheme="minorHAnsi" w:hAnsiTheme="minorHAnsi" w:cstheme="majorHAnsi"/>
          <w:sz w:val="22"/>
          <w:szCs w:val="22"/>
        </w:rPr>
        <w:instrText>ADDIN CSL_CITATION {"citationItems":[{"id":"ITEM-1","itemData":{"author":[{"dropping-particle":"","family":"Mason","given":"Jennifer","non-dropping-particle":"","parse-names":false,"suffix":""}],"id":"ITEM-1","issued":{"date-parts":[["2002"]]},"publisher":"Sage Publications Ltd","publisher-place":"London, UK","title":"Qualitative Researching","type":"book"},"uris":["http://www.mendeley.com/documents/?uuid=c5af782a-cf51-4780-902c-0c2fdb471010"]}],"mendeley":{"formattedCitation":"(Mason, 2002)","plainTextFormattedCitation":"(Mason, 2002)","previouslyFormattedCitation":"(Mason, 2002)"},"properties":{"noteIndex":0},"schema":"https://github.com/citation-style-language/schema/raw/master/csl-citation.json"}</w:instrText>
      </w:r>
      <w:r w:rsidR="00871DD3" w:rsidRPr="004E053C">
        <w:rPr>
          <w:rFonts w:asciiTheme="minorHAnsi" w:hAnsiTheme="minorHAnsi" w:cstheme="majorHAnsi"/>
          <w:sz w:val="22"/>
          <w:szCs w:val="22"/>
        </w:rPr>
        <w:fldChar w:fldCharType="separate"/>
      </w:r>
      <w:r w:rsidR="00871DD3" w:rsidRPr="004E053C">
        <w:rPr>
          <w:rFonts w:asciiTheme="minorHAnsi" w:hAnsiTheme="minorHAnsi" w:cstheme="majorHAnsi"/>
          <w:noProof/>
          <w:sz w:val="22"/>
          <w:szCs w:val="22"/>
        </w:rPr>
        <w:t>(Mason, 2002)</w:t>
      </w:r>
      <w:r w:rsidR="00871DD3"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Furthermore, on sensitive issues in particular it may be that the respondent desires to paint themselves in a good light or put across a purposefully biased and inaccurate account. </w:t>
      </w:r>
      <w:r w:rsidR="00AA5C88" w:rsidRPr="004E053C">
        <w:rPr>
          <w:rFonts w:asciiTheme="minorHAnsi" w:hAnsiTheme="minorHAnsi" w:cstheme="majorHAnsi"/>
          <w:sz w:val="22"/>
          <w:szCs w:val="22"/>
        </w:rPr>
        <w:t xml:space="preserve">Mason </w:t>
      </w:r>
      <w:r w:rsidR="00871DD3" w:rsidRPr="004E053C">
        <w:rPr>
          <w:rFonts w:asciiTheme="minorHAnsi" w:hAnsiTheme="minorHAnsi" w:cstheme="majorHAnsi"/>
          <w:sz w:val="22"/>
          <w:szCs w:val="22"/>
        </w:rPr>
        <w:fldChar w:fldCharType="begin" w:fldLock="1"/>
      </w:r>
      <w:r w:rsidR="0083356B" w:rsidRPr="004E053C">
        <w:rPr>
          <w:rFonts w:asciiTheme="minorHAnsi" w:hAnsiTheme="minorHAnsi" w:cstheme="majorHAnsi"/>
          <w:sz w:val="22"/>
          <w:szCs w:val="22"/>
        </w:rPr>
        <w:instrText>ADDIN CSL_CITATION {"citationItems":[{"id":"ITEM-1","itemData":{"author":[{"dropping-particle":"","family":"Mason","given":"Jennifer","non-dropping-particle":"","parse-names":false,"suffix":""}],"id":"ITEM-1","issued":{"date-parts":[["2002"]]},"publisher":"Sage Publications Ltd","publisher-place":"London, UK","title":"Qualitative Researching","type":"book"},"uris":["http://www.mendeley.com/documents/?uuid=c5af782a-cf51-4780-902c-0c2fdb471010"]}],"mendeley":{"formattedCitation":"(Mason, 2002)","manualFormatting":"(2002)","plainTextFormattedCitation":"(Mason, 2002)","previouslyFormattedCitation":"(Mason, 2002)"},"properties":{"noteIndex":0},"schema":"https://github.com/citation-style-language/schema/raw/master/csl-citation.json"}</w:instrText>
      </w:r>
      <w:r w:rsidR="00871DD3" w:rsidRPr="004E053C">
        <w:rPr>
          <w:rFonts w:asciiTheme="minorHAnsi" w:hAnsiTheme="minorHAnsi" w:cstheme="majorHAnsi"/>
          <w:sz w:val="22"/>
          <w:szCs w:val="22"/>
        </w:rPr>
        <w:fldChar w:fldCharType="separate"/>
      </w:r>
      <w:r w:rsidR="00871DD3" w:rsidRPr="004E053C">
        <w:rPr>
          <w:rFonts w:asciiTheme="minorHAnsi" w:hAnsiTheme="minorHAnsi" w:cstheme="majorHAnsi"/>
          <w:noProof/>
          <w:sz w:val="22"/>
          <w:szCs w:val="22"/>
        </w:rPr>
        <w:t>(2002)</w:t>
      </w:r>
      <w:r w:rsidR="00871DD3"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argues that because of these issues, it is not possible to separate the findings and meanings uncovered in the interview from the social interaction in which it was produced. Researchers should strive to understand the complexities of the interaction and develop a sense of how context and situation work during interview. Given my investigation into an illicit livelihood activity, the associated environmental destruction and the increasingly violent encounters between miners and </w:t>
      </w:r>
      <w:r w:rsidRPr="004E053C">
        <w:rPr>
          <w:rFonts w:asciiTheme="minorHAnsi" w:hAnsiTheme="minorHAnsi" w:cstheme="majorHAnsi"/>
          <w:sz w:val="22"/>
          <w:szCs w:val="22"/>
        </w:rPr>
        <w:lastRenderedPageBreak/>
        <w:t xml:space="preserve">the Government as a result, it is unsurprising that I encountered strong positions. Once the miners had established I was not from a conservation NGO, they were very forthcoming with information regarding the Government, which allowed us to uncover a lot about social interactions in terms of collective action. This was because the men were keen to tell </w:t>
      </w:r>
      <w:r w:rsidR="00B41A6B" w:rsidRPr="004E053C">
        <w:rPr>
          <w:rFonts w:asciiTheme="minorHAnsi" w:hAnsiTheme="minorHAnsi" w:cstheme="majorHAnsi"/>
          <w:sz w:val="22"/>
          <w:szCs w:val="22"/>
        </w:rPr>
        <w:t>me</w:t>
      </w:r>
      <w:r w:rsidRPr="004E053C">
        <w:rPr>
          <w:rFonts w:asciiTheme="minorHAnsi" w:hAnsiTheme="minorHAnsi" w:cstheme="majorHAnsi"/>
          <w:sz w:val="22"/>
          <w:szCs w:val="22"/>
        </w:rPr>
        <w:t xml:space="preserve"> the problems they were facing in their conflict with the Government, and through this I learnt a lot about the nuances of local social change. The miners’ determination to talk about the political issues they face highlighted the fact that they felt their livelihoods were being threatened and that they were being treated unfairly. However, it was still important not to take their accounts of action by the Government and NGOs, and particularly their assessment of the impact ASM had on the environment, at face value. </w:t>
      </w:r>
      <w:r w:rsidR="00B41A6B" w:rsidRPr="004E053C">
        <w:rPr>
          <w:rFonts w:asciiTheme="minorHAnsi" w:hAnsiTheme="minorHAnsi" w:cstheme="majorHAnsi"/>
          <w:sz w:val="22"/>
          <w:szCs w:val="22"/>
        </w:rPr>
        <w:t xml:space="preserve">It is also likely that many of the respondents remained wary of discussing the intricacies of their illicit mining activity or their opinions about the government with me, particularly given my ethnic background. </w:t>
      </w:r>
      <w:r w:rsidRPr="004E053C">
        <w:rPr>
          <w:rFonts w:asciiTheme="minorHAnsi" w:hAnsiTheme="minorHAnsi" w:cstheme="majorHAnsi"/>
          <w:sz w:val="22"/>
          <w:szCs w:val="22"/>
        </w:rPr>
        <w:t xml:space="preserve">I </w:t>
      </w:r>
      <w:r w:rsidR="00B41A6B" w:rsidRPr="004E053C">
        <w:rPr>
          <w:rFonts w:asciiTheme="minorHAnsi" w:hAnsiTheme="minorHAnsi" w:cstheme="majorHAnsi"/>
          <w:sz w:val="22"/>
          <w:szCs w:val="22"/>
        </w:rPr>
        <w:t xml:space="preserve">therefore </w:t>
      </w:r>
      <w:r w:rsidRPr="004E053C">
        <w:rPr>
          <w:rFonts w:asciiTheme="minorHAnsi" w:hAnsiTheme="minorHAnsi" w:cstheme="majorHAnsi"/>
          <w:sz w:val="22"/>
          <w:szCs w:val="22"/>
        </w:rPr>
        <w:t xml:space="preserve">ensured that I triangulated all my data, corroborating the information through gathering multiple perceptions </w:t>
      </w:r>
      <w:r w:rsidR="0083356B" w:rsidRPr="004E053C">
        <w:rPr>
          <w:rFonts w:asciiTheme="minorHAnsi" w:hAnsiTheme="minorHAnsi" w:cstheme="majorHAnsi"/>
          <w:sz w:val="22"/>
          <w:szCs w:val="22"/>
        </w:rPr>
        <w:fldChar w:fldCharType="begin" w:fldLock="1"/>
      </w:r>
      <w:r w:rsidR="0083356B" w:rsidRPr="004E053C">
        <w:rPr>
          <w:rFonts w:asciiTheme="minorHAnsi" w:hAnsiTheme="minorHAnsi" w:cstheme="majorHAnsi"/>
          <w:sz w:val="22"/>
          <w:szCs w:val="22"/>
        </w:rPr>
        <w:instrText>ADDIN CSL_CITATION {"citationItems":[{"id":"ITEM-1","itemData":{"author":[{"dropping-particle":"","family":"Stake","given":"R.E.","non-dropping-particle":"","parse-names":false,"suffix":""}],"container-title":"The Sage Handbook of Qualitative Research","edition":"3rd","editor":[{"dropping-particle":"","family":"Denzin","given":"N.K","non-dropping-particle":"","parse-names":false,"suffix":""},{"dropping-particle":"","family":"Lincoln","given":"Y.S","non-dropping-particle":"","parse-names":false,"suffix":""}],"id":"ITEM-1","issued":{"date-parts":[["2005"]]},"page":"443-466","publisher":"Sage Publications Ltd","publisher-place":"London, UK","title":"Qualitative Case Studies","type":"chapter"},"uris":["http://www.mendeley.com/documents/?uuid=6bf5a596-359d-42a9-8af0-963920701eb8"]}],"mendeley":{"formattedCitation":"(Stake, 2005)","manualFormatting":"(Stake, 2005, p.454)","plainTextFormattedCitation":"(Stake, 2005)","previouslyFormattedCitation":"(Stake, 2005)"},"properties":{"noteIndex":0},"schema":"https://github.com/citation-style-language/schema/raw/master/csl-citation.json"}</w:instrText>
      </w:r>
      <w:r w:rsidR="0083356B" w:rsidRPr="004E053C">
        <w:rPr>
          <w:rFonts w:asciiTheme="minorHAnsi" w:hAnsiTheme="minorHAnsi" w:cstheme="majorHAnsi"/>
          <w:sz w:val="22"/>
          <w:szCs w:val="22"/>
        </w:rPr>
        <w:fldChar w:fldCharType="separate"/>
      </w:r>
      <w:r w:rsidR="0083356B" w:rsidRPr="004E053C">
        <w:rPr>
          <w:rFonts w:asciiTheme="minorHAnsi" w:hAnsiTheme="minorHAnsi" w:cstheme="majorHAnsi"/>
          <w:noProof/>
          <w:sz w:val="22"/>
          <w:szCs w:val="22"/>
        </w:rPr>
        <w:t>(Stake, 2005, p.454)</w:t>
      </w:r>
      <w:r w:rsidR="0083356B"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including NGO workers, representatives from multiple levels of government and non-mining community members. </w:t>
      </w:r>
    </w:p>
    <w:p w14:paraId="3AAA1DC8"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sz w:val="22"/>
          <w:szCs w:val="22"/>
        </w:rPr>
      </w:pPr>
    </w:p>
    <w:p w14:paraId="0633855A" w14:textId="39EE3207" w:rsidR="0077618A" w:rsidRPr="004E053C" w:rsidRDefault="00EA7F83" w:rsidP="004E053C">
      <w:pPr>
        <w:pStyle w:val="Heading3"/>
        <w:rPr>
          <w:rFonts w:asciiTheme="minorHAnsi" w:hAnsiTheme="minorHAnsi"/>
        </w:rPr>
      </w:pPr>
      <w:r w:rsidRPr="004E053C">
        <w:rPr>
          <w:rFonts w:asciiTheme="minorHAnsi" w:hAnsiTheme="minorHAnsi"/>
        </w:rPr>
        <w:t>5</w:t>
      </w:r>
      <w:r w:rsidR="0077618A" w:rsidRPr="004E053C">
        <w:rPr>
          <w:rFonts w:asciiTheme="minorHAnsi" w:hAnsiTheme="minorHAnsi"/>
        </w:rPr>
        <w:t>.8.2. Positionality</w:t>
      </w:r>
    </w:p>
    <w:p w14:paraId="2B4550B5" w14:textId="77777777" w:rsidR="00843DED" w:rsidRPr="004E053C" w:rsidRDefault="00843DED" w:rsidP="004E053C">
      <w:pPr>
        <w:jc w:val="both"/>
        <w:rPr>
          <w:lang w:val="en-GB"/>
        </w:rPr>
      </w:pPr>
    </w:p>
    <w:p w14:paraId="018F77A9" w14:textId="7FD3C245" w:rsidR="0077618A" w:rsidRPr="004E053C" w:rsidRDefault="0077618A"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 xml:space="preserve">While interviewees can often hold preconceptions regarding the interviewer, Scheurich </w:t>
      </w:r>
      <w:r w:rsidR="0083356B" w:rsidRPr="004E053C">
        <w:rPr>
          <w:rFonts w:asciiTheme="minorHAnsi" w:hAnsiTheme="minorHAnsi" w:cstheme="majorHAnsi"/>
          <w:sz w:val="22"/>
          <w:szCs w:val="22"/>
        </w:rPr>
        <w:fldChar w:fldCharType="begin" w:fldLock="1"/>
      </w:r>
      <w:r w:rsidR="0083356B" w:rsidRPr="004E053C">
        <w:rPr>
          <w:rFonts w:asciiTheme="minorHAnsi" w:hAnsiTheme="minorHAnsi" w:cstheme="majorHAnsi"/>
          <w:sz w:val="22"/>
          <w:szCs w:val="22"/>
        </w:rPr>
        <w:instrText>ADDIN CSL_CITATION {"citationItems":[{"id":"ITEM-1","itemData":{"author":[{"dropping-particle":"","family":"Scheurich","given":"James Joseph","non-dropping-particle":"","parse-names":false,"suffix":""}],"container-title":"Qualitative Studies in Education","id":"ITEM-1","issue":"3","issued":{"date-parts":[["1995"]]},"page":"239-252","title":"A postmodern critique of research interviewing","type":"article-journal","volume":"8"},"uris":["http://www.mendeley.com/documents/?uuid=56d274b7-091b-49fa-963d-66af18f5bbe9"]}],"mendeley":{"formattedCitation":"(Scheurich, 1995)","manualFormatting":"(1995)","plainTextFormattedCitation":"(Scheurich, 1995)","previouslyFormattedCitation":"(Scheurich, 1995)"},"properties":{"noteIndex":0},"schema":"https://github.com/citation-style-language/schema/raw/master/csl-citation.json"}</w:instrText>
      </w:r>
      <w:r w:rsidR="0083356B" w:rsidRPr="004E053C">
        <w:rPr>
          <w:rFonts w:asciiTheme="minorHAnsi" w:hAnsiTheme="minorHAnsi" w:cstheme="majorHAnsi"/>
          <w:sz w:val="22"/>
          <w:szCs w:val="22"/>
        </w:rPr>
        <w:fldChar w:fldCharType="separate"/>
      </w:r>
      <w:r w:rsidR="00DB3DA8" w:rsidRPr="004E053C">
        <w:rPr>
          <w:rFonts w:asciiTheme="minorHAnsi" w:hAnsiTheme="minorHAnsi" w:cstheme="majorHAnsi"/>
          <w:noProof/>
          <w:sz w:val="22"/>
          <w:szCs w:val="22"/>
        </w:rPr>
        <w:t>(1995</w:t>
      </w:r>
      <w:r w:rsidR="0083356B" w:rsidRPr="004E053C">
        <w:rPr>
          <w:rFonts w:asciiTheme="minorHAnsi" w:hAnsiTheme="minorHAnsi" w:cstheme="majorHAnsi"/>
          <w:noProof/>
          <w:sz w:val="22"/>
          <w:szCs w:val="22"/>
        </w:rPr>
        <w:t>)</w:t>
      </w:r>
      <w:r w:rsidR="0083356B"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noted that the interview may also carry unavoidable conscious and unconscious motives, desires, feelings and biases so cannot therefore be considered to be neutral. Scheurich maintained that as interviewers are themselves contextually l</w:t>
      </w:r>
      <w:r w:rsidR="0083356B" w:rsidRPr="004E053C">
        <w:rPr>
          <w:rFonts w:asciiTheme="minorHAnsi" w:hAnsiTheme="minorHAnsi" w:cstheme="majorHAnsi"/>
          <w:sz w:val="22"/>
          <w:szCs w:val="22"/>
        </w:rPr>
        <w:t>ocated, the positivist view ‘</w:t>
      </w:r>
      <w:r w:rsidRPr="004E053C">
        <w:rPr>
          <w:rFonts w:asciiTheme="minorHAnsi" w:hAnsiTheme="minorHAnsi" w:cstheme="majorHAnsi"/>
          <w:sz w:val="22"/>
          <w:szCs w:val="22"/>
        </w:rPr>
        <w:t>vastly underestimates the complexity, uniqueness and indeterminateness of ea</w:t>
      </w:r>
      <w:r w:rsidR="0083356B" w:rsidRPr="004E053C">
        <w:rPr>
          <w:rFonts w:asciiTheme="minorHAnsi" w:hAnsiTheme="minorHAnsi" w:cstheme="majorHAnsi"/>
          <w:sz w:val="22"/>
          <w:szCs w:val="22"/>
        </w:rPr>
        <w:t>ch one-to-one human interaction’</w:t>
      </w:r>
      <w:r w:rsidRPr="004E053C">
        <w:rPr>
          <w:rFonts w:asciiTheme="minorHAnsi" w:hAnsiTheme="minorHAnsi" w:cstheme="majorHAnsi"/>
          <w:sz w:val="22"/>
          <w:szCs w:val="22"/>
        </w:rPr>
        <w:t xml:space="preserve"> </w:t>
      </w:r>
      <w:r w:rsidR="0083356B" w:rsidRPr="004E053C">
        <w:rPr>
          <w:rFonts w:asciiTheme="minorHAnsi" w:hAnsiTheme="minorHAnsi" w:cstheme="majorHAnsi"/>
          <w:sz w:val="22"/>
          <w:szCs w:val="22"/>
        </w:rPr>
        <w:fldChar w:fldCharType="begin" w:fldLock="1"/>
      </w:r>
      <w:r w:rsidR="00B67ED4" w:rsidRPr="004E053C">
        <w:rPr>
          <w:rFonts w:asciiTheme="minorHAnsi" w:hAnsiTheme="minorHAnsi" w:cstheme="majorHAnsi"/>
          <w:sz w:val="22"/>
          <w:szCs w:val="22"/>
        </w:rPr>
        <w:instrText>ADDIN CSL_CITATION {"citationItems":[{"id":"ITEM-1","itemData":{"author":[{"dropping-particle":"","family":"Scheurich","given":"James Joseph","non-dropping-particle":"","parse-names":false,"suffix":""}],"container-title":"Qualitative Studies in Education","id":"ITEM-1","issue":"3","issued":{"date-parts":[["1995"]]},"page":"239-252","title":"A postmodern critique of research interviewing","type":"article-journal","volume":"8"},"uris":["http://www.mendeley.com/documents/?uuid=56d274b7-091b-49fa-963d-66af18f5bbe9"]}],"mendeley":{"formattedCitation":"(Scheurich, 1995)","manualFormatting":"(Ibid., p.241)","plainTextFormattedCitation":"(Scheurich, 1995)","previouslyFormattedCitation":"(Scheurich, 1995)"},"properties":{"noteIndex":0},"schema":"https://github.com/citation-style-language/schema/raw/master/csl-citation.json"}</w:instrText>
      </w:r>
      <w:r w:rsidR="0083356B" w:rsidRPr="004E053C">
        <w:rPr>
          <w:rFonts w:asciiTheme="minorHAnsi" w:hAnsiTheme="minorHAnsi" w:cstheme="majorHAnsi"/>
          <w:sz w:val="22"/>
          <w:szCs w:val="22"/>
        </w:rPr>
        <w:fldChar w:fldCharType="separate"/>
      </w:r>
      <w:r w:rsidR="007F1856" w:rsidRPr="004E053C">
        <w:rPr>
          <w:rFonts w:asciiTheme="minorHAnsi" w:hAnsiTheme="minorHAnsi" w:cstheme="majorHAnsi"/>
          <w:noProof/>
          <w:sz w:val="22"/>
          <w:szCs w:val="22"/>
        </w:rPr>
        <w:t>(Ibid</w:t>
      </w:r>
      <w:r w:rsidR="00EC4FAE" w:rsidRPr="004E053C">
        <w:rPr>
          <w:rFonts w:asciiTheme="minorHAnsi" w:hAnsiTheme="minorHAnsi" w:cstheme="majorHAnsi"/>
          <w:noProof/>
          <w:sz w:val="22"/>
          <w:szCs w:val="22"/>
        </w:rPr>
        <w:t>.</w:t>
      </w:r>
      <w:r w:rsidR="0083356B" w:rsidRPr="004E053C">
        <w:rPr>
          <w:rFonts w:asciiTheme="minorHAnsi" w:hAnsiTheme="minorHAnsi" w:cstheme="majorHAnsi"/>
          <w:noProof/>
          <w:sz w:val="22"/>
          <w:szCs w:val="22"/>
        </w:rPr>
        <w:t>, p.241)</w:t>
      </w:r>
      <w:r w:rsidR="0083356B"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Thus, particularly when following a constructivist approach, researchers recognise that their own background </w:t>
      </w:r>
      <w:r w:rsidR="0083356B" w:rsidRPr="004E053C">
        <w:rPr>
          <w:rFonts w:asciiTheme="minorHAnsi" w:hAnsiTheme="minorHAnsi" w:cstheme="majorHAnsi"/>
          <w:sz w:val="22"/>
          <w:szCs w:val="22"/>
        </w:rPr>
        <w:t>shapes interpretation and they ‘position themselves’</w:t>
      </w:r>
      <w:r w:rsidRPr="004E053C">
        <w:rPr>
          <w:rFonts w:asciiTheme="minorHAnsi" w:hAnsiTheme="minorHAnsi" w:cstheme="majorHAnsi"/>
          <w:sz w:val="22"/>
          <w:szCs w:val="22"/>
        </w:rPr>
        <w:t xml:space="preserve"> in the research to acknowledge how their interpretation flows from their own personal, cultural and historical experiences </w:t>
      </w:r>
      <w:r w:rsidR="0083356B" w:rsidRPr="004E053C">
        <w:rPr>
          <w:rFonts w:asciiTheme="minorHAnsi" w:hAnsiTheme="minorHAnsi" w:cstheme="majorHAnsi"/>
          <w:sz w:val="22"/>
          <w:szCs w:val="22"/>
        </w:rPr>
        <w:fldChar w:fldCharType="begin" w:fldLock="1"/>
      </w:r>
      <w:r w:rsidR="007F27D0" w:rsidRPr="004E053C">
        <w:rPr>
          <w:rFonts w:asciiTheme="minorHAnsi" w:hAnsiTheme="minorHAnsi" w:cstheme="majorHAnsi"/>
          <w:sz w:val="22"/>
          <w:szCs w:val="22"/>
        </w:rPr>
        <w:instrText>ADDIN CSL_CITATION {"citationItems":[{"id":"ITEM-1","itemData":{"author":[{"dropping-particle":"","family":"Creswell","given":"John","non-dropping-particle":"","parse-names":false,"suffix":""}],"id":"ITEM-1","issued":{"date-parts":[["2013"]]},"publisher":"Sage Publications Ltd","publisher-place":"Los Angeles, CA","title":"Qualitative Inquiry and Research Design: Choosing Among Five Approaches","type":"book"},"uris":["http://www.mendeley.com/documents/?uuid=77d8f584-1b03-462c-9688-87342353f795"]}],"mendeley":{"formattedCitation":"(Creswell, 2013)","manualFormatting":"(Creswell, 2013, p.21)","plainTextFormattedCitation":"(Creswell, 2013)","previouslyFormattedCitation":"(Creswell, 2013)"},"properties":{"noteIndex":0},"schema":"https://github.com/citation-style-language/schema/raw/master/csl-citation.json"}</w:instrText>
      </w:r>
      <w:r w:rsidR="0083356B" w:rsidRPr="004E053C">
        <w:rPr>
          <w:rFonts w:asciiTheme="minorHAnsi" w:hAnsiTheme="minorHAnsi" w:cstheme="majorHAnsi"/>
          <w:sz w:val="22"/>
          <w:szCs w:val="22"/>
        </w:rPr>
        <w:fldChar w:fldCharType="separate"/>
      </w:r>
      <w:r w:rsidR="0083356B" w:rsidRPr="004E053C">
        <w:rPr>
          <w:rFonts w:asciiTheme="minorHAnsi" w:hAnsiTheme="minorHAnsi" w:cstheme="majorHAnsi"/>
          <w:noProof/>
          <w:sz w:val="22"/>
          <w:szCs w:val="22"/>
        </w:rPr>
        <w:t>(Creswell, 2013, p.21)</w:t>
      </w:r>
      <w:r w:rsidR="0083356B"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w:t>
      </w:r>
    </w:p>
    <w:p w14:paraId="1D35FB6F"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sz w:val="22"/>
          <w:szCs w:val="22"/>
        </w:rPr>
      </w:pPr>
    </w:p>
    <w:p w14:paraId="77EE3714" w14:textId="405CF4DA" w:rsidR="0077618A" w:rsidRPr="004E053C" w:rsidRDefault="0077618A"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 xml:space="preserve">Before starting the research, it was important for me to reflect on my own positionality. As a woman, I am likely to have been more sympathetic to the plight of women within ASM contexts, and indeed it is my interest in feminist issues that made me aware of the lack of focus on women in ASM in literature. While uncovering the realities of life for both women and men embroiled in translocal livelihoods, I often found myself focusing on the structural constraints women face while attempting to exercise agency, while at the same time taking the agency of men within marital relationships somewhat for granted. At the same time, my ethnic identity affected my positionality in many ways. Whilst it has been argued that researchers conducting cross-cultural research can be more objective </w:t>
      </w:r>
      <w:r w:rsidRPr="004E053C">
        <w:rPr>
          <w:rFonts w:asciiTheme="minorHAnsi" w:hAnsiTheme="minorHAnsi" w:cstheme="majorHAnsi"/>
          <w:sz w:val="22"/>
          <w:szCs w:val="22"/>
        </w:rPr>
        <w:lastRenderedPageBreak/>
        <w:t xml:space="preserve">as they are not as emotionally invested in the participants or context, they are also far less likely to understand the cultural complexities of the situation </w:t>
      </w:r>
      <w:r w:rsidR="0083356B" w:rsidRPr="004E053C">
        <w:rPr>
          <w:rFonts w:asciiTheme="minorHAnsi" w:hAnsiTheme="minorHAnsi" w:cstheme="majorHAnsi"/>
          <w:sz w:val="22"/>
          <w:szCs w:val="22"/>
        </w:rPr>
        <w:fldChar w:fldCharType="begin" w:fldLock="1"/>
      </w:r>
      <w:r w:rsidR="0083356B" w:rsidRPr="004E053C">
        <w:rPr>
          <w:rFonts w:asciiTheme="minorHAnsi" w:hAnsiTheme="minorHAnsi" w:cstheme="majorHAnsi"/>
          <w:sz w:val="22"/>
          <w:szCs w:val="22"/>
        </w:rPr>
        <w:instrText>ADDIN CSL_CITATION {"citationItems":[{"id":"ITEM-1","itemData":{"author":[{"dropping-particle":"","family":"Baser","given":"Bahar","non-dropping-particle":"","parse-names":false,"suffix":""},{"dropping-particle":"","family":"Toivanen","given":"Mari","non-dropping-particle":"","parse-names":false,"suffix":""}],"container-title":"Ethnic and Racial Studies","id":"ITEM-1","issue":"11","issued":{"date-parts":[["2018"]]},"page":"2067-2084","title":"Politicized and depoliticized ethnicities, power relations and temporality: insights to outsider research from comparative and transnational fieldwork","type":"article-journal","volume":"41"},"uris":["http://www.mendeley.com/documents/?uuid=45d0e4f0-9591-4d70-afb7-57721dfc3d4b"]}],"mendeley":{"formattedCitation":"(Baser &amp; Toivanen, 2018)","plainTextFormattedCitation":"(Baser &amp; Toivanen, 2018)","previouslyFormattedCitation":"(Baser &amp; Toivanen, 2018)"},"properties":{"noteIndex":0},"schema":"https://github.com/citation-style-language/schema/raw/master/csl-citation.json"}</w:instrText>
      </w:r>
      <w:r w:rsidR="0083356B" w:rsidRPr="004E053C">
        <w:rPr>
          <w:rFonts w:asciiTheme="minorHAnsi" w:hAnsiTheme="minorHAnsi" w:cstheme="majorHAnsi"/>
          <w:sz w:val="22"/>
          <w:szCs w:val="22"/>
        </w:rPr>
        <w:fldChar w:fldCharType="separate"/>
      </w:r>
      <w:r w:rsidR="0083356B" w:rsidRPr="004E053C">
        <w:rPr>
          <w:rFonts w:asciiTheme="minorHAnsi" w:hAnsiTheme="minorHAnsi" w:cstheme="majorHAnsi"/>
          <w:noProof/>
          <w:sz w:val="22"/>
          <w:szCs w:val="22"/>
        </w:rPr>
        <w:t>(Baser &amp; Toivanen, 2018)</w:t>
      </w:r>
      <w:r w:rsidR="0083356B" w:rsidRPr="004E053C">
        <w:rPr>
          <w:rFonts w:asciiTheme="minorHAnsi" w:hAnsiTheme="minorHAnsi" w:cstheme="majorHAnsi"/>
          <w:sz w:val="22"/>
          <w:szCs w:val="22"/>
        </w:rPr>
        <w:fldChar w:fldCharType="end"/>
      </w:r>
      <w:r w:rsidRPr="004E053C">
        <w:rPr>
          <w:rFonts w:asciiTheme="minorHAnsi" w:hAnsiTheme="minorHAnsi" w:cstheme="majorHAnsi"/>
          <w:sz w:val="22"/>
          <w:szCs w:val="22"/>
        </w:rPr>
        <w:t>. This was an important factor in my research, as I had to spend a lot of time trying to understand what was going on without any insider knowledge. Due to the global spotlight on the deforestation of the Amazon, I also had a preoccupation with the environmental sustainability of ASM, but also preconceived ideas about some of the people involved in the sector, as I knew of the links with human trafficking, coca production, crime and violence. Whilst it is impossible for a researcher to change their positionality, I tried to remain aware of my own subjectivities at all times.</w:t>
      </w:r>
    </w:p>
    <w:p w14:paraId="3AFB9655"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sz w:val="22"/>
          <w:szCs w:val="22"/>
        </w:rPr>
      </w:pPr>
    </w:p>
    <w:p w14:paraId="08C3EC50" w14:textId="27A99217" w:rsidR="0077618A" w:rsidRPr="004E053C" w:rsidRDefault="0077618A"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 xml:space="preserve">As someone with a strong background in international development and a strong scepticism of neo-liberalism, I was inherently sympathetic to the plight of the families engaging in ASM. This viewpoint may have been quite different from someone approaching the problem from a different discipline or with different objectives. For example, a researcher from a business or economics background may highlight the consequences for large-scale extractives or focus more on the need for formalisation, while a conservationist motivated primarily by a desire to eliminate deforestation may put little weight on the background of people engaged in destructive ASM activities. The position I held was only reinforced through my study of the translocal community and the initial phase of fieldwork in Ocongate, where I was exposed to the realities of Andean life for low-income households. However, I was careful in my analysis to avoid siding with participants, or being guilty of what Creswell </w:t>
      </w:r>
      <w:r w:rsidR="0083356B" w:rsidRPr="004E053C">
        <w:rPr>
          <w:rFonts w:asciiTheme="minorHAnsi" w:hAnsiTheme="minorHAnsi" w:cstheme="majorHAnsi"/>
          <w:sz w:val="22"/>
          <w:szCs w:val="22"/>
        </w:rPr>
        <w:fldChar w:fldCharType="begin" w:fldLock="1"/>
      </w:r>
      <w:r w:rsidR="007F27D0" w:rsidRPr="004E053C">
        <w:rPr>
          <w:rFonts w:asciiTheme="minorHAnsi" w:hAnsiTheme="minorHAnsi" w:cstheme="majorHAnsi"/>
          <w:sz w:val="22"/>
          <w:szCs w:val="22"/>
        </w:rPr>
        <w:instrText>ADDIN CSL_CITATION {"citationItems":[{"id":"ITEM-1","itemData":{"author":[{"dropping-particle":"","family":"Creswell","given":"John","non-dropping-particle":"","parse-names":false,"suffix":""}],"edition":"4th","id":"ITEM-1","issued":{"date-parts":[["2014"]]},"publisher":"Sage Publications Ltd","publisher-place":"Los Angeles, CA","title":"Research Design: Qualitative, Quantitative and Mixed Methods Approaches","type":"book"},"uris":["http://www.mendeley.com/documents/?uuid=7edc34a1-9390-429c-bb79-1b9ca0f21137"]}],"mendeley":{"formattedCitation":"(Creswell, 2014)","manualFormatting":"(2014)","plainTextFormattedCitation":"(Creswell, 2014)","previouslyFormattedCitation":"(Creswell, 2014)"},"properties":{"noteIndex":0},"schema":"https://github.com/citation-style-language/schema/raw/master/csl-citation.json"}</w:instrText>
      </w:r>
      <w:r w:rsidR="0083356B" w:rsidRPr="004E053C">
        <w:rPr>
          <w:rFonts w:asciiTheme="minorHAnsi" w:hAnsiTheme="minorHAnsi" w:cstheme="majorHAnsi"/>
          <w:sz w:val="22"/>
          <w:szCs w:val="22"/>
        </w:rPr>
        <w:fldChar w:fldCharType="separate"/>
      </w:r>
      <w:r w:rsidR="0083356B" w:rsidRPr="004E053C">
        <w:rPr>
          <w:rFonts w:asciiTheme="minorHAnsi" w:hAnsiTheme="minorHAnsi" w:cstheme="majorHAnsi"/>
          <w:noProof/>
          <w:sz w:val="22"/>
          <w:szCs w:val="22"/>
        </w:rPr>
        <w:t>(2014)</w:t>
      </w:r>
      <w:r w:rsidR="0083356B" w:rsidRPr="004E053C">
        <w:rPr>
          <w:rFonts w:asciiTheme="minorHAnsi" w:hAnsiTheme="minorHAnsi" w:cstheme="majorHAnsi"/>
          <w:sz w:val="22"/>
          <w:szCs w:val="22"/>
        </w:rPr>
        <w:fldChar w:fldCharType="end"/>
      </w:r>
      <w:r w:rsidR="0083356B" w:rsidRPr="004E053C">
        <w:rPr>
          <w:rFonts w:asciiTheme="minorHAnsi" w:hAnsiTheme="minorHAnsi" w:cstheme="majorHAnsi"/>
          <w:sz w:val="22"/>
          <w:szCs w:val="22"/>
        </w:rPr>
        <w:t xml:space="preserve"> refers to as ‘going native’</w:t>
      </w:r>
      <w:r w:rsidRPr="004E053C">
        <w:rPr>
          <w:rFonts w:asciiTheme="minorHAnsi" w:hAnsiTheme="minorHAnsi" w:cstheme="majorHAnsi"/>
          <w:sz w:val="22"/>
          <w:szCs w:val="22"/>
        </w:rPr>
        <w:t>. I ensured that I collected data from a range of stakeholders, as well as diversity of opinion from within the ASM community.</w:t>
      </w:r>
    </w:p>
    <w:p w14:paraId="60C31FE1" w14:textId="77777777" w:rsidR="00843DED" w:rsidRPr="004E053C" w:rsidRDefault="00843DED" w:rsidP="004E053C">
      <w:pPr>
        <w:pStyle w:val="NormalWeb"/>
        <w:spacing w:before="0" w:beforeAutospacing="0" w:after="0" w:afterAutospacing="0" w:line="360" w:lineRule="auto"/>
        <w:jc w:val="both"/>
        <w:rPr>
          <w:rFonts w:asciiTheme="minorHAnsi" w:hAnsiTheme="minorHAnsi" w:cstheme="majorHAnsi"/>
          <w:sz w:val="22"/>
          <w:szCs w:val="22"/>
        </w:rPr>
      </w:pPr>
    </w:p>
    <w:p w14:paraId="5F4D633F" w14:textId="0462B45E" w:rsidR="0077618A" w:rsidRPr="004E053C" w:rsidRDefault="00EA7F83" w:rsidP="004E053C">
      <w:pPr>
        <w:pStyle w:val="Heading3"/>
        <w:rPr>
          <w:rFonts w:asciiTheme="minorHAnsi" w:hAnsiTheme="minorHAnsi"/>
        </w:rPr>
      </w:pPr>
      <w:r w:rsidRPr="004E053C">
        <w:rPr>
          <w:rFonts w:asciiTheme="minorHAnsi" w:hAnsiTheme="minorHAnsi"/>
        </w:rPr>
        <w:t>5</w:t>
      </w:r>
      <w:r w:rsidR="004A3EF1" w:rsidRPr="004E053C">
        <w:rPr>
          <w:rFonts w:asciiTheme="minorHAnsi" w:hAnsiTheme="minorHAnsi"/>
        </w:rPr>
        <w:t>.8.3. Language barriers and the use of i</w:t>
      </w:r>
      <w:r w:rsidR="0077618A" w:rsidRPr="004E053C">
        <w:rPr>
          <w:rFonts w:asciiTheme="minorHAnsi" w:hAnsiTheme="minorHAnsi"/>
        </w:rPr>
        <w:t>nterpreters</w:t>
      </w:r>
    </w:p>
    <w:p w14:paraId="36E54BD8" w14:textId="77777777" w:rsidR="0077618A" w:rsidRPr="004E053C" w:rsidRDefault="0077618A" w:rsidP="004E053C">
      <w:pPr>
        <w:spacing w:line="360" w:lineRule="auto"/>
        <w:jc w:val="both"/>
        <w:rPr>
          <w:rFonts w:cstheme="majorHAnsi"/>
          <w:lang w:val="en-GB"/>
        </w:rPr>
      </w:pPr>
    </w:p>
    <w:p w14:paraId="159B5CC9" w14:textId="5F8CCEFC"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As I was conducting cross-language qualitative research, the biggest challenge I faced du</w:t>
      </w:r>
      <w:r w:rsidR="004A3001" w:rsidRPr="004E053C">
        <w:rPr>
          <w:rFonts w:cstheme="majorHAnsi"/>
          <w:sz w:val="22"/>
          <w:szCs w:val="22"/>
          <w:lang w:val="en-GB"/>
        </w:rPr>
        <w:t xml:space="preserve">ring fieldwork was the language </w:t>
      </w:r>
      <w:r w:rsidRPr="004E053C">
        <w:rPr>
          <w:rFonts w:cstheme="majorHAnsi"/>
          <w:sz w:val="22"/>
          <w:szCs w:val="22"/>
          <w:lang w:val="en-GB"/>
        </w:rPr>
        <w:t xml:space="preserve">barriers. Although I made every effort to learn Spanish to an intermediate level, a translator was still essential. In the Andean communities, there was a further language barrier, as although many of the miners’ wives could communicate to a limited extent in Spanish, interviews with many of the slightly older women had to be conducted in Quechua. Fortunately, this was not a problem in the mining settlements, as everyone there spoke Spanish. There are many issues in the timing of translation in cross-language qualitative research </w:t>
      </w:r>
      <w:r w:rsidR="0083356B" w:rsidRPr="004E053C">
        <w:rPr>
          <w:rFonts w:cstheme="majorHAnsi"/>
          <w:sz w:val="22"/>
          <w:szCs w:val="22"/>
          <w:lang w:val="en-GB"/>
        </w:rPr>
        <w:fldChar w:fldCharType="begin" w:fldLock="1"/>
      </w:r>
      <w:r w:rsidR="0083356B" w:rsidRPr="004E053C">
        <w:rPr>
          <w:rFonts w:cstheme="majorHAnsi"/>
          <w:sz w:val="22"/>
          <w:szCs w:val="22"/>
          <w:lang w:val="en-GB"/>
        </w:rPr>
        <w:instrText>ADDIN CSL_CITATION {"citationItems":[{"id":"ITEM-1","itemData":{"author":[{"dropping-particle":"","family":"Santos","given":"HP Jr","non-dropping-particle":"","parse-names":false,"suffix":""},{"dropping-particle":"","family":"Black","given":"AM","non-dropping-particle":"","parse-names":false,"suffix":""},{"dropping-particle":"","family":"Sandelowski","given":"M.","non-dropping-particle":"","parse-names":false,"suffix":""}],"container-title":"Qualitative Health Research","id":"ITEM-1","issue":"1","issued":{"date-parts":[["2015"]]},"page":"134-144","title":"Timing of translation in cross-language qualitative research","type":"article-journal","volume":"25"},"uris":["http://www.mendeley.com/documents/?uuid=9b60a8d7-0905-4266-984d-a0f3ad02453e"]}],"mendeley":{"formattedCitation":"(Santos, Black, &amp; Sandelowski, 2015)","manualFormatting":"(Santos et al, 2015)","plainTextFormattedCitation":"(Santos, Black, &amp; Sandelowski, 2015)","previouslyFormattedCitation":"(Santos, Black, &amp; Sandelowski, 2015)"},"properties":{"noteIndex":0},"schema":"https://github.com/citation-style-language/schema/raw/master/csl-citation.json"}</w:instrText>
      </w:r>
      <w:r w:rsidR="0083356B" w:rsidRPr="004E053C">
        <w:rPr>
          <w:rFonts w:cstheme="majorHAnsi"/>
          <w:sz w:val="22"/>
          <w:szCs w:val="22"/>
          <w:lang w:val="en-GB"/>
        </w:rPr>
        <w:fldChar w:fldCharType="separate"/>
      </w:r>
      <w:r w:rsidR="0083356B" w:rsidRPr="004E053C">
        <w:rPr>
          <w:rFonts w:cstheme="majorHAnsi"/>
          <w:noProof/>
          <w:sz w:val="22"/>
          <w:szCs w:val="22"/>
          <w:lang w:val="en-GB"/>
        </w:rPr>
        <w:t>(Santos et al, 2015)</w:t>
      </w:r>
      <w:r w:rsidR="0083356B" w:rsidRPr="004E053C">
        <w:rPr>
          <w:rFonts w:cstheme="majorHAnsi"/>
          <w:sz w:val="22"/>
          <w:szCs w:val="22"/>
          <w:lang w:val="en-GB"/>
        </w:rPr>
        <w:fldChar w:fldCharType="end"/>
      </w:r>
      <w:r w:rsidRPr="004E053C">
        <w:rPr>
          <w:rFonts w:cstheme="majorHAnsi"/>
          <w:sz w:val="22"/>
          <w:szCs w:val="22"/>
          <w:lang w:val="en-GB"/>
        </w:rPr>
        <w:t xml:space="preserve">, but given my grasp of the Spanish language, data collection tools were translated prior to interview. The interviews themselves were interpreted in real time. I later transcribed the translation, while my interpreter transcribed the Spanish, which allowed me the possibility of going </w:t>
      </w:r>
      <w:r w:rsidRPr="004E053C">
        <w:rPr>
          <w:rFonts w:cstheme="majorHAnsi"/>
          <w:sz w:val="22"/>
          <w:szCs w:val="22"/>
          <w:lang w:val="en-GB"/>
        </w:rPr>
        <w:lastRenderedPageBreak/>
        <w:t xml:space="preserve">back to check the original meaning if necessary. However, the process reduced the amount of data I was able to get from each interview, not least because of the duration of time taken for the translator to interpret. </w:t>
      </w:r>
      <w:r w:rsidR="00117100" w:rsidRPr="004E053C">
        <w:rPr>
          <w:rFonts w:cstheme="majorHAnsi"/>
          <w:sz w:val="22"/>
          <w:szCs w:val="22"/>
          <w:lang w:val="en-GB"/>
        </w:rPr>
        <w:t>These language barriers also significantly reduced my ability to draw on Spanish or Portuguese literature.</w:t>
      </w:r>
      <w:r w:rsidR="00824201" w:rsidRPr="004E053C">
        <w:rPr>
          <w:rFonts w:cstheme="majorHAnsi"/>
          <w:sz w:val="22"/>
          <w:szCs w:val="22"/>
          <w:lang w:val="en-GB"/>
        </w:rPr>
        <w:t>lllll</w:t>
      </w:r>
      <w:r w:rsidR="006C4566" w:rsidRPr="004E053C">
        <w:rPr>
          <w:rFonts w:cstheme="majorHAnsi"/>
          <w:sz w:val="22"/>
          <w:szCs w:val="22"/>
          <w:lang w:val="en-GB"/>
        </w:rPr>
        <w:t>l</w:t>
      </w:r>
    </w:p>
    <w:p w14:paraId="04435128" w14:textId="77777777" w:rsidR="0077618A" w:rsidRPr="004E053C" w:rsidRDefault="0077618A" w:rsidP="004E053C">
      <w:pPr>
        <w:spacing w:line="360" w:lineRule="auto"/>
        <w:jc w:val="both"/>
        <w:rPr>
          <w:rFonts w:cstheme="majorHAnsi"/>
          <w:sz w:val="22"/>
          <w:szCs w:val="22"/>
          <w:lang w:val="en-GB"/>
        </w:rPr>
      </w:pPr>
    </w:p>
    <w:p w14:paraId="258D1F9C" w14:textId="66E05D77"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 xml:space="preserve">As has already been noted, I used three different translators during fieldwork. In the first phase, I used a Quechua/Spanish-speaking female interpreter in Ocongate and a Spanish-speaking male in Laberinto, while in the second phase, which took place solely in Laberinto, I used a Spanish speaking female interpreter. Using different translators was necessary due to the availability of the various translators and the fact that I needed an interpreter who spoke Quechua in Ocongate. This meant there was a lack of continuity between the various phases of fieldwork in some respects, but it did allow me to select translators with comparatively more understanding of each locational context. Furthermore, in the first phase of fieldwork the interpreters were both required to stay in the field site for a 1-4 weeks at a time, which risks the interpreters becoming bored or anxious if they miss home </w:t>
      </w:r>
      <w:r w:rsidR="0083356B" w:rsidRPr="004E053C">
        <w:rPr>
          <w:rFonts w:cstheme="majorHAnsi"/>
          <w:sz w:val="22"/>
          <w:szCs w:val="22"/>
          <w:lang w:val="en-GB"/>
        </w:rPr>
        <w:fldChar w:fldCharType="begin" w:fldLock="1"/>
      </w:r>
      <w:r w:rsidR="0083356B" w:rsidRPr="004E053C">
        <w:rPr>
          <w:rFonts w:cstheme="majorHAnsi"/>
          <w:sz w:val="22"/>
          <w:szCs w:val="22"/>
          <w:lang w:val="en-GB"/>
        </w:rPr>
        <w:instrText>ADDIN CSL_CITATION {"citationItems":[{"id":"ITEM-1","itemData":{"author":[{"dropping-particle":"","family":"Turner","given":"Sarah","non-dropping-particle":"","parse-names":false,"suffix":""}],"container-title":"Asia Pacific Viewpoint","id":"ITEM-1","issue":"2","issued":{"date-parts":[["2010"]]},"page":"206-219","title":"Research Note: The silenced assistant. Reflections of invisible interpreters and research assistants","type":"article-journal","volume":"51"},"uris":["http://www.mendeley.com/documents/?uuid=7e85875b-86e4-4f7a-9999-12db2dc157da"]}],"mendeley":{"formattedCitation":"(S. Turner, 2010)","manualFormatting":"(Turner, 2010)","plainTextFormattedCitation":"(S. Turner, 2010)","previouslyFormattedCitation":"(S. Turner, 2010)"},"properties":{"noteIndex":0},"schema":"https://github.com/citation-style-language/schema/raw/master/csl-citation.json"}</w:instrText>
      </w:r>
      <w:r w:rsidR="0083356B" w:rsidRPr="004E053C">
        <w:rPr>
          <w:rFonts w:cstheme="majorHAnsi"/>
          <w:sz w:val="22"/>
          <w:szCs w:val="22"/>
          <w:lang w:val="en-GB"/>
        </w:rPr>
        <w:fldChar w:fldCharType="separate"/>
      </w:r>
      <w:r w:rsidR="0083356B" w:rsidRPr="004E053C">
        <w:rPr>
          <w:rFonts w:cstheme="majorHAnsi"/>
          <w:noProof/>
          <w:sz w:val="22"/>
          <w:szCs w:val="22"/>
          <w:lang w:val="en-GB"/>
        </w:rPr>
        <w:t>(Turner, 2010)</w:t>
      </w:r>
      <w:r w:rsidR="0083356B" w:rsidRPr="004E053C">
        <w:rPr>
          <w:rFonts w:cstheme="majorHAnsi"/>
          <w:sz w:val="22"/>
          <w:szCs w:val="22"/>
          <w:lang w:val="en-GB"/>
        </w:rPr>
        <w:fldChar w:fldCharType="end"/>
      </w:r>
      <w:r w:rsidRPr="004E053C">
        <w:rPr>
          <w:rFonts w:cstheme="majorHAnsi"/>
          <w:sz w:val="22"/>
          <w:szCs w:val="22"/>
          <w:lang w:val="en-GB"/>
        </w:rPr>
        <w:t xml:space="preserve">. I made sure that the interpreters were able to travel home whenever possible or visit the nearby city where they had some friends and family. </w:t>
      </w:r>
    </w:p>
    <w:p w14:paraId="3202605D" w14:textId="77777777" w:rsidR="0077618A" w:rsidRPr="004E053C" w:rsidRDefault="0077618A" w:rsidP="004E053C">
      <w:pPr>
        <w:spacing w:line="360" w:lineRule="auto"/>
        <w:jc w:val="both"/>
        <w:rPr>
          <w:rFonts w:cstheme="majorHAnsi"/>
          <w:sz w:val="22"/>
          <w:szCs w:val="22"/>
          <w:lang w:val="en-GB"/>
        </w:rPr>
      </w:pPr>
    </w:p>
    <w:p w14:paraId="2037AE92" w14:textId="57ABD6ED"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 xml:space="preserve">Interpreters play a fundamental role in the success of cross-language research, as the person often plays a role of cultural broker, mediator and gatekeeper </w:t>
      </w:r>
      <w:r w:rsidR="0083356B" w:rsidRPr="004E053C">
        <w:rPr>
          <w:rFonts w:cstheme="majorHAnsi"/>
          <w:sz w:val="22"/>
          <w:szCs w:val="22"/>
          <w:lang w:val="en-GB"/>
        </w:rPr>
        <w:fldChar w:fldCharType="begin" w:fldLock="1"/>
      </w:r>
      <w:r w:rsidR="0083356B" w:rsidRPr="004E053C">
        <w:rPr>
          <w:rFonts w:cstheme="majorHAnsi"/>
          <w:sz w:val="22"/>
          <w:szCs w:val="22"/>
          <w:lang w:val="en-GB"/>
        </w:rPr>
        <w:instrText>ADDIN CSL_CITATION {"citationItems":[{"id":"ITEM-1","itemData":{"author":[{"dropping-particle":"","family":"Caretta","given":"Martina Angela","non-dropping-particle":"","parse-names":false,"suffix":""}],"container-title":"Qualitative Research","id":"ITEM-1","issue":"4","issued":{"date-parts":[["2015"]]},"page":"489-505","title":"Situated knowledge in cross-cultural, cross-language research: a collaborative reflexive analysis of researcher, assistant and participant subjectivities","type":"article-journal","volume":"15"},"uris":["http://www.mendeley.com/documents/?uuid=4b23dce8-b0f5-40e0-9ff5-196aeec142a0"]}],"mendeley":{"formattedCitation":"(Caretta, 2015)","plainTextFormattedCitation":"(Caretta, 2015)","previouslyFormattedCitation":"(Caretta, 2015)"},"properties":{"noteIndex":0},"schema":"https://github.com/citation-style-language/schema/raw/master/csl-citation.json"}</w:instrText>
      </w:r>
      <w:r w:rsidR="0083356B" w:rsidRPr="004E053C">
        <w:rPr>
          <w:rFonts w:cstheme="majorHAnsi"/>
          <w:sz w:val="22"/>
          <w:szCs w:val="22"/>
          <w:lang w:val="en-GB"/>
        </w:rPr>
        <w:fldChar w:fldCharType="separate"/>
      </w:r>
      <w:r w:rsidR="0083356B" w:rsidRPr="004E053C">
        <w:rPr>
          <w:rFonts w:cstheme="majorHAnsi"/>
          <w:noProof/>
          <w:sz w:val="22"/>
          <w:szCs w:val="22"/>
          <w:lang w:val="en-GB"/>
        </w:rPr>
        <w:t>(Caretta, 2015)</w:t>
      </w:r>
      <w:r w:rsidR="0083356B" w:rsidRPr="004E053C">
        <w:rPr>
          <w:rFonts w:cstheme="majorHAnsi"/>
          <w:sz w:val="22"/>
          <w:szCs w:val="22"/>
          <w:lang w:val="en-GB"/>
        </w:rPr>
        <w:fldChar w:fldCharType="end"/>
      </w:r>
      <w:r w:rsidRPr="004E053C">
        <w:rPr>
          <w:rFonts w:cstheme="majorHAnsi"/>
          <w:sz w:val="22"/>
          <w:szCs w:val="22"/>
          <w:lang w:val="en-GB"/>
        </w:rPr>
        <w:t>. This was certainly true in my research, particularly in the Andes where the ethnic identity of my interpreter proved indispensable for getting access to interview respondents as well as understanding the cultural norms associated with interviews and research. She was also a woman, which was crucial when interviewing the Andean women, who would have felt much less comfortable interacting with men. In Laberinto, I was initially accompanied by a male translator, which made me feel more comfortable security wise than travelling with another female. During the second phase of fieldwork I had opted to be based in Puerto Maldonado, where there were less issues with security. Using a male interpreter may have also made the miners more open to discussing certain topics such as prostitution and alcoholism, but there was no discernible difference in this respect when using a female interpreter in the second phase, although we were mostly focused on interviewing women and NGO/LGA representatives.</w:t>
      </w:r>
    </w:p>
    <w:p w14:paraId="1330E844" w14:textId="77777777" w:rsidR="0077618A" w:rsidRPr="004E053C" w:rsidRDefault="0077618A" w:rsidP="004E053C">
      <w:pPr>
        <w:spacing w:line="360" w:lineRule="auto"/>
        <w:jc w:val="both"/>
        <w:rPr>
          <w:rFonts w:cstheme="majorHAnsi"/>
          <w:sz w:val="22"/>
          <w:szCs w:val="22"/>
          <w:lang w:val="en-GB"/>
        </w:rPr>
      </w:pPr>
    </w:p>
    <w:p w14:paraId="564B2848" w14:textId="6374A69F" w:rsidR="0077618A" w:rsidRPr="004E053C" w:rsidRDefault="0077618A" w:rsidP="004E053C">
      <w:pPr>
        <w:spacing w:line="360" w:lineRule="auto"/>
        <w:jc w:val="both"/>
        <w:rPr>
          <w:rFonts w:cstheme="majorHAnsi"/>
          <w:sz w:val="22"/>
          <w:szCs w:val="22"/>
          <w:lang w:val="en-GB"/>
        </w:rPr>
      </w:pPr>
      <w:r w:rsidRPr="004E053C">
        <w:rPr>
          <w:rFonts w:cstheme="majorHAnsi"/>
          <w:sz w:val="22"/>
          <w:szCs w:val="22"/>
          <w:lang w:val="en-GB"/>
        </w:rPr>
        <w:t xml:space="preserve">While positivist approaches may focus purely on problems associated with translation errors, a constructivist approaches calls for the consideration of the interpreter as an active producer of knowledge </w:t>
      </w:r>
      <w:r w:rsidR="0083356B" w:rsidRPr="004E053C">
        <w:rPr>
          <w:rFonts w:cstheme="majorHAnsi"/>
          <w:sz w:val="22"/>
          <w:szCs w:val="22"/>
          <w:lang w:val="en-GB"/>
        </w:rPr>
        <w:fldChar w:fldCharType="begin" w:fldLock="1"/>
      </w:r>
      <w:r w:rsidR="00255277" w:rsidRPr="004E053C">
        <w:rPr>
          <w:rFonts w:cstheme="majorHAnsi"/>
          <w:sz w:val="22"/>
          <w:szCs w:val="22"/>
          <w:lang w:val="en-GB"/>
        </w:rPr>
        <w:instrText>ADDIN CSL_CITATION {"citationItems":[{"id":"ITEM-1","itemData":{"author":[{"dropping-particle":"","family":"Berman","given":"Rachel","non-dropping-particle":"","parse-names":false,"suffix":""},{"dropping-particle":"","family":"Tyyskä","given":"Vappu","non-dropping-particle":"","parse-names":false,"suffix":""}],"container-title":"International Journal of Qualitative Methods","id":"ITEM-1","issue":"2","issued":{"date-parts":[["2011"]]},"page":"178-190","title":"A critical reflection on the use of translators/interpreters in a qualitative cross-language research project","type":"article-journal","volume":"10"},"uris":["http://www.mendeley.com/documents/?uuid=e9ec3647-4949-428f-8e27-047ea20b8161"]}],"mendeley":{"formattedCitation":"(Berman &amp; Tyyskä, 2011)","plainTextFormattedCitation":"(Berman &amp; Tyyskä, 2011)","previouslyFormattedCitation":"(Berman &amp; Tyyskä, 2011)"},"properties":{"noteIndex":0},"schema":"https://github.com/citation-style-language/schema/raw/master/csl-citation.json"}</w:instrText>
      </w:r>
      <w:r w:rsidR="0083356B" w:rsidRPr="004E053C">
        <w:rPr>
          <w:rFonts w:cstheme="majorHAnsi"/>
          <w:sz w:val="22"/>
          <w:szCs w:val="22"/>
          <w:lang w:val="en-GB"/>
        </w:rPr>
        <w:fldChar w:fldCharType="separate"/>
      </w:r>
      <w:r w:rsidR="0083356B" w:rsidRPr="004E053C">
        <w:rPr>
          <w:rFonts w:cstheme="majorHAnsi"/>
          <w:noProof/>
          <w:sz w:val="22"/>
          <w:szCs w:val="22"/>
          <w:lang w:val="en-GB"/>
        </w:rPr>
        <w:t>(Berman &amp; Tyyskä, 2011)</w:t>
      </w:r>
      <w:r w:rsidR="0083356B" w:rsidRPr="004E053C">
        <w:rPr>
          <w:rFonts w:cstheme="majorHAnsi"/>
          <w:sz w:val="22"/>
          <w:szCs w:val="22"/>
          <w:lang w:val="en-GB"/>
        </w:rPr>
        <w:fldChar w:fldCharType="end"/>
      </w:r>
      <w:r w:rsidRPr="004E053C">
        <w:rPr>
          <w:rFonts w:cstheme="majorHAnsi"/>
          <w:sz w:val="22"/>
          <w:szCs w:val="22"/>
          <w:lang w:val="en-GB"/>
        </w:rPr>
        <w:t xml:space="preserve">. In some respects, travelling with an interpreter was beneficial, </w:t>
      </w:r>
      <w:r w:rsidRPr="004E053C">
        <w:rPr>
          <w:rFonts w:cstheme="majorHAnsi"/>
          <w:sz w:val="22"/>
          <w:szCs w:val="22"/>
          <w:lang w:val="en-GB"/>
        </w:rPr>
        <w:lastRenderedPageBreak/>
        <w:t xml:space="preserve">given my positionality as a white female. However, the positionality of the interpreter is also important to the success of the research (Caretta, 2015), as there is a ‘triple subjectivity’ to consider in cross-language research </w:t>
      </w:r>
      <w:r w:rsidR="00255277" w:rsidRPr="004E053C">
        <w:rPr>
          <w:rFonts w:cstheme="majorHAnsi"/>
          <w:sz w:val="22"/>
          <w:szCs w:val="22"/>
          <w:lang w:val="en-GB"/>
        </w:rPr>
        <w:fldChar w:fldCharType="begin" w:fldLock="1"/>
      </w:r>
      <w:r w:rsidR="00F2183E" w:rsidRPr="004E053C">
        <w:rPr>
          <w:rFonts w:cstheme="majorHAnsi"/>
          <w:sz w:val="22"/>
          <w:szCs w:val="22"/>
          <w:lang w:val="en-GB"/>
        </w:rPr>
        <w:instrText>ADDIN CSL_CITATION {"citationItems":[{"id":"ITEM-1","itemData":{"author":[{"dropping-particle":"","family":"Temple","given":"B","non-dropping-particle":"","parse-names":false,"suffix":""},{"dropping-particle":"","family":"Edwards","given":"R","non-dropping-particle":"","parse-names":false,"suffix":""}],"container-title":"International Journal of Qualitative Methods","id":"ITEM-1","issue":"2","issued":{"date-parts":[["2002"]]},"page":"1-12","title":"Interpreters/translators and cross-language research: Reflexivity and border crossings","type":"article-journal","volume":"1"},"uris":["http://www.mendeley.com/documents/?uuid=d02cdda5-78dc-4268-919f-9a888ef9e2be","http://www.mendeley.com/documents/?uuid=b0cb2d65-1551-4395-89bb-2ed99039e285"]}],"mendeley":{"formattedCitation":"(Temple &amp; Edwards, 2002)","plainTextFormattedCitation":"(Temple &amp; Edwards, 2002)","previouslyFormattedCitation":"(Temple &amp; Edwards, 2002)"},"properties":{"noteIndex":0},"schema":"https://github.com/citation-style-language/schema/raw/master/csl-citation.json"}</w:instrText>
      </w:r>
      <w:r w:rsidR="00255277" w:rsidRPr="004E053C">
        <w:rPr>
          <w:rFonts w:cstheme="majorHAnsi"/>
          <w:sz w:val="22"/>
          <w:szCs w:val="22"/>
          <w:lang w:val="en-GB"/>
        </w:rPr>
        <w:fldChar w:fldCharType="separate"/>
      </w:r>
      <w:r w:rsidR="00255277" w:rsidRPr="004E053C">
        <w:rPr>
          <w:rFonts w:cstheme="majorHAnsi"/>
          <w:noProof/>
          <w:sz w:val="22"/>
          <w:szCs w:val="22"/>
          <w:lang w:val="en-GB"/>
        </w:rPr>
        <w:t>(Temple &amp; Edwards, 2002)</w:t>
      </w:r>
      <w:r w:rsidR="00255277" w:rsidRPr="004E053C">
        <w:rPr>
          <w:rFonts w:cstheme="majorHAnsi"/>
          <w:sz w:val="22"/>
          <w:szCs w:val="22"/>
          <w:lang w:val="en-GB"/>
        </w:rPr>
        <w:fldChar w:fldCharType="end"/>
      </w:r>
      <w:r w:rsidRPr="004E053C">
        <w:rPr>
          <w:rFonts w:cstheme="majorHAnsi"/>
          <w:sz w:val="22"/>
          <w:szCs w:val="22"/>
          <w:lang w:val="en-GB"/>
        </w:rPr>
        <w:t xml:space="preserve">. Given the notoriety of ASM in Peru, my interpreters had pre-existing ideas about miners and mining communities. Although this was less of an issue in Ocongate, as the community members were visibly poor, it was sometimes challenging for the interpreters not to pass judgement on the miners we interviewed in Laberinto. Fortunately, in the second round of fieldwork, the interpreter was from Puerto Maldonado and she had a better understanding of the realities of ASM communities and had previously had contact with many people that were involved in the sector. There is one advantage however, of having hired interpreters from outside of the translocal ASM community, which is that they were less likely to give a romanticised view of the community and would instead only interpret </w:t>
      </w:r>
      <w:r w:rsidR="00255277" w:rsidRPr="004E053C">
        <w:rPr>
          <w:rFonts w:cstheme="majorHAnsi"/>
          <w:sz w:val="22"/>
          <w:szCs w:val="22"/>
          <w:lang w:val="en-GB"/>
        </w:rPr>
        <w:fldChar w:fldCharType="begin" w:fldLock="1"/>
      </w:r>
      <w:r w:rsidR="00255277" w:rsidRPr="004E053C">
        <w:rPr>
          <w:rFonts w:cstheme="majorHAnsi"/>
          <w:sz w:val="22"/>
          <w:szCs w:val="22"/>
          <w:lang w:val="en-GB"/>
        </w:rPr>
        <w:instrText>ADDIN CSL_CITATION {"citationItems":[{"id":"ITEM-1","itemData":{"author":[{"dropping-particle":"","family":"Caretta","given":"Martina Angela","non-dropping-particle":"","parse-names":false,"suffix":""}],"container-title":"Qualitative Research","id":"ITEM-1","issue":"4","issued":{"date-parts":[["2015"]]},"page":"489-505","title":"Situated knowledge in cross-cultural, cross-language research: a collaborative reflexive analysis of researcher, assistant and participant subjectivities","type":"article-journal","volume":"15"},"uris":["http://www.mendeley.com/documents/?uuid=4b23dce8-b0f5-40e0-9ff5-196aeec142a0"]}],"mendeley":{"formattedCitation":"(Caretta, 2015)","plainTextFormattedCitation":"(Caretta, 2015)","previouslyFormattedCitation":"(Caretta, 2015)"},"properties":{"noteIndex":0},"schema":"https://github.com/citation-style-language/schema/raw/master/csl-citation.json"}</w:instrText>
      </w:r>
      <w:r w:rsidR="00255277" w:rsidRPr="004E053C">
        <w:rPr>
          <w:rFonts w:cstheme="majorHAnsi"/>
          <w:sz w:val="22"/>
          <w:szCs w:val="22"/>
          <w:lang w:val="en-GB"/>
        </w:rPr>
        <w:fldChar w:fldCharType="separate"/>
      </w:r>
      <w:r w:rsidR="00255277" w:rsidRPr="004E053C">
        <w:rPr>
          <w:rFonts w:cstheme="majorHAnsi"/>
          <w:noProof/>
          <w:sz w:val="22"/>
          <w:szCs w:val="22"/>
          <w:lang w:val="en-GB"/>
        </w:rPr>
        <w:t>(Caretta, 2015)</w:t>
      </w:r>
      <w:r w:rsidR="00255277" w:rsidRPr="004E053C">
        <w:rPr>
          <w:rFonts w:cstheme="majorHAnsi"/>
          <w:sz w:val="22"/>
          <w:szCs w:val="22"/>
          <w:lang w:val="en-GB"/>
        </w:rPr>
        <w:fldChar w:fldCharType="end"/>
      </w:r>
      <w:r w:rsidRPr="004E053C">
        <w:rPr>
          <w:rFonts w:cstheme="majorHAnsi"/>
          <w:sz w:val="22"/>
          <w:szCs w:val="22"/>
          <w:lang w:val="en-GB"/>
        </w:rPr>
        <w:t>. What was clear however was that, much like myself, the female interpreters were far more interested in feminist issues than the male interpreter was, which came through strongly in the debrief discussions we had after the interviews had ended.</w:t>
      </w:r>
    </w:p>
    <w:p w14:paraId="1C55391C" w14:textId="77777777" w:rsidR="0077618A" w:rsidRPr="004E053C" w:rsidRDefault="0077618A" w:rsidP="004E053C">
      <w:pPr>
        <w:spacing w:line="360" w:lineRule="auto"/>
        <w:jc w:val="both"/>
        <w:rPr>
          <w:rFonts w:cstheme="majorHAnsi"/>
          <w:sz w:val="22"/>
          <w:szCs w:val="22"/>
          <w:lang w:val="en-GB"/>
        </w:rPr>
      </w:pPr>
    </w:p>
    <w:p w14:paraId="0C7CB0AE" w14:textId="3743504B" w:rsidR="0077618A" w:rsidRPr="004E053C" w:rsidRDefault="00EA7F83" w:rsidP="004E053C">
      <w:pPr>
        <w:pStyle w:val="Heading3"/>
        <w:rPr>
          <w:rFonts w:asciiTheme="minorHAnsi" w:hAnsiTheme="minorHAnsi"/>
        </w:rPr>
      </w:pPr>
      <w:r w:rsidRPr="004E053C">
        <w:rPr>
          <w:rFonts w:asciiTheme="minorHAnsi" w:hAnsiTheme="minorHAnsi"/>
        </w:rPr>
        <w:t>5</w:t>
      </w:r>
      <w:r w:rsidR="0077618A" w:rsidRPr="004E053C">
        <w:rPr>
          <w:rFonts w:asciiTheme="minorHAnsi" w:hAnsiTheme="minorHAnsi"/>
        </w:rPr>
        <w:t>.8.4. Security</w:t>
      </w:r>
    </w:p>
    <w:p w14:paraId="2692BDF5" w14:textId="77777777" w:rsidR="0077618A" w:rsidRPr="004E053C" w:rsidRDefault="0077618A" w:rsidP="004E053C">
      <w:pPr>
        <w:spacing w:line="360" w:lineRule="auto"/>
        <w:jc w:val="both"/>
        <w:rPr>
          <w:rFonts w:cstheme="majorHAnsi"/>
          <w:sz w:val="22"/>
          <w:szCs w:val="22"/>
          <w:lang w:val="en-GB"/>
        </w:rPr>
      </w:pPr>
    </w:p>
    <w:p w14:paraId="668E2310" w14:textId="77777777" w:rsidR="0077618A" w:rsidRPr="004E053C" w:rsidRDefault="0077618A" w:rsidP="004E053C">
      <w:pPr>
        <w:spacing w:line="360" w:lineRule="auto"/>
        <w:jc w:val="both"/>
        <w:rPr>
          <w:rFonts w:eastAsiaTheme="minorHAnsi" w:cstheme="majorHAnsi"/>
          <w:bCs/>
          <w:sz w:val="22"/>
          <w:szCs w:val="22"/>
          <w:lang w:val="en-GB"/>
        </w:rPr>
      </w:pPr>
      <w:r w:rsidRPr="004E053C">
        <w:rPr>
          <w:rFonts w:eastAsiaTheme="minorHAnsi" w:cstheme="majorHAnsi"/>
          <w:bCs/>
          <w:sz w:val="22"/>
          <w:szCs w:val="22"/>
          <w:lang w:val="en-GB"/>
        </w:rPr>
        <w:t>Given the crime and violence associated with the ASM sector in Peru, it was essential for me to consider the security implications of collecting data in certain locations. I consulted local sources before deciding on which mining settlements to focus the research. During this consultation I felt it was not safe for my translator and I to visit La Pampa. At night these areas are particularly unsafe, with gangs of thieves and armed paramilitaries patrolling the roads and pathways. Even in the day, cars are often hijacked and robbed. Within a day of my arrival in Puerto Maldonado there was news of two burnt corpses on the side of the road. The presence of a white foreigner would likely be met with significant hostility, particularly if it was felt I was there for suspicious reasons. It was for these reasons that I changed my sampling approach and based my fieldwork in Laberinto rather than La Pampa. Meanwhile, in the Andes, although the area is not so dangerous, the remoteness of the communities meant that finding secure accommodation was difficult. The practicalities of accommodation and security were carefully considered, even if it required travelling slightly further for interviews.</w:t>
      </w:r>
    </w:p>
    <w:p w14:paraId="75E40C74" w14:textId="77777777" w:rsidR="0077618A" w:rsidRPr="004E053C" w:rsidRDefault="0077618A" w:rsidP="004E053C">
      <w:pPr>
        <w:spacing w:line="360" w:lineRule="auto"/>
        <w:jc w:val="both"/>
        <w:rPr>
          <w:rFonts w:eastAsiaTheme="minorHAnsi" w:cstheme="majorHAnsi"/>
          <w:bCs/>
          <w:sz w:val="22"/>
          <w:szCs w:val="22"/>
          <w:lang w:val="en-GB"/>
        </w:rPr>
      </w:pPr>
    </w:p>
    <w:p w14:paraId="568DDF40" w14:textId="77EF4156" w:rsidR="0077618A" w:rsidRPr="004E053C" w:rsidRDefault="0077618A" w:rsidP="004E053C">
      <w:pPr>
        <w:spacing w:line="360" w:lineRule="auto"/>
        <w:jc w:val="both"/>
        <w:rPr>
          <w:rFonts w:eastAsiaTheme="minorHAnsi" w:cstheme="majorHAnsi"/>
          <w:bCs/>
          <w:sz w:val="22"/>
          <w:szCs w:val="22"/>
          <w:lang w:val="en-GB"/>
        </w:rPr>
      </w:pPr>
      <w:r w:rsidRPr="004E053C">
        <w:rPr>
          <w:rFonts w:eastAsiaTheme="minorHAnsi" w:cstheme="majorHAnsi"/>
          <w:bCs/>
          <w:sz w:val="22"/>
          <w:szCs w:val="22"/>
          <w:lang w:val="en-GB"/>
        </w:rPr>
        <w:t xml:space="preserve">I avoided travelling by car on roads in other areas that were known for muggings, particularly on the way from Laberinto to Boca Union. In this case, I was advised that travel by boat would be far safer. In other cases, it was the dangers associated with road traffic that caused problems, particularly </w:t>
      </w:r>
      <w:r w:rsidRPr="004E053C">
        <w:rPr>
          <w:rFonts w:eastAsiaTheme="minorHAnsi" w:cstheme="majorHAnsi"/>
          <w:bCs/>
          <w:sz w:val="22"/>
          <w:szCs w:val="22"/>
          <w:lang w:val="en-GB"/>
        </w:rPr>
        <w:lastRenderedPageBreak/>
        <w:t xml:space="preserve">local buses as they frequently have fatal accidents. This was especially challenging when travelling between Cusco and Puerto Maldonado, as this required an overnight bus ride and only one of the many operational bus companies was reputable. </w:t>
      </w:r>
    </w:p>
    <w:p w14:paraId="1BBA8FBD" w14:textId="77777777" w:rsidR="0077618A" w:rsidRPr="004E053C" w:rsidRDefault="0077618A" w:rsidP="004E053C">
      <w:pPr>
        <w:spacing w:line="360" w:lineRule="auto"/>
        <w:jc w:val="both"/>
        <w:rPr>
          <w:rFonts w:eastAsiaTheme="minorHAnsi" w:cstheme="majorHAnsi"/>
          <w:bCs/>
          <w:sz w:val="22"/>
          <w:szCs w:val="22"/>
          <w:lang w:val="en-GB"/>
        </w:rPr>
      </w:pPr>
    </w:p>
    <w:p w14:paraId="5F29184E" w14:textId="1C50C5D8" w:rsidR="0077618A" w:rsidRPr="004E053C" w:rsidRDefault="00EA7F83" w:rsidP="004E053C">
      <w:pPr>
        <w:pStyle w:val="Heading2"/>
        <w:spacing w:before="0" w:line="360" w:lineRule="auto"/>
        <w:jc w:val="both"/>
        <w:rPr>
          <w:rFonts w:cstheme="majorHAnsi"/>
          <w:lang w:val="en-GB"/>
        </w:rPr>
      </w:pPr>
      <w:bookmarkStart w:id="68" w:name="_Toc424671896"/>
      <w:bookmarkStart w:id="69" w:name="_Toc33293106"/>
      <w:r w:rsidRPr="004E053C">
        <w:rPr>
          <w:rFonts w:cstheme="majorHAnsi"/>
          <w:lang w:val="en-GB"/>
        </w:rPr>
        <w:t>5</w:t>
      </w:r>
      <w:r w:rsidR="004A3EF1" w:rsidRPr="004E053C">
        <w:rPr>
          <w:rFonts w:cstheme="majorHAnsi"/>
          <w:lang w:val="en-GB"/>
        </w:rPr>
        <w:t>.9. Ethical c</w:t>
      </w:r>
      <w:r w:rsidR="0077618A" w:rsidRPr="004E053C">
        <w:rPr>
          <w:rFonts w:cstheme="majorHAnsi"/>
          <w:lang w:val="en-GB"/>
        </w:rPr>
        <w:t>onsiderations</w:t>
      </w:r>
      <w:bookmarkEnd w:id="68"/>
      <w:bookmarkEnd w:id="69"/>
    </w:p>
    <w:p w14:paraId="46964F96" w14:textId="77777777" w:rsidR="0077618A" w:rsidRPr="004E053C" w:rsidRDefault="0077618A" w:rsidP="004E053C">
      <w:pPr>
        <w:spacing w:line="360" w:lineRule="auto"/>
        <w:jc w:val="both"/>
        <w:rPr>
          <w:rFonts w:cstheme="majorHAnsi"/>
          <w:b/>
          <w:color w:val="000000"/>
          <w:sz w:val="22"/>
          <w:szCs w:val="22"/>
          <w:lang w:val="en-GB"/>
        </w:rPr>
      </w:pPr>
    </w:p>
    <w:p w14:paraId="0F7812E0" w14:textId="37ED80CD" w:rsidR="0077618A" w:rsidRPr="004E053C" w:rsidRDefault="0077618A" w:rsidP="004E053C">
      <w:pPr>
        <w:spacing w:line="360" w:lineRule="auto"/>
        <w:jc w:val="both"/>
        <w:rPr>
          <w:rFonts w:eastAsiaTheme="minorHAnsi" w:cstheme="majorHAnsi"/>
          <w:bCs/>
          <w:sz w:val="22"/>
          <w:szCs w:val="22"/>
          <w:lang w:val="en-GB"/>
        </w:rPr>
      </w:pPr>
      <w:r w:rsidRPr="004E053C">
        <w:rPr>
          <w:rFonts w:eastAsiaTheme="minorHAnsi" w:cstheme="majorHAnsi"/>
          <w:bCs/>
          <w:sz w:val="22"/>
          <w:szCs w:val="22"/>
          <w:lang w:val="en-GB"/>
        </w:rPr>
        <w:t>As S</w:t>
      </w:r>
      <w:r w:rsidR="004A3001" w:rsidRPr="004E053C">
        <w:rPr>
          <w:rFonts w:eastAsiaTheme="minorHAnsi" w:cstheme="majorHAnsi"/>
          <w:bCs/>
          <w:sz w:val="22"/>
          <w:szCs w:val="22"/>
          <w:lang w:val="en-GB"/>
        </w:rPr>
        <w:t>t</w:t>
      </w:r>
      <w:r w:rsidRPr="004E053C">
        <w:rPr>
          <w:rFonts w:eastAsiaTheme="minorHAnsi" w:cstheme="majorHAnsi"/>
          <w:bCs/>
          <w:sz w:val="22"/>
          <w:szCs w:val="22"/>
          <w:lang w:val="en-GB"/>
        </w:rPr>
        <w:t xml:space="preserve">ake </w:t>
      </w:r>
      <w:r w:rsidR="00255277" w:rsidRPr="004E053C">
        <w:rPr>
          <w:rFonts w:eastAsiaTheme="minorHAnsi" w:cstheme="majorHAnsi"/>
          <w:bCs/>
          <w:sz w:val="22"/>
          <w:szCs w:val="22"/>
          <w:lang w:val="en-GB"/>
        </w:rPr>
        <w:fldChar w:fldCharType="begin" w:fldLock="1"/>
      </w:r>
      <w:r w:rsidR="00255277" w:rsidRPr="004E053C">
        <w:rPr>
          <w:rFonts w:eastAsiaTheme="minorHAnsi" w:cstheme="majorHAnsi"/>
          <w:bCs/>
          <w:sz w:val="22"/>
          <w:szCs w:val="22"/>
          <w:lang w:val="en-GB"/>
        </w:rPr>
        <w:instrText>ADDIN CSL_CITATION {"citationItems":[{"id":"ITEM-1","itemData":{"author":[{"dropping-particle":"","family":"Stake","given":"R.E.","non-dropping-particle":"","parse-names":false,"suffix":""}],"container-title":"The Sage Handbook of Qualitative Research","edition":"3rd","editor":[{"dropping-particle":"","family":"Denzin","given":"N.K","non-dropping-particle":"","parse-names":false,"suffix":""},{"dropping-particle":"","family":"Lincoln","given":"Y.S","non-dropping-particle":"","parse-names":false,"suffix":""}],"id":"ITEM-1","issued":{"date-parts":[["2005"]]},"page":"443-466","publisher":"Sage Publications Ltd","publisher-place":"London, UK","title":"Qualitative Case Studies","type":"chapter"},"uris":["http://www.mendeley.com/documents/?uuid=6bf5a596-359d-42a9-8af0-963920701eb8"]}],"mendeley":{"formattedCitation":"(Stake, 2005)","manualFormatting":"(2005)","plainTextFormattedCitation":"(Stake, 2005)","previouslyFormattedCitation":"(Stake, 2005)"},"properties":{"noteIndex":0},"schema":"https://github.com/citation-style-language/schema/raw/master/csl-citation.json"}</w:instrText>
      </w:r>
      <w:r w:rsidR="00255277" w:rsidRPr="004E053C">
        <w:rPr>
          <w:rFonts w:eastAsiaTheme="minorHAnsi" w:cstheme="majorHAnsi"/>
          <w:bCs/>
          <w:sz w:val="22"/>
          <w:szCs w:val="22"/>
          <w:lang w:val="en-GB"/>
        </w:rPr>
        <w:fldChar w:fldCharType="separate"/>
      </w:r>
      <w:r w:rsidR="00255277" w:rsidRPr="004E053C">
        <w:rPr>
          <w:rFonts w:eastAsiaTheme="minorHAnsi" w:cstheme="majorHAnsi"/>
          <w:bCs/>
          <w:noProof/>
          <w:sz w:val="22"/>
          <w:szCs w:val="22"/>
          <w:lang w:val="en-GB"/>
        </w:rPr>
        <w:t>(2005)</w:t>
      </w:r>
      <w:r w:rsidR="00255277" w:rsidRPr="004E053C">
        <w:rPr>
          <w:rFonts w:eastAsiaTheme="minorHAnsi" w:cstheme="majorHAnsi"/>
          <w:bCs/>
          <w:sz w:val="22"/>
          <w:szCs w:val="22"/>
          <w:lang w:val="en-GB"/>
        </w:rPr>
        <w:fldChar w:fldCharType="end"/>
      </w:r>
      <w:r w:rsidRPr="004E053C">
        <w:rPr>
          <w:rFonts w:eastAsiaTheme="minorHAnsi" w:cstheme="majorHAnsi"/>
          <w:bCs/>
          <w:sz w:val="22"/>
          <w:szCs w:val="22"/>
          <w:lang w:val="en-GB"/>
        </w:rPr>
        <w:t xml:space="preserve"> notes, qualitative researchers are guests in the private spaces of the world, as such, they need to display good manners and a strict code of ethics. Indeed, in any research that involves human participants it is important to consider the ethical implications to ensure that there is no harm to the participants, researcher, interpreter, or anyone else related to the research in any way. This is especially important given the illegality of the livelihoods pursued by the respondents and the relatively dangerous nature of some of the mining areas. Improper conduct in research can reflect badly on ones’ university or research institution </w:t>
      </w:r>
      <w:r w:rsidR="00255277" w:rsidRPr="004E053C">
        <w:rPr>
          <w:rFonts w:eastAsiaTheme="minorHAnsi" w:cstheme="majorHAnsi"/>
          <w:bCs/>
          <w:sz w:val="22"/>
          <w:szCs w:val="22"/>
          <w:lang w:val="en-GB"/>
        </w:rPr>
        <w:fldChar w:fldCharType="begin" w:fldLock="1"/>
      </w:r>
      <w:r w:rsidR="007F27D0" w:rsidRPr="004E053C">
        <w:rPr>
          <w:rFonts w:eastAsiaTheme="minorHAnsi" w:cstheme="majorHAnsi"/>
          <w:bCs/>
          <w:sz w:val="22"/>
          <w:szCs w:val="22"/>
          <w:lang w:val="en-GB"/>
        </w:rPr>
        <w:instrText>ADDIN CSL_CITATION {"citationItems":[{"id":"ITEM-1","itemData":{"author":[{"dropping-particle":"","family":"Creswell","given":"John","non-dropping-particle":"","parse-names":false,"suffix":""}],"edition":"4th","id":"ITEM-1","issued":{"date-parts":[["2014"]]},"publisher":"Sage Publications Ltd","publisher-place":"Los Angeles, CA","title":"Research Design: Qualitative, Quantitative and Mixed Methods Approaches","type":"book"},"uris":["http://www.mendeley.com/documents/?uuid=7edc34a1-9390-429c-bb79-1b9ca0f21137"]}],"mendeley":{"formattedCitation":"(Creswell, 2014)","manualFormatting":"(Creswell, 2014)","plainTextFormattedCitation":"(Creswell, 2014)","previouslyFormattedCitation":"(Creswell, 2014)"},"properties":{"noteIndex":0},"schema":"https://github.com/citation-style-language/schema/raw/master/csl-citation.json"}</w:instrText>
      </w:r>
      <w:r w:rsidR="00255277" w:rsidRPr="004E053C">
        <w:rPr>
          <w:rFonts w:eastAsiaTheme="minorHAnsi" w:cstheme="majorHAnsi"/>
          <w:bCs/>
          <w:sz w:val="22"/>
          <w:szCs w:val="22"/>
          <w:lang w:val="en-GB"/>
        </w:rPr>
        <w:fldChar w:fldCharType="separate"/>
      </w:r>
      <w:r w:rsidR="00255277" w:rsidRPr="004E053C">
        <w:rPr>
          <w:rFonts w:eastAsiaTheme="minorHAnsi" w:cstheme="majorHAnsi"/>
          <w:bCs/>
          <w:noProof/>
          <w:sz w:val="22"/>
          <w:szCs w:val="22"/>
          <w:lang w:val="en-GB"/>
        </w:rPr>
        <w:t>(Creswell, 2014)</w:t>
      </w:r>
      <w:r w:rsidR="00255277" w:rsidRPr="004E053C">
        <w:rPr>
          <w:rFonts w:eastAsiaTheme="minorHAnsi" w:cstheme="majorHAnsi"/>
          <w:bCs/>
          <w:sz w:val="22"/>
          <w:szCs w:val="22"/>
          <w:lang w:val="en-GB"/>
        </w:rPr>
        <w:fldChar w:fldCharType="end"/>
      </w:r>
      <w:r w:rsidRPr="004E053C">
        <w:rPr>
          <w:rFonts w:eastAsiaTheme="minorHAnsi" w:cstheme="majorHAnsi"/>
          <w:bCs/>
          <w:sz w:val="22"/>
          <w:szCs w:val="22"/>
          <w:lang w:val="en-GB"/>
        </w:rPr>
        <w:t xml:space="preserve">. When planning my data collection I familiarised myself with the ethical guidelines as set out by the University of Sheffield and applied them to my proposal and methodologies in order to gain ethical approval. </w:t>
      </w:r>
    </w:p>
    <w:p w14:paraId="0C78C5A3" w14:textId="77777777" w:rsidR="0077618A" w:rsidRPr="004E053C" w:rsidRDefault="0077618A" w:rsidP="004E053C">
      <w:pPr>
        <w:spacing w:line="360" w:lineRule="auto"/>
        <w:jc w:val="both"/>
        <w:rPr>
          <w:rFonts w:eastAsiaTheme="minorHAnsi" w:cstheme="majorHAnsi"/>
          <w:bCs/>
          <w:sz w:val="22"/>
          <w:szCs w:val="22"/>
          <w:lang w:val="en-GB"/>
        </w:rPr>
      </w:pPr>
    </w:p>
    <w:p w14:paraId="1042C2C7" w14:textId="77777777" w:rsidR="0077618A" w:rsidRPr="004E053C" w:rsidRDefault="0077618A" w:rsidP="004E053C">
      <w:pPr>
        <w:spacing w:line="360" w:lineRule="auto"/>
        <w:jc w:val="both"/>
        <w:rPr>
          <w:rFonts w:eastAsiaTheme="minorHAnsi" w:cstheme="majorHAnsi"/>
          <w:bCs/>
          <w:sz w:val="22"/>
          <w:szCs w:val="22"/>
          <w:lang w:val="en-GB"/>
        </w:rPr>
      </w:pPr>
      <w:r w:rsidRPr="004E053C">
        <w:rPr>
          <w:rFonts w:eastAsiaTheme="minorHAnsi" w:cstheme="majorHAnsi"/>
          <w:bCs/>
          <w:sz w:val="22"/>
          <w:szCs w:val="22"/>
          <w:lang w:val="en-GB"/>
        </w:rPr>
        <w:t>For much research, identification of the participant may result in embarrassment or a loss of standing and self-esteem, but here there was an even greater risk that it could result in their arrest, threats of violence or the loss of income and livelihood. Government officials also requested that their names not be used, particularly as sometimes their individual opinion did not reflect the views of their organisation. In order to protect the welfare of all participants, all collected data has remained confidential and will continue to do so. I have made every effort to ensure that participants cannot be identified. Although some organisations have been mentioned by name where relevant, I have kept the names of smaller NGOs and Government departments concealed to protect the identity of members and workers. Similarly, given the very small size and population of the two communities I worked with in Ocongate district, I felt it best not to refer to them by name in the Thesis. Data is retrained securely on electronic devices that are password protected and only I have access.</w:t>
      </w:r>
    </w:p>
    <w:p w14:paraId="6C37077C" w14:textId="77777777" w:rsidR="0077618A" w:rsidRPr="004E053C" w:rsidRDefault="0077618A" w:rsidP="004E053C">
      <w:pPr>
        <w:spacing w:line="360" w:lineRule="auto"/>
        <w:jc w:val="both"/>
        <w:rPr>
          <w:rFonts w:eastAsiaTheme="minorHAnsi" w:cstheme="majorHAnsi"/>
          <w:bCs/>
          <w:sz w:val="22"/>
          <w:szCs w:val="22"/>
          <w:lang w:val="en-GB"/>
        </w:rPr>
      </w:pPr>
    </w:p>
    <w:p w14:paraId="16270CEC" w14:textId="72908680" w:rsidR="0077618A" w:rsidRPr="004E053C" w:rsidRDefault="0077618A" w:rsidP="004E053C">
      <w:pPr>
        <w:spacing w:line="360" w:lineRule="auto"/>
        <w:jc w:val="both"/>
        <w:rPr>
          <w:rFonts w:eastAsiaTheme="minorHAnsi" w:cstheme="majorHAnsi"/>
          <w:bCs/>
          <w:sz w:val="22"/>
          <w:szCs w:val="22"/>
          <w:lang w:val="en-GB"/>
        </w:rPr>
      </w:pPr>
      <w:r w:rsidRPr="004E053C">
        <w:rPr>
          <w:rFonts w:eastAsiaTheme="minorHAnsi" w:cstheme="majorHAnsi"/>
          <w:bCs/>
          <w:sz w:val="22"/>
          <w:szCs w:val="22"/>
          <w:lang w:val="en-GB"/>
        </w:rPr>
        <w:t xml:space="preserve">All participants must be made aware of the nature of the research and understand that they do not have to participate and can opt out at any time. To ensure that informed consent is given, each participant was asked to sign a form explaining this. Jackson </w:t>
      </w:r>
      <w:r w:rsidR="00255277" w:rsidRPr="004E053C">
        <w:rPr>
          <w:rFonts w:eastAsiaTheme="minorHAnsi" w:cstheme="majorHAnsi"/>
          <w:bCs/>
          <w:sz w:val="22"/>
          <w:szCs w:val="22"/>
          <w:lang w:val="en-GB"/>
        </w:rPr>
        <w:fldChar w:fldCharType="begin" w:fldLock="1"/>
      </w:r>
      <w:r w:rsidR="00255277" w:rsidRPr="004E053C">
        <w:rPr>
          <w:rFonts w:eastAsiaTheme="minorHAnsi" w:cstheme="majorHAnsi"/>
          <w:bCs/>
          <w:sz w:val="22"/>
          <w:szCs w:val="22"/>
          <w:lang w:val="en-GB"/>
        </w:rPr>
        <w:instrText>ADDIN CSL_CITATION {"citationItems":[{"id":"ITEM-1","itemData":{"author":[{"dropping-particle":"","family":"Jackson","given":"P","non-dropping-particle":"","parse-names":false,"suffix":""}],"container-title":"Qualitative methodologies for geographers: issues and debates","editor":[{"dropping-particle":"","family":"Limb","given":"Melanie","non-dropping-particle":"","parse-names":false,"suffix":""},{"dropping-particle":"","family":"Dwyer","given":"Claire","non-dropping-particle":"","parse-names":false,"suffix":""}],"id":"ITEM-1","issued":{"date-parts":[["2001"]]},"publisher":"Arnold","publisher-place":"London, UK","title":"Making sense of qualitative data","type":"chapter"},"uris":["http://www.mendeley.com/documents/?uuid=14fd1a3e-5960-4527-ba6d-09cad2a5e397"]}],"mendeley":{"formattedCitation":"(Jackson, 2001)","manualFormatting":"(2001)","plainTextFormattedCitation":"(Jackson, 2001)","previouslyFormattedCitation":"(Jackson, 2001)"},"properties":{"noteIndex":0},"schema":"https://github.com/citation-style-language/schema/raw/master/csl-citation.json"}</w:instrText>
      </w:r>
      <w:r w:rsidR="00255277" w:rsidRPr="004E053C">
        <w:rPr>
          <w:rFonts w:eastAsiaTheme="minorHAnsi" w:cstheme="majorHAnsi"/>
          <w:bCs/>
          <w:sz w:val="22"/>
          <w:szCs w:val="22"/>
          <w:lang w:val="en-GB"/>
        </w:rPr>
        <w:fldChar w:fldCharType="separate"/>
      </w:r>
      <w:r w:rsidR="00255277" w:rsidRPr="004E053C">
        <w:rPr>
          <w:rFonts w:eastAsiaTheme="minorHAnsi" w:cstheme="majorHAnsi"/>
          <w:bCs/>
          <w:noProof/>
          <w:sz w:val="22"/>
          <w:szCs w:val="22"/>
          <w:lang w:val="en-GB"/>
        </w:rPr>
        <w:t>(2001)</w:t>
      </w:r>
      <w:r w:rsidR="00255277" w:rsidRPr="004E053C">
        <w:rPr>
          <w:rFonts w:eastAsiaTheme="minorHAnsi" w:cstheme="majorHAnsi"/>
          <w:bCs/>
          <w:sz w:val="22"/>
          <w:szCs w:val="22"/>
          <w:lang w:val="en-GB"/>
        </w:rPr>
        <w:fldChar w:fldCharType="end"/>
      </w:r>
      <w:r w:rsidRPr="004E053C">
        <w:rPr>
          <w:rFonts w:eastAsiaTheme="minorHAnsi" w:cstheme="majorHAnsi"/>
          <w:bCs/>
          <w:sz w:val="22"/>
          <w:szCs w:val="22"/>
          <w:lang w:val="en-GB"/>
        </w:rPr>
        <w:t xml:space="preserve"> argues that the informed consent form should indicate that participants’ contributions might be used in presentations and subsequent publications. This was therefore included on the informed consent form. It is still </w:t>
      </w:r>
      <w:r w:rsidRPr="004E053C">
        <w:rPr>
          <w:rFonts w:eastAsiaTheme="minorHAnsi" w:cstheme="majorHAnsi"/>
          <w:bCs/>
          <w:sz w:val="22"/>
          <w:szCs w:val="22"/>
          <w:lang w:val="en-GB"/>
        </w:rPr>
        <w:lastRenderedPageBreak/>
        <w:t xml:space="preserve">important to remember that participants may not be familiar with academic skills and conventions and thus informed consent will always be limited </w:t>
      </w:r>
      <w:r w:rsidR="00255277" w:rsidRPr="004E053C">
        <w:rPr>
          <w:rFonts w:eastAsiaTheme="minorHAnsi" w:cstheme="majorHAnsi"/>
          <w:bCs/>
          <w:sz w:val="22"/>
          <w:szCs w:val="22"/>
          <w:lang w:val="en-GB"/>
        </w:rPr>
        <w:fldChar w:fldCharType="begin" w:fldLock="1"/>
      </w:r>
      <w:r w:rsidR="00255277" w:rsidRPr="004E053C">
        <w:rPr>
          <w:rFonts w:eastAsiaTheme="minorHAnsi" w:cstheme="majorHAnsi"/>
          <w:bCs/>
          <w:sz w:val="22"/>
          <w:szCs w:val="22"/>
          <w:lang w:val="en-GB"/>
        </w:rPr>
        <w:instrText>ADDIN CSL_CITATION {"citationItems":[{"id":"ITEM-1","itemData":{"author":[{"dropping-particle":"","family":"Mason","given":"Jennifer","non-dropping-particle":"","parse-names":false,"suffix":""}],"id":"ITEM-1","issued":{"date-parts":[["2002"]]},"publisher":"Sage Publications Ltd","publisher-place":"London, UK","title":"Qualitative Researching","type":"book"},"uris":["http://www.mendeley.com/documents/?uuid=c5af782a-cf51-4780-902c-0c2fdb471010"]}],"mendeley":{"formattedCitation":"(Mason, 2002)","plainTextFormattedCitation":"(Mason, 2002)","previouslyFormattedCitation":"(Mason, 2002)"},"properties":{"noteIndex":0},"schema":"https://github.com/citation-style-language/schema/raw/master/csl-citation.json"}</w:instrText>
      </w:r>
      <w:r w:rsidR="00255277" w:rsidRPr="004E053C">
        <w:rPr>
          <w:rFonts w:eastAsiaTheme="minorHAnsi" w:cstheme="majorHAnsi"/>
          <w:bCs/>
          <w:sz w:val="22"/>
          <w:szCs w:val="22"/>
          <w:lang w:val="en-GB"/>
        </w:rPr>
        <w:fldChar w:fldCharType="separate"/>
      </w:r>
      <w:r w:rsidR="00255277" w:rsidRPr="004E053C">
        <w:rPr>
          <w:rFonts w:eastAsiaTheme="minorHAnsi" w:cstheme="majorHAnsi"/>
          <w:bCs/>
          <w:noProof/>
          <w:sz w:val="22"/>
          <w:szCs w:val="22"/>
          <w:lang w:val="en-GB"/>
        </w:rPr>
        <w:t>(Mason, 2002)</w:t>
      </w:r>
      <w:r w:rsidR="00255277" w:rsidRPr="004E053C">
        <w:rPr>
          <w:rFonts w:eastAsiaTheme="minorHAnsi" w:cstheme="majorHAnsi"/>
          <w:bCs/>
          <w:sz w:val="22"/>
          <w:szCs w:val="22"/>
          <w:lang w:val="en-GB"/>
        </w:rPr>
        <w:fldChar w:fldCharType="end"/>
      </w:r>
      <w:r w:rsidRPr="004E053C">
        <w:rPr>
          <w:rFonts w:eastAsiaTheme="minorHAnsi" w:cstheme="majorHAnsi"/>
          <w:bCs/>
          <w:sz w:val="22"/>
          <w:szCs w:val="22"/>
          <w:lang w:val="en-GB"/>
        </w:rPr>
        <w:t xml:space="preserve">. Crucially, I avoided putting pressure on people to participate in the study or to sign consent forms. It was for this reason that I decided not to provide remuneration, as this may have been viewed as coercion. </w:t>
      </w:r>
    </w:p>
    <w:p w14:paraId="73276A5C" w14:textId="77777777" w:rsidR="0077618A" w:rsidRPr="004E053C" w:rsidRDefault="0077618A" w:rsidP="004E053C">
      <w:pPr>
        <w:spacing w:line="360" w:lineRule="auto"/>
        <w:jc w:val="both"/>
        <w:rPr>
          <w:rFonts w:eastAsiaTheme="minorHAnsi" w:cstheme="majorHAnsi"/>
          <w:bCs/>
          <w:sz w:val="22"/>
          <w:szCs w:val="22"/>
          <w:lang w:val="en-GB"/>
        </w:rPr>
      </w:pPr>
    </w:p>
    <w:p w14:paraId="4A284734" w14:textId="0481A735" w:rsidR="0077618A" w:rsidRPr="004E053C" w:rsidRDefault="0077618A" w:rsidP="004E053C">
      <w:pPr>
        <w:spacing w:line="360" w:lineRule="auto"/>
        <w:jc w:val="both"/>
        <w:rPr>
          <w:rFonts w:eastAsiaTheme="minorHAnsi" w:cstheme="majorHAnsi"/>
          <w:bCs/>
          <w:sz w:val="22"/>
          <w:szCs w:val="22"/>
          <w:lang w:val="en-GB"/>
        </w:rPr>
      </w:pPr>
      <w:r w:rsidRPr="004E053C">
        <w:rPr>
          <w:rFonts w:eastAsiaTheme="minorHAnsi" w:cstheme="majorHAnsi"/>
          <w:bCs/>
          <w:sz w:val="22"/>
          <w:szCs w:val="22"/>
          <w:lang w:val="en-GB"/>
        </w:rPr>
        <w:t xml:space="preserve">During data collection, it is extremely important for researchers not to disrupt the site or the community </w:t>
      </w:r>
      <w:r w:rsidR="00255277" w:rsidRPr="004E053C">
        <w:rPr>
          <w:rFonts w:eastAsiaTheme="minorHAnsi" w:cstheme="majorHAnsi"/>
          <w:bCs/>
          <w:sz w:val="22"/>
          <w:szCs w:val="22"/>
          <w:lang w:val="en-GB"/>
        </w:rPr>
        <w:fldChar w:fldCharType="begin" w:fldLock="1"/>
      </w:r>
      <w:r w:rsidR="007F27D0" w:rsidRPr="004E053C">
        <w:rPr>
          <w:rFonts w:eastAsiaTheme="minorHAnsi" w:cstheme="majorHAnsi"/>
          <w:bCs/>
          <w:sz w:val="22"/>
          <w:szCs w:val="22"/>
          <w:lang w:val="en-GB"/>
        </w:rPr>
        <w:instrText>ADDIN CSL_CITATION {"citationItems":[{"id":"ITEM-1","itemData":{"author":[{"dropping-particle":"","family":"Creswell","given":"John","non-dropping-particle":"","parse-names":false,"suffix":""}],"edition":"4th","id":"ITEM-1","issued":{"date-parts":[["2014"]]},"publisher":"Sage Publications Ltd","publisher-place":"Los Angeles, CA","title":"Research Design: Qualitative, Quantitative and Mixed Methods Approaches","type":"book"},"uris":["http://www.mendeley.com/documents/?uuid=7edc34a1-9390-429c-bb79-1b9ca0f21137"]}],"mendeley":{"formattedCitation":"(Creswell, 2014)","manualFormatting":"(Creswell, 2014)","plainTextFormattedCitation":"(Creswell, 2014)","previouslyFormattedCitation":"(Creswell, 2014)"},"properties":{"noteIndex":0},"schema":"https://github.com/citation-style-language/schema/raw/master/csl-citation.json"}</w:instrText>
      </w:r>
      <w:r w:rsidR="00255277" w:rsidRPr="004E053C">
        <w:rPr>
          <w:rFonts w:eastAsiaTheme="minorHAnsi" w:cstheme="majorHAnsi"/>
          <w:bCs/>
          <w:sz w:val="22"/>
          <w:szCs w:val="22"/>
          <w:lang w:val="en-GB"/>
        </w:rPr>
        <w:fldChar w:fldCharType="separate"/>
      </w:r>
      <w:r w:rsidR="00255277" w:rsidRPr="004E053C">
        <w:rPr>
          <w:rFonts w:eastAsiaTheme="minorHAnsi" w:cstheme="majorHAnsi"/>
          <w:bCs/>
          <w:noProof/>
          <w:sz w:val="22"/>
          <w:szCs w:val="22"/>
          <w:lang w:val="en-GB"/>
        </w:rPr>
        <w:t>(Creswell, 2014)</w:t>
      </w:r>
      <w:r w:rsidR="00255277" w:rsidRPr="004E053C">
        <w:rPr>
          <w:rFonts w:eastAsiaTheme="minorHAnsi" w:cstheme="majorHAnsi"/>
          <w:bCs/>
          <w:sz w:val="22"/>
          <w:szCs w:val="22"/>
          <w:lang w:val="en-GB"/>
        </w:rPr>
        <w:fldChar w:fldCharType="end"/>
      </w:r>
      <w:r w:rsidRPr="004E053C">
        <w:rPr>
          <w:rFonts w:eastAsiaTheme="minorHAnsi" w:cstheme="majorHAnsi"/>
          <w:bCs/>
          <w:sz w:val="22"/>
          <w:szCs w:val="22"/>
          <w:lang w:val="en-GB"/>
        </w:rPr>
        <w:t>. This was particularly important in my field site, as I was investigating community dynamics that I anticipated as being under strain due to the mobile nature of ASM livelihoods. I was careful not to exacerbate tensions within the community, or put any of the participants in a compromising position. Despite the sensitive nature of the topic, there were no signs of the respondents becoming distressed during interview, although I had mitigated against this by not attempting to force people to be interviewed when it was clear they did not want to participate. In the interviews with the miners and wives of miners, I was also careful not to ask about particularly sensitive topics, such as human trafficking and prostitution, unless it was brought up by the interview participant.</w:t>
      </w:r>
    </w:p>
    <w:p w14:paraId="0640726E" w14:textId="77777777" w:rsidR="0077618A" w:rsidRPr="004E053C" w:rsidRDefault="0077618A" w:rsidP="004E053C">
      <w:pPr>
        <w:spacing w:line="360" w:lineRule="auto"/>
        <w:jc w:val="both"/>
        <w:rPr>
          <w:rFonts w:eastAsiaTheme="minorHAnsi" w:cstheme="majorHAnsi"/>
          <w:bCs/>
          <w:sz w:val="22"/>
          <w:szCs w:val="22"/>
          <w:lang w:val="en-GB"/>
        </w:rPr>
      </w:pPr>
    </w:p>
    <w:p w14:paraId="7172A5F2" w14:textId="42C79FE0" w:rsidR="0077618A" w:rsidRPr="004E053C" w:rsidRDefault="00EA7F83" w:rsidP="004E053C">
      <w:pPr>
        <w:pStyle w:val="Heading2"/>
        <w:spacing w:before="0" w:line="360" w:lineRule="auto"/>
        <w:jc w:val="both"/>
        <w:rPr>
          <w:rFonts w:cstheme="majorHAnsi"/>
          <w:lang w:val="en-GB"/>
        </w:rPr>
      </w:pPr>
      <w:bookmarkStart w:id="70" w:name="_Toc424671897"/>
      <w:bookmarkStart w:id="71" w:name="_Toc33293107"/>
      <w:r w:rsidRPr="004E053C">
        <w:rPr>
          <w:rFonts w:cstheme="majorHAnsi"/>
          <w:lang w:val="en-GB"/>
        </w:rPr>
        <w:t>5</w:t>
      </w:r>
      <w:r w:rsidR="0077618A" w:rsidRPr="004E053C">
        <w:rPr>
          <w:rFonts w:cstheme="majorHAnsi"/>
          <w:lang w:val="en-GB"/>
        </w:rPr>
        <w:t xml:space="preserve">.10. </w:t>
      </w:r>
      <w:bookmarkEnd w:id="70"/>
      <w:r w:rsidR="00F444F5" w:rsidRPr="004E053C">
        <w:rPr>
          <w:rFonts w:cstheme="majorHAnsi"/>
          <w:lang w:val="en-GB"/>
        </w:rPr>
        <w:t>Summary</w:t>
      </w:r>
      <w:bookmarkEnd w:id="71"/>
    </w:p>
    <w:p w14:paraId="565539C3" w14:textId="77777777" w:rsidR="0077618A" w:rsidRPr="004E053C" w:rsidRDefault="0077618A" w:rsidP="004E053C">
      <w:pPr>
        <w:spacing w:line="360" w:lineRule="auto"/>
        <w:jc w:val="both"/>
        <w:rPr>
          <w:rFonts w:eastAsiaTheme="minorHAnsi" w:cstheme="majorHAnsi"/>
          <w:b/>
          <w:sz w:val="22"/>
          <w:szCs w:val="22"/>
          <w:lang w:val="en-GB"/>
        </w:rPr>
      </w:pPr>
    </w:p>
    <w:p w14:paraId="1E95C9A1" w14:textId="0F32E12D" w:rsidR="0077618A" w:rsidRPr="004E053C" w:rsidRDefault="0077618A" w:rsidP="004E053C">
      <w:pPr>
        <w:spacing w:line="360" w:lineRule="auto"/>
        <w:jc w:val="both"/>
        <w:rPr>
          <w:rFonts w:eastAsiaTheme="minorHAnsi" w:cstheme="majorHAnsi"/>
          <w:bCs/>
          <w:sz w:val="22"/>
          <w:szCs w:val="22"/>
          <w:lang w:val="en-GB"/>
        </w:rPr>
      </w:pPr>
      <w:r w:rsidRPr="004E053C">
        <w:rPr>
          <w:rFonts w:eastAsiaTheme="minorHAnsi" w:cstheme="majorHAnsi"/>
          <w:bCs/>
          <w:sz w:val="22"/>
          <w:szCs w:val="22"/>
          <w:lang w:val="en-GB"/>
        </w:rPr>
        <w:t xml:space="preserve">This chapter has discussed in detail the methodological approach I took to my research, taking care to highlight how this was designed in order to best answer my research questions. Although a case study approach is the most appropriate, I have highlighted some of the points of consideration when applying this approach to a translocal, multi-sited study that is perhaps not the neat ‘bounded system’ we would traditionally expect. I have also explained that the use of </w:t>
      </w:r>
      <w:r w:rsidR="008C68C5" w:rsidRPr="004E053C">
        <w:rPr>
          <w:rFonts w:eastAsiaTheme="minorHAnsi" w:cstheme="majorHAnsi"/>
          <w:bCs/>
          <w:sz w:val="22"/>
          <w:szCs w:val="22"/>
          <w:lang w:val="en-GB"/>
        </w:rPr>
        <w:t>in-depth</w:t>
      </w:r>
      <w:r w:rsidRPr="004E053C">
        <w:rPr>
          <w:rFonts w:eastAsiaTheme="minorHAnsi" w:cstheme="majorHAnsi"/>
          <w:bCs/>
          <w:sz w:val="22"/>
          <w:szCs w:val="22"/>
          <w:lang w:val="en-GB"/>
        </w:rPr>
        <w:t xml:space="preserve"> interviews was considered the best way of exploring the topic, and that while other data collection methods were initially explored in the field, it became clear that these were inappropriate. I have also introduced the two key field sites that were the focus of my study, and over the next few chapters I will elaborate on the stories and narratives I created with the community members. </w:t>
      </w:r>
    </w:p>
    <w:p w14:paraId="71CD9846" w14:textId="77777777" w:rsidR="0077618A" w:rsidRPr="004E053C" w:rsidRDefault="0077618A" w:rsidP="004E053C">
      <w:pPr>
        <w:spacing w:line="360" w:lineRule="auto"/>
        <w:jc w:val="both"/>
        <w:rPr>
          <w:rFonts w:cstheme="majorHAnsi"/>
          <w:lang w:val="en-GB"/>
        </w:rPr>
      </w:pPr>
    </w:p>
    <w:p w14:paraId="338DC0AB" w14:textId="0E00CB09" w:rsidR="006C65C7" w:rsidRPr="004E053C" w:rsidRDefault="00255277" w:rsidP="004E053C">
      <w:pPr>
        <w:spacing w:line="360" w:lineRule="auto"/>
        <w:jc w:val="both"/>
        <w:rPr>
          <w:rFonts w:cstheme="majorHAnsi"/>
          <w:lang w:val="en-GB"/>
        </w:rPr>
      </w:pPr>
      <w:r w:rsidRPr="004E053C">
        <w:rPr>
          <w:rFonts w:cstheme="majorHAnsi"/>
          <w:lang w:val="en-GB"/>
        </w:rPr>
        <w:br w:type="page"/>
      </w:r>
    </w:p>
    <w:p w14:paraId="6A73720B" w14:textId="597AD537" w:rsidR="0091076C" w:rsidRPr="004E053C" w:rsidRDefault="00EA7F83" w:rsidP="004E053C">
      <w:pPr>
        <w:pStyle w:val="Heading1"/>
        <w:spacing w:line="360" w:lineRule="auto"/>
        <w:jc w:val="both"/>
        <w:rPr>
          <w:rFonts w:asciiTheme="minorHAnsi" w:hAnsiTheme="minorHAnsi" w:cstheme="majorHAnsi"/>
          <w:b w:val="0"/>
          <w:lang w:val="en-GB"/>
        </w:rPr>
      </w:pPr>
      <w:bookmarkStart w:id="72" w:name="_Toc33293108"/>
      <w:r w:rsidRPr="004E053C">
        <w:rPr>
          <w:rFonts w:asciiTheme="minorHAnsi" w:hAnsiTheme="minorHAnsi" w:cstheme="majorHAnsi"/>
          <w:b w:val="0"/>
          <w:lang w:val="en-GB"/>
        </w:rPr>
        <w:lastRenderedPageBreak/>
        <w:t>6</w:t>
      </w:r>
      <w:r w:rsidR="00220995" w:rsidRPr="004E053C">
        <w:rPr>
          <w:rFonts w:asciiTheme="minorHAnsi" w:hAnsiTheme="minorHAnsi" w:cstheme="majorHAnsi"/>
          <w:b w:val="0"/>
          <w:lang w:val="en-GB"/>
        </w:rPr>
        <w:t>.</w:t>
      </w:r>
      <w:r w:rsidR="00B808BD" w:rsidRPr="004E053C">
        <w:rPr>
          <w:rFonts w:asciiTheme="minorHAnsi" w:hAnsiTheme="minorHAnsi" w:cstheme="majorHAnsi"/>
          <w:b w:val="0"/>
          <w:lang w:val="en-GB"/>
        </w:rPr>
        <w:t xml:space="preserve"> Migrant Live</w:t>
      </w:r>
      <w:r w:rsidR="00E727B5" w:rsidRPr="004E053C">
        <w:rPr>
          <w:rFonts w:asciiTheme="minorHAnsi" w:hAnsiTheme="minorHAnsi" w:cstheme="majorHAnsi"/>
          <w:b w:val="0"/>
          <w:lang w:val="en-GB"/>
        </w:rPr>
        <w:t>lihoods in ASM: Motivations and Trajectories</w:t>
      </w:r>
      <w:bookmarkEnd w:id="72"/>
      <w:r w:rsidR="00B808BD" w:rsidRPr="004E053C">
        <w:rPr>
          <w:rFonts w:asciiTheme="minorHAnsi" w:hAnsiTheme="minorHAnsi" w:cstheme="majorHAnsi"/>
          <w:b w:val="0"/>
          <w:lang w:val="en-GB"/>
        </w:rPr>
        <w:t xml:space="preserve"> </w:t>
      </w:r>
    </w:p>
    <w:p w14:paraId="69EAFEF6" w14:textId="77777777" w:rsidR="002A7AB9" w:rsidRPr="004E053C" w:rsidRDefault="002A7AB9" w:rsidP="004E053C">
      <w:pPr>
        <w:spacing w:line="360" w:lineRule="auto"/>
        <w:jc w:val="both"/>
        <w:rPr>
          <w:rFonts w:cstheme="majorHAnsi"/>
          <w:lang w:val="en-GB"/>
        </w:rPr>
      </w:pPr>
    </w:p>
    <w:p w14:paraId="774423F1" w14:textId="01AF4E28" w:rsidR="002A7AB9" w:rsidRPr="004E053C" w:rsidRDefault="00EA7F83" w:rsidP="004E053C">
      <w:pPr>
        <w:pStyle w:val="Heading2"/>
        <w:spacing w:before="0" w:line="360" w:lineRule="auto"/>
        <w:jc w:val="both"/>
        <w:rPr>
          <w:rFonts w:cstheme="majorHAnsi"/>
          <w:lang w:val="en-GB"/>
        </w:rPr>
      </w:pPr>
      <w:bookmarkStart w:id="73" w:name="_Toc33293109"/>
      <w:r w:rsidRPr="004E053C">
        <w:rPr>
          <w:rFonts w:cstheme="majorHAnsi"/>
          <w:lang w:val="en-GB"/>
        </w:rPr>
        <w:t>6</w:t>
      </w:r>
      <w:r w:rsidR="00F32A9B" w:rsidRPr="004E053C">
        <w:rPr>
          <w:rFonts w:cstheme="majorHAnsi"/>
          <w:lang w:val="en-GB"/>
        </w:rPr>
        <w:t>.</w:t>
      </w:r>
      <w:r w:rsidR="002A7AB9" w:rsidRPr="004E053C">
        <w:rPr>
          <w:rFonts w:cstheme="majorHAnsi"/>
          <w:lang w:val="en-GB"/>
        </w:rPr>
        <w:t>1. Introduction</w:t>
      </w:r>
      <w:bookmarkEnd w:id="73"/>
    </w:p>
    <w:p w14:paraId="0C23C911" w14:textId="77777777" w:rsidR="0091076C" w:rsidRPr="004E053C" w:rsidRDefault="0091076C" w:rsidP="004E053C">
      <w:pPr>
        <w:spacing w:line="360" w:lineRule="auto"/>
        <w:jc w:val="both"/>
        <w:rPr>
          <w:rFonts w:cstheme="majorHAnsi"/>
          <w:sz w:val="22"/>
          <w:szCs w:val="22"/>
          <w:lang w:val="en-GB"/>
        </w:rPr>
      </w:pPr>
    </w:p>
    <w:p w14:paraId="53E55609" w14:textId="4A457A93"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Understanding the people living with</w:t>
      </w:r>
      <w:r w:rsidR="004A3001" w:rsidRPr="004E053C">
        <w:rPr>
          <w:rFonts w:cstheme="majorHAnsi"/>
          <w:sz w:val="22"/>
          <w:szCs w:val="22"/>
          <w:lang w:val="en-GB"/>
        </w:rPr>
        <w:t>in</w:t>
      </w:r>
      <w:r w:rsidRPr="004E053C">
        <w:rPr>
          <w:rFonts w:cstheme="majorHAnsi"/>
          <w:sz w:val="22"/>
          <w:szCs w:val="22"/>
          <w:lang w:val="en-GB"/>
        </w:rPr>
        <w:t xml:space="preserve"> the translocal ASM community is essential for achieving sustainable transformations </w:t>
      </w:r>
      <w:r w:rsidR="008B7ADE" w:rsidRPr="004E053C">
        <w:rPr>
          <w:rFonts w:cstheme="majorHAnsi"/>
          <w:sz w:val="22"/>
          <w:szCs w:val="22"/>
          <w:lang w:val="en-GB"/>
        </w:rPr>
        <w:t xml:space="preserve">within the sector. Damonte </w:t>
      </w:r>
      <w:r w:rsidR="008B7ADE"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2016)","manualFormatting":"(2016)","plainTextFormattedCitation":"(Damonte, 2016)","previouslyFormattedCitation":"(Damonte, 2016)"},"properties":{"noteIndex":0},"schema":"https://github.com/citation-style-language/schema/raw/master/csl-citation.json"}</w:instrText>
      </w:r>
      <w:r w:rsidR="008B7ADE" w:rsidRPr="004E053C">
        <w:rPr>
          <w:rFonts w:cstheme="majorHAnsi"/>
          <w:sz w:val="22"/>
          <w:szCs w:val="22"/>
          <w:lang w:val="en-GB"/>
        </w:rPr>
        <w:fldChar w:fldCharType="separate"/>
      </w:r>
      <w:r w:rsidR="008B7ADE" w:rsidRPr="004E053C">
        <w:rPr>
          <w:rFonts w:cstheme="majorHAnsi"/>
          <w:noProof/>
          <w:sz w:val="22"/>
          <w:szCs w:val="22"/>
          <w:lang w:val="en-GB"/>
        </w:rPr>
        <w:t>(2016)</w:t>
      </w:r>
      <w:r w:rsidR="008B7ADE" w:rsidRPr="004E053C">
        <w:rPr>
          <w:rFonts w:cstheme="majorHAnsi"/>
          <w:sz w:val="22"/>
          <w:szCs w:val="22"/>
          <w:lang w:val="en-GB"/>
        </w:rPr>
        <w:fldChar w:fldCharType="end"/>
      </w:r>
      <w:r w:rsidRPr="004E053C">
        <w:rPr>
          <w:rFonts w:cstheme="majorHAnsi"/>
          <w:sz w:val="22"/>
          <w:szCs w:val="22"/>
          <w:lang w:val="en-GB"/>
        </w:rPr>
        <w:t xml:space="preserve"> has noted the tendenc</w:t>
      </w:r>
      <w:r w:rsidR="008B7ADE" w:rsidRPr="004E053C">
        <w:rPr>
          <w:rFonts w:cstheme="majorHAnsi"/>
          <w:sz w:val="22"/>
          <w:szCs w:val="22"/>
          <w:lang w:val="en-GB"/>
        </w:rPr>
        <w:t xml:space="preserve">y in Peru for the sector to be </w:t>
      </w:r>
      <w:r w:rsidR="002D6E5D" w:rsidRPr="004E053C">
        <w:rPr>
          <w:rFonts w:cstheme="majorHAnsi"/>
          <w:sz w:val="22"/>
          <w:szCs w:val="22"/>
          <w:lang w:val="en-GB"/>
        </w:rPr>
        <w:t>dehumanis</w:t>
      </w:r>
      <w:r w:rsidR="00A70DD0" w:rsidRPr="004E053C">
        <w:rPr>
          <w:rFonts w:cstheme="majorHAnsi"/>
          <w:sz w:val="22"/>
          <w:szCs w:val="22"/>
          <w:lang w:val="en-GB"/>
        </w:rPr>
        <w:t>ed</w:t>
      </w:r>
      <w:r w:rsidRPr="004E053C">
        <w:rPr>
          <w:rFonts w:cstheme="majorHAnsi"/>
          <w:sz w:val="22"/>
          <w:szCs w:val="22"/>
          <w:lang w:val="en-GB"/>
        </w:rPr>
        <w:t>, with public discourse referring to all ASM operatives as one homo</w:t>
      </w:r>
      <w:r w:rsidR="002D6E5D" w:rsidRPr="004E053C">
        <w:rPr>
          <w:rFonts w:cstheme="majorHAnsi"/>
          <w:sz w:val="22"/>
          <w:szCs w:val="22"/>
          <w:lang w:val="en-GB"/>
        </w:rPr>
        <w:t>genous group, and often emphasis</w:t>
      </w:r>
      <w:r w:rsidRPr="004E053C">
        <w:rPr>
          <w:rFonts w:cstheme="majorHAnsi"/>
          <w:sz w:val="22"/>
          <w:szCs w:val="22"/>
          <w:lang w:val="en-GB"/>
        </w:rPr>
        <w:t>ing their activities rather than th</w:t>
      </w:r>
      <w:r w:rsidR="007A7DCE">
        <w:rPr>
          <w:rFonts w:cstheme="majorHAnsi"/>
          <w:sz w:val="22"/>
          <w:szCs w:val="22"/>
          <w:lang w:val="en-GB"/>
        </w:rPr>
        <w:t>eir background. Several academic</w:t>
      </w:r>
      <w:r w:rsidRPr="004E053C">
        <w:rPr>
          <w:rFonts w:cstheme="majorHAnsi"/>
          <w:sz w:val="22"/>
          <w:szCs w:val="22"/>
          <w:lang w:val="en-GB"/>
        </w:rPr>
        <w:t xml:space="preserve">s have pointed out the importance of understanding the individuals and households that involve themselves in ASM, either directly or indirectly, and the community dynamics within mining settlements if successful ASM policy is to be designed and implemented </w:t>
      </w:r>
      <w:r w:rsidR="008B7ADE"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Hentschel","given":"Thomas","non-dropping-particle":"","parse-names":false,"suffix":""},{"dropping-particle":"","family":"Hruschka","given":"Felix","non-dropping-particle":"","parse-names":false,"suffix":""},{"dropping-particle":"","family":"Priester","given":"Michael","non-dropping-particle":"","parse-names":false,"suffix":""}],"id":"ITEM-1","issued":{"date-parts":[["2002"]]},"publisher-place":"London","title":"Global Report on Artisanal and Small-Scale Mining","type":"report"},"uris":["http://www.mendeley.com/documents/?uuid=e0135a32-651f-3a94-9bc5-5c79c798e40e"]},{"id":"ITEM-2","itemData":{"abstract":"Over the past 10–15 years, several governments have implemented an array of technology, support‐related, sustainable livelihoods (SL) and poverty‐reduction projects for artisanal and small‐scale mining (ASM). In the majority of cases, however, these interventions have failed to facilitate improvements in the industry's productivity and raise the living standards of the sector's subsistence operators. This article argues that a poor understanding of the demographics of target populations has precipitated these outcomes. In order to strengthen policy and assistance in the sector, governments must determine, with greater precision, the number of people operating in ASM regions, their origins and ethnic backgrounds, ages, and educational levels. This can be achieved by carrying out basic and localized census work before promoting ambitious sector‐specific projects aimed at improving working conditions in the industry.","author":[{"dropping-particle":"","family":"Hilson","given":"G","non-dropping-particle":"","parse-names":false,"suffix":""}],"container-title":"Natural Resources Forum","id":"ITEM-2","issue":"2","issued":{"date-parts":[["2005"]]},"page":"144-153","title":"Strengthening artisanal mining research and policy through baseline census activities","type":"article-journal","volume":"29"},"uris":["http://www.mendeley.com/documents/?uuid=447f796c-6b24-49d4-babb-b2a3e2351b39"]},{"id":"ITEM-3","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Affairs","id":"ITEM-3","issue":"424","issued":{"date-parts":[["2007"]]},"page":"413-436","title":"To move or not to move’: reflections on the resettlement of artisanal miners in the western region of Ghana","type":"article-journal","volume":"106"},"uris":["http://www.mendeley.com/documents/?uuid=8ef2711f-ce75-4c5a-8a00-8e27b49f07cf"]},{"id":"ITEM-4","itemData":{"author":[{"dropping-particle":"","family":"Spiegal","given":"SJ","non-dropping-particle":"","parse-names":false,"suffix":""}],"container-title":"Resources Policy","id":"ITEM-4","issued":{"date-parts":[["2009"]]},"page":"39-44","title":"Resource policies and small-scale gold mining in Zimbabwe","type":"article-journal","volume":"34"},"uris":["http://www.mendeley.com/documents/?uuid=92559fdc-94b9-4cde-9fb6-c45edd09ceee"]},{"id":"ITEM-5","itemData":{"abstract":"a b s t r a c t Millions of people worldwide are involved in artisanal and small-scale gold mining. Many of them live in conditions of poverty and insalubrities due to the mercury amalgamation of gold and the application of other rudimentary techniques. In spite of this, the sector has been nearly overlooked by resource economists. In this paper we analyze the sector based on a survey of the existing literature. We find some commonalities of artisanal and small-scale gold mining in different countries of the developing world as follows: low levels of mechanization and technology, labor intensiveness, low awareness of environmental degradation, poor training, high transience among some miners, and lack of financial savings. Moreover, with these commonalities in mind, we present some topics and challenges for a research agenda in the field of environmental, ecological, and development economics.","author":[{"dropping-particle":"","family":"Saldarriaga-Isaza","given":"Adrián","non-dropping-particle":"","parse-names":false,"suffix":""},{"dropping-particle":"","family":"Villegas-Palacio","given":"Clara","non-dropping-particle":"","parse-names":false,"suffix":""},{"dropping-particle":"","family":"Arango","given":"Santiago","non-dropping-particle":"","parse-names":false,"suffix":""}],"container-title":"Resources Policy","id":"ITEM-5","issue":"2","issued":{"date-parts":[["2013"]]},"page":"224-232","title":"The public good dilemma of a non-renewable common resource: a look at the facts of artisanal gold mining","type":"article-journal","volume":"38"},"uris":["http://www.mendeley.com/documents/?uuid=9112f4f7-b1fb-43ae-8ee5-daf59e85ff33"]}],"mendeley":{"formattedCitation":"(Hentschel et al., 2002; G. Hilson et al., 2007; G Hilson, 2005; Saldarriaga-Isaza et al., 2013; Spiegal, 2009)","manualFormatting":"(Hentschel et al., 2002; Hilson et al., 2007; Hilson, 2005; Saldarriaga-Isaza et al., 2013; Spiegal, 2009)","plainTextFormattedCitation":"(Hentschel et al., 2002; G. Hilson et al., 2007; G Hilson, 2005; Saldarriaga-Isaza et al., 2013; Spiegal, 2009)","previouslyFormattedCitation":"(Hentschel et al., 2002; G. Hilson et al., 2007; G Hilson, 2005; Saldarriaga-Isaza et al., 2013; Spiegal, 2009)"},"properties":{"noteIndex":0},"schema":"https://github.com/citation-style-language/schema/raw/master/csl-citation.json"}</w:instrText>
      </w:r>
      <w:r w:rsidR="008B7ADE" w:rsidRPr="004E053C">
        <w:rPr>
          <w:rFonts w:cstheme="majorHAnsi"/>
          <w:sz w:val="22"/>
          <w:szCs w:val="22"/>
          <w:lang w:val="en-GB"/>
        </w:rPr>
        <w:fldChar w:fldCharType="separate"/>
      </w:r>
      <w:r w:rsidR="008B7ADE" w:rsidRPr="004E053C">
        <w:rPr>
          <w:rFonts w:cstheme="majorHAnsi"/>
          <w:noProof/>
          <w:sz w:val="22"/>
          <w:szCs w:val="22"/>
          <w:lang w:val="fr-FR"/>
        </w:rPr>
        <w:t>(Hentschel et al., 2002; Hilson et al., 2007; Hilson, 2005; Saldarriaga-Isaza et al., 2013; Spiegal, 2009)</w:t>
      </w:r>
      <w:r w:rsidR="008B7ADE" w:rsidRPr="004E053C">
        <w:rPr>
          <w:rFonts w:cstheme="majorHAnsi"/>
          <w:sz w:val="22"/>
          <w:szCs w:val="22"/>
          <w:lang w:val="en-GB"/>
        </w:rPr>
        <w:fldChar w:fldCharType="end"/>
      </w:r>
      <w:r w:rsidRPr="004E053C">
        <w:rPr>
          <w:rFonts w:cstheme="majorHAnsi"/>
          <w:sz w:val="22"/>
          <w:szCs w:val="22"/>
          <w:lang w:val="fr-FR"/>
        </w:rPr>
        <w:t xml:space="preserve">. </w:t>
      </w:r>
      <w:r w:rsidRPr="004E053C">
        <w:rPr>
          <w:rFonts w:cstheme="majorHAnsi"/>
          <w:sz w:val="22"/>
          <w:szCs w:val="22"/>
          <w:lang w:val="en-GB"/>
        </w:rPr>
        <w:t xml:space="preserve">The focus here on the translocal ASM community adds another element to this understanding. </w:t>
      </w:r>
    </w:p>
    <w:p w14:paraId="20226E57" w14:textId="77777777" w:rsidR="0091076C" w:rsidRPr="004E053C" w:rsidRDefault="0091076C" w:rsidP="004E053C">
      <w:pPr>
        <w:spacing w:line="360" w:lineRule="auto"/>
        <w:jc w:val="both"/>
        <w:rPr>
          <w:rFonts w:cstheme="majorHAnsi"/>
          <w:sz w:val="22"/>
          <w:szCs w:val="22"/>
          <w:lang w:val="en-GB"/>
        </w:rPr>
      </w:pPr>
    </w:p>
    <w:p w14:paraId="63EFB5A0" w14:textId="715C83BF"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 xml:space="preserve">This chapter will first look at why individuals and households decide to start working in the mining sector. The first section will look at the key reasons why people </w:t>
      </w:r>
      <w:r w:rsidR="0024649D" w:rsidRPr="004E053C">
        <w:rPr>
          <w:rFonts w:cstheme="majorHAnsi"/>
          <w:sz w:val="22"/>
          <w:szCs w:val="22"/>
          <w:lang w:val="en-GB"/>
        </w:rPr>
        <w:t>in Madre de Dios cho</w:t>
      </w:r>
      <w:r w:rsidRPr="004E053C">
        <w:rPr>
          <w:rFonts w:cstheme="majorHAnsi"/>
          <w:sz w:val="22"/>
          <w:szCs w:val="22"/>
          <w:lang w:val="en-GB"/>
        </w:rPr>
        <w:t xml:space="preserve">se to migrate to work in ASM. </w:t>
      </w:r>
      <w:r w:rsidR="0024649D" w:rsidRPr="004E053C">
        <w:rPr>
          <w:rFonts w:cstheme="majorHAnsi"/>
          <w:sz w:val="22"/>
          <w:szCs w:val="22"/>
          <w:lang w:val="en-GB"/>
        </w:rPr>
        <w:t>Although the motivations of AS</w:t>
      </w:r>
      <w:r w:rsidR="00D7211F">
        <w:rPr>
          <w:rFonts w:cstheme="majorHAnsi"/>
          <w:sz w:val="22"/>
          <w:szCs w:val="22"/>
          <w:lang w:val="en-GB"/>
        </w:rPr>
        <w:t>M operatives has been explored e</w:t>
      </w:r>
      <w:r w:rsidR="0024649D" w:rsidRPr="004E053C">
        <w:rPr>
          <w:rFonts w:cstheme="majorHAnsi"/>
          <w:sz w:val="22"/>
          <w:szCs w:val="22"/>
          <w:lang w:val="en-GB"/>
        </w:rPr>
        <w:t>lsewhere in the literature, I am including it here for two reasons. Firstly, given the focus of this thesis on individual livelihood trajectories, it would seem odd not to start the story at the beginning of the journey into ASM. Secondly, during interviews and meetings in Lima it became clear that that the Peruvian elite are still questioning why people become involved in the sector.</w:t>
      </w:r>
      <w:r w:rsidRPr="004E053C">
        <w:rPr>
          <w:rFonts w:cstheme="majorHAnsi"/>
          <w:sz w:val="22"/>
          <w:szCs w:val="22"/>
          <w:lang w:val="en-GB"/>
        </w:rPr>
        <w:t xml:space="preserve"> Understanding the driving force behind people’s </w:t>
      </w:r>
      <w:r w:rsidR="00561962" w:rsidRPr="004E053C">
        <w:rPr>
          <w:rFonts w:cstheme="majorHAnsi"/>
          <w:sz w:val="22"/>
          <w:szCs w:val="22"/>
          <w:lang w:val="en-GB"/>
        </w:rPr>
        <w:t>involvement in ASM is crucial for</w:t>
      </w:r>
      <w:r w:rsidRPr="004E053C">
        <w:rPr>
          <w:rFonts w:cstheme="majorHAnsi"/>
          <w:sz w:val="22"/>
          <w:szCs w:val="22"/>
          <w:lang w:val="en-GB"/>
        </w:rPr>
        <w:t xml:space="preserve"> policy make</w:t>
      </w:r>
      <w:r w:rsidR="00561962" w:rsidRPr="004E053C">
        <w:rPr>
          <w:rFonts w:cstheme="majorHAnsi"/>
          <w:sz w:val="22"/>
          <w:szCs w:val="22"/>
          <w:lang w:val="en-GB"/>
        </w:rPr>
        <w:t xml:space="preserve">rs, should they wish to reduce </w:t>
      </w:r>
      <w:r w:rsidRPr="004E053C">
        <w:rPr>
          <w:rFonts w:cstheme="majorHAnsi"/>
          <w:sz w:val="22"/>
          <w:szCs w:val="22"/>
          <w:lang w:val="en-GB"/>
        </w:rPr>
        <w:t>the numbers of p</w:t>
      </w:r>
      <w:r w:rsidR="00561962" w:rsidRPr="004E053C">
        <w:rPr>
          <w:rFonts w:cstheme="majorHAnsi"/>
          <w:sz w:val="22"/>
          <w:szCs w:val="22"/>
          <w:lang w:val="en-GB"/>
        </w:rPr>
        <w:t>eople migrating to work in ASM or transform the sector</w:t>
      </w:r>
      <w:r w:rsidRPr="004E053C">
        <w:rPr>
          <w:rFonts w:cstheme="majorHAnsi"/>
          <w:sz w:val="22"/>
          <w:szCs w:val="22"/>
          <w:lang w:val="en-GB"/>
        </w:rPr>
        <w:t xml:space="preserve"> in a way that can </w:t>
      </w:r>
      <w:r w:rsidR="00561962" w:rsidRPr="004E053C">
        <w:rPr>
          <w:rFonts w:cstheme="majorHAnsi"/>
          <w:sz w:val="22"/>
          <w:szCs w:val="22"/>
          <w:lang w:val="en-GB"/>
        </w:rPr>
        <w:t>promotes</w:t>
      </w:r>
      <w:r w:rsidRPr="004E053C">
        <w:rPr>
          <w:rFonts w:cstheme="majorHAnsi"/>
          <w:sz w:val="22"/>
          <w:szCs w:val="22"/>
          <w:lang w:val="en-GB"/>
        </w:rPr>
        <w:t xml:space="preserve"> economic security </w:t>
      </w:r>
      <w:r w:rsidR="00561962" w:rsidRPr="004E053C">
        <w:rPr>
          <w:rFonts w:cstheme="majorHAnsi"/>
          <w:sz w:val="22"/>
          <w:szCs w:val="22"/>
          <w:lang w:val="en-GB"/>
        </w:rPr>
        <w:t>and environmental sustainability</w:t>
      </w:r>
      <w:r w:rsidRPr="004E053C">
        <w:rPr>
          <w:rFonts w:cstheme="majorHAnsi"/>
          <w:sz w:val="22"/>
          <w:szCs w:val="22"/>
          <w:lang w:val="en-GB"/>
        </w:rPr>
        <w:t>. The chapter will then go on to consider the various ways people secure work in ASM, highlighting how despite the</w:t>
      </w:r>
      <w:r w:rsidR="004A3001" w:rsidRPr="004E053C">
        <w:rPr>
          <w:rFonts w:cstheme="majorHAnsi"/>
          <w:sz w:val="22"/>
          <w:szCs w:val="22"/>
          <w:lang w:val="en-GB"/>
        </w:rPr>
        <w:t xml:space="preserve"> low barriers to entry and high </w:t>
      </w:r>
      <w:r w:rsidRPr="004E053C">
        <w:rPr>
          <w:rFonts w:cstheme="majorHAnsi"/>
          <w:sz w:val="22"/>
          <w:szCs w:val="22"/>
          <w:lang w:val="en-GB"/>
        </w:rPr>
        <w:t xml:space="preserve">demand for labour, social networks are still important for building the trust necessary to gain entry into the ASM sector. Developing an understanding of how these networks operate is a prerequisite for examining community dynamics, given that so many relationships in ASM communities are </w:t>
      </w:r>
      <w:r w:rsidR="00D3785B" w:rsidRPr="004E053C">
        <w:rPr>
          <w:rFonts w:cstheme="majorHAnsi"/>
          <w:sz w:val="22"/>
          <w:szCs w:val="22"/>
          <w:lang w:val="en-GB"/>
        </w:rPr>
        <w:t>centred</w:t>
      </w:r>
      <w:r w:rsidRPr="004E053C">
        <w:rPr>
          <w:rFonts w:cstheme="majorHAnsi"/>
          <w:sz w:val="22"/>
          <w:szCs w:val="22"/>
          <w:lang w:val="en-GB"/>
        </w:rPr>
        <w:t xml:space="preserve"> on work to some degree. Furthermore, it is becoming essential to understand how these networks are evolving given the prevalence of insecurity, crime and violence and a breakdown of trust in some mining communities. </w:t>
      </w:r>
    </w:p>
    <w:p w14:paraId="7E17B9E6" w14:textId="77777777" w:rsidR="0091076C" w:rsidRPr="004E053C" w:rsidRDefault="0091076C" w:rsidP="004E053C">
      <w:pPr>
        <w:tabs>
          <w:tab w:val="left" w:pos="6496"/>
        </w:tabs>
        <w:spacing w:line="360" w:lineRule="auto"/>
        <w:jc w:val="both"/>
        <w:rPr>
          <w:rFonts w:cstheme="majorHAnsi"/>
          <w:sz w:val="22"/>
          <w:szCs w:val="22"/>
          <w:lang w:val="en-GB"/>
        </w:rPr>
      </w:pPr>
      <w:r w:rsidRPr="004E053C">
        <w:rPr>
          <w:rFonts w:cstheme="majorHAnsi"/>
          <w:sz w:val="22"/>
          <w:szCs w:val="22"/>
          <w:lang w:val="en-GB"/>
        </w:rPr>
        <w:tab/>
      </w:r>
    </w:p>
    <w:p w14:paraId="6F43B9A4" w14:textId="5AF2EE92" w:rsidR="00BF0EFA"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 xml:space="preserve">The second half of the chapter will focus on the different types of </w:t>
      </w:r>
      <w:r w:rsidR="00561962" w:rsidRPr="004E053C">
        <w:rPr>
          <w:rFonts w:cstheme="majorHAnsi"/>
          <w:sz w:val="22"/>
          <w:szCs w:val="22"/>
          <w:lang w:val="en-GB"/>
        </w:rPr>
        <w:t>miner</w:t>
      </w:r>
      <w:r w:rsidRPr="004E053C">
        <w:rPr>
          <w:rFonts w:cstheme="majorHAnsi"/>
          <w:sz w:val="22"/>
          <w:szCs w:val="22"/>
          <w:lang w:val="en-GB"/>
        </w:rPr>
        <w:t xml:space="preserve"> operating in Laberinto and La Pampa. It will discuss four broad</w:t>
      </w:r>
      <w:r w:rsidR="000B0219" w:rsidRPr="004E053C">
        <w:rPr>
          <w:rFonts w:cstheme="majorHAnsi"/>
          <w:sz w:val="22"/>
          <w:szCs w:val="22"/>
          <w:lang w:val="en-GB"/>
        </w:rPr>
        <w:t xml:space="preserve"> categories of miner; </w:t>
      </w:r>
      <w:r w:rsidRPr="004E053C">
        <w:rPr>
          <w:rFonts w:cstheme="majorHAnsi"/>
          <w:sz w:val="22"/>
          <w:szCs w:val="22"/>
          <w:lang w:val="en-GB"/>
        </w:rPr>
        <w:t>p</w:t>
      </w:r>
      <w:r w:rsidR="000B0219" w:rsidRPr="004E053C">
        <w:rPr>
          <w:rFonts w:cstheme="majorHAnsi"/>
          <w:sz w:val="22"/>
          <w:szCs w:val="22"/>
          <w:lang w:val="en-GB"/>
        </w:rPr>
        <w:t>ermanent, temporary</w:t>
      </w:r>
      <w:r w:rsidR="00561962" w:rsidRPr="004E053C">
        <w:rPr>
          <w:rFonts w:cstheme="majorHAnsi"/>
          <w:sz w:val="22"/>
          <w:szCs w:val="22"/>
          <w:lang w:val="en-GB"/>
        </w:rPr>
        <w:t>, f</w:t>
      </w:r>
      <w:r w:rsidRPr="004E053C">
        <w:rPr>
          <w:rFonts w:cstheme="majorHAnsi"/>
          <w:sz w:val="22"/>
          <w:szCs w:val="22"/>
          <w:lang w:val="en-GB"/>
        </w:rPr>
        <w:t>loating and non-</w:t>
      </w:r>
      <w:r w:rsidRPr="004E053C">
        <w:rPr>
          <w:rFonts w:cstheme="majorHAnsi"/>
          <w:sz w:val="22"/>
          <w:szCs w:val="22"/>
          <w:lang w:val="en-GB"/>
        </w:rPr>
        <w:lastRenderedPageBreak/>
        <w:t xml:space="preserve">migrant, and </w:t>
      </w:r>
      <w:r w:rsidR="00091107" w:rsidRPr="004E053C">
        <w:rPr>
          <w:rFonts w:cstheme="majorHAnsi"/>
          <w:sz w:val="22"/>
          <w:szCs w:val="22"/>
          <w:lang w:val="en-GB"/>
        </w:rPr>
        <w:t>emphasise</w:t>
      </w:r>
      <w:r w:rsidRPr="004E053C">
        <w:rPr>
          <w:rFonts w:cstheme="majorHAnsi"/>
          <w:sz w:val="22"/>
          <w:szCs w:val="22"/>
          <w:lang w:val="en-GB"/>
        </w:rPr>
        <w:t xml:space="preserve"> the planned livelihood trajectories of these different types. Again, the focus on the translocal ASM community allows an incorporation of livelihood strategies across space and time, and highlights weaknesses in focusing solely on </w:t>
      </w:r>
      <w:r w:rsidR="00A70DD0" w:rsidRPr="004E053C">
        <w:rPr>
          <w:rFonts w:cstheme="majorHAnsi"/>
          <w:sz w:val="22"/>
          <w:szCs w:val="22"/>
          <w:lang w:val="en-GB"/>
        </w:rPr>
        <w:t>‘career miners’</w:t>
      </w:r>
      <w:r w:rsidRPr="004E053C">
        <w:rPr>
          <w:rFonts w:cstheme="majorHAnsi"/>
          <w:sz w:val="22"/>
          <w:szCs w:val="22"/>
          <w:lang w:val="en-GB"/>
        </w:rPr>
        <w:t xml:space="preserve"> or seasonal miner</w:t>
      </w:r>
      <w:r w:rsidR="004A3001" w:rsidRPr="004E053C">
        <w:rPr>
          <w:rFonts w:cstheme="majorHAnsi"/>
          <w:sz w:val="22"/>
          <w:szCs w:val="22"/>
          <w:lang w:val="en-GB"/>
        </w:rPr>
        <w:t>s</w:t>
      </w:r>
      <w:r w:rsidRPr="004E053C">
        <w:rPr>
          <w:rFonts w:cstheme="majorHAnsi"/>
          <w:sz w:val="22"/>
          <w:szCs w:val="22"/>
          <w:lang w:val="en-GB"/>
        </w:rPr>
        <w:t xml:space="preserve">. If we wish to understand community dynamics, all of the various ways in which people involve themselves in ASM need to be considered together, as this will influence the way </w:t>
      </w:r>
      <w:r w:rsidR="00BF0EFA" w:rsidRPr="004E053C">
        <w:rPr>
          <w:rFonts w:cstheme="majorHAnsi"/>
          <w:sz w:val="22"/>
          <w:szCs w:val="22"/>
          <w:lang w:val="en-GB"/>
        </w:rPr>
        <w:t xml:space="preserve">they interact with each other. </w:t>
      </w:r>
    </w:p>
    <w:p w14:paraId="1435C9FB" w14:textId="77777777" w:rsidR="00BF0EFA" w:rsidRPr="004E053C" w:rsidRDefault="00BF0EFA" w:rsidP="004E053C">
      <w:pPr>
        <w:spacing w:line="360" w:lineRule="auto"/>
        <w:jc w:val="both"/>
        <w:rPr>
          <w:rFonts w:cstheme="majorHAnsi"/>
          <w:sz w:val="22"/>
          <w:szCs w:val="22"/>
          <w:lang w:val="en-GB"/>
        </w:rPr>
      </w:pPr>
    </w:p>
    <w:p w14:paraId="6E927055" w14:textId="7D77E47D" w:rsidR="0091076C" w:rsidRPr="004E053C" w:rsidRDefault="00EA7F83" w:rsidP="004E053C">
      <w:pPr>
        <w:pStyle w:val="Heading2"/>
        <w:spacing w:before="0" w:line="360" w:lineRule="auto"/>
        <w:jc w:val="both"/>
        <w:rPr>
          <w:rFonts w:cstheme="majorHAnsi"/>
          <w:lang w:val="en-GB"/>
        </w:rPr>
      </w:pPr>
      <w:bookmarkStart w:id="74" w:name="_Toc33293110"/>
      <w:r w:rsidRPr="004E053C">
        <w:rPr>
          <w:rFonts w:cstheme="majorHAnsi"/>
          <w:lang w:val="en-GB"/>
        </w:rPr>
        <w:t>6</w:t>
      </w:r>
      <w:r w:rsidR="00F32A9B" w:rsidRPr="004E053C">
        <w:rPr>
          <w:rFonts w:cstheme="majorHAnsi"/>
          <w:lang w:val="en-GB"/>
        </w:rPr>
        <w:t>.2</w:t>
      </w:r>
      <w:r w:rsidR="0091076C" w:rsidRPr="004E053C">
        <w:rPr>
          <w:rFonts w:cstheme="majorHAnsi"/>
          <w:lang w:val="en-GB"/>
        </w:rPr>
        <w:t>. Choosing to migrate</w:t>
      </w:r>
      <w:bookmarkEnd w:id="74"/>
      <w:r w:rsidR="0091076C" w:rsidRPr="004E053C">
        <w:rPr>
          <w:rFonts w:cstheme="majorHAnsi"/>
          <w:lang w:val="en-GB"/>
        </w:rPr>
        <w:t xml:space="preserve"> </w:t>
      </w:r>
    </w:p>
    <w:p w14:paraId="7B859B4D" w14:textId="77777777" w:rsidR="006461EA" w:rsidRPr="004E053C" w:rsidRDefault="006461EA" w:rsidP="004E053C">
      <w:pPr>
        <w:jc w:val="both"/>
        <w:rPr>
          <w:lang w:val="en-GB"/>
        </w:rPr>
      </w:pPr>
    </w:p>
    <w:p w14:paraId="3C1BA6D1" w14:textId="3CC09270" w:rsidR="00906830" w:rsidRPr="004E053C" w:rsidRDefault="006C4566" w:rsidP="004E053C">
      <w:pPr>
        <w:spacing w:line="360" w:lineRule="auto"/>
        <w:jc w:val="both"/>
        <w:rPr>
          <w:rFonts w:cstheme="majorHAnsi"/>
          <w:sz w:val="22"/>
          <w:szCs w:val="22"/>
          <w:lang w:val="en-GB"/>
        </w:rPr>
      </w:pPr>
      <w:r w:rsidRPr="004E053C">
        <w:rPr>
          <w:rFonts w:cstheme="majorHAnsi"/>
          <w:sz w:val="22"/>
          <w:szCs w:val="22"/>
          <w:lang w:val="en-GB"/>
        </w:rPr>
        <w:t>As discussed in chapter 2, although the ‘greed v need’ debate dominated ASM literature for many years, more recently this has been replaced by</w:t>
      </w:r>
      <w:r w:rsidR="00831F41" w:rsidRPr="004E053C">
        <w:rPr>
          <w:rFonts w:cstheme="majorHAnsi"/>
          <w:sz w:val="22"/>
          <w:szCs w:val="22"/>
          <w:lang w:val="en-GB"/>
        </w:rPr>
        <w:t xml:space="preserve"> a more nuanced understanding of the heterogeneity of mining communities. This has particularly focused on the ability of some miners to become very wealthy, often through the exploitation of others </w:t>
      </w:r>
      <w:r w:rsidR="00D7211F">
        <w:rPr>
          <w:rFonts w:cstheme="majorHAnsi"/>
          <w:sz w:val="22"/>
          <w:szCs w:val="22"/>
          <w:lang w:val="en-GB"/>
        </w:rPr>
        <w:fldChar w:fldCharType="begin" w:fldLock="1"/>
      </w:r>
      <w:r w:rsidR="00D7211F">
        <w:rPr>
          <w:rFonts w:cstheme="majorHAnsi"/>
          <w:sz w:val="22"/>
          <w:szCs w:val="22"/>
          <w:lang w:val="en-GB"/>
        </w:rPr>
        <w:instrText>ADDIN CSL_CITATION {"citationItems":[{"id":"ITEM-1","itemData":{"abstract":"In line with trends observed in several other countries, small-scale gold mining in Compostela Valley (ComVal) province has expanded immensely, and now boasts a high number of more advanced i.e. more capitalized and mechanized operations that push the edge of what is usually considered artisanal and small-scale mining (ASM). A historical, fieldwork-based analysis is presented of the diverse factors underlying the current situation. It is argued that existing accounts of ASM-expansion, by focusing disproportionately on the role of poverty in pushing people into ASM, fail to satisfactorily account for the state of gold mining in ComVal. Whereas this poverty-driven narrative may well explain the constant supply of mining recruits, it risks obscuring how for certain groups, ASM harbors important opportunities for capital accumulation. More specifically, the increased engagement in gold mining on the part of a heterogeneous class of mining financiers enabled ASM to evolve from rudimentary into relatively mechanized operations with highly complex working practices and revenue sharing arrangements. The nascent gold mining elite has entrenched itself in a regulatory environment amenable to the further expansion of gold mining. These observations suggest that more critical attention should be paid to the 'capital interests' driving similar transformations of ASM elsewhere. © 2014 Elsevier Ltd.","author":[{"dropping-particle":"","family":"Verbrugge","given":"Boris","non-dropping-particle":"","parse-names":false,"suffix":""}],"container-title":"Extractive Industries and Society","id":"ITEM-1","issue":"1","issued":{"date-parts":[["2014"]]},"page":"86-95","publisher":"Elsevier Ltd","title":"Capital interests: a historical analysis of the transformation of small-scale gold mining in Compostela Valley province, Southern Philippines","type":"article-journal","volume":"1"},"uris":["http://www.mendeley.com/documents/?uuid=7900df1e-3ca3-4f89-b985-69d57f5c9473"]}],"mendeley":{"formattedCitation":"(Verbrugge, 2014)","plainTextFormattedCitation":"(Verbrugge, 2014)","previouslyFormattedCitation":"(Verbrugge, 2014)"},"properties":{"noteIndex":0},"schema":"https://github.com/citation-style-language/schema/raw/master/csl-citation.json"}</w:instrText>
      </w:r>
      <w:r w:rsidR="00D7211F">
        <w:rPr>
          <w:rFonts w:cstheme="majorHAnsi"/>
          <w:sz w:val="22"/>
          <w:szCs w:val="22"/>
          <w:lang w:val="en-GB"/>
        </w:rPr>
        <w:fldChar w:fldCharType="separate"/>
      </w:r>
      <w:r w:rsidR="00D7211F" w:rsidRPr="00D7211F">
        <w:rPr>
          <w:rFonts w:cstheme="majorHAnsi"/>
          <w:noProof/>
          <w:sz w:val="22"/>
          <w:szCs w:val="22"/>
          <w:lang w:val="en-GB"/>
        </w:rPr>
        <w:t>(Verbrugge, 2014)</w:t>
      </w:r>
      <w:r w:rsidR="00D7211F">
        <w:rPr>
          <w:rFonts w:cstheme="majorHAnsi"/>
          <w:sz w:val="22"/>
          <w:szCs w:val="22"/>
          <w:lang w:val="en-GB"/>
        </w:rPr>
        <w:fldChar w:fldCharType="end"/>
      </w:r>
      <w:r w:rsidR="00831F41" w:rsidRPr="004E053C">
        <w:rPr>
          <w:rFonts w:cstheme="majorHAnsi"/>
          <w:sz w:val="22"/>
          <w:szCs w:val="22"/>
          <w:lang w:val="en-GB"/>
        </w:rPr>
        <w:t xml:space="preserve">. In Peru there is undoubtedly evidence of this kind of elite </w:t>
      </w:r>
      <w:r w:rsidR="0091076C" w:rsidRPr="004E053C">
        <w:rPr>
          <w:rFonts w:cstheme="majorHAnsi"/>
          <w:sz w:val="22"/>
          <w:szCs w:val="22"/>
          <w:lang w:val="en-GB"/>
        </w:rPr>
        <w:t xml:space="preserve">capture </w:t>
      </w:r>
      <w:r w:rsidR="00D7211F">
        <w:rPr>
          <w:rFonts w:cstheme="majorHAnsi"/>
          <w:sz w:val="22"/>
          <w:szCs w:val="22"/>
          <w:lang w:val="en-GB"/>
        </w:rPr>
        <w:fldChar w:fldCharType="begin" w:fldLock="1"/>
      </w:r>
      <w:r w:rsidR="0042599E">
        <w:rPr>
          <w:rFonts w:cstheme="majorHAnsi"/>
          <w:sz w:val="22"/>
          <w:szCs w:val="22"/>
          <w:lang w:val="en-GB"/>
        </w:rPr>
        <w:instrText>ADDIN CSL_CITATION {"citationItems":[{"id":"ITEM-1","itemData":{"author":[{"dropping-particle":"","family":"Cortés-McPherson","given":"Dolores","non-dropping-particle":"","parse-names":false,"suffix":""}],"container-title":"The Extractive Industries and Society","id":"ITEM-1","issue":"2","issued":{"date-parts":[["2019"]]},"page":"382-389","title":"Expansion of small-scale gold mining in Madre de Dios: ‘capital interests’ and the emergence of a new elite of entrepreneurs in the Peruvian Amazon","type":"article-journal","volume":"6"},"uris":["http://www.mendeley.com/documents/?uuid=402f7023-8f80-4150-99dd-21c5e92f9a63"]}],"mendeley":{"formattedCitation":"(Cortés-McPherson, 2019)","plainTextFormattedCitation":"(Cortés-McPherson, 2019)","previouslyFormattedCitation":"(Cortés-McPherson, 2019)"},"properties":{"noteIndex":0},"schema":"https://github.com/citation-style-language/schema/raw/master/csl-citation.json"}</w:instrText>
      </w:r>
      <w:r w:rsidR="00D7211F">
        <w:rPr>
          <w:rFonts w:cstheme="majorHAnsi"/>
          <w:sz w:val="22"/>
          <w:szCs w:val="22"/>
          <w:lang w:val="en-GB"/>
        </w:rPr>
        <w:fldChar w:fldCharType="separate"/>
      </w:r>
      <w:r w:rsidR="00D7211F" w:rsidRPr="00D7211F">
        <w:rPr>
          <w:rFonts w:cstheme="majorHAnsi"/>
          <w:noProof/>
          <w:sz w:val="22"/>
          <w:szCs w:val="22"/>
          <w:lang w:val="en-GB"/>
        </w:rPr>
        <w:t>(Cortés-McPherson, 2019)</w:t>
      </w:r>
      <w:r w:rsidR="00D7211F">
        <w:rPr>
          <w:rFonts w:cstheme="majorHAnsi"/>
          <w:sz w:val="22"/>
          <w:szCs w:val="22"/>
          <w:lang w:val="en-GB"/>
        </w:rPr>
        <w:fldChar w:fldCharType="end"/>
      </w:r>
      <w:r w:rsidR="0024649D" w:rsidRPr="004E053C">
        <w:rPr>
          <w:rFonts w:cstheme="majorHAnsi"/>
          <w:sz w:val="22"/>
          <w:szCs w:val="22"/>
          <w:lang w:val="en-GB"/>
        </w:rPr>
        <w:t xml:space="preserve"> </w:t>
      </w:r>
      <w:r w:rsidR="0091076C" w:rsidRPr="004E053C">
        <w:rPr>
          <w:rFonts w:cstheme="majorHAnsi"/>
          <w:sz w:val="22"/>
          <w:szCs w:val="22"/>
          <w:lang w:val="en-GB"/>
        </w:rPr>
        <w:t>a</w:t>
      </w:r>
      <w:r w:rsidR="00C01B10" w:rsidRPr="004E053C">
        <w:rPr>
          <w:rFonts w:cstheme="majorHAnsi"/>
          <w:sz w:val="22"/>
          <w:szCs w:val="22"/>
          <w:lang w:val="en-GB"/>
        </w:rPr>
        <w:t>n</w:t>
      </w:r>
      <w:r w:rsidR="0091076C" w:rsidRPr="004E053C">
        <w:rPr>
          <w:rFonts w:cstheme="majorHAnsi"/>
          <w:sz w:val="22"/>
          <w:szCs w:val="22"/>
          <w:lang w:val="en-GB"/>
        </w:rPr>
        <w:t xml:space="preserve">d </w:t>
      </w:r>
      <w:r w:rsidR="006461EA" w:rsidRPr="004E053C">
        <w:rPr>
          <w:rFonts w:cstheme="majorHAnsi"/>
          <w:sz w:val="22"/>
          <w:szCs w:val="22"/>
          <w:lang w:val="en-GB"/>
        </w:rPr>
        <w:t>links have been drawn with</w:t>
      </w:r>
      <w:r w:rsidR="00831F41" w:rsidRPr="004E053C">
        <w:rPr>
          <w:rFonts w:cstheme="majorHAnsi"/>
          <w:sz w:val="22"/>
          <w:szCs w:val="22"/>
          <w:lang w:val="en-GB"/>
        </w:rPr>
        <w:t xml:space="preserve"> </w:t>
      </w:r>
      <w:r w:rsidR="0091076C" w:rsidRPr="004E053C">
        <w:rPr>
          <w:rFonts w:cstheme="majorHAnsi"/>
          <w:sz w:val="22"/>
          <w:szCs w:val="22"/>
          <w:lang w:val="en-GB"/>
        </w:rPr>
        <w:t>organi</w:t>
      </w:r>
      <w:r w:rsidR="002D6E5D" w:rsidRPr="004E053C">
        <w:rPr>
          <w:rFonts w:cstheme="majorHAnsi"/>
          <w:sz w:val="22"/>
          <w:szCs w:val="22"/>
          <w:lang w:val="en-GB"/>
        </w:rPr>
        <w:t>s</w:t>
      </w:r>
      <w:r w:rsidR="0091076C" w:rsidRPr="004E053C">
        <w:rPr>
          <w:rFonts w:cstheme="majorHAnsi"/>
          <w:sz w:val="22"/>
          <w:szCs w:val="22"/>
          <w:lang w:val="en-GB"/>
        </w:rPr>
        <w:t>ed crime</w:t>
      </w:r>
      <w:r w:rsidR="006461EA" w:rsidRPr="004E053C">
        <w:rPr>
          <w:rFonts w:cstheme="majorHAnsi"/>
          <w:sz w:val="22"/>
          <w:szCs w:val="22"/>
          <w:lang w:val="en-GB"/>
        </w:rPr>
        <w:t xml:space="preserve"> and high-level corruption</w:t>
      </w:r>
      <w:r w:rsidR="0091076C" w:rsidRPr="004E053C">
        <w:rPr>
          <w:rFonts w:cstheme="majorHAnsi"/>
          <w:sz w:val="22"/>
          <w:szCs w:val="22"/>
          <w:lang w:val="en-GB"/>
        </w:rPr>
        <w:t xml:space="preserve"> </w:t>
      </w:r>
      <w:r w:rsidR="00FF13FC"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2016)","plainTextFormattedCitation":"(Salo et al., 2016)","previouslyFormattedCitation":"(Salo et al., 2016)"},"properties":{"noteIndex":0},"schema":"https://github.com/citation-style-language/schema/raw/master/csl-citation.json"}</w:instrText>
      </w:r>
      <w:r w:rsidR="00FF13FC" w:rsidRPr="004E053C">
        <w:rPr>
          <w:rFonts w:cstheme="majorHAnsi"/>
          <w:sz w:val="22"/>
          <w:szCs w:val="22"/>
          <w:lang w:val="en-GB"/>
        </w:rPr>
        <w:fldChar w:fldCharType="separate"/>
      </w:r>
      <w:r w:rsidR="00FF13FC" w:rsidRPr="004E053C">
        <w:rPr>
          <w:rFonts w:cstheme="majorHAnsi"/>
          <w:noProof/>
          <w:sz w:val="22"/>
          <w:szCs w:val="22"/>
          <w:lang w:val="en-GB"/>
        </w:rPr>
        <w:t>(Salo et al., 2016)</w:t>
      </w:r>
      <w:r w:rsidR="00FF13FC" w:rsidRPr="004E053C">
        <w:rPr>
          <w:rFonts w:cstheme="majorHAnsi"/>
          <w:sz w:val="22"/>
          <w:szCs w:val="22"/>
          <w:lang w:val="en-GB"/>
        </w:rPr>
        <w:fldChar w:fldCharType="end"/>
      </w:r>
      <w:r w:rsidR="0024649D" w:rsidRPr="004E053C">
        <w:rPr>
          <w:rFonts w:cstheme="majorHAnsi"/>
          <w:sz w:val="22"/>
          <w:szCs w:val="22"/>
          <w:lang w:val="en-GB"/>
        </w:rPr>
        <w:t xml:space="preserve">. </w:t>
      </w:r>
      <w:r w:rsidR="006461EA" w:rsidRPr="004E053C">
        <w:rPr>
          <w:rFonts w:cstheme="majorHAnsi"/>
          <w:sz w:val="22"/>
          <w:szCs w:val="22"/>
          <w:lang w:val="en-GB"/>
        </w:rPr>
        <w:t>The</w:t>
      </w:r>
      <w:r w:rsidR="0024649D" w:rsidRPr="004E053C">
        <w:rPr>
          <w:rFonts w:cstheme="majorHAnsi"/>
          <w:sz w:val="22"/>
          <w:szCs w:val="22"/>
          <w:lang w:val="en-GB"/>
        </w:rPr>
        <w:t xml:space="preserve"> majority of these very wealthy and powerful individuals do not live in towns such as Laberinto or have families in poor villages in the Andes</w:t>
      </w:r>
      <w:r w:rsidR="00831F41" w:rsidRPr="004E053C">
        <w:rPr>
          <w:rFonts w:cstheme="majorHAnsi"/>
          <w:sz w:val="22"/>
          <w:szCs w:val="22"/>
          <w:lang w:val="en-GB"/>
        </w:rPr>
        <w:t xml:space="preserve"> </w:t>
      </w:r>
      <w:r w:rsidR="0024649D" w:rsidRPr="004E053C">
        <w:rPr>
          <w:rFonts w:cstheme="majorHAnsi"/>
          <w:sz w:val="22"/>
          <w:szCs w:val="22"/>
          <w:lang w:val="en-GB"/>
        </w:rPr>
        <w:t xml:space="preserve">and were not the subject of my research. </w:t>
      </w:r>
      <w:r w:rsidR="006461EA" w:rsidRPr="004E053C">
        <w:rPr>
          <w:rFonts w:cstheme="majorHAnsi"/>
          <w:sz w:val="22"/>
          <w:szCs w:val="22"/>
          <w:lang w:val="en-GB"/>
        </w:rPr>
        <w:t>There are however many</w:t>
      </w:r>
      <w:r w:rsidR="00831F41" w:rsidRPr="004E053C">
        <w:rPr>
          <w:rFonts w:cstheme="majorHAnsi"/>
          <w:sz w:val="22"/>
          <w:szCs w:val="22"/>
          <w:lang w:val="en-GB"/>
        </w:rPr>
        <w:t xml:space="preserve"> </w:t>
      </w:r>
      <w:r w:rsidR="0091076C" w:rsidRPr="004E053C">
        <w:rPr>
          <w:rFonts w:cstheme="majorHAnsi"/>
          <w:sz w:val="22"/>
          <w:szCs w:val="22"/>
          <w:lang w:val="en-GB"/>
        </w:rPr>
        <w:t>rural households</w:t>
      </w:r>
      <w:r w:rsidR="006461EA" w:rsidRPr="004E053C">
        <w:rPr>
          <w:rFonts w:cstheme="majorHAnsi"/>
          <w:sz w:val="22"/>
          <w:szCs w:val="22"/>
          <w:lang w:val="en-GB"/>
        </w:rPr>
        <w:t xml:space="preserve"> who</w:t>
      </w:r>
      <w:r w:rsidR="0091076C" w:rsidRPr="004E053C">
        <w:rPr>
          <w:rFonts w:cstheme="majorHAnsi"/>
          <w:sz w:val="22"/>
          <w:szCs w:val="22"/>
          <w:lang w:val="en-GB"/>
        </w:rPr>
        <w:t xml:space="preserve"> </w:t>
      </w:r>
      <w:r w:rsidR="00831F41" w:rsidRPr="004E053C">
        <w:rPr>
          <w:rFonts w:cstheme="majorHAnsi"/>
          <w:sz w:val="22"/>
          <w:szCs w:val="22"/>
          <w:lang w:val="en-GB"/>
        </w:rPr>
        <w:t xml:space="preserve">continue to </w:t>
      </w:r>
      <w:r w:rsidR="0091076C" w:rsidRPr="004E053C">
        <w:rPr>
          <w:rFonts w:cstheme="majorHAnsi"/>
          <w:sz w:val="22"/>
          <w:szCs w:val="22"/>
          <w:lang w:val="en-GB"/>
        </w:rPr>
        <w:t xml:space="preserve">rely on ASM as </w:t>
      </w:r>
      <w:r w:rsidR="006461EA" w:rsidRPr="004E053C">
        <w:rPr>
          <w:rFonts w:cstheme="majorHAnsi"/>
          <w:sz w:val="22"/>
          <w:szCs w:val="22"/>
          <w:lang w:val="en-GB"/>
        </w:rPr>
        <w:t>their main source of income and, in many cases, for survival. While the participants of my research certainlty varied in the relative success they had achieved in the sector, there initial reasons for migration could be dividied within broad categories. I discuss them</w:t>
      </w:r>
      <w:r w:rsidR="0091076C" w:rsidRPr="004E053C">
        <w:rPr>
          <w:rFonts w:cstheme="majorHAnsi"/>
          <w:sz w:val="22"/>
          <w:szCs w:val="22"/>
          <w:lang w:val="en-GB"/>
        </w:rPr>
        <w:t xml:space="preserve"> here in turn with reference t</w:t>
      </w:r>
      <w:r w:rsidR="002A7AB9" w:rsidRPr="004E053C">
        <w:rPr>
          <w:rFonts w:cstheme="majorHAnsi"/>
          <w:sz w:val="22"/>
          <w:szCs w:val="22"/>
          <w:lang w:val="en-GB"/>
        </w:rPr>
        <w:t xml:space="preserve">o both Ocongate and Laberinto. </w:t>
      </w:r>
    </w:p>
    <w:p w14:paraId="4A785E53" w14:textId="77777777" w:rsidR="004A3EF1" w:rsidRPr="004E053C" w:rsidRDefault="004A3EF1" w:rsidP="004E053C">
      <w:pPr>
        <w:spacing w:line="360" w:lineRule="auto"/>
        <w:jc w:val="both"/>
        <w:rPr>
          <w:rFonts w:eastAsia="Times New Roman" w:cstheme="majorHAnsi"/>
          <w:sz w:val="22"/>
          <w:szCs w:val="22"/>
          <w:lang w:val="en-GB"/>
        </w:rPr>
      </w:pPr>
    </w:p>
    <w:p w14:paraId="0BDB81DC" w14:textId="77FE4512" w:rsidR="00906830"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.2</w:t>
      </w:r>
      <w:r w:rsidR="0091076C" w:rsidRPr="004E053C">
        <w:rPr>
          <w:rFonts w:asciiTheme="minorHAnsi" w:hAnsiTheme="minorHAnsi"/>
        </w:rPr>
        <w:t>.1. Perpetual Poverty</w:t>
      </w:r>
    </w:p>
    <w:p w14:paraId="06C77085" w14:textId="77777777" w:rsidR="004A3EF1" w:rsidRPr="004E053C" w:rsidRDefault="004A3EF1" w:rsidP="004E053C">
      <w:pPr>
        <w:spacing w:line="360" w:lineRule="auto"/>
        <w:jc w:val="both"/>
        <w:rPr>
          <w:rFonts w:cstheme="majorHAnsi"/>
          <w:lang w:val="en-GB"/>
        </w:rPr>
      </w:pPr>
    </w:p>
    <w:p w14:paraId="7F1197E7" w14:textId="0FCC0AB2" w:rsidR="0091076C" w:rsidRPr="004E053C" w:rsidRDefault="0091076C" w:rsidP="004E053C">
      <w:pPr>
        <w:spacing w:line="360" w:lineRule="auto"/>
        <w:jc w:val="both"/>
        <w:rPr>
          <w:rFonts w:eastAsia="Times New Roman" w:cstheme="majorHAnsi"/>
          <w:sz w:val="22"/>
          <w:szCs w:val="22"/>
          <w:lang w:val="en-GB"/>
        </w:rPr>
      </w:pPr>
      <w:r w:rsidRPr="004E053C">
        <w:rPr>
          <w:rFonts w:cstheme="majorHAnsi"/>
          <w:sz w:val="22"/>
          <w:szCs w:val="22"/>
          <w:lang w:val="en-GB"/>
        </w:rPr>
        <w:t>A</w:t>
      </w:r>
      <w:r w:rsidR="00F16371" w:rsidRPr="004E053C">
        <w:rPr>
          <w:rFonts w:cstheme="majorHAnsi"/>
          <w:sz w:val="22"/>
          <w:szCs w:val="22"/>
          <w:lang w:val="en-GB"/>
        </w:rPr>
        <w:t>s was highlighted in chapter 2</w:t>
      </w:r>
      <w:r w:rsidRPr="004E053C">
        <w:rPr>
          <w:rFonts w:cstheme="majorHAnsi"/>
          <w:sz w:val="22"/>
          <w:szCs w:val="22"/>
          <w:lang w:val="en-GB"/>
        </w:rPr>
        <w:t>, ASM can act as social safety net within communities, providing a livelihood option when there are no viable alternatives. Ande</w:t>
      </w:r>
      <w:r w:rsidR="008D060B" w:rsidRPr="004E053C">
        <w:rPr>
          <w:rFonts w:cstheme="majorHAnsi"/>
          <w:sz w:val="22"/>
          <w:szCs w:val="22"/>
          <w:lang w:val="en-GB"/>
        </w:rPr>
        <w:t>an village</w:t>
      </w:r>
      <w:r w:rsidRPr="004E053C">
        <w:rPr>
          <w:rFonts w:cstheme="majorHAnsi"/>
          <w:sz w:val="22"/>
          <w:szCs w:val="22"/>
          <w:lang w:val="en-GB"/>
        </w:rPr>
        <w:t>s in Peru ar</w:t>
      </w:r>
      <w:r w:rsidR="008D060B" w:rsidRPr="004E053C">
        <w:rPr>
          <w:rFonts w:cstheme="majorHAnsi"/>
          <w:sz w:val="22"/>
          <w:szCs w:val="22"/>
          <w:lang w:val="en-GB"/>
        </w:rPr>
        <w:t>e among the poorest areas i</w:t>
      </w:r>
      <w:r w:rsidRPr="004E053C">
        <w:rPr>
          <w:rFonts w:cstheme="majorHAnsi"/>
          <w:sz w:val="22"/>
          <w:szCs w:val="22"/>
          <w:lang w:val="en-GB"/>
        </w:rPr>
        <w:t xml:space="preserve">n Latin America </w:t>
      </w:r>
      <w:r w:rsidR="000D2526" w:rsidRPr="004E053C">
        <w:rPr>
          <w:rFonts w:cstheme="majorHAnsi"/>
          <w:sz w:val="22"/>
          <w:szCs w:val="22"/>
          <w:lang w:val="en-GB"/>
        </w:rPr>
        <w:fldChar w:fldCharType="begin" w:fldLock="1"/>
      </w:r>
      <w:r w:rsidR="000D2526" w:rsidRPr="004E053C">
        <w:rPr>
          <w:rFonts w:cstheme="majorHAnsi"/>
          <w:sz w:val="22"/>
          <w:szCs w:val="22"/>
          <w:lang w:val="en-GB"/>
        </w:rPr>
        <w:instrText>ADDIN CSL_CITATION {"citationItems":[{"id":"ITEM-1","itemData":{"author":[{"dropping-particle":"","family":"Steel","given":"G","non-dropping-particle":"","parse-names":false,"suffix":""},{"dropping-particle":"","family":"Zoomers","given":"A","non-dropping-particle":"","parse-names":false,"suffix":""}],"container-title":"International Development Planning Review","id":"ITEM-1","issue":"4","issued":{"date-parts":[["2009"]]},"page":"377-396","title":"Social mobility in the Central Andes of Peru and Bolivia","type":"article-journal","volume":"31"},"uris":["http://www.mendeley.com/documents/?uuid=8ab52e95-acb4-48ab-9e59-08b5898591f0"]}],"mendeley":{"formattedCitation":"(Steel &amp; Zoomers, 2009)","plainTextFormattedCitation":"(Steel &amp; Zoomers, 2009)","previouslyFormattedCitation":"(Steel &amp; Zoomers, 2009)"},"properties":{"noteIndex":0},"schema":"https://github.com/citation-style-language/schema/raw/master/csl-citation.json"}</w:instrText>
      </w:r>
      <w:r w:rsidR="000D2526" w:rsidRPr="004E053C">
        <w:rPr>
          <w:rFonts w:cstheme="majorHAnsi"/>
          <w:sz w:val="22"/>
          <w:szCs w:val="22"/>
          <w:lang w:val="en-GB"/>
        </w:rPr>
        <w:fldChar w:fldCharType="separate"/>
      </w:r>
      <w:r w:rsidR="000D2526" w:rsidRPr="004E053C">
        <w:rPr>
          <w:rFonts w:cstheme="majorHAnsi"/>
          <w:noProof/>
          <w:sz w:val="22"/>
          <w:szCs w:val="22"/>
          <w:lang w:val="en-GB"/>
        </w:rPr>
        <w:t>(Steel &amp; Zoomers, 2009)</w:t>
      </w:r>
      <w:r w:rsidR="000D2526" w:rsidRPr="004E053C">
        <w:rPr>
          <w:rFonts w:cstheme="majorHAnsi"/>
          <w:sz w:val="22"/>
          <w:szCs w:val="22"/>
          <w:lang w:val="en-GB"/>
        </w:rPr>
        <w:fldChar w:fldCharType="end"/>
      </w:r>
      <w:r w:rsidRPr="004E053C">
        <w:rPr>
          <w:rFonts w:cstheme="majorHAnsi"/>
          <w:sz w:val="22"/>
          <w:szCs w:val="22"/>
          <w:lang w:val="en-GB"/>
        </w:rPr>
        <w:t xml:space="preserve">, and households are </w:t>
      </w:r>
      <w:r w:rsidR="008D060B" w:rsidRPr="004E053C">
        <w:rPr>
          <w:rFonts w:cstheme="majorHAnsi"/>
          <w:sz w:val="22"/>
          <w:szCs w:val="22"/>
          <w:lang w:val="en-GB"/>
        </w:rPr>
        <w:t xml:space="preserve">often </w:t>
      </w:r>
      <w:r w:rsidRPr="004E053C">
        <w:rPr>
          <w:rFonts w:cstheme="majorHAnsi"/>
          <w:sz w:val="22"/>
          <w:szCs w:val="22"/>
          <w:lang w:val="en-GB"/>
        </w:rPr>
        <w:t xml:space="preserve">reliant on cultivating potatoes or rearing Alpacas, which does not provide an adequate income and </w:t>
      </w:r>
      <w:r w:rsidR="008D060B" w:rsidRPr="004E053C">
        <w:rPr>
          <w:rFonts w:cstheme="majorHAnsi"/>
          <w:sz w:val="22"/>
          <w:szCs w:val="22"/>
          <w:lang w:val="en-GB"/>
        </w:rPr>
        <w:t>faces further</w:t>
      </w:r>
      <w:r w:rsidRPr="004E053C">
        <w:rPr>
          <w:rFonts w:cstheme="majorHAnsi"/>
          <w:sz w:val="22"/>
          <w:szCs w:val="22"/>
          <w:lang w:val="en-GB"/>
        </w:rPr>
        <w:t xml:space="preserve"> risk</w:t>
      </w:r>
      <w:r w:rsidR="008D060B" w:rsidRPr="004E053C">
        <w:rPr>
          <w:rFonts w:cstheme="majorHAnsi"/>
          <w:sz w:val="22"/>
          <w:szCs w:val="22"/>
          <w:lang w:val="en-GB"/>
        </w:rPr>
        <w:t>s</w:t>
      </w:r>
      <w:r w:rsidRPr="004E053C">
        <w:rPr>
          <w:rFonts w:cstheme="majorHAnsi"/>
          <w:sz w:val="22"/>
          <w:szCs w:val="22"/>
          <w:lang w:val="en-GB"/>
        </w:rPr>
        <w:t xml:space="preserve"> from the impact of climate change </w:t>
      </w:r>
      <w:r w:rsidR="000D2526" w:rsidRPr="004E053C">
        <w:rPr>
          <w:rFonts w:cstheme="majorHAnsi"/>
          <w:sz w:val="22"/>
          <w:szCs w:val="22"/>
          <w:lang w:val="en-GB"/>
        </w:rPr>
        <w:fldChar w:fldCharType="begin" w:fldLock="1"/>
      </w:r>
      <w:r w:rsidR="000D2526" w:rsidRPr="004E053C">
        <w:rPr>
          <w:rFonts w:cstheme="majorHAnsi"/>
          <w:sz w:val="22"/>
          <w:szCs w:val="22"/>
          <w:lang w:val="en-GB"/>
        </w:rPr>
        <w:instrText>ADDIN CSL_CITATION {"citationItems":[{"id":"ITEM-1","itemData":{"author":[{"dropping-particle":"","family":"Hoffman","given":"Max","non-dropping-particle":"","parse-names":false,"suffix":""},{"dropping-particle":"","family":"Grigera","given":"Ana I","non-dropping-particle":"","parse-names":false,"suffix":""}],"id":"ITEM-1","issued":{"date-parts":[["2013"]]},"number-of-pages":"110","publisher-place":"Washington D.C.","title":"Climate Change, Migration, and Conflict in the Amazon and the Andes Rising Tensions and Policy Options in South America","type":"report"},"uris":["http://www.mendeley.com/documents/?uuid=452d85a6-8009-3436-9de9-094826b567f3"]}],"mendeley":{"formattedCitation":"(Hoffman &amp; Grigera, 2013)","plainTextFormattedCitation":"(Hoffman &amp; Grigera, 2013)","previouslyFormattedCitation":"(Hoffman &amp; Grigera, 2013)"},"properties":{"noteIndex":0},"schema":"https://github.com/citation-style-language/schema/raw/master/csl-citation.json"}</w:instrText>
      </w:r>
      <w:r w:rsidR="000D2526" w:rsidRPr="004E053C">
        <w:rPr>
          <w:rFonts w:cstheme="majorHAnsi"/>
          <w:sz w:val="22"/>
          <w:szCs w:val="22"/>
          <w:lang w:val="en-GB"/>
        </w:rPr>
        <w:fldChar w:fldCharType="separate"/>
      </w:r>
      <w:r w:rsidR="000D2526" w:rsidRPr="004E053C">
        <w:rPr>
          <w:rFonts w:cstheme="majorHAnsi"/>
          <w:noProof/>
          <w:sz w:val="22"/>
          <w:szCs w:val="22"/>
          <w:lang w:val="en-GB"/>
        </w:rPr>
        <w:t>(Hoffman &amp; Grigera, 2013)</w:t>
      </w:r>
      <w:r w:rsidR="000D2526" w:rsidRPr="004E053C">
        <w:rPr>
          <w:rFonts w:cstheme="majorHAnsi"/>
          <w:sz w:val="22"/>
          <w:szCs w:val="22"/>
          <w:lang w:val="en-GB"/>
        </w:rPr>
        <w:fldChar w:fldCharType="end"/>
      </w:r>
      <w:r w:rsidRPr="004E053C">
        <w:rPr>
          <w:rFonts w:cstheme="majorHAnsi"/>
          <w:sz w:val="22"/>
          <w:szCs w:val="22"/>
          <w:lang w:val="en-GB"/>
        </w:rPr>
        <w:t xml:space="preserve">. For many ASM operatives in Madre de Dios, migration to the mining site has been prompted, at least in part, by a desire to escape poverty in the Andes. This is easily illustrated drawing on evidence from interviews conducted in both Ocongate and Laberinto. </w:t>
      </w:r>
    </w:p>
    <w:p w14:paraId="60FD87F4" w14:textId="77777777" w:rsidR="0091076C" w:rsidRPr="004E053C" w:rsidRDefault="0091076C" w:rsidP="004E053C">
      <w:pPr>
        <w:spacing w:line="360" w:lineRule="auto"/>
        <w:jc w:val="both"/>
        <w:rPr>
          <w:rFonts w:eastAsia="Times New Roman" w:cstheme="majorHAnsi"/>
          <w:sz w:val="22"/>
          <w:szCs w:val="22"/>
          <w:lang w:val="en-GB"/>
        </w:rPr>
      </w:pPr>
    </w:p>
    <w:p w14:paraId="62DE4F6F" w14:textId="175C9C0A"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Using a translocal approach to fieldwork and analysis</w:t>
      </w:r>
      <w:r w:rsidR="00831F41" w:rsidRPr="004E053C">
        <w:rPr>
          <w:rFonts w:cstheme="majorHAnsi"/>
          <w:sz w:val="22"/>
          <w:szCs w:val="22"/>
          <w:lang w:val="en-GB"/>
        </w:rPr>
        <w:t xml:space="preserve"> can</w:t>
      </w:r>
      <w:r w:rsidRPr="004E053C">
        <w:rPr>
          <w:rFonts w:cstheme="majorHAnsi"/>
          <w:sz w:val="22"/>
          <w:szCs w:val="22"/>
          <w:lang w:val="en-GB"/>
        </w:rPr>
        <w:t xml:space="preserve"> provide an understanding of how the economic situation in Andean communities may encourage out-migration and involvement in ASM. </w:t>
      </w:r>
      <w:r w:rsidRPr="004E053C">
        <w:rPr>
          <w:rFonts w:cstheme="majorHAnsi"/>
          <w:sz w:val="22"/>
          <w:szCs w:val="22"/>
          <w:lang w:val="en-GB"/>
        </w:rPr>
        <w:lastRenderedPageBreak/>
        <w:t>One local government officer in Puerto Maldonado explained that while the mining problem was manifesting itself in Madre de Dios, its causes and answers were in the Andes, where poverty is very high:</w:t>
      </w:r>
    </w:p>
    <w:p w14:paraId="059A433F" w14:textId="7CBE3CB0" w:rsidR="0091076C" w:rsidRPr="004E053C" w:rsidRDefault="008D060B" w:rsidP="004E053C">
      <w:pPr>
        <w:ind w:left="720"/>
        <w:jc w:val="both"/>
        <w:rPr>
          <w:rFonts w:cstheme="majorHAnsi"/>
          <w:i/>
          <w:sz w:val="22"/>
          <w:szCs w:val="22"/>
          <w:lang w:val="en-GB"/>
        </w:rPr>
      </w:pPr>
      <w:r w:rsidRPr="004E053C">
        <w:rPr>
          <w:rFonts w:cstheme="majorHAnsi"/>
          <w:i/>
          <w:sz w:val="22"/>
          <w:szCs w:val="22"/>
          <w:lang w:val="en-GB"/>
        </w:rPr>
        <w:t>‘</w:t>
      </w:r>
      <w:r w:rsidR="0091076C" w:rsidRPr="004E053C">
        <w:rPr>
          <w:rFonts w:cstheme="majorHAnsi"/>
          <w:i/>
          <w:sz w:val="22"/>
          <w:szCs w:val="22"/>
          <w:lang w:val="en-GB"/>
        </w:rPr>
        <w:t>Here poor people have an easy way to get money, that’s why they come here. The government needs to do poverty reduction if they want to reduce mining, to improve the lives of these miners and their families. Cusco is receiving taxes from gas and mining and tourism, but they do not distribute any of these resources to poor areas… They don’t need to be interested in the poor areas because they know they can come here and work, and the poor areas have small populations and less votes, so ther</w:t>
      </w:r>
      <w:r w:rsidRPr="004E053C">
        <w:rPr>
          <w:rFonts w:cstheme="majorHAnsi"/>
          <w:i/>
          <w:sz w:val="22"/>
          <w:szCs w:val="22"/>
          <w:lang w:val="en-GB"/>
        </w:rPr>
        <w:t>e is no need to care about them’</w:t>
      </w:r>
      <w:r w:rsidR="0091076C" w:rsidRPr="004E053C">
        <w:rPr>
          <w:rFonts w:cstheme="majorHAnsi"/>
          <w:i/>
          <w:sz w:val="22"/>
          <w:szCs w:val="22"/>
          <w:lang w:val="en-GB"/>
        </w:rPr>
        <w:t xml:space="preserve"> </w:t>
      </w:r>
      <w:r w:rsidR="0091076C" w:rsidRPr="004E053C">
        <w:rPr>
          <w:rFonts w:cstheme="majorHAnsi"/>
          <w:iCs/>
          <w:sz w:val="22"/>
          <w:szCs w:val="22"/>
          <w:lang w:val="en-GB"/>
        </w:rPr>
        <w:t>(LGA representative, Puerto Maldonado).</w:t>
      </w:r>
    </w:p>
    <w:p w14:paraId="0A128D46" w14:textId="77777777" w:rsidR="0091076C" w:rsidRPr="004E053C" w:rsidRDefault="0091076C" w:rsidP="004E053C">
      <w:pPr>
        <w:spacing w:line="360" w:lineRule="auto"/>
        <w:jc w:val="both"/>
        <w:rPr>
          <w:rFonts w:cstheme="majorHAnsi"/>
          <w:sz w:val="22"/>
          <w:szCs w:val="22"/>
          <w:lang w:val="en-GB"/>
        </w:rPr>
      </w:pPr>
    </w:p>
    <w:p w14:paraId="04C2718D" w14:textId="7346CD68"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 xml:space="preserve">The comments of the LGA representative point to </w:t>
      </w:r>
      <w:r w:rsidR="008D060B" w:rsidRPr="004E053C">
        <w:rPr>
          <w:rFonts w:cstheme="majorHAnsi"/>
          <w:sz w:val="22"/>
          <w:szCs w:val="22"/>
          <w:lang w:val="en-GB"/>
        </w:rPr>
        <w:t>local populations</w:t>
      </w:r>
      <w:r w:rsidRPr="004E053C">
        <w:rPr>
          <w:rFonts w:cstheme="majorHAnsi"/>
          <w:sz w:val="22"/>
          <w:szCs w:val="22"/>
          <w:lang w:val="en-GB"/>
        </w:rPr>
        <w:t xml:space="preserve"> in the Andes left to lift themselves out of poverty. These comments seem to reflect the realit</w:t>
      </w:r>
      <w:r w:rsidR="008D060B" w:rsidRPr="004E053C">
        <w:rPr>
          <w:rFonts w:cstheme="majorHAnsi"/>
          <w:sz w:val="22"/>
          <w:szCs w:val="22"/>
          <w:lang w:val="en-GB"/>
        </w:rPr>
        <w:t>ies of life in the two villages studied</w:t>
      </w:r>
      <w:r w:rsidRPr="004E053C">
        <w:rPr>
          <w:rFonts w:cstheme="majorHAnsi"/>
          <w:sz w:val="22"/>
          <w:szCs w:val="22"/>
          <w:lang w:val="en-GB"/>
        </w:rPr>
        <w:t xml:space="preserve"> in Ocongate district, where there are very few livelihood options. Every interview respondent discussed the lack of employment opportunities and an over-reliance on agriculture, particularly potato cultivation and the rearing of livestock, which provided very little money. Some of the women continued agricultural activities alongside their husband’s ASM activities, but most could only produce enough for their own consumption. Furthermore, agriculture takes longer to provide economic benefit, and one man explained that while it may take up to four years to gain any income from rearing alpacas, payment in the mine sites was instant.</w:t>
      </w:r>
      <w:r w:rsidRPr="004E053C">
        <w:rPr>
          <w:rFonts w:cstheme="majorHAnsi"/>
          <w:i/>
          <w:sz w:val="22"/>
          <w:szCs w:val="22"/>
          <w:lang w:val="en-GB"/>
        </w:rPr>
        <w:t xml:space="preserve"> </w:t>
      </w:r>
      <w:r w:rsidRPr="004E053C">
        <w:rPr>
          <w:rFonts w:cstheme="majorHAnsi"/>
          <w:sz w:val="22"/>
          <w:szCs w:val="22"/>
          <w:lang w:val="en-GB"/>
        </w:rPr>
        <w:t xml:space="preserve">While there are some construction opportunities available, these do not pay as well as ASM and may still require working away for some days at a time, albeit with more frequent visits home. </w:t>
      </w:r>
    </w:p>
    <w:p w14:paraId="328AEDC3" w14:textId="77777777" w:rsidR="0091076C" w:rsidRPr="004E053C" w:rsidRDefault="0091076C" w:rsidP="004E053C">
      <w:pPr>
        <w:spacing w:line="360" w:lineRule="auto"/>
        <w:jc w:val="both"/>
        <w:rPr>
          <w:rFonts w:cstheme="majorHAnsi"/>
          <w:sz w:val="22"/>
          <w:szCs w:val="22"/>
          <w:lang w:val="en-GB"/>
        </w:rPr>
      </w:pPr>
    </w:p>
    <w:p w14:paraId="16D02CE1" w14:textId="53820382" w:rsidR="0091076C" w:rsidRPr="004E053C" w:rsidRDefault="0091076C" w:rsidP="004E053C">
      <w:pPr>
        <w:spacing w:line="360" w:lineRule="auto"/>
        <w:jc w:val="both"/>
        <w:rPr>
          <w:rFonts w:eastAsia="Times New Roman" w:cstheme="majorHAnsi"/>
          <w:bCs/>
          <w:color w:val="333132"/>
          <w:sz w:val="22"/>
          <w:szCs w:val="22"/>
          <w:lang w:val="en-GB"/>
        </w:rPr>
      </w:pPr>
      <w:r w:rsidRPr="004E053C">
        <w:rPr>
          <w:rFonts w:cstheme="majorHAnsi"/>
          <w:sz w:val="22"/>
          <w:szCs w:val="22"/>
          <w:lang w:val="en-GB"/>
        </w:rPr>
        <w:t xml:space="preserve">All of the respondents in Ocongate claimed to have been living in poverty before their involvement in ASM. For example, </w:t>
      </w:r>
      <w:r w:rsidR="001B115B" w:rsidRPr="004E053C">
        <w:rPr>
          <w:rFonts w:cstheme="majorHAnsi"/>
          <w:sz w:val="22"/>
          <w:szCs w:val="22"/>
          <w:lang w:val="en-GB"/>
        </w:rPr>
        <w:t>Chaska</w:t>
      </w:r>
      <w:r w:rsidRPr="004E053C">
        <w:rPr>
          <w:rFonts w:cstheme="majorHAnsi"/>
          <w:sz w:val="22"/>
          <w:szCs w:val="22"/>
          <w:lang w:val="en-GB"/>
        </w:rPr>
        <w:t xml:space="preserve"> lives in Ocongate District with her husband and three-year old son. Prior to working in ASM, her husband did irregular work for other people in the community, but could only earn about 30 soles per day. This me</w:t>
      </w:r>
      <w:r w:rsidR="008D060B" w:rsidRPr="004E053C">
        <w:rPr>
          <w:rFonts w:cstheme="majorHAnsi"/>
          <w:sz w:val="22"/>
          <w:szCs w:val="22"/>
          <w:lang w:val="en-GB"/>
        </w:rPr>
        <w:t xml:space="preserve">ant that they could not afford to buy </w:t>
      </w:r>
      <w:r w:rsidRPr="004E053C">
        <w:rPr>
          <w:rFonts w:cstheme="majorHAnsi"/>
          <w:sz w:val="22"/>
          <w:szCs w:val="22"/>
          <w:lang w:val="en-GB"/>
        </w:rPr>
        <w:t xml:space="preserve">land or build a house and sometimes could not </w:t>
      </w:r>
      <w:r w:rsidR="008D060B" w:rsidRPr="004E053C">
        <w:rPr>
          <w:rFonts w:cstheme="majorHAnsi"/>
          <w:sz w:val="22"/>
          <w:szCs w:val="22"/>
          <w:lang w:val="en-GB"/>
        </w:rPr>
        <w:t xml:space="preserve">even </w:t>
      </w:r>
      <w:r w:rsidRPr="004E053C">
        <w:rPr>
          <w:rFonts w:cstheme="majorHAnsi"/>
          <w:sz w:val="22"/>
          <w:szCs w:val="22"/>
          <w:lang w:val="en-GB"/>
        </w:rPr>
        <w:t xml:space="preserve">afford enough to eat. Since working in ASM, her husband’s daily earnings have more than doubled, and the family has been able to build their own house. </w:t>
      </w:r>
      <w:r w:rsidR="001B115B" w:rsidRPr="004E053C">
        <w:rPr>
          <w:rFonts w:cstheme="majorHAnsi"/>
          <w:sz w:val="22"/>
          <w:szCs w:val="22"/>
          <w:lang w:val="en-GB"/>
        </w:rPr>
        <w:t>Shirley</w:t>
      </w:r>
      <w:r w:rsidRPr="004E053C">
        <w:rPr>
          <w:rFonts w:cstheme="majorHAnsi"/>
          <w:sz w:val="22"/>
          <w:szCs w:val="22"/>
          <w:lang w:val="en-GB"/>
        </w:rPr>
        <w:t xml:space="preserve">, </w:t>
      </w:r>
      <w:r w:rsidR="008D060B" w:rsidRPr="004E053C">
        <w:rPr>
          <w:rFonts w:cstheme="majorHAnsi"/>
          <w:sz w:val="22"/>
          <w:szCs w:val="22"/>
          <w:lang w:val="en-GB"/>
        </w:rPr>
        <w:t>whose</w:t>
      </w:r>
      <w:r w:rsidRPr="004E053C">
        <w:rPr>
          <w:rFonts w:cstheme="majorHAnsi"/>
          <w:sz w:val="22"/>
          <w:szCs w:val="22"/>
          <w:lang w:val="en-GB"/>
        </w:rPr>
        <w:t xml:space="preserve"> family had suffered a lot of financial hardship before her husband secured work as an </w:t>
      </w:r>
      <w:r w:rsidRPr="004E053C">
        <w:rPr>
          <w:rFonts w:cstheme="majorHAnsi"/>
          <w:i/>
          <w:iCs/>
          <w:sz w:val="22"/>
          <w:szCs w:val="22"/>
          <w:lang w:val="en-GB"/>
        </w:rPr>
        <w:t>obrero</w:t>
      </w:r>
      <w:r w:rsidR="00C01B10" w:rsidRPr="004E053C">
        <w:rPr>
          <w:rStyle w:val="FootnoteReference"/>
          <w:rFonts w:cstheme="majorHAnsi"/>
          <w:lang w:val="en-GB"/>
        </w:rPr>
        <w:footnoteReference w:id="4"/>
      </w:r>
      <w:r w:rsidR="00C01B10" w:rsidRPr="004E053C">
        <w:rPr>
          <w:rFonts w:cstheme="majorHAnsi"/>
          <w:i/>
          <w:iCs/>
          <w:sz w:val="22"/>
          <w:szCs w:val="22"/>
          <w:lang w:val="en-GB"/>
        </w:rPr>
        <w:t xml:space="preserve"> </w:t>
      </w:r>
      <w:r w:rsidRPr="004E053C">
        <w:rPr>
          <w:rFonts w:cstheme="majorHAnsi"/>
          <w:sz w:val="22"/>
          <w:szCs w:val="22"/>
          <w:lang w:val="en-GB"/>
        </w:rPr>
        <w:t>in La Pampa, told a similar story. Whereas previously they had never even consider</w:t>
      </w:r>
      <w:r w:rsidR="008D060B" w:rsidRPr="004E053C">
        <w:rPr>
          <w:rFonts w:cstheme="majorHAnsi"/>
          <w:sz w:val="22"/>
          <w:szCs w:val="22"/>
          <w:lang w:val="en-GB"/>
        </w:rPr>
        <w:t>ed the possibility of investing</w:t>
      </w:r>
      <w:r w:rsidRPr="004E053C">
        <w:rPr>
          <w:rFonts w:cstheme="majorHAnsi"/>
          <w:sz w:val="22"/>
          <w:szCs w:val="22"/>
          <w:lang w:val="en-GB"/>
        </w:rPr>
        <w:t xml:space="preserve"> in a small business, after just a few months working in ASM her husband had saved enough to buy a motorbike with which he could provide transport services. This meant the family did not have to engage in ASM long-term, or even invest in their own mining equipment, to </w:t>
      </w:r>
      <w:r w:rsidRPr="004E053C">
        <w:rPr>
          <w:rFonts w:cstheme="majorHAnsi"/>
          <w:sz w:val="22"/>
          <w:szCs w:val="22"/>
          <w:lang w:val="en-GB"/>
        </w:rPr>
        <w:lastRenderedPageBreak/>
        <w:t xml:space="preserve">be able to save a sufficient amount, illustrating how ASM can provide a way out of poverty without the need to become a </w:t>
      </w:r>
      <w:r w:rsidR="00A70DD0" w:rsidRPr="004E053C">
        <w:rPr>
          <w:rFonts w:cstheme="majorHAnsi"/>
          <w:sz w:val="22"/>
          <w:szCs w:val="22"/>
          <w:lang w:val="en-GB"/>
        </w:rPr>
        <w:t>‘career miner’</w:t>
      </w:r>
      <w:r w:rsidRPr="004E053C">
        <w:rPr>
          <w:rFonts w:cstheme="majorHAnsi"/>
          <w:sz w:val="22"/>
          <w:szCs w:val="22"/>
          <w:lang w:val="en-GB"/>
        </w:rPr>
        <w:t xml:space="preserve"> </w:t>
      </w:r>
      <w:r w:rsidR="000D2526"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2010)","manualFormatting":"(Bryceson &amp; Jønsson, 2010)","plainTextFormattedCitation":"(D. F. Bryceson &amp; Jønsson, 2010)","previouslyFormattedCitation":"(D. F. Bryceson &amp; Jønsson, 2010)"},"properties":{"noteIndex":0},"schema":"https://github.com/citation-style-language/schema/raw/master/csl-citation.json"}</w:instrText>
      </w:r>
      <w:r w:rsidR="000D2526" w:rsidRPr="004E053C">
        <w:rPr>
          <w:rFonts w:cstheme="majorHAnsi"/>
          <w:sz w:val="22"/>
          <w:szCs w:val="22"/>
          <w:lang w:val="en-GB"/>
        </w:rPr>
        <w:fldChar w:fldCharType="separate"/>
      </w:r>
      <w:r w:rsidR="00830084" w:rsidRPr="004E053C">
        <w:rPr>
          <w:rFonts w:cstheme="majorHAnsi"/>
          <w:noProof/>
          <w:sz w:val="22"/>
          <w:szCs w:val="22"/>
          <w:lang w:val="en-GB"/>
        </w:rPr>
        <w:t>(</w:t>
      </w:r>
      <w:r w:rsidR="00EE12FF" w:rsidRPr="004E053C">
        <w:rPr>
          <w:rFonts w:cstheme="majorHAnsi"/>
          <w:noProof/>
          <w:sz w:val="22"/>
          <w:szCs w:val="22"/>
          <w:lang w:val="en-GB"/>
        </w:rPr>
        <w:t>Bryceson &amp; Jønsson, 2010)</w:t>
      </w:r>
      <w:r w:rsidR="000D2526" w:rsidRPr="004E053C">
        <w:rPr>
          <w:rFonts w:cstheme="majorHAnsi"/>
          <w:sz w:val="22"/>
          <w:szCs w:val="22"/>
          <w:lang w:val="en-GB"/>
        </w:rPr>
        <w:fldChar w:fldCharType="end"/>
      </w:r>
      <w:r w:rsidRPr="004E053C">
        <w:rPr>
          <w:rFonts w:eastAsia="Times New Roman" w:cstheme="majorHAnsi"/>
          <w:bCs/>
          <w:color w:val="333132"/>
          <w:sz w:val="22"/>
          <w:szCs w:val="22"/>
          <w:lang w:val="en-GB"/>
        </w:rPr>
        <w:t xml:space="preserve">. </w:t>
      </w:r>
    </w:p>
    <w:p w14:paraId="77963627" w14:textId="77777777" w:rsidR="00843DED" w:rsidRPr="004E053C" w:rsidRDefault="00843DED" w:rsidP="004E053C">
      <w:pPr>
        <w:spacing w:line="360" w:lineRule="auto"/>
        <w:jc w:val="both"/>
        <w:rPr>
          <w:rFonts w:eastAsia="Times New Roman" w:cstheme="majorHAnsi"/>
          <w:bCs/>
          <w:color w:val="333132"/>
          <w:sz w:val="22"/>
          <w:szCs w:val="22"/>
          <w:lang w:val="en-GB"/>
        </w:rPr>
      </w:pPr>
    </w:p>
    <w:p w14:paraId="5BDB0B0D" w14:textId="13596AAD" w:rsidR="007B7C36" w:rsidRPr="004E053C" w:rsidRDefault="0091076C" w:rsidP="004E053C">
      <w:pPr>
        <w:pStyle w:val="NormalWeb"/>
        <w:spacing w:before="0" w:beforeAutospacing="0" w:line="360" w:lineRule="auto"/>
        <w:jc w:val="both"/>
        <w:rPr>
          <w:rFonts w:asciiTheme="minorHAnsi" w:hAnsiTheme="minorHAnsi" w:cstheme="majorHAnsi"/>
        </w:rPr>
      </w:pPr>
      <w:r w:rsidRPr="004E053C">
        <w:rPr>
          <w:rFonts w:asciiTheme="minorHAnsi" w:eastAsia="Times New Roman" w:hAnsiTheme="minorHAnsi" w:cstheme="majorHAnsi"/>
          <w:sz w:val="22"/>
          <w:szCs w:val="22"/>
        </w:rPr>
        <w:t>In Laberinto, all the miners mentioned the ability to secure a higher income as a factor in their decision to mine. Although the price of gold has fluctuated greatly since the first miners arrived in Laberinto in the 1970s, economic motivations have remained consistently impo</w:t>
      </w:r>
      <w:r w:rsidR="008D060B" w:rsidRPr="004E053C">
        <w:rPr>
          <w:rFonts w:asciiTheme="minorHAnsi" w:eastAsia="Times New Roman" w:hAnsiTheme="minorHAnsi" w:cstheme="majorHAnsi"/>
          <w:sz w:val="22"/>
          <w:szCs w:val="22"/>
        </w:rPr>
        <w:t>rtant. Even a low gold price provides a higher income than can be</w:t>
      </w:r>
      <w:r w:rsidRPr="004E053C">
        <w:rPr>
          <w:rFonts w:asciiTheme="minorHAnsi" w:eastAsia="Times New Roman" w:hAnsiTheme="minorHAnsi" w:cstheme="majorHAnsi"/>
          <w:sz w:val="22"/>
          <w:szCs w:val="22"/>
        </w:rPr>
        <w:t xml:space="preserve"> made from agricultural livelihood</w:t>
      </w:r>
      <w:r w:rsidR="008D060B" w:rsidRPr="004E053C">
        <w:rPr>
          <w:rFonts w:asciiTheme="minorHAnsi" w:eastAsia="Times New Roman" w:hAnsiTheme="minorHAnsi" w:cstheme="majorHAnsi"/>
          <w:sz w:val="22"/>
          <w:szCs w:val="22"/>
        </w:rPr>
        <w:t>s</w:t>
      </w:r>
      <w:r w:rsidRPr="004E053C">
        <w:rPr>
          <w:rFonts w:asciiTheme="minorHAnsi" w:eastAsia="Times New Roman" w:hAnsiTheme="minorHAnsi" w:cstheme="majorHAnsi"/>
          <w:sz w:val="22"/>
          <w:szCs w:val="22"/>
        </w:rPr>
        <w:t xml:space="preserve"> in the Andes </w:t>
      </w:r>
      <w:r w:rsidR="008D060B" w:rsidRPr="004E053C">
        <w:rPr>
          <w:rFonts w:asciiTheme="minorHAnsi" w:eastAsia="Times New Roman" w:hAnsiTheme="minorHAnsi" w:cstheme="majorHAnsi"/>
          <w:sz w:val="22"/>
          <w:szCs w:val="22"/>
        </w:rPr>
        <w:t>–</w:t>
      </w:r>
      <w:r w:rsidRPr="004E053C">
        <w:rPr>
          <w:rFonts w:asciiTheme="minorHAnsi" w:eastAsia="Times New Roman" w:hAnsiTheme="minorHAnsi" w:cstheme="majorHAnsi"/>
          <w:sz w:val="22"/>
          <w:szCs w:val="22"/>
        </w:rPr>
        <w:t xml:space="preserve"> </w:t>
      </w:r>
      <w:r w:rsidR="008D060B" w:rsidRPr="004E053C">
        <w:rPr>
          <w:rFonts w:asciiTheme="minorHAnsi" w:eastAsia="Times New Roman" w:hAnsiTheme="minorHAnsi" w:cstheme="majorHAnsi"/>
          <w:sz w:val="22"/>
          <w:szCs w:val="22"/>
        </w:rPr>
        <w:t>‘</w:t>
      </w:r>
      <w:r w:rsidRPr="004E053C">
        <w:rPr>
          <w:rFonts w:asciiTheme="minorHAnsi" w:eastAsia="Times New Roman" w:hAnsiTheme="minorHAnsi" w:cstheme="majorHAnsi"/>
          <w:i/>
          <w:sz w:val="22"/>
          <w:szCs w:val="22"/>
        </w:rPr>
        <w:t>In Puerto they found gold and they know they can earn 200 or 300 sole</w:t>
      </w:r>
      <w:r w:rsidR="004A3001" w:rsidRPr="004E053C">
        <w:rPr>
          <w:rFonts w:asciiTheme="minorHAnsi" w:eastAsia="Times New Roman" w:hAnsiTheme="minorHAnsi" w:cstheme="majorHAnsi"/>
          <w:i/>
          <w:sz w:val="22"/>
          <w:szCs w:val="22"/>
        </w:rPr>
        <w:t>s per day, i</w:t>
      </w:r>
      <w:r w:rsidR="004609AA" w:rsidRPr="004E053C">
        <w:rPr>
          <w:rFonts w:asciiTheme="minorHAnsi" w:eastAsia="Times New Roman" w:hAnsiTheme="minorHAnsi" w:cstheme="majorHAnsi"/>
          <w:i/>
          <w:sz w:val="22"/>
          <w:szCs w:val="22"/>
        </w:rPr>
        <w:t>n Cusco (region) it’</w:t>
      </w:r>
      <w:r w:rsidRPr="004E053C">
        <w:rPr>
          <w:rFonts w:asciiTheme="minorHAnsi" w:eastAsia="Times New Roman" w:hAnsiTheme="minorHAnsi" w:cstheme="majorHAnsi"/>
          <w:i/>
          <w:sz w:val="22"/>
          <w:szCs w:val="22"/>
        </w:rPr>
        <w:t>s just 30 soles a day</w:t>
      </w:r>
      <w:r w:rsidR="008D060B" w:rsidRPr="004E053C">
        <w:rPr>
          <w:rFonts w:asciiTheme="minorHAnsi" w:eastAsia="Times New Roman" w:hAnsiTheme="minorHAnsi" w:cstheme="majorHAnsi"/>
          <w:sz w:val="22"/>
          <w:szCs w:val="22"/>
        </w:rPr>
        <w:t>’</w:t>
      </w:r>
      <w:r w:rsidRPr="004E053C">
        <w:rPr>
          <w:rFonts w:asciiTheme="minorHAnsi" w:eastAsia="Times New Roman" w:hAnsiTheme="minorHAnsi" w:cstheme="majorHAnsi"/>
          <w:sz w:val="22"/>
          <w:szCs w:val="22"/>
        </w:rPr>
        <w:t xml:space="preserve"> (</w:t>
      </w:r>
      <w:r w:rsidR="00EA7F80" w:rsidRPr="004E053C">
        <w:rPr>
          <w:rFonts w:asciiTheme="minorHAnsi" w:eastAsia="Times New Roman" w:hAnsiTheme="minorHAnsi" w:cstheme="majorHAnsi"/>
          <w:sz w:val="22"/>
          <w:szCs w:val="22"/>
        </w:rPr>
        <w:t>Francisco</w:t>
      </w:r>
      <w:r w:rsidRPr="004E053C">
        <w:rPr>
          <w:rFonts w:asciiTheme="minorHAnsi" w:eastAsia="Times New Roman" w:hAnsiTheme="minorHAnsi" w:cstheme="majorHAnsi"/>
          <w:sz w:val="22"/>
          <w:szCs w:val="22"/>
        </w:rPr>
        <w:t>, ASM miner, Laberinto).</w:t>
      </w:r>
      <w:r w:rsidRPr="004E053C">
        <w:rPr>
          <w:rFonts w:asciiTheme="minorHAnsi" w:hAnsiTheme="minorHAnsi" w:cstheme="majorHAnsi"/>
          <w:sz w:val="22"/>
          <w:szCs w:val="22"/>
        </w:rPr>
        <w:t xml:space="preserve"> </w:t>
      </w:r>
      <w:r w:rsidRPr="004E053C">
        <w:rPr>
          <w:rFonts w:asciiTheme="minorHAnsi" w:eastAsia="Times New Roman" w:hAnsiTheme="minorHAnsi" w:cstheme="majorHAnsi"/>
          <w:sz w:val="22"/>
          <w:szCs w:val="22"/>
        </w:rPr>
        <w:t xml:space="preserve">However, a desire for a higher income does not necessarily imply that the miner was previously in poverty. For example, before arriving in Laberinto in 1981, </w:t>
      </w:r>
      <w:r w:rsidR="00EA7F80" w:rsidRPr="004E053C">
        <w:rPr>
          <w:rFonts w:asciiTheme="minorHAnsi" w:eastAsia="Times New Roman" w:hAnsiTheme="minorHAnsi" w:cstheme="majorHAnsi"/>
          <w:sz w:val="22"/>
          <w:szCs w:val="22"/>
        </w:rPr>
        <w:t>Benito</w:t>
      </w:r>
      <w:r w:rsidRPr="004E053C">
        <w:rPr>
          <w:rFonts w:asciiTheme="minorHAnsi" w:eastAsia="Times New Roman" w:hAnsiTheme="minorHAnsi" w:cstheme="majorHAnsi"/>
          <w:sz w:val="22"/>
          <w:szCs w:val="22"/>
        </w:rPr>
        <w:t xml:space="preserve"> had been working in a market in Lima and earning enough to get by. However, as friends had told him that</w:t>
      </w:r>
      <w:r w:rsidR="008D060B" w:rsidRPr="004E053C">
        <w:rPr>
          <w:rFonts w:asciiTheme="minorHAnsi" w:eastAsia="Times New Roman" w:hAnsiTheme="minorHAnsi" w:cstheme="majorHAnsi"/>
          <w:sz w:val="22"/>
          <w:szCs w:val="22"/>
        </w:rPr>
        <w:t xml:space="preserve"> the gold in Madre de Dios was ‘</w:t>
      </w:r>
      <w:r w:rsidRPr="004E053C">
        <w:rPr>
          <w:rFonts w:asciiTheme="minorHAnsi" w:eastAsia="Times New Roman" w:hAnsiTheme="minorHAnsi" w:cstheme="majorHAnsi"/>
          <w:sz w:val="22"/>
          <w:szCs w:val="22"/>
        </w:rPr>
        <w:t>easy to take o</w:t>
      </w:r>
      <w:r w:rsidR="008D060B" w:rsidRPr="004E053C">
        <w:rPr>
          <w:rFonts w:asciiTheme="minorHAnsi" w:eastAsia="Times New Roman" w:hAnsiTheme="minorHAnsi" w:cstheme="majorHAnsi"/>
          <w:sz w:val="22"/>
          <w:szCs w:val="22"/>
        </w:rPr>
        <w:t>ut of the earth with your hands’</w:t>
      </w:r>
      <w:r w:rsidRPr="004E053C">
        <w:rPr>
          <w:rFonts w:asciiTheme="minorHAnsi" w:eastAsia="Times New Roman" w:hAnsiTheme="minorHAnsi" w:cstheme="majorHAnsi"/>
          <w:sz w:val="22"/>
          <w:szCs w:val="22"/>
        </w:rPr>
        <w:t xml:space="preserve">, he decided that the low investment risk coupled with the expected pay-off made the transition worthwhile. </w:t>
      </w:r>
      <w:r w:rsidR="00A02F4A" w:rsidRPr="004E053C">
        <w:rPr>
          <w:rFonts w:asciiTheme="minorHAnsi" w:eastAsia="Times New Roman" w:hAnsiTheme="minorHAnsi" w:cstheme="majorHAnsi"/>
          <w:sz w:val="22"/>
          <w:szCs w:val="22"/>
        </w:rPr>
        <w:t>One miner also alluded to the fact that his friend who works in La Pampa did so because he enjoyed the sense of adventure and excitement that t</w:t>
      </w:r>
      <w:r w:rsidR="00A56ED1" w:rsidRPr="004E053C">
        <w:rPr>
          <w:rFonts w:asciiTheme="minorHAnsi" w:eastAsia="Times New Roman" w:hAnsiTheme="minorHAnsi" w:cstheme="majorHAnsi"/>
          <w:sz w:val="22"/>
          <w:szCs w:val="22"/>
        </w:rPr>
        <w:t>he lifestyle provided. Although none of the</w:t>
      </w:r>
      <w:r w:rsidR="00A02F4A" w:rsidRPr="004E053C">
        <w:rPr>
          <w:rFonts w:asciiTheme="minorHAnsi" w:eastAsia="Times New Roman" w:hAnsiTheme="minorHAnsi" w:cstheme="majorHAnsi"/>
          <w:sz w:val="22"/>
          <w:szCs w:val="22"/>
        </w:rPr>
        <w:t xml:space="preserve"> interview respondents </w:t>
      </w:r>
      <w:r w:rsidR="00A56ED1" w:rsidRPr="004E053C">
        <w:rPr>
          <w:rFonts w:asciiTheme="minorHAnsi" w:eastAsia="Times New Roman" w:hAnsiTheme="minorHAnsi" w:cstheme="majorHAnsi"/>
          <w:sz w:val="22"/>
          <w:szCs w:val="22"/>
        </w:rPr>
        <w:t xml:space="preserve">explicitly mentioned this as </w:t>
      </w:r>
      <w:r w:rsidR="008D060B" w:rsidRPr="004E053C">
        <w:rPr>
          <w:rFonts w:asciiTheme="minorHAnsi" w:eastAsia="Times New Roman" w:hAnsiTheme="minorHAnsi" w:cstheme="majorHAnsi"/>
          <w:sz w:val="22"/>
          <w:szCs w:val="22"/>
        </w:rPr>
        <w:t xml:space="preserve">personal motivation for </w:t>
      </w:r>
      <w:r w:rsidR="00A56ED1" w:rsidRPr="004E053C">
        <w:rPr>
          <w:rFonts w:asciiTheme="minorHAnsi" w:eastAsia="Times New Roman" w:hAnsiTheme="minorHAnsi" w:cstheme="majorHAnsi"/>
          <w:sz w:val="22"/>
          <w:szCs w:val="22"/>
        </w:rPr>
        <w:t>engagement in the sector</w:t>
      </w:r>
      <w:r w:rsidR="00A02F4A" w:rsidRPr="004E053C">
        <w:rPr>
          <w:rFonts w:asciiTheme="minorHAnsi" w:eastAsia="Times New Roman" w:hAnsiTheme="minorHAnsi" w:cstheme="majorHAnsi"/>
          <w:sz w:val="22"/>
          <w:szCs w:val="22"/>
        </w:rPr>
        <w:t xml:space="preserve">, </w:t>
      </w:r>
      <w:r w:rsidR="007A7DCE">
        <w:rPr>
          <w:rFonts w:asciiTheme="minorHAnsi" w:eastAsia="Times New Roman" w:hAnsiTheme="minorHAnsi" w:cstheme="majorHAnsi"/>
          <w:sz w:val="22"/>
          <w:szCs w:val="22"/>
        </w:rPr>
        <w:t>other researcher</w:t>
      </w:r>
      <w:r w:rsidR="00A56ED1" w:rsidRPr="004E053C">
        <w:rPr>
          <w:rFonts w:asciiTheme="minorHAnsi" w:eastAsia="Times New Roman" w:hAnsiTheme="minorHAnsi" w:cstheme="majorHAnsi"/>
          <w:sz w:val="22"/>
          <w:szCs w:val="22"/>
        </w:rPr>
        <w:t xml:space="preserve">s have suggested that may constitute a pull factor for young men in rural areas </w:t>
      </w:r>
      <w:r w:rsidR="000D2526" w:rsidRPr="004E053C">
        <w:rPr>
          <w:rFonts w:asciiTheme="minorHAnsi" w:eastAsia="Times New Roman" w:hAnsiTheme="minorHAnsi" w:cstheme="majorHAnsi"/>
          <w:sz w:val="22"/>
          <w:szCs w:val="22"/>
        </w:rPr>
        <w:fldChar w:fldCharType="begin" w:fldLock="1"/>
      </w:r>
      <w:r w:rsidR="007F27D0" w:rsidRPr="004E053C">
        <w:rPr>
          <w:rFonts w:asciiTheme="minorHAnsi" w:eastAsia="Times New Roman" w:hAnsiTheme="minorHAnsi" w:cstheme="majorHAnsi"/>
          <w:sz w:val="22"/>
          <w:szCs w:val="22"/>
        </w:rPr>
        <w:instrText>ADDIN CSL_CITATION {"citationItems":[{"id":"ITEM-1","itemData":{"abstract":"Combining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Studies","id":"ITEM-1","issue":"Part A","issued":{"date-parts":[["2016"]]},"page":"108-116","publisher":"Elsevier Ltd","title":"Voices from below: Artisanal- and small-scale mining as a product and catalyst of rural transformation","type":"article-journal","volume":"47"},"uris":["http://www.mendeley.com/documents/?uuid=fb82d0a5-64cc-4673-b8d8-4ea22e3fb839"]},{"id":"ITEM-2","itemData":{"author":[{"dropping-particle":"","family":"Boeck","given":"Filip","non-dropping-particle":"De","parse-names":false,"suffix":""}],"container-title":"Review of African Political Economy","id":"ITEM-2","issued":{"date-parts":[["2001"]]},"page":"549-562","title":"Garimpeiro worlds: digging, dying and \"hunting\" for diamonds in Angola","type":"article-journal","volume":"90"},"uris":["http://www.mendeley.com/documents/?uuid=c651e5c5-47cb-4238-bddd-d21fbfd176f4"]}],"mendeley":{"formattedCitation":"(De Boeck, 2001; Verbrugge, 2016)","plainTextFormattedCitation":"(De Boeck, 2001; Verbrugge, 2016)","previouslyFormattedCitation":"(De Boeck, 2001; Verbrugge, 2016)"},"properties":{"noteIndex":0},"schema":"https://github.com/citation-style-language/schema/raw/master/csl-citation.json"}</w:instrText>
      </w:r>
      <w:r w:rsidR="000D2526" w:rsidRPr="004E053C">
        <w:rPr>
          <w:rFonts w:asciiTheme="minorHAnsi" w:eastAsia="Times New Roman" w:hAnsiTheme="minorHAnsi" w:cstheme="majorHAnsi"/>
          <w:sz w:val="22"/>
          <w:szCs w:val="22"/>
        </w:rPr>
        <w:fldChar w:fldCharType="separate"/>
      </w:r>
      <w:r w:rsidR="000D2526" w:rsidRPr="004E053C">
        <w:rPr>
          <w:rFonts w:asciiTheme="minorHAnsi" w:eastAsia="Times New Roman" w:hAnsiTheme="minorHAnsi" w:cstheme="majorHAnsi"/>
          <w:noProof/>
          <w:sz w:val="22"/>
          <w:szCs w:val="22"/>
        </w:rPr>
        <w:t>(De Boeck, 2001; Verbrugge, 2016)</w:t>
      </w:r>
      <w:r w:rsidR="000D2526" w:rsidRPr="004E053C">
        <w:rPr>
          <w:rFonts w:asciiTheme="minorHAnsi" w:eastAsia="Times New Roman" w:hAnsiTheme="minorHAnsi" w:cstheme="majorHAnsi"/>
          <w:sz w:val="22"/>
          <w:szCs w:val="22"/>
        </w:rPr>
        <w:fldChar w:fldCharType="end"/>
      </w:r>
      <w:r w:rsidR="00A56ED1" w:rsidRPr="004E053C">
        <w:rPr>
          <w:rFonts w:asciiTheme="minorHAnsi" w:eastAsia="Times New Roman" w:hAnsiTheme="minorHAnsi" w:cstheme="majorHAnsi"/>
          <w:sz w:val="22"/>
          <w:szCs w:val="22"/>
        </w:rPr>
        <w:t xml:space="preserve">. It can therefore be argued that for young men without </w:t>
      </w:r>
      <w:r w:rsidR="00D3785B" w:rsidRPr="004E053C">
        <w:rPr>
          <w:rFonts w:asciiTheme="minorHAnsi" w:eastAsia="Times New Roman" w:hAnsiTheme="minorHAnsi" w:cstheme="majorHAnsi"/>
          <w:sz w:val="22"/>
          <w:szCs w:val="22"/>
        </w:rPr>
        <w:t>labour</w:t>
      </w:r>
      <w:r w:rsidR="00A56ED1" w:rsidRPr="004E053C">
        <w:rPr>
          <w:rFonts w:asciiTheme="minorHAnsi" w:eastAsia="Times New Roman" w:hAnsiTheme="minorHAnsi" w:cstheme="majorHAnsi"/>
          <w:sz w:val="22"/>
          <w:szCs w:val="22"/>
        </w:rPr>
        <w:t xml:space="preserve"> </w:t>
      </w:r>
      <w:r w:rsidR="004A3001" w:rsidRPr="004E053C">
        <w:rPr>
          <w:rFonts w:asciiTheme="minorHAnsi" w:eastAsia="Times New Roman" w:hAnsiTheme="minorHAnsi" w:cstheme="majorHAnsi"/>
          <w:sz w:val="22"/>
          <w:szCs w:val="22"/>
        </w:rPr>
        <w:t xml:space="preserve">opportunities </w:t>
      </w:r>
      <w:r w:rsidR="00A56ED1" w:rsidRPr="004E053C">
        <w:rPr>
          <w:rFonts w:asciiTheme="minorHAnsi" w:eastAsia="Times New Roman" w:hAnsiTheme="minorHAnsi" w:cstheme="majorHAnsi"/>
          <w:sz w:val="22"/>
          <w:szCs w:val="22"/>
        </w:rPr>
        <w:t>and income, the social field of AS</w:t>
      </w:r>
      <w:r w:rsidR="004B6894" w:rsidRPr="004E053C">
        <w:rPr>
          <w:rFonts w:asciiTheme="minorHAnsi" w:eastAsia="Times New Roman" w:hAnsiTheme="minorHAnsi" w:cstheme="majorHAnsi"/>
          <w:sz w:val="22"/>
          <w:szCs w:val="22"/>
        </w:rPr>
        <w:t xml:space="preserve">M provides an arena where </w:t>
      </w:r>
      <w:r w:rsidR="00A56ED1" w:rsidRPr="004E053C">
        <w:rPr>
          <w:rFonts w:asciiTheme="minorHAnsi" w:hAnsiTheme="minorHAnsi" w:cstheme="majorHAnsi"/>
          <w:sz w:val="22"/>
          <w:szCs w:val="22"/>
        </w:rPr>
        <w:t>habitus can be transformed into so</w:t>
      </w:r>
      <w:r w:rsidR="008D060B" w:rsidRPr="004E053C">
        <w:rPr>
          <w:rFonts w:asciiTheme="minorHAnsi" w:hAnsiTheme="minorHAnsi" w:cstheme="majorHAnsi"/>
          <w:sz w:val="22"/>
          <w:szCs w:val="22"/>
        </w:rPr>
        <w:t xml:space="preserve">cial status and economic gains, </w:t>
      </w:r>
      <w:r w:rsidR="00A56ED1" w:rsidRPr="004E053C">
        <w:rPr>
          <w:rFonts w:asciiTheme="minorHAnsi" w:hAnsiTheme="minorHAnsi" w:cstheme="majorHAnsi"/>
          <w:sz w:val="22"/>
          <w:szCs w:val="22"/>
        </w:rPr>
        <w:t>similar to observations</w:t>
      </w:r>
      <w:r w:rsidR="00A56ED1" w:rsidRPr="004E053C">
        <w:rPr>
          <w:rFonts w:asciiTheme="minorHAnsi" w:eastAsia="Times New Roman" w:hAnsiTheme="minorHAnsi" w:cstheme="majorHAnsi"/>
          <w:sz w:val="22"/>
          <w:szCs w:val="22"/>
        </w:rPr>
        <w:t xml:space="preserve"> </w:t>
      </w:r>
      <w:r w:rsidR="008D060B" w:rsidRPr="004E053C">
        <w:rPr>
          <w:rFonts w:asciiTheme="minorHAnsi" w:eastAsia="Times New Roman" w:hAnsiTheme="minorHAnsi" w:cstheme="majorHAnsi"/>
          <w:sz w:val="22"/>
          <w:szCs w:val="22"/>
        </w:rPr>
        <w:t xml:space="preserve">by </w:t>
      </w:r>
      <w:r w:rsidR="00A56ED1" w:rsidRPr="004E053C">
        <w:rPr>
          <w:rFonts w:asciiTheme="minorHAnsi" w:eastAsia="Times New Roman" w:hAnsiTheme="minorHAnsi" w:cstheme="majorHAnsi"/>
          <w:sz w:val="22"/>
          <w:szCs w:val="22"/>
        </w:rPr>
        <w:t>Sandbe</w:t>
      </w:r>
      <w:r w:rsidR="000D2526" w:rsidRPr="004E053C">
        <w:rPr>
          <w:rFonts w:asciiTheme="minorHAnsi" w:eastAsia="Times New Roman" w:hAnsiTheme="minorHAnsi" w:cstheme="majorHAnsi"/>
          <w:sz w:val="22"/>
          <w:szCs w:val="22"/>
        </w:rPr>
        <w:t>rg</w:t>
      </w:r>
      <w:r w:rsidR="008D060B" w:rsidRPr="004E053C">
        <w:rPr>
          <w:rFonts w:asciiTheme="minorHAnsi" w:eastAsia="Times New Roman" w:hAnsiTheme="minorHAnsi" w:cstheme="majorHAnsi"/>
          <w:sz w:val="22"/>
          <w:szCs w:val="22"/>
        </w:rPr>
        <w:t xml:space="preserve"> </w:t>
      </w:r>
      <w:r w:rsidR="000D2526" w:rsidRPr="004E053C">
        <w:rPr>
          <w:rFonts w:asciiTheme="minorHAnsi" w:eastAsia="Times New Roman" w:hAnsiTheme="minorHAnsi" w:cstheme="majorHAnsi"/>
          <w:sz w:val="22"/>
          <w:szCs w:val="22"/>
        </w:rPr>
        <w:fldChar w:fldCharType="begin" w:fldLock="1"/>
      </w:r>
      <w:r w:rsidR="0004146F" w:rsidRPr="004E053C">
        <w:rPr>
          <w:rFonts w:asciiTheme="minorHAnsi" w:eastAsia="Times New Roman" w:hAnsiTheme="minorHAnsi" w:cstheme="majorHAnsi"/>
          <w:sz w:val="22"/>
          <w:szCs w:val="22"/>
        </w:rPr>
        <w:instrText>ADDIN CSL_CITATION {"citationItems":[{"id":"ITEM-1","itemData":{"abstract":"Most of Pierre Bourdieu’s work describes struggles over symbolic capital and hierarchies among the economic and cultural elite. However, his theories and concepts are not exclusive to studies of those with power. By using Bourdieu’s conceptualizations of social space, capital and habitus, the article discusses the hierarchies and struggles over symbolic capital at the bottom of societies. The analysis is grounded in interviews and fieldwork with ethnic minority youths on the streets of Oslo, Norway. Analysing the violence among the young men, the article argues that marginalized ethnic minorities and certain groups of refugees use particular strategies in order to accumulate symbolic capital. They have embodied experiences that can be transformed into forms of ‘street capital’ favourable in a violent street culture.","author":[{"dropping-particle":"","family":"Sandberg","given":"Sveinung","non-dropping-particle":"","parse-names":false,"suffix":""}],"container-title":"Theoretical Criminology","id":"ITEM-1","issue":"2","issued":{"date-parts":[["2008"]]},"page":"153-171","title":"Street capital: ethnicity and violence on the streets of Oslo","type":"article-journal","volume":"12"},"uris":["http://www.mendeley.com/documents/?uuid=adef821f-3946-4c33-bdec-ac47eca11b5b"]}],"mendeley":{"formattedCitation":"(Sandberg, 2008)","manualFormatting":"(2008)","plainTextFormattedCitation":"(Sandberg, 2008)","previouslyFormattedCitation":"(Sandberg, 2008)"},"properties":{"noteIndex":0},"schema":"https://github.com/citation-style-language/schema/raw/master/csl-citation.json"}</w:instrText>
      </w:r>
      <w:r w:rsidR="000D2526" w:rsidRPr="004E053C">
        <w:rPr>
          <w:rFonts w:asciiTheme="minorHAnsi" w:eastAsia="Times New Roman" w:hAnsiTheme="minorHAnsi" w:cstheme="majorHAnsi"/>
          <w:sz w:val="22"/>
          <w:szCs w:val="22"/>
        </w:rPr>
        <w:fldChar w:fldCharType="separate"/>
      </w:r>
      <w:r w:rsidR="000D2526" w:rsidRPr="004E053C">
        <w:rPr>
          <w:rFonts w:asciiTheme="minorHAnsi" w:eastAsia="Times New Roman" w:hAnsiTheme="minorHAnsi" w:cstheme="majorHAnsi"/>
          <w:noProof/>
          <w:sz w:val="22"/>
          <w:szCs w:val="22"/>
        </w:rPr>
        <w:t>(2008)</w:t>
      </w:r>
      <w:r w:rsidR="000D2526" w:rsidRPr="004E053C">
        <w:rPr>
          <w:rFonts w:asciiTheme="minorHAnsi" w:eastAsia="Times New Roman" w:hAnsiTheme="minorHAnsi" w:cstheme="majorHAnsi"/>
          <w:sz w:val="22"/>
          <w:szCs w:val="22"/>
        </w:rPr>
        <w:fldChar w:fldCharType="end"/>
      </w:r>
      <w:r w:rsidR="000D2526" w:rsidRPr="004E053C">
        <w:rPr>
          <w:rFonts w:asciiTheme="minorHAnsi" w:eastAsia="Times New Roman" w:hAnsiTheme="minorHAnsi" w:cstheme="majorHAnsi"/>
          <w:sz w:val="22"/>
          <w:szCs w:val="22"/>
        </w:rPr>
        <w:t xml:space="preserve"> </w:t>
      </w:r>
      <w:r w:rsidR="008D060B" w:rsidRPr="004E053C">
        <w:rPr>
          <w:rFonts w:asciiTheme="minorHAnsi" w:eastAsia="Times New Roman" w:hAnsiTheme="minorHAnsi" w:cstheme="majorHAnsi"/>
          <w:sz w:val="22"/>
          <w:szCs w:val="22"/>
        </w:rPr>
        <w:t>with regard</w:t>
      </w:r>
      <w:r w:rsidR="00A56ED1" w:rsidRPr="004E053C">
        <w:rPr>
          <w:rFonts w:asciiTheme="minorHAnsi" w:eastAsia="Times New Roman" w:hAnsiTheme="minorHAnsi" w:cstheme="majorHAnsi"/>
          <w:sz w:val="22"/>
          <w:szCs w:val="22"/>
        </w:rPr>
        <w:t xml:space="preserve"> to street </w:t>
      </w:r>
      <w:r w:rsidR="008D060B" w:rsidRPr="004E053C">
        <w:rPr>
          <w:rFonts w:asciiTheme="minorHAnsi" w:eastAsia="Times New Roman" w:hAnsiTheme="minorHAnsi" w:cstheme="majorHAnsi"/>
          <w:sz w:val="22"/>
          <w:szCs w:val="22"/>
        </w:rPr>
        <w:t xml:space="preserve">gangs and </w:t>
      </w:r>
      <w:r w:rsidR="00A56ED1" w:rsidRPr="004E053C">
        <w:rPr>
          <w:rFonts w:asciiTheme="minorHAnsi" w:eastAsia="Times New Roman" w:hAnsiTheme="minorHAnsi" w:cstheme="majorHAnsi"/>
          <w:sz w:val="22"/>
          <w:szCs w:val="22"/>
        </w:rPr>
        <w:t xml:space="preserve">culture. </w:t>
      </w:r>
    </w:p>
    <w:p w14:paraId="08A86FA9" w14:textId="1EFDFC75"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Whil</w:t>
      </w:r>
      <w:r w:rsidR="00D807BB" w:rsidRPr="004E053C">
        <w:rPr>
          <w:rFonts w:eastAsia="Times New Roman" w:cstheme="majorHAnsi"/>
          <w:sz w:val="22"/>
          <w:szCs w:val="22"/>
          <w:lang w:val="en-GB"/>
        </w:rPr>
        <w:t>e extreme poverty represents a ‘push’</w:t>
      </w:r>
      <w:r w:rsidRPr="004E053C">
        <w:rPr>
          <w:rFonts w:eastAsia="Times New Roman" w:cstheme="majorHAnsi"/>
          <w:sz w:val="22"/>
          <w:szCs w:val="22"/>
          <w:lang w:val="en-GB"/>
        </w:rPr>
        <w:t xml:space="preserve"> factor into ASM, for others experiencing a relatively higher standard of living, the percei</w:t>
      </w:r>
      <w:r w:rsidR="00D807BB" w:rsidRPr="004E053C">
        <w:rPr>
          <w:rFonts w:eastAsia="Times New Roman" w:cstheme="majorHAnsi"/>
          <w:sz w:val="22"/>
          <w:szCs w:val="22"/>
          <w:lang w:val="en-GB"/>
        </w:rPr>
        <w:t>ved wealth in ASM is more of a ‘pull factor’</w:t>
      </w:r>
      <w:r w:rsidRPr="004E053C">
        <w:rPr>
          <w:rFonts w:eastAsia="Times New Roman" w:cstheme="majorHAnsi"/>
          <w:sz w:val="22"/>
          <w:szCs w:val="22"/>
          <w:lang w:val="en-GB"/>
        </w:rPr>
        <w:t xml:space="preserve">. There is however, a problem with </w:t>
      </w:r>
      <w:r w:rsidR="00D7211F">
        <w:rPr>
          <w:rFonts w:eastAsia="Times New Roman" w:cstheme="majorHAnsi"/>
          <w:sz w:val="22"/>
          <w:szCs w:val="22"/>
          <w:lang w:val="en-GB"/>
        </w:rPr>
        <w:t xml:space="preserve">relying on ASM as being poverty </w:t>
      </w:r>
      <w:r w:rsidRPr="004E053C">
        <w:rPr>
          <w:rFonts w:eastAsia="Times New Roman" w:cstheme="majorHAnsi"/>
          <w:sz w:val="22"/>
          <w:szCs w:val="22"/>
          <w:lang w:val="en-GB"/>
        </w:rPr>
        <w:t xml:space="preserve">driven to justify it as a livelihood activity, as it requires a judgement call on what motivations constitute </w:t>
      </w:r>
      <w:r w:rsidR="00D807BB" w:rsidRPr="004E053C">
        <w:rPr>
          <w:rFonts w:eastAsia="Times New Roman" w:cstheme="majorHAnsi"/>
          <w:sz w:val="22"/>
          <w:szCs w:val="22"/>
          <w:lang w:val="en-GB"/>
        </w:rPr>
        <w:t>a livelihood ‘necessity’</w:t>
      </w:r>
      <w:r w:rsidRPr="004E053C">
        <w:rPr>
          <w:rFonts w:eastAsia="Times New Roman" w:cstheme="majorHAnsi"/>
          <w:sz w:val="22"/>
          <w:szCs w:val="22"/>
          <w:lang w:val="en-GB"/>
        </w:rPr>
        <w:t xml:space="preserve">. For example, almost all the </w:t>
      </w:r>
      <w:r w:rsidRPr="004E053C">
        <w:rPr>
          <w:rFonts w:cstheme="majorHAnsi"/>
          <w:sz w:val="22"/>
          <w:szCs w:val="22"/>
          <w:lang w:val="en-GB"/>
        </w:rPr>
        <w:t xml:space="preserve">respondents in Ocongate and Laberinto said that providing their children with food, clothing and a good education was their biggest motivation for working in ASM. The poor standard of education available in both locations meant that most wanted to educate their children at schools in nearby cities, and there is plenty of evidence of the miners later sending their children to university. Therefore, while ASM in these cases is not relied on for survival, it is still necessary to enable a standard of </w:t>
      </w:r>
      <w:r w:rsidR="005527DD" w:rsidRPr="004E053C">
        <w:rPr>
          <w:rFonts w:cstheme="majorHAnsi"/>
          <w:sz w:val="22"/>
          <w:szCs w:val="22"/>
          <w:lang w:val="en-GB"/>
        </w:rPr>
        <w:t>living that</w:t>
      </w:r>
      <w:r w:rsidRPr="004E053C">
        <w:rPr>
          <w:rFonts w:cstheme="majorHAnsi"/>
          <w:sz w:val="22"/>
          <w:szCs w:val="22"/>
          <w:lang w:val="en-GB"/>
        </w:rPr>
        <w:t xml:space="preserve"> would be considered adequate elsewhere in Peru.</w:t>
      </w:r>
    </w:p>
    <w:p w14:paraId="40D05B98" w14:textId="77777777" w:rsidR="0091076C" w:rsidRPr="004E053C" w:rsidRDefault="0091076C" w:rsidP="004E053C">
      <w:pPr>
        <w:spacing w:line="360" w:lineRule="auto"/>
        <w:jc w:val="both"/>
        <w:rPr>
          <w:rFonts w:cstheme="majorHAnsi"/>
          <w:sz w:val="22"/>
          <w:szCs w:val="22"/>
          <w:lang w:val="en-GB"/>
        </w:rPr>
      </w:pPr>
    </w:p>
    <w:p w14:paraId="1456AEB6" w14:textId="0338113A"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It is also important to note that not all the migrants in Laberinto work directly in gold mining. ASM has been shown to stimulate the local economy through the needs and demands of miners and </w:t>
      </w:r>
      <w:r w:rsidRPr="004E053C">
        <w:rPr>
          <w:rFonts w:eastAsia="Times New Roman" w:cstheme="majorHAnsi"/>
          <w:sz w:val="22"/>
          <w:szCs w:val="22"/>
          <w:lang w:val="en-GB"/>
        </w:rPr>
        <w:lastRenderedPageBreak/>
        <w:t xml:space="preserve">mining activity </w:t>
      </w:r>
      <w:r w:rsidR="000D2526" w:rsidRPr="004E053C">
        <w:rPr>
          <w:rFonts w:eastAsia="Times New Roman" w:cstheme="majorHAnsi"/>
          <w:sz w:val="22"/>
          <w:szCs w:val="22"/>
          <w:lang w:val="en-GB"/>
        </w:rPr>
        <w:fldChar w:fldCharType="begin" w:fldLock="1"/>
      </w:r>
      <w:r w:rsidR="002F0CEA">
        <w:rPr>
          <w:rFonts w:eastAsia="Times New Roman" w:cstheme="majorHAnsi"/>
          <w:sz w:val="22"/>
          <w:szCs w:val="22"/>
          <w:lang w:val="en-GB"/>
        </w:rPr>
        <w:instrText>ADDIN CSL_CITATION {"citationItems":[{"id":"ITEM-1","itemData":{"abstract":"This review reflects critically on why, despite its growing economic importance, artisanal and small-scale (ASM) - low-tech, labour-intensive mineral extraction and processing - occupies such a peripheral position on the economic development agenda of sub-Saharan Africa. A poor understanding of the sector's role in the region's liberalized economies has certainly contributed to this oversight; as has the strong influence, at the policymaking level, of unfounded ideas and generalizations about the sector's activities. After providing a brief overview of ASM in sub-Saharan Africa, the paper explores why the sector has yet to make a mark on the region's local economic development agenda and feature prominently in its poverty alleviation strategies. © 2014 Elsevier Ltd.","author":[{"dropping-particle":"","family":"Hilson","given":"G","non-dropping-particle":"","parse-names":false,"suffix":""},{"dropping-particle":"","family":"McQuilken","given":"James","non-dropping-particle":"","parse-names":false,"suffix":""}],"container-title":"Extractive Industries and Society","id":"ITEM-1","issue":"1","issued":{"date-parts":[["2014"]]},"page":"104-118","publisher":"Elsevier Ltd","title":"Four decades of support for artisanal and small-scale mining in sub-Saharan Africa: A critical review","type":"article-journal","volume":"1"},"uris":["http://www.mendeley.com/documents/?uuid=4f1e22db-6dff-45db-9d1f-97fdbb7e9487"]},{"id":"ITEM-2","itemData":{"abstract":"By 2009, Ghana was the second-ranked African producer after South Africa, and had become the world's ninth largest producer of gold, at some 3.8% of global production, up from 2.6% five years earlier. Gold production volumes and revenues rose significantly over the decade from 2000. Yet gold mining tends to be perceived negatively in Ghana, and is seen as providing far less than it should in terms of public revenue, employment, skills development and spillovers, and localised economic development. Gold mining is often depicted as having an enclave status, disconnected and isolated from the rest of the economy. In contrast, the research findings here demonstrate that after a period of strong investment and growth, gold mining can no longer be viewed as an enclave activity: it is in fact more deeply linked into the Ghanaian economy than hitherto understood, through a set of as yet under-researched but promising economic linkages, notably backward linkages, which can potentially be strengthened by policy and support measures. © 2012 Elsevier Ltd.","author":[{"dropping-particle":"","family":"Bloch","given":"Robin","non-dropping-particle":"","parse-names":false,"suffix":""},{"dropping-particle":"","family":"Owusu","given":"George","non-dropping-particle":"","parse-names":false,"suffix":""}],"container-title":"Resources Policy","id":"ITEM-2","issue":"4","issued":{"date-parts":[["2012"]]},"page":"434-442","publisher":"Elsevier","title":"Linkages in Ghana's gold mining industry: challenging the enclave thesis","type":"article-journal","volume":"37"},"uris":["http://www.mendeley.com/documents/?uuid=6d9dbbba-9674-46e7-a9c9-052ada2c1fb4"]},{"id":"ITEM-3","itemData":{"abstract":"This paper examines migration patterns in Ghana's mining sector, and briefly highlights linkages between stages of mine development and migration flows. The growth, stagnation and closure phases of mine development may each be characterised by distinct migration patterns. The paper concludes with policy-relevant implications of the dynamics of migration patterns in the mining sector, arguing in particular that Ghana is, in addition to traditionally being a country of destination, becoming a transit area for prospective migrant miners.","author":[{"dropping-particle":"","family":"Nyame","given":"Frank","non-dropping-particle":"","parse-names":false,"suffix":""},{"dropping-particle":"","family":"Grant","given":"J Andrew","non-dropping-particle":"","parse-names":false,"suffix":""},{"dropping-particle":"","family":"Yakovleva","given":"Natalia","non-dropping-particle":"","parse-names":false,"suffix":""}],"container-title":"Resources Policy","id":"ITEM-3","issue":"1-2","issued":{"date-parts":[["2009"]]},"page":"6-11","title":"Perspectives on migration patterns in Ghana's mining industry","type":"article-journal","volume":"34"},"uris":["http://www.mendeley.com/documents/?uuid=60f01a24-abd9-46a9-918d-106be0bab38f"]},{"id":"ITEM-4","itemData":{"abstract":"Artisanal and small-scale mining (ASM) is often characterised as rush-type activity undertaken by people looking to 'get-rich quick'. An alternative view posits ASM as poverty-driven activity which provides a valuable source of employment to a rural population where agriculture has failed to provide an adequate income. Against this dichotomy, this article critically reviews the short-lived, but high profile, gold rush which occurred on the beaches of Elmina, a fishing town in Ghana's Central Region. At its peak, more than 1000 people, including local fishermen and career miners from the Western Region and Eastern Region of the country, were mining on the beaches. Drawing on interviews with miners and local business owners, the analysis explores the dynamics of the rush and its implications for understanding the ASM sector in Ghana. The discussion highlights the challenges associated with managing resources in dynamic and heterogeneous contexts, reconciling separate and conflicting sectoral priorities and the need to go beyond simplified and dualistic representations of the sector. © 2013 Elsevier Ltd.","author":[{"dropping-particle":"","family":"Hirons","given":"Mark","non-dropping-particle":"","parse-names":false,"suffix":""}],"container-title":"Resources Policy","id":"ITEM-4","issue":"1","issued":{"date-parts":[["2014"]]},"page":"83-89","publisher":"Elsevier","title":"Shifting sand, shifting livelihoods? Reflections on a coastal gold rush in Ghana","type":"article-journal","volume":"41"},"uris":["http://www.mendeley.com/documents/?uuid=94c97693-13b2-4f58-a556-905f44c55cb7"]}],"mendeley":{"formattedCitation":"(Bloch &amp; Owusu, 2012; G Hilson &amp; McQuilken, 2014; Hirons, 2014; F. Nyame et al., 2009)","manualFormatting":"(Bloch &amp; Owusu, 2012; Hilson &amp; McQuilken, 2014; Hirons, 2014; Nyame et al., 2009)","plainTextFormattedCitation":"(Bloch &amp; Owusu, 2012; G Hilson &amp; McQuilken, 2014; Hirons, 2014; F. Nyame et al., 2009)","previouslyFormattedCitation":"(Bloch &amp; Owusu, 2012; G Hilson &amp; McQuilken, 2014; Hirons, 2014; F. Nyame et al., 2009)"},"properties":{"noteIndex":0},"schema":"https://github.com/citation-style-language/schema/raw/master/csl-citation.json"}</w:instrText>
      </w:r>
      <w:r w:rsidR="000D2526" w:rsidRPr="004E053C">
        <w:rPr>
          <w:rFonts w:eastAsia="Times New Roman" w:cstheme="majorHAnsi"/>
          <w:sz w:val="22"/>
          <w:szCs w:val="22"/>
          <w:lang w:val="en-GB"/>
        </w:rPr>
        <w:fldChar w:fldCharType="separate"/>
      </w:r>
      <w:r w:rsidR="00830084" w:rsidRPr="004E053C">
        <w:rPr>
          <w:rFonts w:eastAsia="Times New Roman" w:cstheme="majorHAnsi"/>
          <w:noProof/>
          <w:sz w:val="22"/>
          <w:szCs w:val="22"/>
          <w:lang w:val="en-GB"/>
        </w:rPr>
        <w:t xml:space="preserve">(Bloch &amp; Owusu, 2012; </w:t>
      </w:r>
      <w:r w:rsidR="000D2526" w:rsidRPr="004E053C">
        <w:rPr>
          <w:rFonts w:eastAsia="Times New Roman" w:cstheme="majorHAnsi"/>
          <w:noProof/>
          <w:sz w:val="22"/>
          <w:szCs w:val="22"/>
          <w:lang w:val="en-GB"/>
        </w:rPr>
        <w:t>Hilson &amp; Mc</w:t>
      </w:r>
      <w:r w:rsidR="00830084" w:rsidRPr="004E053C">
        <w:rPr>
          <w:rFonts w:eastAsia="Times New Roman" w:cstheme="majorHAnsi"/>
          <w:noProof/>
          <w:sz w:val="22"/>
          <w:szCs w:val="22"/>
          <w:lang w:val="en-GB"/>
        </w:rPr>
        <w:t xml:space="preserve">Quilken, 2014; Hirons, 2014; </w:t>
      </w:r>
      <w:r w:rsidR="000D2526" w:rsidRPr="004E053C">
        <w:rPr>
          <w:rFonts w:eastAsia="Times New Roman" w:cstheme="majorHAnsi"/>
          <w:noProof/>
          <w:sz w:val="22"/>
          <w:szCs w:val="22"/>
          <w:lang w:val="en-GB"/>
        </w:rPr>
        <w:t>Nyame et al., 2009)</w:t>
      </w:r>
      <w:r w:rsidR="000D2526" w:rsidRPr="004E053C">
        <w:rPr>
          <w:rFonts w:eastAsia="Times New Roman" w:cstheme="majorHAnsi"/>
          <w:sz w:val="22"/>
          <w:szCs w:val="22"/>
          <w:lang w:val="en-GB"/>
        </w:rPr>
        <w:fldChar w:fldCharType="end"/>
      </w:r>
      <w:r w:rsidR="000D2526" w:rsidRPr="004E053C">
        <w:rPr>
          <w:rFonts w:eastAsia="Times New Roman" w:cstheme="majorHAnsi"/>
          <w:sz w:val="22"/>
          <w:szCs w:val="22"/>
          <w:lang w:val="en-GB"/>
        </w:rPr>
        <w:t xml:space="preserve">, </w:t>
      </w:r>
      <w:r w:rsidRPr="004E053C">
        <w:rPr>
          <w:rFonts w:eastAsia="Times New Roman" w:cstheme="majorHAnsi"/>
          <w:sz w:val="22"/>
          <w:szCs w:val="22"/>
          <w:lang w:val="en-GB"/>
        </w:rPr>
        <w:t>and in Laberinto there are a host of other job opportunities as miners from local camps use the town as a commercial hub. Several of the miners reflected on how these job opportunities attracted migrants:</w:t>
      </w:r>
    </w:p>
    <w:p w14:paraId="5C794373" w14:textId="77777777" w:rsidR="0091076C" w:rsidRPr="004E053C" w:rsidRDefault="0091076C" w:rsidP="004E053C">
      <w:pPr>
        <w:spacing w:line="360" w:lineRule="auto"/>
        <w:jc w:val="both"/>
        <w:rPr>
          <w:rFonts w:eastAsia="Times New Roman" w:cstheme="majorHAnsi"/>
          <w:sz w:val="22"/>
          <w:szCs w:val="22"/>
          <w:lang w:val="en-GB"/>
        </w:rPr>
      </w:pPr>
    </w:p>
    <w:p w14:paraId="331D699F" w14:textId="4E963608" w:rsidR="0091076C" w:rsidRPr="004E053C" w:rsidRDefault="004B6894"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91076C" w:rsidRPr="004E053C">
        <w:rPr>
          <w:rFonts w:eastAsia="Times New Roman" w:cstheme="majorHAnsi"/>
          <w:i/>
          <w:iCs/>
          <w:sz w:val="22"/>
          <w:szCs w:val="22"/>
          <w:lang w:val="en-GB"/>
        </w:rPr>
        <w:t>The job opportunities that are in this town make the people stay here. There are many families because there are jobs to do. There is no way that you could come here to work and not find a job - that is not possible, you will find something. It’s the good thing about this place</w:t>
      </w:r>
      <w:r w:rsidRPr="004E053C">
        <w:rPr>
          <w:rFonts w:eastAsia="Times New Roman" w:cstheme="majorHAnsi"/>
          <w:sz w:val="22"/>
          <w:szCs w:val="22"/>
          <w:lang w:val="en-GB"/>
        </w:rPr>
        <w:t>’</w:t>
      </w:r>
      <w:r w:rsidR="0091076C"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Roberto</w:t>
      </w:r>
      <w:r w:rsidR="0091076C" w:rsidRPr="004E053C">
        <w:rPr>
          <w:rFonts w:eastAsia="Times New Roman" w:cstheme="majorHAnsi"/>
          <w:sz w:val="22"/>
          <w:szCs w:val="22"/>
          <w:lang w:val="en-GB"/>
        </w:rPr>
        <w:t>, mechanic, Laberinto).</w:t>
      </w:r>
    </w:p>
    <w:p w14:paraId="0A69C03F" w14:textId="77777777" w:rsidR="0091076C" w:rsidRPr="004E053C" w:rsidRDefault="0091076C" w:rsidP="004E053C">
      <w:pPr>
        <w:spacing w:line="360" w:lineRule="auto"/>
        <w:jc w:val="both"/>
        <w:rPr>
          <w:rFonts w:eastAsia="Times New Roman" w:cstheme="majorHAnsi"/>
          <w:sz w:val="22"/>
          <w:szCs w:val="22"/>
          <w:lang w:val="en-GB"/>
        </w:rPr>
      </w:pPr>
    </w:p>
    <w:p w14:paraId="1600EF4E" w14:textId="725F15F6" w:rsidR="0091076C" w:rsidRPr="004E053C" w:rsidRDefault="00EA7F80" w:rsidP="004E053C">
      <w:pPr>
        <w:spacing w:line="360" w:lineRule="auto"/>
        <w:jc w:val="both"/>
        <w:rPr>
          <w:rFonts w:cstheme="majorHAnsi"/>
          <w:sz w:val="22"/>
          <w:szCs w:val="22"/>
          <w:lang w:val="en-GB"/>
        </w:rPr>
      </w:pPr>
      <w:r w:rsidRPr="004E053C">
        <w:rPr>
          <w:rFonts w:eastAsia="Times New Roman" w:cstheme="majorHAnsi"/>
          <w:sz w:val="22"/>
          <w:szCs w:val="22"/>
          <w:lang w:val="en-GB"/>
        </w:rPr>
        <w:t>Roberto</w:t>
      </w:r>
      <w:r w:rsidR="0091076C" w:rsidRPr="004E053C">
        <w:rPr>
          <w:rFonts w:eastAsia="Times New Roman" w:cstheme="majorHAnsi"/>
          <w:sz w:val="22"/>
          <w:szCs w:val="22"/>
          <w:lang w:val="en-GB"/>
        </w:rPr>
        <w:t xml:space="preserve"> does not actually work in ASM directly himself, and understands from personal experience the ease of finding </w:t>
      </w:r>
      <w:r w:rsidR="00D807BB" w:rsidRPr="004E053C">
        <w:rPr>
          <w:rFonts w:eastAsia="Times New Roman" w:cstheme="majorHAnsi"/>
          <w:sz w:val="22"/>
          <w:szCs w:val="22"/>
          <w:lang w:val="en-GB"/>
        </w:rPr>
        <w:t xml:space="preserve">other types of </w:t>
      </w:r>
      <w:r w:rsidR="0091076C" w:rsidRPr="004E053C">
        <w:rPr>
          <w:rFonts w:eastAsia="Times New Roman" w:cstheme="majorHAnsi"/>
          <w:sz w:val="22"/>
          <w:szCs w:val="22"/>
          <w:lang w:val="en-GB"/>
        </w:rPr>
        <w:t xml:space="preserve">work. There </w:t>
      </w:r>
      <w:r w:rsidR="005527DD" w:rsidRPr="004E053C">
        <w:rPr>
          <w:rFonts w:eastAsia="Times New Roman" w:cstheme="majorHAnsi"/>
          <w:sz w:val="22"/>
          <w:szCs w:val="22"/>
          <w:lang w:val="en-GB"/>
        </w:rPr>
        <w:t>is</w:t>
      </w:r>
      <w:r w:rsidR="0091076C" w:rsidRPr="004E053C">
        <w:rPr>
          <w:rFonts w:eastAsia="Times New Roman" w:cstheme="majorHAnsi"/>
          <w:sz w:val="22"/>
          <w:szCs w:val="22"/>
          <w:lang w:val="en-GB"/>
        </w:rPr>
        <w:t xml:space="preserve"> also</w:t>
      </w:r>
      <w:r w:rsidR="0091076C" w:rsidRPr="004E053C">
        <w:rPr>
          <w:rFonts w:cstheme="majorHAnsi"/>
          <w:sz w:val="22"/>
          <w:szCs w:val="22"/>
          <w:lang w:val="en-GB"/>
        </w:rPr>
        <w:t xml:space="preserve"> a w</w:t>
      </w:r>
      <w:r w:rsidR="004A3001" w:rsidRPr="004E053C">
        <w:rPr>
          <w:rFonts w:cstheme="majorHAnsi"/>
          <w:sz w:val="22"/>
          <w:szCs w:val="22"/>
          <w:lang w:val="en-GB"/>
        </w:rPr>
        <w:t xml:space="preserve">ide </w:t>
      </w:r>
      <w:r w:rsidR="0091076C" w:rsidRPr="004E053C">
        <w:rPr>
          <w:rFonts w:cstheme="majorHAnsi"/>
          <w:sz w:val="22"/>
          <w:szCs w:val="22"/>
          <w:lang w:val="en-GB"/>
        </w:rPr>
        <w:t xml:space="preserve">variety of job opportunities for women, particularly </w:t>
      </w:r>
      <w:r w:rsidR="0091076C" w:rsidRPr="004E053C">
        <w:rPr>
          <w:rFonts w:eastAsia="Times New Roman" w:cstheme="majorHAnsi"/>
          <w:sz w:val="22"/>
          <w:szCs w:val="22"/>
          <w:lang w:val="en-GB"/>
        </w:rPr>
        <w:t xml:space="preserve">selling food and other products and </w:t>
      </w:r>
      <w:r w:rsidR="005527DD" w:rsidRPr="004E053C">
        <w:rPr>
          <w:rFonts w:eastAsia="Times New Roman" w:cstheme="majorHAnsi"/>
          <w:sz w:val="22"/>
          <w:szCs w:val="22"/>
          <w:lang w:val="en-GB"/>
        </w:rPr>
        <w:t>services</w:t>
      </w:r>
      <w:r w:rsidR="0091076C" w:rsidRPr="004E053C">
        <w:rPr>
          <w:rFonts w:eastAsia="Times New Roman" w:cstheme="majorHAnsi"/>
          <w:sz w:val="22"/>
          <w:szCs w:val="22"/>
          <w:lang w:val="en-GB"/>
        </w:rPr>
        <w:t xml:space="preserve">. While such work may be available in La Pampa, it would be far less secure due to the levels of crime and violence. However, the </w:t>
      </w:r>
      <w:r w:rsidR="0091076C" w:rsidRPr="004E053C">
        <w:rPr>
          <w:rFonts w:cstheme="majorHAnsi"/>
          <w:sz w:val="22"/>
          <w:szCs w:val="22"/>
          <w:lang w:val="en-GB"/>
        </w:rPr>
        <w:t>local people involved in these other businesses tend to earn far less t</w:t>
      </w:r>
      <w:r w:rsidR="00906830" w:rsidRPr="004E053C">
        <w:rPr>
          <w:rFonts w:cstheme="majorHAnsi"/>
          <w:sz w:val="22"/>
          <w:szCs w:val="22"/>
          <w:lang w:val="en-GB"/>
        </w:rPr>
        <w:t xml:space="preserve">hose employed directly in ASM. </w:t>
      </w:r>
    </w:p>
    <w:p w14:paraId="2C34540B" w14:textId="77777777" w:rsidR="004A3EF1" w:rsidRPr="004E053C" w:rsidRDefault="004A3EF1" w:rsidP="004E053C">
      <w:pPr>
        <w:spacing w:line="360" w:lineRule="auto"/>
        <w:jc w:val="both"/>
        <w:rPr>
          <w:rFonts w:cstheme="majorHAnsi"/>
          <w:sz w:val="22"/>
          <w:szCs w:val="22"/>
          <w:lang w:val="en-GB"/>
        </w:rPr>
      </w:pPr>
    </w:p>
    <w:p w14:paraId="3CE94293" w14:textId="71403CC0" w:rsidR="0091076C"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.2</w:t>
      </w:r>
      <w:r w:rsidR="0091076C" w:rsidRPr="004E053C">
        <w:rPr>
          <w:rFonts w:asciiTheme="minorHAnsi" w:hAnsiTheme="minorHAnsi"/>
        </w:rPr>
        <w:t>.2. Recovering from a failed rural-urban migration</w:t>
      </w:r>
    </w:p>
    <w:p w14:paraId="6E88E689" w14:textId="77777777" w:rsidR="004A3EF1" w:rsidRPr="004E053C" w:rsidRDefault="004A3EF1" w:rsidP="004E053C">
      <w:pPr>
        <w:spacing w:line="360" w:lineRule="auto"/>
        <w:jc w:val="both"/>
        <w:rPr>
          <w:rFonts w:cstheme="majorHAnsi"/>
          <w:lang w:val="en-GB"/>
        </w:rPr>
      </w:pPr>
    </w:p>
    <w:p w14:paraId="5BABE6EE" w14:textId="3A339F64" w:rsidR="0091076C" w:rsidRPr="004E053C" w:rsidRDefault="004A3001"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Peru experiences high </w:t>
      </w:r>
      <w:r w:rsidR="0091076C" w:rsidRPr="004E053C">
        <w:rPr>
          <w:rFonts w:eastAsia="Times New Roman" w:cstheme="majorHAnsi"/>
          <w:sz w:val="22"/>
          <w:szCs w:val="22"/>
          <w:lang w:val="en-GB"/>
        </w:rPr>
        <w:t xml:space="preserve">levels of rural-urban migration, and almost one third of the population now live in the Lima Metropolitan Area </w:t>
      </w:r>
      <w:r w:rsidR="009D2F6F" w:rsidRPr="004E053C">
        <w:rPr>
          <w:rFonts w:eastAsia="Times New Roman" w:cstheme="majorHAnsi"/>
          <w:sz w:val="22"/>
          <w:szCs w:val="22"/>
          <w:lang w:val="en-GB"/>
        </w:rPr>
        <w:fldChar w:fldCharType="begin" w:fldLock="1"/>
      </w:r>
      <w:r w:rsidR="007F27D0" w:rsidRPr="004E053C">
        <w:rPr>
          <w:rFonts w:eastAsia="Times New Roman" w:cstheme="majorHAnsi"/>
          <w:sz w:val="22"/>
          <w:szCs w:val="22"/>
          <w:lang w:val="en-GB"/>
        </w:rPr>
        <w:instrText>ADDIN CSL_CITATION {"citationItems":[{"id":"ITEM-1","itemData":{"abstract":"The inequality and structures of domination in Peru influences people from different class, regional, and ethnic backgrounds to migrate both internally and internationally that has significant adverse impact on their relations. Peruvians migrate to a wider range of countries and regions due to several factors such as the economic crisis, political instability, and structural adjustments. The racial and cultural mixture created due to the immigration to Peru produced the diversity of emigrant population. Peruvian emigrants come from both rural and urban areas and Peruvian migrants from rural backgrounds tend to migrate first to urban areas in Peru and then to other countries. Peru has one of the highest rates of out-migration in Latin America and in response to this the Peruvian state has taken steps to include Peruvians abroad in a new imagined Peruvian nation spanning geographical borders.","author":[{"dropping-particle":"","family":"Takenaka","given":"Ayumi","non-dropping-particle":"","parse-names":false,"suffix":""},{"dropping-particle":"","family":"Paerregaard","given":"Karsten","non-dropping-particle":"","parse-names":false,"suffix":""},{"dropping-particle":"","family":"Berg","given":"Ulla","non-dropping-particle":"","parse-names":false,"suffix":""}],"container-title":"Latin American Perspectives","id":"ITEM-1","issue":"5","issued":{"date-parts":[["2010"]]},"page":"3-11","title":"Peruvian migration in a global context","type":"article-journal","volume":"37"},"uris":["http://www.mendeley.com/documents/?uuid=27b837c4-cda6-407f-b5fe-6cea4473aa5e"]}],"mendeley":{"formattedCitation":"(Takenaka et al., 2010)","plainTextFormattedCitation":"(Takenaka et al., 2010)","previouslyFormattedCitation":"(Takenaka et al., 2010)"},"properties":{"noteIndex":0},"schema":"https://github.com/citation-style-language/schema/raw/master/csl-citation.json"}</w:instrText>
      </w:r>
      <w:r w:rsidR="009D2F6F" w:rsidRPr="004E053C">
        <w:rPr>
          <w:rFonts w:eastAsia="Times New Roman" w:cstheme="majorHAnsi"/>
          <w:sz w:val="22"/>
          <w:szCs w:val="22"/>
          <w:lang w:val="en-GB"/>
        </w:rPr>
        <w:fldChar w:fldCharType="separate"/>
      </w:r>
      <w:r w:rsidR="009D2F6F" w:rsidRPr="004E053C">
        <w:rPr>
          <w:rFonts w:eastAsia="Times New Roman" w:cstheme="majorHAnsi"/>
          <w:noProof/>
          <w:sz w:val="22"/>
          <w:szCs w:val="22"/>
          <w:lang w:val="en-GB"/>
        </w:rPr>
        <w:t>(Takenaka et al., 2010)</w:t>
      </w:r>
      <w:r w:rsidR="009D2F6F" w:rsidRPr="004E053C">
        <w:rPr>
          <w:rFonts w:eastAsia="Times New Roman" w:cstheme="majorHAnsi"/>
          <w:sz w:val="22"/>
          <w:szCs w:val="22"/>
          <w:lang w:val="en-GB"/>
        </w:rPr>
        <w:fldChar w:fldCharType="end"/>
      </w:r>
      <w:r w:rsidR="009D2F6F" w:rsidRPr="004E053C">
        <w:rPr>
          <w:rFonts w:eastAsia="Times New Roman" w:cstheme="majorHAnsi"/>
          <w:sz w:val="22"/>
          <w:szCs w:val="22"/>
          <w:lang w:val="en-GB"/>
        </w:rPr>
        <w:t xml:space="preserve">. </w:t>
      </w:r>
      <w:r w:rsidR="0091076C" w:rsidRPr="004E053C">
        <w:rPr>
          <w:rFonts w:eastAsia="Times New Roman" w:cstheme="majorHAnsi"/>
          <w:sz w:val="22"/>
          <w:szCs w:val="22"/>
          <w:lang w:val="en-GB"/>
        </w:rPr>
        <w:t xml:space="preserve">While securing a well-paying job is more likely in Lima and other major urban centres, such as Cusco, life in the city is expensive and challenging. Racial inequalities that have been embedded from colonial times still ensure the marginalisation of indigenous communities </w:t>
      </w:r>
      <w:r w:rsidR="009D2F6F" w:rsidRPr="004E053C">
        <w:rPr>
          <w:rFonts w:eastAsia="Times New Roman" w:cstheme="majorHAnsi"/>
          <w:sz w:val="22"/>
          <w:szCs w:val="22"/>
          <w:lang w:val="en-GB"/>
        </w:rPr>
        <w:fldChar w:fldCharType="begin" w:fldLock="1"/>
      </w:r>
      <w:r w:rsidR="00BD3790" w:rsidRPr="004E053C">
        <w:rPr>
          <w:rFonts w:eastAsia="Times New Roman" w:cstheme="majorHAnsi"/>
          <w:sz w:val="22"/>
          <w:szCs w:val="22"/>
          <w:lang w:val="en-GB"/>
        </w:rPr>
        <w:instrText>ADDIN CSL_CITATION {"citationItems":[{"id":"ITEM-1","itemData":{"author":[{"dropping-particle":"","family":"Moreno","given":"Martin","non-dropping-particle":"","parse-names":false,"suffix":""},{"dropping-particle":"","family":"Oropesa","given":"R.S","non-dropping-particle":"","parse-names":false,"suffix":""}],"container-title":"Ethnic and Racial Studies","id":"ITEM-1","issue":"7","issued":{"date-parts":[["2012"]]},"page":"1220-1247","title":"Ethno-racial identification in urban Peru","type":"article-journal","volume":"35"},"uris":["http://www.mendeley.com/documents/?uuid=07dc6c22-dfca-45ed-bf13-1215df165e63"]},{"id":"ITEM-2","itemData":{"author":[{"dropping-particle":"","family":"Paredes","given":"Maritza","non-dropping-particle":"","parse-names":false,"suffix":""},{"dropping-particle":"","family":"Thorp","given":"Rosemary","non-dropping-particle":"","parse-names":false,"suffix":""}],"container-title":"Oxford Development Studies","id":"ITEM-2","issue":"1","issued":{"date-parts":[["2015"]]},"page":"1-19","title":"The persistence of horizontal inequalities and the role of policy: the case study of Peru","type":"article-journal","volume":"43"},"uris":["http://www.mendeley.com/documents/?uuid=ced54a0e-57f1-4e28-aa76-dc04a5e18d7b"]}],"mendeley":{"formattedCitation":"(Moreno &amp; Oropesa, 2012; M. Paredes &amp; Thorp, 2015)","manualFormatting":"(Moreno &amp; Oropesa, 2012; Paredes &amp; Thorp, 2015)","plainTextFormattedCitation":"(Moreno &amp; Oropesa, 2012; M. Paredes &amp; Thorp, 2015)","previouslyFormattedCitation":"(Moreno &amp; Oropesa, 2012; M. Paredes &amp; Thorp, 2015)"},"properties":{"noteIndex":0},"schema":"https://github.com/citation-style-language/schema/raw/master/csl-citation.json"}</w:instrText>
      </w:r>
      <w:r w:rsidR="009D2F6F" w:rsidRPr="004E053C">
        <w:rPr>
          <w:rFonts w:eastAsia="Times New Roman" w:cstheme="majorHAnsi"/>
          <w:sz w:val="22"/>
          <w:szCs w:val="22"/>
          <w:lang w:val="en-GB"/>
        </w:rPr>
        <w:fldChar w:fldCharType="separate"/>
      </w:r>
      <w:r w:rsidR="00DB3DA8" w:rsidRPr="004E053C">
        <w:rPr>
          <w:rFonts w:eastAsia="Times New Roman" w:cstheme="majorHAnsi"/>
          <w:noProof/>
          <w:sz w:val="22"/>
          <w:szCs w:val="22"/>
          <w:lang w:val="en-GB"/>
        </w:rPr>
        <w:t xml:space="preserve">(Moreno &amp; Oropesa, 2012; </w:t>
      </w:r>
      <w:r w:rsidR="009003C9" w:rsidRPr="004E053C">
        <w:rPr>
          <w:rFonts w:eastAsia="Times New Roman" w:cstheme="majorHAnsi"/>
          <w:noProof/>
          <w:sz w:val="22"/>
          <w:szCs w:val="22"/>
          <w:lang w:val="en-GB"/>
        </w:rPr>
        <w:t>Paredes &amp; Thorp, 2015)</w:t>
      </w:r>
      <w:r w:rsidR="009D2F6F" w:rsidRPr="004E053C">
        <w:rPr>
          <w:rFonts w:eastAsia="Times New Roman" w:cstheme="majorHAnsi"/>
          <w:sz w:val="22"/>
          <w:szCs w:val="22"/>
          <w:lang w:val="en-GB"/>
        </w:rPr>
        <w:fldChar w:fldCharType="end"/>
      </w:r>
      <w:r w:rsidR="0091076C" w:rsidRPr="004E053C">
        <w:rPr>
          <w:rFonts w:eastAsia="Times New Roman" w:cstheme="majorHAnsi"/>
          <w:sz w:val="22"/>
          <w:szCs w:val="22"/>
          <w:lang w:val="en-GB"/>
        </w:rPr>
        <w:t xml:space="preserve">, and Andean migrants often find themselves occupying the lowest socio-economic positions. For low-skilled men and women failing to make ends meet in Lima or Cusco, ASM can become an attractive alternative. </w:t>
      </w:r>
    </w:p>
    <w:p w14:paraId="6CC71705" w14:textId="77777777" w:rsidR="0091076C" w:rsidRPr="004E053C" w:rsidRDefault="0091076C" w:rsidP="004E053C">
      <w:pPr>
        <w:spacing w:line="360" w:lineRule="auto"/>
        <w:jc w:val="both"/>
        <w:rPr>
          <w:rFonts w:eastAsia="Times New Roman" w:cstheme="majorHAnsi"/>
          <w:sz w:val="22"/>
          <w:szCs w:val="22"/>
          <w:lang w:val="en-GB"/>
        </w:rPr>
      </w:pPr>
    </w:p>
    <w:p w14:paraId="2CCAFD80" w14:textId="4D714948"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There are many examples of miners and other community members in Laberinto who have arrived there after a previous migration to an urban centre has failed to provide sufficient income. </w:t>
      </w:r>
      <w:r w:rsidR="006461EA" w:rsidRPr="004E053C">
        <w:rPr>
          <w:rFonts w:eastAsia="Times New Roman" w:cstheme="majorHAnsi"/>
          <w:sz w:val="22"/>
          <w:szCs w:val="22"/>
          <w:lang w:val="en-GB"/>
        </w:rPr>
        <w:t>In Table 6</w:t>
      </w:r>
      <w:r w:rsidR="002A484D" w:rsidRPr="004E053C">
        <w:rPr>
          <w:rFonts w:eastAsia="Times New Roman" w:cstheme="majorHAnsi"/>
          <w:sz w:val="22"/>
          <w:szCs w:val="22"/>
          <w:lang w:val="en-GB"/>
        </w:rPr>
        <w:t xml:space="preserve">.1 below, I have listed the respondents who previously suffered a failed migration and elaborated on their individual circumstances in order to add nuance to our understanding of the process. </w:t>
      </w:r>
      <w:r w:rsidRPr="004E053C">
        <w:rPr>
          <w:rFonts w:eastAsia="Times New Roman" w:cstheme="majorHAnsi"/>
          <w:sz w:val="22"/>
          <w:szCs w:val="22"/>
          <w:lang w:val="en-GB"/>
        </w:rPr>
        <w:t xml:space="preserve">It should however be noted that many of these people’s motivations may overlap with other categories, particularly when considering the income-related reasons for migrating that were discussed previously. </w:t>
      </w:r>
    </w:p>
    <w:p w14:paraId="56348968" w14:textId="77777777" w:rsidR="00DB3DA8" w:rsidRPr="004E053C" w:rsidRDefault="00DB3DA8" w:rsidP="004E053C">
      <w:pPr>
        <w:spacing w:line="360" w:lineRule="auto"/>
        <w:jc w:val="both"/>
        <w:rPr>
          <w:rFonts w:eastAsia="Times New Roman" w:cstheme="majorHAnsi"/>
          <w:sz w:val="22"/>
          <w:szCs w:val="22"/>
          <w:lang w:val="en-GB"/>
        </w:rPr>
      </w:pPr>
    </w:p>
    <w:p w14:paraId="026BD386" w14:textId="77777777" w:rsidR="0091076C" w:rsidRPr="004E053C" w:rsidRDefault="0091076C" w:rsidP="004E053C">
      <w:pPr>
        <w:spacing w:line="360" w:lineRule="auto"/>
        <w:jc w:val="both"/>
        <w:rPr>
          <w:rFonts w:eastAsia="Times New Roman" w:cstheme="majorHAnsi"/>
          <w:sz w:val="22"/>
          <w:szCs w:val="22"/>
          <w:lang w:val="en-GB"/>
        </w:rPr>
      </w:pPr>
    </w:p>
    <w:p w14:paraId="7D9E5BBF" w14:textId="42B72FE8" w:rsidR="0091076C" w:rsidRPr="004E053C" w:rsidRDefault="006461EA" w:rsidP="004E053C">
      <w:pPr>
        <w:spacing w:line="360" w:lineRule="auto"/>
        <w:jc w:val="both"/>
        <w:rPr>
          <w:rFonts w:eastAsia="Times New Roman" w:cstheme="majorHAnsi"/>
          <w:b/>
          <w:bCs/>
          <w:sz w:val="22"/>
          <w:szCs w:val="22"/>
          <w:lang w:val="en-GB"/>
        </w:rPr>
      </w:pPr>
      <w:r w:rsidRPr="004E053C">
        <w:rPr>
          <w:rFonts w:eastAsia="Times New Roman" w:cstheme="majorHAnsi"/>
          <w:b/>
          <w:bCs/>
          <w:sz w:val="22"/>
          <w:szCs w:val="22"/>
          <w:lang w:val="en-GB"/>
        </w:rPr>
        <w:lastRenderedPageBreak/>
        <w:t>Table 6</w:t>
      </w:r>
      <w:r w:rsidR="0091076C" w:rsidRPr="004E053C">
        <w:rPr>
          <w:rFonts w:eastAsia="Times New Roman" w:cstheme="majorHAnsi"/>
          <w:b/>
          <w:bCs/>
          <w:sz w:val="22"/>
          <w:szCs w:val="22"/>
          <w:lang w:val="en-GB"/>
        </w:rPr>
        <w:t xml:space="preserve">.1. Experiences of Failed Migration Resulting in a Move to Work in ASM </w:t>
      </w:r>
    </w:p>
    <w:p w14:paraId="3F32A4B4" w14:textId="77777777" w:rsidR="0091076C" w:rsidRPr="004E053C" w:rsidRDefault="0091076C" w:rsidP="004E053C">
      <w:pPr>
        <w:spacing w:line="360" w:lineRule="auto"/>
        <w:jc w:val="both"/>
        <w:rPr>
          <w:rFonts w:eastAsia="Times New Roman" w:cstheme="majorHAnsi"/>
          <w:sz w:val="22"/>
          <w:szCs w:val="22"/>
          <w:lang w:val="en-GB"/>
        </w:rPr>
      </w:pPr>
    </w:p>
    <w:tbl>
      <w:tblPr>
        <w:tblStyle w:val="TableGrid"/>
        <w:tblW w:w="0" w:type="auto"/>
        <w:tblLook w:val="04A0" w:firstRow="1" w:lastRow="0" w:firstColumn="1" w:lastColumn="0" w:noHBand="0" w:noVBand="1"/>
      </w:tblPr>
      <w:tblGrid>
        <w:gridCol w:w="1275"/>
        <w:gridCol w:w="1289"/>
        <w:gridCol w:w="1273"/>
        <w:gridCol w:w="4679"/>
      </w:tblGrid>
      <w:tr w:rsidR="0091076C" w:rsidRPr="004E053C" w14:paraId="3748416E" w14:textId="77777777" w:rsidTr="007B5A28">
        <w:tc>
          <w:tcPr>
            <w:tcW w:w="1275" w:type="dxa"/>
          </w:tcPr>
          <w:p w14:paraId="14E5509B" w14:textId="77777777" w:rsidR="0091076C" w:rsidRPr="004E053C" w:rsidRDefault="0091076C"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Name</w:t>
            </w:r>
          </w:p>
        </w:tc>
        <w:tc>
          <w:tcPr>
            <w:tcW w:w="1289" w:type="dxa"/>
          </w:tcPr>
          <w:p w14:paraId="3C51FB2A" w14:textId="77777777" w:rsidR="0091076C" w:rsidRPr="004E053C" w:rsidRDefault="0091076C"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From</w:t>
            </w:r>
          </w:p>
        </w:tc>
        <w:tc>
          <w:tcPr>
            <w:tcW w:w="1273" w:type="dxa"/>
          </w:tcPr>
          <w:p w14:paraId="301D3E38" w14:textId="77777777" w:rsidR="0091076C" w:rsidRPr="004E053C" w:rsidRDefault="0091076C"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Arrived in MDD</w:t>
            </w:r>
          </w:p>
        </w:tc>
        <w:tc>
          <w:tcPr>
            <w:tcW w:w="4679" w:type="dxa"/>
          </w:tcPr>
          <w:p w14:paraId="6CE8BA84" w14:textId="77777777" w:rsidR="0091076C" w:rsidRPr="004E053C" w:rsidRDefault="0091076C"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Migration Experience</w:t>
            </w:r>
          </w:p>
        </w:tc>
      </w:tr>
      <w:tr w:rsidR="0091076C" w:rsidRPr="004E053C" w14:paraId="4F8B6447" w14:textId="77777777" w:rsidTr="007B5A28">
        <w:tc>
          <w:tcPr>
            <w:tcW w:w="1275" w:type="dxa"/>
          </w:tcPr>
          <w:p w14:paraId="6A02ECF4" w14:textId="57911380" w:rsidR="0091076C"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Diego</w:t>
            </w:r>
            <w:r w:rsidR="0091076C" w:rsidRPr="004E053C">
              <w:rPr>
                <w:rFonts w:eastAsia="Times New Roman" w:cstheme="majorHAnsi"/>
                <w:sz w:val="22"/>
                <w:szCs w:val="22"/>
                <w:lang w:val="en-GB"/>
              </w:rPr>
              <w:t xml:space="preserve"> (miner)</w:t>
            </w:r>
          </w:p>
        </w:tc>
        <w:tc>
          <w:tcPr>
            <w:tcW w:w="1289" w:type="dxa"/>
          </w:tcPr>
          <w:p w14:paraId="0D493E3C"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Arequipa</w:t>
            </w:r>
          </w:p>
        </w:tc>
        <w:tc>
          <w:tcPr>
            <w:tcW w:w="1273" w:type="dxa"/>
          </w:tcPr>
          <w:p w14:paraId="4DE5455C"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1983</w:t>
            </w:r>
          </w:p>
        </w:tc>
        <w:tc>
          <w:tcPr>
            <w:tcW w:w="4679" w:type="dxa"/>
          </w:tcPr>
          <w:p w14:paraId="6FA2B1C9"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color w:val="000000"/>
                <w:sz w:val="22"/>
                <w:szCs w:val="22"/>
                <w:lang w:val="en-GB"/>
              </w:rPr>
              <w:t xml:space="preserve">Was tired of working in agriculture in Arequipa so went to Cusco to look for work, but failed to do so as he didn’t have the right papers </w:t>
            </w:r>
          </w:p>
        </w:tc>
      </w:tr>
      <w:tr w:rsidR="0091076C" w:rsidRPr="004E053C" w14:paraId="78F304EE" w14:textId="77777777" w:rsidTr="007B5A28">
        <w:tc>
          <w:tcPr>
            <w:tcW w:w="1275" w:type="dxa"/>
          </w:tcPr>
          <w:p w14:paraId="3192E62A" w14:textId="03F4045A" w:rsidR="0091076C"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Benito</w:t>
            </w:r>
            <w:r w:rsidR="0091076C" w:rsidRPr="004E053C">
              <w:rPr>
                <w:rFonts w:eastAsia="Times New Roman" w:cstheme="majorHAnsi"/>
                <w:sz w:val="22"/>
                <w:szCs w:val="22"/>
                <w:lang w:val="en-GB"/>
              </w:rPr>
              <w:t xml:space="preserve"> (Miner)</w:t>
            </w:r>
          </w:p>
        </w:tc>
        <w:tc>
          <w:tcPr>
            <w:tcW w:w="1289" w:type="dxa"/>
          </w:tcPr>
          <w:p w14:paraId="6B94A216"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Apurimac</w:t>
            </w:r>
          </w:p>
        </w:tc>
        <w:tc>
          <w:tcPr>
            <w:tcW w:w="1273" w:type="dxa"/>
          </w:tcPr>
          <w:p w14:paraId="401B151C"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1981</w:t>
            </w:r>
          </w:p>
        </w:tc>
        <w:tc>
          <w:tcPr>
            <w:tcW w:w="4679" w:type="dxa"/>
          </w:tcPr>
          <w:p w14:paraId="6A05BB65" w14:textId="77777777" w:rsidR="0091076C" w:rsidRPr="004E053C" w:rsidRDefault="0091076C" w:rsidP="004E053C">
            <w:pPr>
              <w:spacing w:line="360" w:lineRule="auto"/>
              <w:jc w:val="both"/>
              <w:rPr>
                <w:rFonts w:eastAsia="Times New Roman" w:cstheme="majorHAnsi"/>
                <w:color w:val="000000"/>
                <w:sz w:val="22"/>
                <w:szCs w:val="22"/>
                <w:lang w:val="en-GB"/>
              </w:rPr>
            </w:pPr>
            <w:r w:rsidRPr="004E053C">
              <w:rPr>
                <w:rFonts w:eastAsia="Times New Roman" w:cstheme="majorHAnsi"/>
                <w:color w:val="000000"/>
                <w:sz w:val="22"/>
                <w:szCs w:val="22"/>
                <w:lang w:val="en-GB"/>
              </w:rPr>
              <w:t>Moved to Lima and had managed to find a job in a market but heard he could earn more in ASM and moved his family to Laberinto</w:t>
            </w:r>
          </w:p>
        </w:tc>
      </w:tr>
      <w:tr w:rsidR="0091076C" w:rsidRPr="004E053C" w14:paraId="3C5ECB66" w14:textId="77777777" w:rsidTr="007B5A28">
        <w:tc>
          <w:tcPr>
            <w:tcW w:w="1275" w:type="dxa"/>
          </w:tcPr>
          <w:p w14:paraId="1E11063D" w14:textId="43559A7A" w:rsidR="0091076C"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Roberto</w:t>
            </w:r>
            <w:r w:rsidR="0091076C" w:rsidRPr="004E053C">
              <w:rPr>
                <w:rFonts w:eastAsia="Times New Roman" w:cstheme="majorHAnsi"/>
                <w:sz w:val="22"/>
                <w:szCs w:val="22"/>
                <w:lang w:val="en-GB"/>
              </w:rPr>
              <w:t xml:space="preserve"> (ex-miner)</w:t>
            </w:r>
          </w:p>
        </w:tc>
        <w:tc>
          <w:tcPr>
            <w:tcW w:w="1289" w:type="dxa"/>
          </w:tcPr>
          <w:p w14:paraId="0E291BAB"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Apurimac</w:t>
            </w:r>
          </w:p>
        </w:tc>
        <w:tc>
          <w:tcPr>
            <w:tcW w:w="1273" w:type="dxa"/>
          </w:tcPr>
          <w:p w14:paraId="5A1729DD"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2000</w:t>
            </w:r>
          </w:p>
        </w:tc>
        <w:tc>
          <w:tcPr>
            <w:tcW w:w="4679" w:type="dxa"/>
          </w:tcPr>
          <w:p w14:paraId="45ADECB6" w14:textId="77777777" w:rsidR="0091076C" w:rsidRPr="004E053C" w:rsidRDefault="0091076C" w:rsidP="004E053C">
            <w:pPr>
              <w:spacing w:line="360" w:lineRule="auto"/>
              <w:jc w:val="both"/>
              <w:rPr>
                <w:rFonts w:eastAsia="Times New Roman" w:cstheme="majorHAnsi"/>
                <w:color w:val="000000"/>
                <w:sz w:val="22"/>
                <w:szCs w:val="22"/>
                <w:lang w:val="en-GB"/>
              </w:rPr>
            </w:pPr>
            <w:r w:rsidRPr="004E053C">
              <w:rPr>
                <w:rFonts w:eastAsia="Times New Roman" w:cstheme="majorHAnsi"/>
                <w:color w:val="000000"/>
                <w:sz w:val="22"/>
                <w:szCs w:val="22"/>
                <w:lang w:val="en-GB"/>
              </w:rPr>
              <w:t>Moved to Lima first but found it hard to get a good job as he didn’t have the right papers, so was doing low-paid work in the informal sector</w:t>
            </w:r>
          </w:p>
        </w:tc>
      </w:tr>
      <w:tr w:rsidR="0091076C" w:rsidRPr="004E053C" w14:paraId="1FF6A05F" w14:textId="77777777" w:rsidTr="007B5A28">
        <w:tc>
          <w:tcPr>
            <w:tcW w:w="1275" w:type="dxa"/>
          </w:tcPr>
          <w:p w14:paraId="1BADD442" w14:textId="70C96CF8" w:rsidR="0091076C"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David</w:t>
            </w:r>
            <w:r w:rsidR="0091076C" w:rsidRPr="004E053C">
              <w:rPr>
                <w:rFonts w:eastAsia="Times New Roman" w:cstheme="majorHAnsi"/>
                <w:sz w:val="22"/>
                <w:szCs w:val="22"/>
                <w:lang w:val="en-GB"/>
              </w:rPr>
              <w:t xml:space="preserve"> (miner)</w:t>
            </w:r>
          </w:p>
        </w:tc>
        <w:tc>
          <w:tcPr>
            <w:tcW w:w="1289" w:type="dxa"/>
          </w:tcPr>
          <w:p w14:paraId="76B4B766"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Cajamarca</w:t>
            </w:r>
          </w:p>
        </w:tc>
        <w:tc>
          <w:tcPr>
            <w:tcW w:w="1273" w:type="dxa"/>
          </w:tcPr>
          <w:p w14:paraId="0DECB294"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1979</w:t>
            </w:r>
          </w:p>
        </w:tc>
        <w:tc>
          <w:tcPr>
            <w:tcW w:w="4679" w:type="dxa"/>
          </w:tcPr>
          <w:p w14:paraId="4C8B883E" w14:textId="77777777" w:rsidR="0091076C" w:rsidRPr="004E053C" w:rsidRDefault="0091076C" w:rsidP="004E053C">
            <w:pPr>
              <w:spacing w:line="360" w:lineRule="auto"/>
              <w:jc w:val="both"/>
              <w:rPr>
                <w:rFonts w:eastAsia="Times New Roman" w:cstheme="majorHAnsi"/>
                <w:color w:val="000000"/>
                <w:sz w:val="22"/>
                <w:szCs w:val="22"/>
                <w:lang w:val="en-GB"/>
              </w:rPr>
            </w:pPr>
            <w:r w:rsidRPr="004E053C">
              <w:rPr>
                <w:rFonts w:eastAsia="Times New Roman" w:cstheme="majorHAnsi"/>
                <w:color w:val="000000"/>
                <w:sz w:val="22"/>
                <w:szCs w:val="22"/>
                <w:lang w:val="en-GB"/>
              </w:rPr>
              <w:t>Previously went to Cusco to work with cacao but couldn’t find enough work</w:t>
            </w:r>
          </w:p>
        </w:tc>
      </w:tr>
      <w:tr w:rsidR="0091076C" w:rsidRPr="004E053C" w14:paraId="0A8E1221" w14:textId="77777777" w:rsidTr="007B5A28">
        <w:tc>
          <w:tcPr>
            <w:tcW w:w="1275" w:type="dxa"/>
          </w:tcPr>
          <w:p w14:paraId="53731AED" w14:textId="3840E52F" w:rsidR="0091076C"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Francisco</w:t>
            </w:r>
            <w:r w:rsidR="0091076C" w:rsidRPr="004E053C">
              <w:rPr>
                <w:rFonts w:eastAsia="Times New Roman" w:cstheme="majorHAnsi"/>
                <w:sz w:val="22"/>
                <w:szCs w:val="22"/>
                <w:lang w:val="en-GB"/>
              </w:rPr>
              <w:t xml:space="preserve"> (miner)</w:t>
            </w:r>
          </w:p>
        </w:tc>
        <w:tc>
          <w:tcPr>
            <w:tcW w:w="1289" w:type="dxa"/>
          </w:tcPr>
          <w:p w14:paraId="01DCDBB4"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Ica</w:t>
            </w:r>
          </w:p>
        </w:tc>
        <w:tc>
          <w:tcPr>
            <w:tcW w:w="1273" w:type="dxa"/>
          </w:tcPr>
          <w:p w14:paraId="10E5478F"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1976</w:t>
            </w:r>
          </w:p>
        </w:tc>
        <w:tc>
          <w:tcPr>
            <w:tcW w:w="4679" w:type="dxa"/>
          </w:tcPr>
          <w:p w14:paraId="46F6F126" w14:textId="36C13B33" w:rsidR="0091076C" w:rsidRPr="004E053C" w:rsidRDefault="0091076C" w:rsidP="004E053C">
            <w:pPr>
              <w:spacing w:line="360" w:lineRule="auto"/>
              <w:jc w:val="both"/>
              <w:rPr>
                <w:rFonts w:eastAsia="Times New Roman" w:cstheme="majorHAnsi"/>
                <w:color w:val="000000"/>
                <w:sz w:val="22"/>
                <w:szCs w:val="22"/>
                <w:lang w:val="en-GB"/>
              </w:rPr>
            </w:pPr>
            <w:r w:rsidRPr="004E053C">
              <w:rPr>
                <w:rFonts w:eastAsia="Times New Roman" w:cstheme="majorHAnsi"/>
                <w:color w:val="000000"/>
                <w:sz w:val="22"/>
                <w:szCs w:val="22"/>
                <w:lang w:val="en-GB"/>
              </w:rPr>
              <w:t xml:space="preserve">Moved to Lima and studied there but failed to get a good job. He also didn’t like the lifestyle – </w:t>
            </w:r>
            <w:r w:rsidR="00976134" w:rsidRPr="004E053C">
              <w:rPr>
                <w:rFonts w:eastAsia="Times New Roman" w:cstheme="majorHAnsi"/>
                <w:color w:val="000000"/>
                <w:sz w:val="22"/>
                <w:szCs w:val="22"/>
                <w:lang w:val="en-GB"/>
              </w:rPr>
              <w:t>‘</w:t>
            </w:r>
            <w:r w:rsidRPr="004E053C">
              <w:rPr>
                <w:rFonts w:eastAsia="Times New Roman" w:cstheme="majorHAnsi"/>
                <w:i/>
                <w:sz w:val="22"/>
                <w:szCs w:val="22"/>
                <w:lang w:val="en-GB"/>
              </w:rPr>
              <w:t>I never felt comfortable in Lima, because there was a lot of movement, and drugs and bad people and my friends had bad habits...Lima was never good for me</w:t>
            </w:r>
            <w:r w:rsidR="00976134" w:rsidRPr="004E053C">
              <w:rPr>
                <w:rFonts w:eastAsia="Times New Roman" w:cstheme="majorHAnsi"/>
                <w:sz w:val="22"/>
                <w:szCs w:val="22"/>
                <w:lang w:val="en-GB"/>
              </w:rPr>
              <w:t>’</w:t>
            </w:r>
          </w:p>
        </w:tc>
      </w:tr>
      <w:tr w:rsidR="0091076C" w:rsidRPr="004E053C" w14:paraId="076734E7" w14:textId="77777777" w:rsidTr="007B5A28">
        <w:tc>
          <w:tcPr>
            <w:tcW w:w="1275" w:type="dxa"/>
          </w:tcPr>
          <w:p w14:paraId="075A2EDE" w14:textId="5E93387A" w:rsidR="0091076C" w:rsidRPr="004E053C" w:rsidRDefault="001B115B"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Yara</w:t>
            </w:r>
            <w:r w:rsidR="0091076C" w:rsidRPr="004E053C">
              <w:rPr>
                <w:rFonts w:eastAsia="Times New Roman" w:cstheme="majorHAnsi"/>
                <w:sz w:val="22"/>
                <w:szCs w:val="22"/>
                <w:lang w:val="en-GB"/>
              </w:rPr>
              <w:t xml:space="preserve"> (market stall)</w:t>
            </w:r>
          </w:p>
        </w:tc>
        <w:tc>
          <w:tcPr>
            <w:tcW w:w="1289" w:type="dxa"/>
          </w:tcPr>
          <w:p w14:paraId="29C4BAF0"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Cusco province</w:t>
            </w:r>
          </w:p>
        </w:tc>
        <w:tc>
          <w:tcPr>
            <w:tcW w:w="1273" w:type="dxa"/>
          </w:tcPr>
          <w:p w14:paraId="7B445D2E"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2016</w:t>
            </w:r>
          </w:p>
        </w:tc>
        <w:tc>
          <w:tcPr>
            <w:tcW w:w="4679" w:type="dxa"/>
          </w:tcPr>
          <w:p w14:paraId="08B79F4E" w14:textId="77777777" w:rsidR="0091076C" w:rsidRPr="004E053C" w:rsidRDefault="0091076C" w:rsidP="004E053C">
            <w:pPr>
              <w:spacing w:line="360" w:lineRule="auto"/>
              <w:jc w:val="both"/>
              <w:rPr>
                <w:rFonts w:eastAsia="Times New Roman" w:cstheme="majorHAnsi"/>
                <w:color w:val="000000"/>
                <w:sz w:val="22"/>
                <w:szCs w:val="22"/>
                <w:lang w:val="en-GB"/>
              </w:rPr>
            </w:pPr>
            <w:r w:rsidRPr="004E053C">
              <w:rPr>
                <w:rFonts w:eastAsia="Times New Roman" w:cstheme="majorHAnsi"/>
                <w:color w:val="000000"/>
                <w:sz w:val="22"/>
                <w:szCs w:val="22"/>
                <w:lang w:val="en-GB"/>
              </w:rPr>
              <w:t>Had gone with her husband to try to find work in Cusco city, but it was difficult to earn enough money there especially as she was studying. She also found the big city difficult to live in.</w:t>
            </w:r>
          </w:p>
        </w:tc>
      </w:tr>
      <w:tr w:rsidR="0091076C" w:rsidRPr="004E053C" w14:paraId="54D4C5FA" w14:textId="77777777" w:rsidTr="007B5A28">
        <w:tc>
          <w:tcPr>
            <w:tcW w:w="1275" w:type="dxa"/>
          </w:tcPr>
          <w:p w14:paraId="1D6532EC" w14:textId="246945F6" w:rsidR="0091076C" w:rsidRPr="004E053C" w:rsidRDefault="00B21FF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Lorena</w:t>
            </w:r>
            <w:r w:rsidR="0091076C" w:rsidRPr="004E053C">
              <w:rPr>
                <w:rFonts w:eastAsia="Times New Roman" w:cstheme="majorHAnsi"/>
                <w:sz w:val="22"/>
                <w:szCs w:val="22"/>
                <w:lang w:val="en-GB"/>
              </w:rPr>
              <w:t xml:space="preserve"> (café worker)</w:t>
            </w:r>
          </w:p>
        </w:tc>
        <w:tc>
          <w:tcPr>
            <w:tcW w:w="1289" w:type="dxa"/>
          </w:tcPr>
          <w:p w14:paraId="4E5F59A1"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Cusco province </w:t>
            </w:r>
          </w:p>
        </w:tc>
        <w:tc>
          <w:tcPr>
            <w:tcW w:w="1273" w:type="dxa"/>
          </w:tcPr>
          <w:p w14:paraId="3AFE63C9"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1995</w:t>
            </w:r>
          </w:p>
        </w:tc>
        <w:tc>
          <w:tcPr>
            <w:tcW w:w="4679" w:type="dxa"/>
          </w:tcPr>
          <w:p w14:paraId="4C46D7E2" w14:textId="41DFCD47" w:rsidR="0091076C" w:rsidRPr="004E053C" w:rsidRDefault="0091076C" w:rsidP="004E053C">
            <w:pPr>
              <w:spacing w:line="360" w:lineRule="auto"/>
              <w:jc w:val="both"/>
              <w:rPr>
                <w:rFonts w:eastAsia="Times New Roman" w:cstheme="majorHAnsi"/>
                <w:color w:val="000000"/>
                <w:sz w:val="22"/>
                <w:szCs w:val="22"/>
                <w:lang w:val="en-GB"/>
              </w:rPr>
            </w:pPr>
            <w:r w:rsidRPr="004E053C">
              <w:rPr>
                <w:rFonts w:eastAsia="Times New Roman" w:cstheme="majorHAnsi"/>
                <w:color w:val="000000"/>
                <w:sz w:val="22"/>
                <w:szCs w:val="22"/>
                <w:lang w:val="en-GB"/>
              </w:rPr>
              <w:t xml:space="preserve">Went to Cusco city when she was 17 to find a job. When she failed to do so, she responded to an advert looking for cooks to work in </w:t>
            </w:r>
            <w:r w:rsidR="00D3785B" w:rsidRPr="004E053C">
              <w:rPr>
                <w:rFonts w:eastAsia="Times New Roman" w:cstheme="majorHAnsi"/>
                <w:color w:val="000000"/>
                <w:sz w:val="22"/>
                <w:szCs w:val="22"/>
                <w:lang w:val="en-GB"/>
              </w:rPr>
              <w:t>Madre de Dios</w:t>
            </w:r>
          </w:p>
        </w:tc>
      </w:tr>
      <w:tr w:rsidR="0091076C" w:rsidRPr="004E053C" w14:paraId="58717B99" w14:textId="77777777" w:rsidTr="007B5A28">
        <w:tc>
          <w:tcPr>
            <w:tcW w:w="1275" w:type="dxa"/>
          </w:tcPr>
          <w:p w14:paraId="01BBEF9A" w14:textId="1773DD5B" w:rsidR="0091076C" w:rsidRPr="004E053C" w:rsidRDefault="00B21FF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Kiara</w:t>
            </w:r>
            <w:r w:rsidR="0091076C" w:rsidRPr="004E053C">
              <w:rPr>
                <w:rFonts w:eastAsia="Times New Roman" w:cstheme="majorHAnsi"/>
                <w:sz w:val="22"/>
                <w:szCs w:val="22"/>
                <w:lang w:val="en-GB"/>
              </w:rPr>
              <w:t xml:space="preserve"> (miner)</w:t>
            </w:r>
          </w:p>
        </w:tc>
        <w:tc>
          <w:tcPr>
            <w:tcW w:w="1289" w:type="dxa"/>
          </w:tcPr>
          <w:p w14:paraId="21E38A04"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Urcos</w:t>
            </w:r>
          </w:p>
        </w:tc>
        <w:tc>
          <w:tcPr>
            <w:tcW w:w="1273" w:type="dxa"/>
          </w:tcPr>
          <w:p w14:paraId="31326F3B"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1981</w:t>
            </w:r>
          </w:p>
        </w:tc>
        <w:tc>
          <w:tcPr>
            <w:tcW w:w="4679" w:type="dxa"/>
          </w:tcPr>
          <w:p w14:paraId="76E2089E" w14:textId="77777777" w:rsidR="0091076C" w:rsidRPr="004E053C" w:rsidRDefault="0091076C" w:rsidP="004E053C">
            <w:pPr>
              <w:spacing w:line="360" w:lineRule="auto"/>
              <w:jc w:val="both"/>
              <w:rPr>
                <w:rFonts w:eastAsia="Times New Roman" w:cstheme="majorHAnsi"/>
                <w:color w:val="000000"/>
                <w:sz w:val="22"/>
                <w:szCs w:val="22"/>
                <w:lang w:val="en-GB"/>
              </w:rPr>
            </w:pPr>
            <w:r w:rsidRPr="004E053C">
              <w:rPr>
                <w:rFonts w:eastAsia="Times New Roman" w:cstheme="majorHAnsi"/>
                <w:color w:val="000000"/>
                <w:sz w:val="22"/>
                <w:szCs w:val="22"/>
                <w:lang w:val="en-GB"/>
              </w:rPr>
              <w:t>Went to Lima at age 11 to work as a house cleaner but earned very little. At aged 19 she visited home and heard about jobs available in MDD</w:t>
            </w:r>
          </w:p>
        </w:tc>
      </w:tr>
      <w:tr w:rsidR="0091076C" w:rsidRPr="004E053C" w14:paraId="4E6FDC0A" w14:textId="77777777" w:rsidTr="007B5A28">
        <w:tc>
          <w:tcPr>
            <w:tcW w:w="1275" w:type="dxa"/>
          </w:tcPr>
          <w:p w14:paraId="149F937F" w14:textId="28BB9740" w:rsidR="0091076C" w:rsidRPr="004E053C" w:rsidRDefault="00B21FF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Rosaria</w:t>
            </w:r>
            <w:r w:rsidR="0091076C" w:rsidRPr="004E053C">
              <w:rPr>
                <w:rFonts w:eastAsia="Times New Roman" w:cstheme="majorHAnsi"/>
                <w:sz w:val="22"/>
                <w:szCs w:val="22"/>
                <w:lang w:val="en-GB"/>
              </w:rPr>
              <w:t xml:space="preserve"> </w:t>
            </w:r>
            <w:r w:rsidR="0091076C" w:rsidRPr="004E053C">
              <w:rPr>
                <w:rFonts w:eastAsia="Times New Roman" w:cstheme="majorHAnsi"/>
                <w:sz w:val="22"/>
                <w:szCs w:val="22"/>
                <w:lang w:val="en-GB"/>
              </w:rPr>
              <w:lastRenderedPageBreak/>
              <w:t>(hotel owner)</w:t>
            </w:r>
          </w:p>
        </w:tc>
        <w:tc>
          <w:tcPr>
            <w:tcW w:w="1289" w:type="dxa"/>
          </w:tcPr>
          <w:p w14:paraId="48EA2CBA"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lastRenderedPageBreak/>
              <w:t xml:space="preserve">Cajatambo </w:t>
            </w:r>
            <w:r w:rsidRPr="004E053C">
              <w:rPr>
                <w:rFonts w:eastAsia="Times New Roman" w:cstheme="majorHAnsi"/>
                <w:sz w:val="22"/>
                <w:szCs w:val="22"/>
                <w:lang w:val="en-GB"/>
              </w:rPr>
              <w:lastRenderedPageBreak/>
              <w:t>province</w:t>
            </w:r>
          </w:p>
        </w:tc>
        <w:tc>
          <w:tcPr>
            <w:tcW w:w="1273" w:type="dxa"/>
          </w:tcPr>
          <w:p w14:paraId="5AC2C13F" w14:textId="25EE26B1" w:rsidR="0091076C" w:rsidRPr="004E053C" w:rsidRDefault="004B6894"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lastRenderedPageBreak/>
              <w:t>2009</w:t>
            </w:r>
          </w:p>
        </w:tc>
        <w:tc>
          <w:tcPr>
            <w:tcW w:w="4679" w:type="dxa"/>
          </w:tcPr>
          <w:p w14:paraId="7C7C7A61" w14:textId="77777777" w:rsidR="0091076C" w:rsidRPr="004E053C" w:rsidRDefault="0091076C" w:rsidP="004E053C">
            <w:pPr>
              <w:spacing w:line="360" w:lineRule="auto"/>
              <w:jc w:val="both"/>
              <w:rPr>
                <w:rFonts w:eastAsia="Times New Roman" w:cstheme="majorHAnsi"/>
                <w:color w:val="000000"/>
                <w:sz w:val="22"/>
                <w:szCs w:val="22"/>
                <w:lang w:val="en-GB"/>
              </w:rPr>
            </w:pPr>
            <w:r w:rsidRPr="004E053C">
              <w:rPr>
                <w:rFonts w:eastAsia="Times New Roman" w:cstheme="majorHAnsi"/>
                <w:color w:val="000000"/>
                <w:sz w:val="22"/>
                <w:szCs w:val="22"/>
                <w:lang w:val="en-GB"/>
              </w:rPr>
              <w:t xml:space="preserve">Went to Lima and worked as a house cleaner </w:t>
            </w:r>
            <w:r w:rsidRPr="004E053C">
              <w:rPr>
                <w:rFonts w:eastAsia="Times New Roman" w:cstheme="majorHAnsi"/>
                <w:color w:val="000000"/>
                <w:sz w:val="22"/>
                <w:szCs w:val="22"/>
                <w:lang w:val="en-GB"/>
              </w:rPr>
              <w:lastRenderedPageBreak/>
              <w:t>while studying in the evening. She found it too hard and was not earning anything, so after a fight with her boyfriend she moved to La Pampa to work in her cousin’s hotel</w:t>
            </w:r>
          </w:p>
        </w:tc>
      </w:tr>
    </w:tbl>
    <w:p w14:paraId="34594EC4" w14:textId="77777777" w:rsidR="0091076C" w:rsidRPr="004E053C" w:rsidRDefault="0091076C" w:rsidP="004E053C">
      <w:pPr>
        <w:spacing w:line="360" w:lineRule="auto"/>
        <w:jc w:val="both"/>
        <w:rPr>
          <w:rFonts w:eastAsia="Times New Roman" w:cstheme="majorHAnsi"/>
          <w:sz w:val="22"/>
          <w:szCs w:val="22"/>
          <w:lang w:val="en-GB"/>
        </w:rPr>
      </w:pPr>
    </w:p>
    <w:p w14:paraId="07D032FB" w14:textId="0908F515" w:rsidR="002A484D" w:rsidRPr="004E053C" w:rsidRDefault="002A484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From the table we can see that a couple of the miners had lacked the right papers to find work, with </w:t>
      </w:r>
      <w:r w:rsidR="00EA7F80" w:rsidRPr="004E053C">
        <w:rPr>
          <w:rFonts w:eastAsia="Times New Roman" w:cstheme="majorHAnsi"/>
          <w:sz w:val="22"/>
          <w:szCs w:val="22"/>
          <w:lang w:val="en-GB"/>
        </w:rPr>
        <w:t>Roberto</w:t>
      </w:r>
      <w:r w:rsidRPr="004E053C">
        <w:rPr>
          <w:rFonts w:eastAsia="Times New Roman" w:cstheme="majorHAnsi"/>
          <w:sz w:val="22"/>
          <w:szCs w:val="22"/>
          <w:lang w:val="en-GB"/>
        </w:rPr>
        <w:t xml:space="preserve"> saying that this had led him to take on low-paid w</w:t>
      </w:r>
      <w:r w:rsidR="00363A6B" w:rsidRPr="004E053C">
        <w:rPr>
          <w:rFonts w:eastAsia="Times New Roman" w:cstheme="majorHAnsi"/>
          <w:sz w:val="22"/>
          <w:szCs w:val="22"/>
          <w:lang w:val="en-GB"/>
        </w:rPr>
        <w:t>ork in the informal sector. Sev</w:t>
      </w:r>
      <w:r w:rsidRPr="004E053C">
        <w:rPr>
          <w:rFonts w:eastAsia="Times New Roman" w:cstheme="majorHAnsi"/>
          <w:sz w:val="22"/>
          <w:szCs w:val="22"/>
          <w:lang w:val="en-GB"/>
        </w:rPr>
        <w:t xml:space="preserve">eral of the others had managed to find employment, but this often did not pay well. A couple of the respondents had also mentioned that they simply did not feel comfortable in the city, which is likely to be related to the standard of living they could afford. </w:t>
      </w:r>
    </w:p>
    <w:p w14:paraId="1882B1F5" w14:textId="77777777" w:rsidR="002A484D" w:rsidRPr="004E053C" w:rsidRDefault="002A484D" w:rsidP="004E053C">
      <w:pPr>
        <w:spacing w:line="360" w:lineRule="auto"/>
        <w:jc w:val="both"/>
        <w:rPr>
          <w:rFonts w:eastAsia="Times New Roman" w:cstheme="majorHAnsi"/>
          <w:sz w:val="22"/>
          <w:szCs w:val="22"/>
          <w:lang w:val="en-GB"/>
        </w:rPr>
      </w:pPr>
    </w:p>
    <w:p w14:paraId="612F7497" w14:textId="09F48BC3" w:rsidR="0091076C" w:rsidRPr="004E053C" w:rsidRDefault="0091076C" w:rsidP="004E053C">
      <w:pPr>
        <w:widowControl w:val="0"/>
        <w:autoSpaceDE w:val="0"/>
        <w:autoSpaceDN w:val="0"/>
        <w:adjustRightInd w:val="0"/>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Migrants </w:t>
      </w:r>
      <w:r w:rsidR="004B6894" w:rsidRPr="004E053C">
        <w:rPr>
          <w:rFonts w:eastAsia="Times New Roman" w:cstheme="majorHAnsi"/>
          <w:sz w:val="22"/>
          <w:szCs w:val="22"/>
          <w:lang w:val="en-GB"/>
        </w:rPr>
        <w:t>that choose</w:t>
      </w:r>
      <w:r w:rsidRPr="004E053C">
        <w:rPr>
          <w:rFonts w:eastAsia="Times New Roman" w:cstheme="majorHAnsi"/>
          <w:sz w:val="22"/>
          <w:szCs w:val="22"/>
          <w:lang w:val="en-GB"/>
        </w:rPr>
        <w:t xml:space="preserve"> to relocate to rural/peri-urban ASM communities after failing to find </w:t>
      </w:r>
      <w:r w:rsidR="004B6894" w:rsidRPr="004E053C">
        <w:rPr>
          <w:rFonts w:eastAsia="Times New Roman" w:cstheme="majorHAnsi"/>
          <w:sz w:val="22"/>
          <w:szCs w:val="22"/>
          <w:lang w:val="en-GB"/>
        </w:rPr>
        <w:t>work in urban centre contradict modernisation</w:t>
      </w:r>
      <w:r w:rsidRPr="004E053C">
        <w:rPr>
          <w:rFonts w:eastAsia="Times New Roman" w:cstheme="majorHAnsi"/>
          <w:sz w:val="22"/>
          <w:szCs w:val="22"/>
          <w:lang w:val="en-GB"/>
        </w:rPr>
        <w:t xml:space="preserve"> theories of urban migration, which see urbani</w:t>
      </w:r>
      <w:r w:rsidR="002D6E5D" w:rsidRPr="004E053C">
        <w:rPr>
          <w:rFonts w:eastAsia="Times New Roman" w:cstheme="majorHAnsi"/>
          <w:sz w:val="22"/>
          <w:szCs w:val="22"/>
          <w:lang w:val="en-GB"/>
        </w:rPr>
        <w:t>s</w:t>
      </w:r>
      <w:r w:rsidR="004A3001" w:rsidRPr="004E053C">
        <w:rPr>
          <w:rFonts w:eastAsia="Times New Roman" w:cstheme="majorHAnsi"/>
          <w:sz w:val="22"/>
          <w:szCs w:val="22"/>
          <w:lang w:val="en-GB"/>
        </w:rPr>
        <w:t xml:space="preserve">ation as part of linear </w:t>
      </w:r>
      <w:r w:rsidRPr="004E053C">
        <w:rPr>
          <w:rFonts w:eastAsia="Times New Roman" w:cstheme="majorHAnsi"/>
          <w:sz w:val="22"/>
          <w:szCs w:val="22"/>
          <w:lang w:val="en-GB"/>
        </w:rPr>
        <w:t>trajectory of development towards an endpoint of Western-style industrial modernity</w:t>
      </w:r>
      <w:r w:rsidR="009D2F6F" w:rsidRPr="004E053C">
        <w:rPr>
          <w:rFonts w:eastAsia="Times New Roman" w:cstheme="majorHAnsi"/>
          <w:sz w:val="22"/>
          <w:szCs w:val="22"/>
          <w:lang w:val="en-GB"/>
        </w:rPr>
        <w:t xml:space="preserve"> </w:t>
      </w:r>
      <w:r w:rsidR="009D2F6F"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{"citationItems":[{"id":"ITEM-1","itemData":{"author":[{"dropping-particle":"","family":"Germani","given":"G.","non-dropping-particle":"","parse-names":false,"suffix":""}],"id":"ITEM-1","issued":{"date-parts":[["1969"]]},"publisher":"Paidos","publisher-place":"Buenos Aires","title":"Sociologia de la Modernizacion","type":"book"},"uris":["http://www.mendeley.com/documents/?uuid=d59da37e-ccf7-4f34-8aa7-b73ffcd71922"]},{"id":"ITEM-2","itemData":{"author":[{"dropping-particle":"","family":"Ferguson","given":"James","non-dropping-particle":"","parse-names":false,"suffix":""}],"id":"ITEM-2","issued":{"date-parts":[["1999"]]},"number-of-pages":"348","publisher":"University of California Press","title":"Expectations of Modernity: Myths and Meanings of Urban Life on the Zambian Copperbelt","type":"book"},"uris":["http://www.mendeley.com/documents/?uuid=b47dfa2f-73ef-453b-a1f7-80721fc71d42"]},{"id":"ITEM-3","itemData":{"author":[{"dropping-particle":"","family":"Delgado-Wise","given":"Raúl","non-dropping-particle":"","parse-names":false,"suffix":""}],"container-title":"Annual Review of Sociology","id":"ITEM-3","issued":{"date-parts":[["2014"]]},"page":"643-663","title":"A critical overview of migration and development: the Latin American challenge","type":"article-journal","volume":"40"},"uris":["http://www.mendeley.com/documents/?uuid=847d3ec1-ab7f-4589-a5f6-bb0d28c8e818"]}],"mendeley":{"formattedCitation":"(Delgado-Wise, 2014; Ferguson, 1999; Germani, 1969)","plainTextFormattedCitation":"(Delgado-Wise, 2014; Ferguson, 1999; Germani, 1969)","previouslyFormattedCitation":"(Delgado-Wise, 2014; Ferguson, 1999; Germani, 1969)"},"properties":{"noteIndex":0},"schema":"https://github.com/citation-style-language/schema/raw/master/csl-citation.json"}</w:instrText>
      </w:r>
      <w:r w:rsidR="009D2F6F" w:rsidRPr="004E053C">
        <w:rPr>
          <w:rFonts w:eastAsia="Times New Roman" w:cstheme="majorHAnsi"/>
          <w:sz w:val="22"/>
          <w:szCs w:val="22"/>
          <w:lang w:val="en-GB"/>
        </w:rPr>
        <w:fldChar w:fldCharType="separate"/>
      </w:r>
      <w:r w:rsidR="009D2F6F" w:rsidRPr="004E053C">
        <w:rPr>
          <w:rFonts w:eastAsia="Times New Roman" w:cstheme="majorHAnsi"/>
          <w:noProof/>
          <w:sz w:val="22"/>
          <w:szCs w:val="22"/>
          <w:lang w:val="en-GB"/>
        </w:rPr>
        <w:t>(Delgado-Wise, 2014; Ferguson, 1999; Germani, 1969)</w:t>
      </w:r>
      <w:r w:rsidR="009D2F6F" w:rsidRPr="004E053C">
        <w:rPr>
          <w:rFonts w:eastAsia="Times New Roman" w:cstheme="majorHAnsi"/>
          <w:sz w:val="22"/>
          <w:szCs w:val="22"/>
          <w:lang w:val="en-GB"/>
        </w:rPr>
        <w:fldChar w:fldCharType="end"/>
      </w:r>
      <w:r w:rsidR="009D2F6F" w:rsidRPr="004E053C">
        <w:rPr>
          <w:rFonts w:eastAsia="Times New Roman" w:cstheme="majorHAnsi"/>
          <w:sz w:val="22"/>
          <w:szCs w:val="22"/>
          <w:lang w:val="en-GB"/>
        </w:rPr>
        <w:t xml:space="preserve">. </w:t>
      </w:r>
      <w:r w:rsidRPr="004E053C">
        <w:rPr>
          <w:rFonts w:eastAsia="Times New Roman" w:cstheme="majorHAnsi"/>
          <w:sz w:val="22"/>
          <w:szCs w:val="22"/>
          <w:lang w:val="en-GB"/>
        </w:rPr>
        <w:t xml:space="preserve">Instead, it seems more a continuation of earlier observations of urban life, which saw the emergence of the urban poor </w:t>
      </w:r>
      <w:r w:rsidR="009D2F6F" w:rsidRPr="004E053C">
        <w:rPr>
          <w:rFonts w:eastAsia="Times New Roman" w:cstheme="majorHAnsi"/>
          <w:sz w:val="22"/>
          <w:szCs w:val="22"/>
          <w:lang w:val="en-GB"/>
        </w:rPr>
        <w:fldChar w:fldCharType="begin" w:fldLock="1"/>
      </w:r>
      <w:r w:rsidR="009D2F6F" w:rsidRPr="004E053C">
        <w:rPr>
          <w:rFonts w:eastAsia="Times New Roman" w:cstheme="majorHAnsi"/>
          <w:sz w:val="22"/>
          <w:szCs w:val="22"/>
          <w:lang w:val="en-GB"/>
        </w:rPr>
        <w:instrText>ADDIN CSL_CITATION {"citationItems":[{"id":"ITEM-1","itemData":{"author":[{"dropping-particle":"","family":"Potts","given":"Deborah","non-dropping-particle":"","parse-names":false,"suffix":""}],"container-title":"The Geographical Journal","id":"ITEM-1","issue":"3","issued":{"date-parts":[["1995"]]},"page":"245-264","title":"Shall we go home? Increasing urban poverty in African cities and migration processes","type":"article-journal","volume":"161"},"uris":["http://www.mendeley.com/documents/?uuid=a9447c1c-7b73-4d51-b74a-9bc339b26f26"]}],"mendeley":{"formattedCitation":"(Potts, 1995)","plainTextFormattedCitation":"(Potts, 1995)","previouslyFormattedCitation":"(Potts, 1995)"},"properties":{"noteIndex":0},"schema":"https://github.com/citation-style-language/schema/raw/master/csl-citation.json"}</w:instrText>
      </w:r>
      <w:r w:rsidR="009D2F6F" w:rsidRPr="004E053C">
        <w:rPr>
          <w:rFonts w:eastAsia="Times New Roman" w:cstheme="majorHAnsi"/>
          <w:sz w:val="22"/>
          <w:szCs w:val="22"/>
          <w:lang w:val="en-GB"/>
        </w:rPr>
        <w:fldChar w:fldCharType="separate"/>
      </w:r>
      <w:r w:rsidR="009D2F6F" w:rsidRPr="004E053C">
        <w:rPr>
          <w:rFonts w:eastAsia="Times New Roman" w:cstheme="majorHAnsi"/>
          <w:noProof/>
          <w:sz w:val="22"/>
          <w:szCs w:val="22"/>
          <w:lang w:val="en-GB"/>
        </w:rPr>
        <w:t>(Potts, 1995)</w:t>
      </w:r>
      <w:r w:rsidR="009D2F6F" w:rsidRPr="004E053C">
        <w:rPr>
          <w:rFonts w:eastAsia="Times New Roman" w:cstheme="majorHAnsi"/>
          <w:sz w:val="22"/>
          <w:szCs w:val="22"/>
          <w:lang w:val="en-GB"/>
        </w:rPr>
        <w:fldChar w:fldCharType="end"/>
      </w:r>
      <w:r w:rsidRPr="004E053C">
        <w:rPr>
          <w:rFonts w:eastAsia="Times New Roman" w:cstheme="majorHAnsi"/>
          <w:sz w:val="22"/>
          <w:szCs w:val="22"/>
          <w:lang w:val="en-GB"/>
        </w:rPr>
        <w:t>, as poor migrants in Latin American and African countries migrated to the urban periphery where they were only able to find work in the informal econom</w:t>
      </w:r>
      <w:r w:rsidR="009D2F6F" w:rsidRPr="004E053C">
        <w:rPr>
          <w:rFonts w:eastAsia="Times New Roman" w:cstheme="majorHAnsi"/>
          <w:sz w:val="22"/>
          <w:szCs w:val="22"/>
          <w:lang w:val="en-GB"/>
        </w:rPr>
        <w:t xml:space="preserve">y </w:t>
      </w:r>
      <w:r w:rsidR="009D2F6F"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{"citationItems":[{"id":"ITEM-1","itemData":{"author":[{"dropping-particle":"","family":"González Casanova","given":"Pablo","non-dropping-particle":"","parse-names":false,"suffix":""}],"container-title":"América Latina","id":"ITEM-1","issue":"3","issued":{"date-parts":[["1963"]]},"page":"15-32","title":"Sociedad plural, colonialismo interno y desarrollo","type":"article-journal","volume":"6"},"uris":["http://www.mendeley.com/documents/?uuid=0204dfb8-c63e-40ed-b0e1-74c79d5b7c4c"]},{"id":"ITEM-2","itemData":{"author":[{"dropping-particle":"","family":"Delgado-Wise","given":"Raúl","non-dropping-particle":"","parse-names":false,"suffix":""}],"container-title":"Annual Review of Sociology","id":"ITEM-2","issued":{"date-parts":[["2014"]]},"page":"643-663","title":"A critical overview of migration and development: the Latin American challenge","type":"article-journal","volume":"40"},"uris":["http://www.mendeley.com/documents/?uuid=847d3ec1-ab7f-4589-a5f6-bb0d28c8e818"]}],"mendeley":{"formattedCitation":"(Delgado-Wise, 2014; González Casanova, 1963)","plainTextFormattedCitation":"(Delgado-Wise, 2014; González Casanova, 1963)","previouslyFormattedCitation":"(Delgado-Wise, 2014; González Casanova, 1963)"},"properties":{"noteIndex":0},"schema":"https://github.com/citation-style-language/schema/raw/master/csl-citation.json"}</w:instrText>
      </w:r>
      <w:r w:rsidR="009D2F6F" w:rsidRPr="004E053C">
        <w:rPr>
          <w:rFonts w:eastAsia="Times New Roman" w:cstheme="majorHAnsi"/>
          <w:sz w:val="22"/>
          <w:szCs w:val="22"/>
          <w:lang w:val="en-GB"/>
        </w:rPr>
        <w:fldChar w:fldCharType="separate"/>
      </w:r>
      <w:r w:rsidR="009D2F6F" w:rsidRPr="004E053C">
        <w:rPr>
          <w:rFonts w:eastAsia="Times New Roman" w:cstheme="majorHAnsi"/>
          <w:noProof/>
          <w:sz w:val="22"/>
          <w:szCs w:val="22"/>
          <w:lang w:val="en-GB"/>
        </w:rPr>
        <w:t>(Delgado-Wise, 2014; González Casanova, 1963)</w:t>
      </w:r>
      <w:r w:rsidR="009D2F6F" w:rsidRPr="004E053C">
        <w:rPr>
          <w:rFonts w:eastAsia="Times New Roman" w:cstheme="majorHAnsi"/>
          <w:sz w:val="22"/>
          <w:szCs w:val="22"/>
          <w:lang w:val="en-GB"/>
        </w:rPr>
        <w:fldChar w:fldCharType="end"/>
      </w:r>
      <w:r w:rsidRPr="004E053C">
        <w:rPr>
          <w:rFonts w:eastAsia="Times New Roman" w:cstheme="majorHAnsi"/>
          <w:sz w:val="22"/>
          <w:szCs w:val="22"/>
          <w:lang w:val="en-GB"/>
        </w:rPr>
        <w:t>. It</w:t>
      </w:r>
      <w:r w:rsidR="00830084" w:rsidRPr="004E053C">
        <w:rPr>
          <w:rFonts w:eastAsia="Times New Roman" w:cstheme="majorHAnsi"/>
          <w:sz w:val="22"/>
          <w:szCs w:val="22"/>
          <w:lang w:val="en-GB"/>
        </w:rPr>
        <w:t xml:space="preserve"> also reflects Ferguson’s</w:t>
      </w:r>
      <w:r w:rsidRPr="004E053C">
        <w:rPr>
          <w:rFonts w:eastAsia="Times New Roman" w:cstheme="majorHAnsi"/>
          <w:sz w:val="22"/>
          <w:szCs w:val="22"/>
          <w:lang w:val="en-GB"/>
        </w:rPr>
        <w:t xml:space="preserve"> </w:t>
      </w:r>
      <w:r w:rsidR="009D2F6F" w:rsidRPr="004E053C">
        <w:rPr>
          <w:rFonts w:eastAsia="Times New Roman" w:cstheme="majorHAnsi"/>
          <w:sz w:val="22"/>
          <w:szCs w:val="22"/>
          <w:lang w:val="en-GB"/>
        </w:rPr>
        <w:fldChar w:fldCharType="begin" w:fldLock="1"/>
      </w:r>
      <w:r w:rsidR="004A27C0" w:rsidRPr="004E053C">
        <w:rPr>
          <w:rFonts w:eastAsia="Times New Roman" w:cstheme="majorHAnsi"/>
          <w:sz w:val="22"/>
          <w:szCs w:val="22"/>
          <w:lang w:val="en-GB"/>
        </w:rPr>
        <w:instrText>ADDIN CSL_CITATION {"citationItems":[{"id":"ITEM-1","itemData":{"author":[{"dropping-particle":"","family":"Ferguson","given":"James","non-dropping-particle":"","parse-names":false,"suffix":""}],"id":"ITEM-1","issued":{"date-parts":[["1999"]]},"number-of-pages":"348","publisher":"University of California Press","title":"Expectations of Modernity: Myths and Meanings of Urban Life on the Zambian Copperbelt","type":"book"},"uris":["http://www.mendeley.com/documents/?uuid=b47dfa2f-73ef-453b-a1f7-80721fc71d42"]}],"mendeley":{"formattedCitation":"(Ferguson, 1999)","manualFormatting":"(1999)","plainTextFormattedCitation":"(Ferguson, 1999)","previouslyFormattedCitation":"(Ferguson, 1999)"},"properties":{"noteIndex":0},"schema":"https://github.com/citation-style-language/schema/raw/master/csl-citation.json"}</w:instrText>
      </w:r>
      <w:r w:rsidR="009D2F6F" w:rsidRPr="004E053C">
        <w:rPr>
          <w:rFonts w:eastAsia="Times New Roman" w:cstheme="majorHAnsi"/>
          <w:sz w:val="22"/>
          <w:szCs w:val="22"/>
          <w:lang w:val="en-GB"/>
        </w:rPr>
        <w:fldChar w:fldCharType="separate"/>
      </w:r>
      <w:r w:rsidR="009D2F6F" w:rsidRPr="004E053C">
        <w:rPr>
          <w:rFonts w:eastAsia="Times New Roman" w:cstheme="majorHAnsi"/>
          <w:noProof/>
          <w:sz w:val="22"/>
          <w:szCs w:val="22"/>
          <w:lang w:val="en-GB"/>
        </w:rPr>
        <w:t>(1999)</w:t>
      </w:r>
      <w:r w:rsidR="009D2F6F" w:rsidRPr="004E053C">
        <w:rPr>
          <w:rFonts w:eastAsia="Times New Roman" w:cstheme="majorHAnsi"/>
          <w:sz w:val="22"/>
          <w:szCs w:val="22"/>
          <w:lang w:val="en-GB"/>
        </w:rPr>
        <w:fldChar w:fldCharType="end"/>
      </w:r>
      <w:r w:rsidR="009D2F6F" w:rsidRPr="004E053C">
        <w:rPr>
          <w:rFonts w:eastAsia="Times New Roman" w:cstheme="majorHAnsi"/>
          <w:sz w:val="22"/>
          <w:szCs w:val="22"/>
          <w:lang w:val="en-GB"/>
        </w:rPr>
        <w:t xml:space="preserve"> </w:t>
      </w:r>
      <w:r w:rsidRPr="004E053C">
        <w:rPr>
          <w:rFonts w:eastAsia="Times New Roman" w:cstheme="majorHAnsi"/>
          <w:sz w:val="22"/>
          <w:szCs w:val="22"/>
          <w:lang w:val="en-GB"/>
        </w:rPr>
        <w:t>observation that urban life may often fail</w:t>
      </w:r>
      <w:r w:rsidR="004A3001" w:rsidRPr="004E053C">
        <w:rPr>
          <w:rFonts w:eastAsia="Times New Roman" w:cstheme="majorHAnsi"/>
          <w:sz w:val="22"/>
          <w:szCs w:val="22"/>
          <w:lang w:val="en-GB"/>
        </w:rPr>
        <w:t xml:space="preserve"> to live up to migrant</w:t>
      </w:r>
      <w:r w:rsidRPr="004E053C">
        <w:rPr>
          <w:rFonts w:eastAsia="Times New Roman" w:cstheme="majorHAnsi"/>
          <w:sz w:val="22"/>
          <w:szCs w:val="22"/>
          <w:lang w:val="en-GB"/>
        </w:rPr>
        <w:t>s</w:t>
      </w:r>
      <w:r w:rsidR="004A3001" w:rsidRPr="004E053C">
        <w:rPr>
          <w:rFonts w:eastAsia="Times New Roman" w:cstheme="majorHAnsi"/>
          <w:sz w:val="22"/>
          <w:szCs w:val="22"/>
          <w:lang w:val="en-GB"/>
        </w:rPr>
        <w:t>’</w:t>
      </w:r>
      <w:r w:rsidRPr="004E053C">
        <w:rPr>
          <w:rFonts w:eastAsia="Times New Roman" w:cstheme="majorHAnsi"/>
          <w:sz w:val="22"/>
          <w:szCs w:val="22"/>
          <w:lang w:val="en-GB"/>
        </w:rPr>
        <w:t xml:space="preserve"> expectations – although his study was examining mining livelihoods in urban areas becoming less profitable due to economic downturns, rather than how mining could attract people </w:t>
      </w:r>
      <w:r w:rsidR="00906830" w:rsidRPr="004E053C">
        <w:rPr>
          <w:rFonts w:eastAsia="Times New Roman" w:cstheme="majorHAnsi"/>
          <w:sz w:val="22"/>
          <w:szCs w:val="22"/>
          <w:lang w:val="en-GB"/>
        </w:rPr>
        <w:t xml:space="preserve">away from large urban centres. </w:t>
      </w:r>
    </w:p>
    <w:p w14:paraId="15010CFC" w14:textId="77777777" w:rsidR="004A3EF1" w:rsidRPr="004E053C" w:rsidRDefault="004A3EF1" w:rsidP="004E053C">
      <w:pPr>
        <w:widowControl w:val="0"/>
        <w:autoSpaceDE w:val="0"/>
        <w:autoSpaceDN w:val="0"/>
        <w:adjustRightInd w:val="0"/>
        <w:spacing w:line="360" w:lineRule="auto"/>
        <w:jc w:val="both"/>
        <w:rPr>
          <w:rFonts w:eastAsia="Times New Roman" w:cstheme="majorHAnsi"/>
          <w:sz w:val="22"/>
          <w:szCs w:val="22"/>
          <w:lang w:val="en-GB"/>
        </w:rPr>
      </w:pPr>
    </w:p>
    <w:p w14:paraId="7498B851" w14:textId="55D6F0D4" w:rsidR="0091076C"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.2</w:t>
      </w:r>
      <w:r w:rsidR="0091076C" w:rsidRPr="004E053C">
        <w:rPr>
          <w:rFonts w:asciiTheme="minorHAnsi" w:hAnsiTheme="minorHAnsi"/>
        </w:rPr>
        <w:t xml:space="preserve">.3. Loss of occupation </w:t>
      </w:r>
    </w:p>
    <w:p w14:paraId="645BD2B9" w14:textId="77777777" w:rsidR="004A3EF1" w:rsidRPr="004E053C" w:rsidRDefault="004A3EF1" w:rsidP="004E053C">
      <w:pPr>
        <w:spacing w:line="360" w:lineRule="auto"/>
        <w:jc w:val="both"/>
        <w:rPr>
          <w:rFonts w:cstheme="majorHAnsi"/>
          <w:lang w:val="en-GB"/>
        </w:rPr>
      </w:pPr>
    </w:p>
    <w:p w14:paraId="21E3F81C" w14:textId="46A89711" w:rsidR="0091076C" w:rsidRPr="004E053C" w:rsidRDefault="0091076C" w:rsidP="004E053C">
      <w:pPr>
        <w:spacing w:after="200" w:line="360" w:lineRule="auto"/>
        <w:jc w:val="both"/>
        <w:rPr>
          <w:rFonts w:cstheme="majorHAnsi"/>
          <w:sz w:val="22"/>
          <w:szCs w:val="22"/>
          <w:lang w:val="en-GB"/>
        </w:rPr>
      </w:pPr>
      <w:r w:rsidRPr="004E053C">
        <w:rPr>
          <w:rFonts w:cstheme="majorHAnsi"/>
          <w:sz w:val="22"/>
          <w:szCs w:val="22"/>
          <w:lang w:val="en-GB"/>
        </w:rPr>
        <w:t>Migrant miners have usually had a different occupation or means of income generation before starting mining. While sometimes the lack of profitability of these livelihoods trigged a switch to ASM, others have left relatively well-paying jobs for other reasons. One key factor has been Peru’s economic reforms</w:t>
      </w:r>
      <w:r w:rsidRPr="004E053C">
        <w:rPr>
          <w:rFonts w:eastAsia="Times New Roman" w:cstheme="majorHAnsi"/>
          <w:sz w:val="22"/>
          <w:szCs w:val="22"/>
          <w:lang w:val="en-GB"/>
        </w:rPr>
        <w:t xml:space="preserve">. For example, before working in KM108 as an </w:t>
      </w:r>
      <w:r w:rsidRPr="004E053C">
        <w:rPr>
          <w:rFonts w:eastAsia="Times New Roman" w:cstheme="majorHAnsi"/>
          <w:i/>
          <w:sz w:val="22"/>
          <w:szCs w:val="22"/>
          <w:lang w:val="en-GB"/>
        </w:rPr>
        <w:t xml:space="preserve">obrero, </w:t>
      </w:r>
      <w:r w:rsidR="00EA7F80" w:rsidRPr="004E053C">
        <w:rPr>
          <w:rFonts w:eastAsia="Times New Roman" w:cstheme="majorHAnsi"/>
          <w:iCs/>
          <w:sz w:val="22"/>
          <w:szCs w:val="22"/>
          <w:lang w:val="en-GB"/>
        </w:rPr>
        <w:t>Carlos</w:t>
      </w:r>
      <w:r w:rsidRPr="004E053C">
        <w:rPr>
          <w:rFonts w:eastAsia="Times New Roman" w:cstheme="majorHAnsi"/>
          <w:i/>
          <w:sz w:val="22"/>
          <w:szCs w:val="22"/>
          <w:lang w:val="en-GB"/>
        </w:rPr>
        <w:t xml:space="preserve"> </w:t>
      </w:r>
      <w:r w:rsidRPr="004E053C">
        <w:rPr>
          <w:rFonts w:eastAsia="Times New Roman" w:cstheme="majorHAnsi"/>
          <w:sz w:val="22"/>
          <w:szCs w:val="22"/>
          <w:lang w:val="en-GB"/>
        </w:rPr>
        <w:t>had previously worked for a company in Lima that made parts for international car manufacturers. After President Fujimore’s</w:t>
      </w:r>
      <w:r w:rsidR="00363A6B" w:rsidRPr="004E053C">
        <w:rPr>
          <w:rFonts w:eastAsia="Times New Roman" w:cstheme="majorHAnsi"/>
          <w:sz w:val="22"/>
          <w:szCs w:val="22"/>
          <w:lang w:val="en-GB"/>
        </w:rPr>
        <w:t xml:space="preserve"> trade liberalisation reforms, C</w:t>
      </w:r>
      <w:r w:rsidRPr="004E053C">
        <w:rPr>
          <w:rFonts w:eastAsia="Times New Roman" w:cstheme="majorHAnsi"/>
          <w:sz w:val="22"/>
          <w:szCs w:val="22"/>
          <w:lang w:val="en-GB"/>
        </w:rPr>
        <w:t xml:space="preserve">hinese imports undercut business, resulting in a loss of profits and, ultimately, redundancies. Faced with unemployment and an economic downturn, </w:t>
      </w:r>
      <w:r w:rsidR="00EA7F80" w:rsidRPr="004E053C">
        <w:rPr>
          <w:rFonts w:eastAsia="Times New Roman" w:cstheme="majorHAnsi"/>
          <w:sz w:val="22"/>
          <w:szCs w:val="22"/>
          <w:lang w:val="en-GB"/>
        </w:rPr>
        <w:t>Carlos</w:t>
      </w:r>
      <w:r w:rsidRPr="004E053C">
        <w:rPr>
          <w:rFonts w:eastAsia="Times New Roman" w:cstheme="majorHAnsi"/>
          <w:sz w:val="22"/>
          <w:szCs w:val="22"/>
          <w:lang w:val="en-GB"/>
        </w:rPr>
        <w:t xml:space="preserve"> needed a new job and heard about opportunities in KM108, one of the mining settlements in La Pampa:</w:t>
      </w:r>
    </w:p>
    <w:p w14:paraId="41B2073D" w14:textId="53BCFDF7" w:rsidR="0091076C" w:rsidRPr="004E053C" w:rsidRDefault="004B6894" w:rsidP="004E053C">
      <w:pPr>
        <w:ind w:left="720"/>
        <w:jc w:val="both"/>
        <w:rPr>
          <w:rFonts w:eastAsia="Times New Roman" w:cstheme="majorHAnsi"/>
          <w:sz w:val="22"/>
          <w:szCs w:val="22"/>
          <w:lang w:val="en-GB"/>
        </w:rPr>
      </w:pPr>
      <w:r w:rsidRPr="004E053C">
        <w:rPr>
          <w:rFonts w:eastAsia="Times New Roman" w:cstheme="majorHAnsi"/>
          <w:sz w:val="22"/>
          <w:szCs w:val="22"/>
          <w:lang w:val="en-GB"/>
        </w:rPr>
        <w:lastRenderedPageBreak/>
        <w:t>‘</w:t>
      </w:r>
      <w:r w:rsidR="0091076C" w:rsidRPr="004E053C">
        <w:rPr>
          <w:rFonts w:eastAsia="Times New Roman" w:cstheme="majorHAnsi"/>
          <w:i/>
          <w:sz w:val="22"/>
          <w:szCs w:val="22"/>
          <w:lang w:val="en-GB"/>
        </w:rPr>
        <w:t>I had heard many stories…about KM 108…where they were working in mining and making a lot of money, so I decided to make some money here. No one at that time made more money than people made in KM 108</w:t>
      </w:r>
      <w:r w:rsidRPr="004E053C">
        <w:rPr>
          <w:rFonts w:eastAsia="Times New Roman" w:cstheme="majorHAnsi"/>
          <w:sz w:val="22"/>
          <w:szCs w:val="22"/>
          <w:lang w:val="en-GB"/>
        </w:rPr>
        <w:t>’</w:t>
      </w:r>
      <w:r w:rsidR="0091076C"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Carlos</w:t>
      </w:r>
      <w:r w:rsidR="0091076C" w:rsidRPr="004E053C">
        <w:rPr>
          <w:rFonts w:eastAsia="Times New Roman" w:cstheme="majorHAnsi"/>
          <w:sz w:val="22"/>
          <w:szCs w:val="22"/>
          <w:lang w:val="en-GB"/>
        </w:rPr>
        <w:t>, ex-miner, Puerto Maldonado).</w:t>
      </w:r>
    </w:p>
    <w:p w14:paraId="65CC8A6C" w14:textId="77777777" w:rsidR="0091076C" w:rsidRPr="004E053C" w:rsidRDefault="0091076C" w:rsidP="004E053C">
      <w:pPr>
        <w:spacing w:line="360" w:lineRule="auto"/>
        <w:jc w:val="both"/>
        <w:rPr>
          <w:rFonts w:eastAsia="Times New Roman" w:cstheme="majorHAnsi"/>
          <w:sz w:val="22"/>
          <w:szCs w:val="22"/>
          <w:lang w:val="en-GB"/>
        </w:rPr>
      </w:pPr>
    </w:p>
    <w:p w14:paraId="72E73436" w14:textId="665EA44B"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While the high incomes on offer in ASM were a contributing factor in </w:t>
      </w:r>
      <w:r w:rsidR="00EA7F80" w:rsidRPr="004E053C">
        <w:rPr>
          <w:rFonts w:eastAsia="Times New Roman" w:cstheme="majorHAnsi"/>
          <w:sz w:val="22"/>
          <w:szCs w:val="22"/>
          <w:lang w:val="en-GB"/>
        </w:rPr>
        <w:t>Carlos</w:t>
      </w:r>
      <w:r w:rsidR="00830084" w:rsidRPr="004E053C">
        <w:rPr>
          <w:rFonts w:eastAsia="Times New Roman" w:cstheme="majorHAnsi"/>
          <w:sz w:val="22"/>
          <w:szCs w:val="22"/>
          <w:lang w:val="en-GB"/>
        </w:rPr>
        <w:t>’s</w:t>
      </w:r>
      <w:r w:rsidRPr="004E053C">
        <w:rPr>
          <w:rFonts w:eastAsia="Times New Roman" w:cstheme="majorHAnsi"/>
          <w:sz w:val="22"/>
          <w:szCs w:val="22"/>
          <w:lang w:val="en-GB"/>
        </w:rPr>
        <w:t xml:space="preserve"> decision, it was only due to the economic reforms that had cost </w:t>
      </w:r>
      <w:r w:rsidR="00EA7F80" w:rsidRPr="004E053C">
        <w:rPr>
          <w:rFonts w:eastAsia="Times New Roman" w:cstheme="majorHAnsi"/>
          <w:sz w:val="22"/>
          <w:szCs w:val="22"/>
          <w:lang w:val="en-GB"/>
        </w:rPr>
        <w:t>Carlos</w:t>
      </w:r>
      <w:r w:rsidRPr="004E053C">
        <w:rPr>
          <w:rFonts w:eastAsia="Times New Roman" w:cstheme="majorHAnsi"/>
          <w:sz w:val="22"/>
          <w:szCs w:val="22"/>
          <w:lang w:val="en-GB"/>
        </w:rPr>
        <w:t xml:space="preserve"> his job that he felt it necessary to switch careers. Before this, he had never had any intention to migrate to Madre de Dios. </w:t>
      </w:r>
    </w:p>
    <w:p w14:paraId="2ACAF9CC" w14:textId="77777777" w:rsidR="0091076C" w:rsidRPr="004E053C" w:rsidRDefault="0091076C" w:rsidP="004E053C">
      <w:pPr>
        <w:spacing w:line="360" w:lineRule="auto"/>
        <w:jc w:val="both"/>
        <w:rPr>
          <w:rFonts w:eastAsia="Times New Roman" w:cstheme="majorHAnsi"/>
          <w:sz w:val="22"/>
          <w:szCs w:val="22"/>
          <w:lang w:val="en-GB"/>
        </w:rPr>
      </w:pPr>
    </w:p>
    <w:p w14:paraId="47DDDC74" w14:textId="5233F8F0"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Policy reforms have also pushed people into ASM who were previously working in other activities within Madre de Dios. For example, </w:t>
      </w:r>
      <w:r w:rsidR="00EA7F80" w:rsidRPr="004E053C">
        <w:rPr>
          <w:rFonts w:eastAsia="Times New Roman" w:cstheme="majorHAnsi"/>
          <w:sz w:val="22"/>
          <w:szCs w:val="22"/>
          <w:lang w:val="en-GB"/>
        </w:rPr>
        <w:t>Alejandro</w:t>
      </w:r>
      <w:r w:rsidRPr="004E053C">
        <w:rPr>
          <w:rFonts w:eastAsia="Times New Roman" w:cstheme="majorHAnsi"/>
          <w:sz w:val="22"/>
          <w:szCs w:val="22"/>
          <w:lang w:val="en-GB"/>
        </w:rPr>
        <w:t xml:space="preserve"> was born in Laberinto to migrant parents who worked in wood and agriculture, but the introduction of logging regulations aimed at halting deforestation meant he had to do something different. </w:t>
      </w:r>
      <w:r w:rsidR="00EA7F80" w:rsidRPr="004E053C">
        <w:rPr>
          <w:rFonts w:eastAsia="Times New Roman" w:cstheme="majorHAnsi"/>
          <w:sz w:val="22"/>
          <w:szCs w:val="22"/>
          <w:lang w:val="en-GB"/>
        </w:rPr>
        <w:t>Alejandro</w:t>
      </w:r>
      <w:r w:rsidRPr="004E053C">
        <w:rPr>
          <w:rFonts w:eastAsia="Times New Roman" w:cstheme="majorHAnsi"/>
          <w:sz w:val="22"/>
          <w:szCs w:val="22"/>
          <w:lang w:val="en-GB"/>
        </w:rPr>
        <w:t xml:space="preserve"> drew parallels of the logging regulations with ASM’s formalisation process </w:t>
      </w:r>
      <w:r w:rsidR="004B6894"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4B6894" w:rsidRPr="004E053C">
        <w:rPr>
          <w:rFonts w:eastAsia="Times New Roman" w:cstheme="majorHAnsi"/>
          <w:sz w:val="22"/>
          <w:szCs w:val="22"/>
          <w:lang w:val="en-GB"/>
        </w:rPr>
        <w:t>‘</w:t>
      </w:r>
      <w:r w:rsidRPr="004E053C">
        <w:rPr>
          <w:rFonts w:eastAsia="Times New Roman" w:cstheme="majorHAnsi"/>
          <w:i/>
          <w:sz w:val="22"/>
          <w:szCs w:val="22"/>
          <w:lang w:val="en-GB"/>
        </w:rPr>
        <w:t>Now there are problems with mining and the government, but ten years ago or more there were the same problems between the government and wood</w:t>
      </w:r>
      <w:r w:rsidR="004B6894" w:rsidRPr="004E053C">
        <w:rPr>
          <w:rFonts w:eastAsia="Times New Roman" w:cstheme="majorHAnsi"/>
          <w:i/>
          <w:sz w:val="22"/>
          <w:szCs w:val="22"/>
          <w:lang w:val="en-GB"/>
        </w:rPr>
        <w:t>’</w:t>
      </w:r>
      <w:r w:rsidR="004B6894" w:rsidRPr="004E053C">
        <w:rPr>
          <w:rFonts w:eastAsia="Times New Roman" w:cstheme="majorHAnsi"/>
          <w:sz w:val="22"/>
          <w:szCs w:val="22"/>
          <w:lang w:val="en-GB"/>
        </w:rPr>
        <w:t>.</w:t>
      </w:r>
      <w:r w:rsidRPr="004E053C">
        <w:rPr>
          <w:rFonts w:eastAsia="Times New Roman" w:cstheme="majorHAnsi"/>
          <w:sz w:val="22"/>
          <w:szCs w:val="22"/>
          <w:lang w:val="en-GB"/>
        </w:rPr>
        <w:t xml:space="preserve"> However, money was also a factor in </w:t>
      </w:r>
      <w:r w:rsidR="00EA7F80" w:rsidRPr="004E053C">
        <w:rPr>
          <w:rFonts w:eastAsia="Times New Roman" w:cstheme="majorHAnsi"/>
          <w:sz w:val="22"/>
          <w:szCs w:val="22"/>
          <w:lang w:val="en-GB"/>
        </w:rPr>
        <w:t>Alejandro</w:t>
      </w:r>
      <w:r w:rsidRPr="004E053C">
        <w:rPr>
          <w:rFonts w:eastAsia="Times New Roman" w:cstheme="majorHAnsi"/>
          <w:sz w:val="22"/>
          <w:szCs w:val="22"/>
          <w:lang w:val="en-GB"/>
        </w:rPr>
        <w:t>’s decision, as</w:t>
      </w:r>
      <w:r w:rsidR="004A3001" w:rsidRPr="004E053C">
        <w:rPr>
          <w:rFonts w:eastAsia="Times New Roman" w:cstheme="majorHAnsi"/>
          <w:sz w:val="22"/>
          <w:szCs w:val="22"/>
          <w:lang w:val="en-GB"/>
        </w:rPr>
        <w:t xml:space="preserve"> he said that wood took a long t</w:t>
      </w:r>
      <w:r w:rsidRPr="004E053C">
        <w:rPr>
          <w:rFonts w:eastAsia="Times New Roman" w:cstheme="majorHAnsi"/>
          <w:sz w:val="22"/>
          <w:szCs w:val="22"/>
          <w:lang w:val="en-GB"/>
        </w:rPr>
        <w:t xml:space="preserve">ime to provide any income, whereas payment from artisanal mining payment is usually on a daily basis. </w:t>
      </w:r>
    </w:p>
    <w:p w14:paraId="255F23B6" w14:textId="77777777" w:rsidR="0091076C" w:rsidRPr="004E053C" w:rsidRDefault="0091076C" w:rsidP="004E053C">
      <w:pPr>
        <w:spacing w:line="360" w:lineRule="auto"/>
        <w:jc w:val="both"/>
        <w:rPr>
          <w:rFonts w:eastAsia="Times New Roman" w:cstheme="majorHAnsi"/>
          <w:sz w:val="22"/>
          <w:szCs w:val="22"/>
          <w:lang w:val="en-GB"/>
        </w:rPr>
      </w:pPr>
    </w:p>
    <w:p w14:paraId="4DE9C13A" w14:textId="77777777" w:rsidR="0091076C" w:rsidRPr="004E053C" w:rsidRDefault="0091076C"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While protection of the environment in Madre de Dios has reduced alternative livelihood options, in Ocongate District, as in much of the Andes, it is environmental change causing loss of traditional </w:t>
      </w:r>
      <w:r w:rsidRPr="004E053C">
        <w:rPr>
          <w:rFonts w:cstheme="majorHAnsi"/>
          <w:sz w:val="22"/>
          <w:szCs w:val="22"/>
          <w:lang w:val="en-GB"/>
        </w:rPr>
        <w:t>livelihoods such as potato farming and alpaca rearing. Several miners and one NGO representative discussed how decreasing temperatures and strong hailstorms were affecting harvests and killing alpacas, leading people to look elsewhere for work. The NGO representative even said that the lack of employment opportunities made young people vulnerable to human trafficking and forced labour in mining sites. One man who works seasonally in ASM explained how increasing rain and hail had reduced his family’s potato yield from previous years, meaning the household was even more reliant on the income from mining.</w:t>
      </w:r>
    </w:p>
    <w:p w14:paraId="1BA6AC2F" w14:textId="77777777" w:rsidR="0091076C" w:rsidRPr="004E053C" w:rsidRDefault="0091076C" w:rsidP="004E053C">
      <w:pPr>
        <w:spacing w:line="360" w:lineRule="auto"/>
        <w:jc w:val="both"/>
        <w:rPr>
          <w:rFonts w:cstheme="majorHAnsi"/>
          <w:sz w:val="22"/>
          <w:szCs w:val="22"/>
          <w:lang w:val="en-GB"/>
        </w:rPr>
      </w:pPr>
    </w:p>
    <w:p w14:paraId="64283FF1" w14:textId="6F572564"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 xml:space="preserve">Aside from political, economic and environmental factors, there are also individual reasons for losing or leaving a job. For example, despite being a qualified electrician who earned a lot of money working for an airline company, </w:t>
      </w:r>
      <w:r w:rsidR="006F6757" w:rsidRPr="004E053C">
        <w:rPr>
          <w:rFonts w:cstheme="majorHAnsi"/>
          <w:sz w:val="22"/>
          <w:szCs w:val="22"/>
          <w:lang w:val="en-GB"/>
        </w:rPr>
        <w:t>Xavier</w:t>
      </w:r>
      <w:r w:rsidRPr="004E053C">
        <w:rPr>
          <w:rFonts w:cstheme="majorHAnsi"/>
          <w:sz w:val="22"/>
          <w:szCs w:val="22"/>
          <w:lang w:val="en-GB"/>
        </w:rPr>
        <w:t xml:space="preserve"> began working in ASM after his airline suspended him for a two-year period. Although </w:t>
      </w:r>
      <w:r w:rsidR="006F6757" w:rsidRPr="004E053C">
        <w:rPr>
          <w:rFonts w:cstheme="majorHAnsi"/>
          <w:sz w:val="22"/>
          <w:szCs w:val="22"/>
          <w:lang w:val="en-GB"/>
        </w:rPr>
        <w:t>Xavier</w:t>
      </w:r>
      <w:r w:rsidRPr="004E053C">
        <w:rPr>
          <w:rFonts w:cstheme="majorHAnsi"/>
          <w:sz w:val="22"/>
          <w:szCs w:val="22"/>
          <w:lang w:val="en-GB"/>
        </w:rPr>
        <w:t xml:space="preserve"> can go back to his old job when he gets his license back, he is not sure if he is going to do so as he is making more money in ASM. </w:t>
      </w:r>
      <w:r w:rsidR="00EA7F80" w:rsidRPr="004E053C">
        <w:rPr>
          <w:rFonts w:cstheme="majorHAnsi"/>
          <w:sz w:val="22"/>
          <w:szCs w:val="22"/>
          <w:lang w:val="en-GB"/>
        </w:rPr>
        <w:t>Justiniano</w:t>
      </w:r>
      <w:r w:rsidRPr="004E053C">
        <w:rPr>
          <w:rFonts w:cstheme="majorHAnsi"/>
          <w:sz w:val="22"/>
          <w:szCs w:val="22"/>
          <w:lang w:val="en-GB"/>
        </w:rPr>
        <w:t xml:space="preserve"> also made the choice to quit his job as a singer in a band due to the impact the lifestyle was having on his health: </w:t>
      </w:r>
    </w:p>
    <w:p w14:paraId="7729FB94" w14:textId="77777777" w:rsidR="0091076C" w:rsidRPr="004E053C" w:rsidRDefault="0091076C" w:rsidP="004E053C">
      <w:pPr>
        <w:spacing w:line="360" w:lineRule="auto"/>
        <w:jc w:val="both"/>
        <w:rPr>
          <w:rFonts w:cstheme="majorHAnsi"/>
          <w:sz w:val="22"/>
          <w:szCs w:val="22"/>
          <w:lang w:val="en-GB"/>
        </w:rPr>
      </w:pPr>
    </w:p>
    <w:p w14:paraId="20A566B6" w14:textId="14A9FAB5" w:rsidR="0091076C" w:rsidRPr="004E053C" w:rsidRDefault="004B6894" w:rsidP="004E053C">
      <w:pPr>
        <w:ind w:left="720"/>
        <w:jc w:val="both"/>
        <w:rPr>
          <w:rFonts w:cstheme="majorHAnsi"/>
          <w:sz w:val="22"/>
          <w:szCs w:val="22"/>
          <w:lang w:val="en-GB"/>
        </w:rPr>
      </w:pPr>
      <w:r w:rsidRPr="004E053C">
        <w:rPr>
          <w:rFonts w:cstheme="majorHAnsi"/>
          <w:i/>
          <w:sz w:val="22"/>
          <w:szCs w:val="22"/>
          <w:lang w:val="en-GB"/>
        </w:rPr>
        <w:t>‘</w:t>
      </w:r>
      <w:r w:rsidR="0091076C" w:rsidRPr="004E053C">
        <w:rPr>
          <w:rFonts w:cstheme="majorHAnsi"/>
          <w:i/>
          <w:sz w:val="22"/>
          <w:szCs w:val="22"/>
          <w:lang w:val="en-GB"/>
        </w:rPr>
        <w:t xml:space="preserve">If you’re a singer working in a band it’s difficult because you have a lot of alcohol and…(there are)…a lot of women, you don’t sleep well, you just sleep a bit in the morning. </w:t>
      </w:r>
      <w:r w:rsidR="0091076C" w:rsidRPr="004E053C">
        <w:rPr>
          <w:rFonts w:cstheme="majorHAnsi"/>
          <w:i/>
          <w:sz w:val="22"/>
          <w:szCs w:val="22"/>
          <w:lang w:val="en-GB"/>
        </w:rPr>
        <w:lastRenderedPageBreak/>
        <w:t>Because of that look at me, I’m 26 but I look so much older. So that was a problem. It wasn’t good for us. The money was good, but not good enough so I started mining. Mining’s a really hard job but you can earn we</w:t>
      </w:r>
      <w:r w:rsidRPr="004E053C">
        <w:rPr>
          <w:rFonts w:cstheme="majorHAnsi"/>
          <w:i/>
          <w:sz w:val="22"/>
          <w:szCs w:val="22"/>
          <w:lang w:val="en-GB"/>
        </w:rPr>
        <w:t>ll’</w:t>
      </w:r>
      <w:r w:rsidR="0091076C" w:rsidRPr="004E053C">
        <w:rPr>
          <w:rFonts w:cstheme="majorHAnsi"/>
          <w:sz w:val="22"/>
          <w:szCs w:val="22"/>
          <w:lang w:val="en-GB"/>
        </w:rPr>
        <w:t xml:space="preserve"> (</w:t>
      </w:r>
      <w:r w:rsidR="00EA7F80" w:rsidRPr="004E053C">
        <w:rPr>
          <w:rFonts w:cstheme="majorHAnsi"/>
          <w:sz w:val="22"/>
          <w:szCs w:val="22"/>
          <w:lang w:val="en-GB"/>
        </w:rPr>
        <w:t>Justiniano</w:t>
      </w:r>
      <w:r w:rsidR="0091076C" w:rsidRPr="004E053C">
        <w:rPr>
          <w:rFonts w:cstheme="majorHAnsi"/>
          <w:sz w:val="22"/>
          <w:szCs w:val="22"/>
          <w:lang w:val="en-GB"/>
        </w:rPr>
        <w:t xml:space="preserve">, Laberinto). </w:t>
      </w:r>
    </w:p>
    <w:p w14:paraId="04621708" w14:textId="77777777" w:rsidR="0091076C" w:rsidRPr="004E053C" w:rsidRDefault="0091076C" w:rsidP="004E053C">
      <w:pPr>
        <w:spacing w:line="360" w:lineRule="auto"/>
        <w:jc w:val="both"/>
        <w:rPr>
          <w:rFonts w:cstheme="majorHAnsi"/>
          <w:sz w:val="22"/>
          <w:szCs w:val="22"/>
          <w:lang w:val="en-GB"/>
        </w:rPr>
      </w:pPr>
    </w:p>
    <w:p w14:paraId="421A4940" w14:textId="77B034BD"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 xml:space="preserve">The experiences of both </w:t>
      </w:r>
      <w:r w:rsidR="006F6757" w:rsidRPr="004E053C">
        <w:rPr>
          <w:rFonts w:cstheme="majorHAnsi"/>
          <w:sz w:val="22"/>
          <w:szCs w:val="22"/>
          <w:lang w:val="en-GB"/>
        </w:rPr>
        <w:t>Xavier</w:t>
      </w:r>
      <w:r w:rsidRPr="004E053C">
        <w:rPr>
          <w:rFonts w:cstheme="majorHAnsi"/>
          <w:sz w:val="22"/>
          <w:szCs w:val="22"/>
          <w:lang w:val="en-GB"/>
        </w:rPr>
        <w:t xml:space="preserve"> and </w:t>
      </w:r>
      <w:r w:rsidR="00EA7F80" w:rsidRPr="004E053C">
        <w:rPr>
          <w:rFonts w:cstheme="majorHAnsi"/>
          <w:sz w:val="22"/>
          <w:szCs w:val="22"/>
          <w:lang w:val="en-GB"/>
        </w:rPr>
        <w:t>Justiniano</w:t>
      </w:r>
      <w:r w:rsidRPr="004E053C">
        <w:rPr>
          <w:rFonts w:cstheme="majorHAnsi"/>
          <w:sz w:val="22"/>
          <w:szCs w:val="22"/>
          <w:lang w:val="en-GB"/>
        </w:rPr>
        <w:t xml:space="preserve"> show that working in ASM can still be comparatively lucrative, or just more desirable, even for skilled individuals with other well-p</w:t>
      </w:r>
      <w:r w:rsidR="00906830" w:rsidRPr="004E053C">
        <w:rPr>
          <w:rFonts w:cstheme="majorHAnsi"/>
          <w:sz w:val="22"/>
          <w:szCs w:val="22"/>
          <w:lang w:val="en-GB"/>
        </w:rPr>
        <w:t xml:space="preserve">aid options available to them. </w:t>
      </w:r>
    </w:p>
    <w:p w14:paraId="31AFDF5F" w14:textId="77777777" w:rsidR="004A3EF1" w:rsidRPr="004E053C" w:rsidRDefault="004A3EF1" w:rsidP="004E053C">
      <w:pPr>
        <w:spacing w:line="360" w:lineRule="auto"/>
        <w:jc w:val="both"/>
        <w:rPr>
          <w:rFonts w:cstheme="majorHAnsi"/>
          <w:sz w:val="22"/>
          <w:szCs w:val="22"/>
          <w:lang w:val="en-GB"/>
        </w:rPr>
      </w:pPr>
    </w:p>
    <w:p w14:paraId="0578F0B3" w14:textId="046E6EB7" w:rsidR="0091076C"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.2</w:t>
      </w:r>
      <w:r w:rsidR="0091076C" w:rsidRPr="004E053C">
        <w:rPr>
          <w:rFonts w:asciiTheme="minorHAnsi" w:hAnsiTheme="minorHAnsi"/>
        </w:rPr>
        <w:t xml:space="preserve">.4. Family/relational crisis </w:t>
      </w:r>
    </w:p>
    <w:p w14:paraId="43190306" w14:textId="77777777" w:rsidR="004A3EF1" w:rsidRPr="004E053C" w:rsidRDefault="004A3EF1" w:rsidP="004E053C">
      <w:pPr>
        <w:spacing w:line="360" w:lineRule="auto"/>
        <w:jc w:val="both"/>
        <w:rPr>
          <w:rFonts w:cstheme="majorHAnsi"/>
          <w:lang w:val="en-GB"/>
        </w:rPr>
      </w:pPr>
    </w:p>
    <w:p w14:paraId="0BB6AB58" w14:textId="4BCC491C" w:rsidR="0091076C" w:rsidRPr="004E053C" w:rsidRDefault="004A3001"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Due to the low </w:t>
      </w:r>
      <w:r w:rsidR="0091076C" w:rsidRPr="004E053C">
        <w:rPr>
          <w:rFonts w:eastAsia="Times New Roman" w:cstheme="majorHAnsi"/>
          <w:sz w:val="22"/>
          <w:szCs w:val="22"/>
          <w:lang w:val="en-GB"/>
        </w:rPr>
        <w:t xml:space="preserve">barriers to entry, ASM can provide a safety net for families as it represents a relatively easy way to make money in an emergency. For example, </w:t>
      </w:r>
      <w:r w:rsidR="000E13B9" w:rsidRPr="004E053C">
        <w:rPr>
          <w:rFonts w:eastAsia="Times New Roman" w:cstheme="majorHAnsi"/>
          <w:sz w:val="22"/>
          <w:szCs w:val="22"/>
          <w:lang w:val="en-GB"/>
        </w:rPr>
        <w:t>Stefano</w:t>
      </w:r>
      <w:r w:rsidR="0091076C" w:rsidRPr="004E053C">
        <w:rPr>
          <w:rFonts w:eastAsia="Times New Roman" w:cstheme="majorHAnsi"/>
          <w:sz w:val="22"/>
          <w:szCs w:val="22"/>
          <w:lang w:val="en-GB"/>
        </w:rPr>
        <w:t xml:space="preserve"> and </w:t>
      </w:r>
      <w:r w:rsidR="00EA7F80" w:rsidRPr="004E053C">
        <w:rPr>
          <w:rFonts w:eastAsia="Times New Roman" w:cstheme="majorHAnsi"/>
          <w:sz w:val="22"/>
          <w:szCs w:val="22"/>
          <w:lang w:val="en-GB"/>
        </w:rPr>
        <w:t>Christian</w:t>
      </w:r>
      <w:r w:rsidR="0091076C" w:rsidRPr="004E053C">
        <w:rPr>
          <w:rFonts w:eastAsia="Times New Roman" w:cstheme="majorHAnsi"/>
          <w:sz w:val="22"/>
          <w:szCs w:val="22"/>
          <w:lang w:val="en-GB"/>
        </w:rPr>
        <w:t xml:space="preserve"> both started working in ASM after their fathers died and they needed to support the family. Both were encouraged by their family members to go to work in ASM due to the speed with which one cou</w:t>
      </w:r>
      <w:r w:rsidR="00D3785B" w:rsidRPr="004E053C">
        <w:rPr>
          <w:rFonts w:eastAsia="Times New Roman" w:cstheme="majorHAnsi"/>
          <w:sz w:val="22"/>
          <w:szCs w:val="22"/>
          <w:lang w:val="en-GB"/>
        </w:rPr>
        <w:t>ld earn money. Similarly, A</w:t>
      </w:r>
      <w:r w:rsidR="0091076C" w:rsidRPr="004E053C">
        <w:rPr>
          <w:rFonts w:eastAsia="Times New Roman" w:cstheme="majorHAnsi"/>
          <w:sz w:val="22"/>
          <w:szCs w:val="22"/>
          <w:lang w:val="en-GB"/>
        </w:rPr>
        <w:t xml:space="preserve">na, a woman in Ocongate, explained that her husband had started migrating to work in ASM from quite a young age as a result of his parent’s divorce and the need to help his mother provide for his siblings. Medical costs can also deplete household income to the point where a more profitable job is needed. Leo had been working in a shop in Madre de Dios for a few years after migrating from the Andes when </w:t>
      </w:r>
      <w:r w:rsidRPr="004E053C">
        <w:rPr>
          <w:rFonts w:eastAsia="Times New Roman" w:cstheme="majorHAnsi"/>
          <w:sz w:val="22"/>
          <w:szCs w:val="22"/>
          <w:lang w:val="en-GB"/>
        </w:rPr>
        <w:t xml:space="preserve">he </w:t>
      </w:r>
      <w:r w:rsidR="0091076C" w:rsidRPr="004E053C">
        <w:rPr>
          <w:rFonts w:eastAsia="Times New Roman" w:cstheme="majorHAnsi"/>
          <w:sz w:val="22"/>
          <w:szCs w:val="22"/>
          <w:lang w:val="en-GB"/>
        </w:rPr>
        <w:t xml:space="preserve">became hospitalised with malaria: </w:t>
      </w:r>
    </w:p>
    <w:p w14:paraId="79D7F7CD" w14:textId="77777777" w:rsidR="0091076C" w:rsidRPr="004E053C" w:rsidRDefault="0091076C" w:rsidP="004E053C">
      <w:pPr>
        <w:spacing w:line="360" w:lineRule="auto"/>
        <w:jc w:val="both"/>
        <w:rPr>
          <w:rFonts w:eastAsia="Times New Roman" w:cstheme="majorHAnsi"/>
          <w:sz w:val="22"/>
          <w:szCs w:val="22"/>
          <w:lang w:val="en-GB"/>
        </w:rPr>
      </w:pPr>
    </w:p>
    <w:p w14:paraId="6D4A7373" w14:textId="742A98CD" w:rsidR="0091076C" w:rsidRPr="004E053C" w:rsidRDefault="004B6894"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0091076C" w:rsidRPr="004E053C">
        <w:rPr>
          <w:rFonts w:eastAsia="Times New Roman" w:cstheme="majorHAnsi"/>
          <w:i/>
          <w:sz w:val="22"/>
          <w:szCs w:val="22"/>
          <w:lang w:val="en-GB"/>
        </w:rPr>
        <w:t>I was embarrassed. It was bad for a man not to have money to take to his wife. It was bad for my reputation and my family. With what money would I go back to Sicuani? I lost everything because I was sick. So I decided to stay here and</w:t>
      </w:r>
      <w:r w:rsidRPr="004E053C">
        <w:rPr>
          <w:rFonts w:eastAsia="Times New Roman" w:cstheme="majorHAnsi"/>
          <w:i/>
          <w:sz w:val="22"/>
          <w:szCs w:val="22"/>
          <w:lang w:val="en-GB"/>
        </w:rPr>
        <w:t xml:space="preserve"> continue making money’</w:t>
      </w:r>
      <w:r w:rsidR="0091076C" w:rsidRPr="004E053C">
        <w:rPr>
          <w:rFonts w:eastAsia="Times New Roman" w:cstheme="majorHAnsi"/>
          <w:i/>
          <w:sz w:val="22"/>
          <w:szCs w:val="22"/>
          <w:lang w:val="en-GB"/>
        </w:rPr>
        <w:t xml:space="preserve"> </w:t>
      </w:r>
      <w:r w:rsidR="0091076C" w:rsidRPr="004E053C">
        <w:rPr>
          <w:rFonts w:eastAsia="Times New Roman" w:cstheme="majorHAnsi"/>
          <w:sz w:val="22"/>
          <w:szCs w:val="22"/>
          <w:lang w:val="en-GB"/>
        </w:rPr>
        <w:t xml:space="preserve">(Leo, Laberinto). </w:t>
      </w:r>
    </w:p>
    <w:p w14:paraId="5C3BE5E8" w14:textId="77777777" w:rsidR="0091076C" w:rsidRPr="004E053C" w:rsidRDefault="0091076C" w:rsidP="004E053C">
      <w:pPr>
        <w:spacing w:line="360" w:lineRule="auto"/>
        <w:jc w:val="both"/>
        <w:rPr>
          <w:rFonts w:eastAsia="Times New Roman" w:cstheme="majorHAnsi"/>
          <w:sz w:val="22"/>
          <w:szCs w:val="22"/>
          <w:lang w:val="en-GB"/>
        </w:rPr>
      </w:pPr>
    </w:p>
    <w:p w14:paraId="00EFDB1D"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Although Leo had been planning to return to Sicuani and build a house there, he decided it was necessary to find a job in ASM to recoup his losses.</w:t>
      </w:r>
    </w:p>
    <w:p w14:paraId="0CB5953F" w14:textId="77777777" w:rsidR="0091076C" w:rsidRPr="004E053C" w:rsidRDefault="0091076C" w:rsidP="004E053C">
      <w:pPr>
        <w:spacing w:line="360" w:lineRule="auto"/>
        <w:jc w:val="both"/>
        <w:rPr>
          <w:rFonts w:eastAsia="Times New Roman" w:cstheme="majorHAnsi"/>
          <w:sz w:val="22"/>
          <w:szCs w:val="22"/>
          <w:lang w:val="en-GB"/>
        </w:rPr>
      </w:pPr>
    </w:p>
    <w:p w14:paraId="2D2B3DB9" w14:textId="55C10288"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Several of the interview participants discussed how relationship problems had led them to work in mining. For example, one ex-miner said that he had come to work in ASM because his girlfriend had left him and come to live with her family in La Pampa. She had told him that he would have to leave Lima and come and live with her in La Pampa if he wanted them to be together. Another ex-miner, </w:t>
      </w:r>
      <w:r w:rsidR="00EA7F80" w:rsidRPr="004E053C">
        <w:rPr>
          <w:rFonts w:eastAsia="Times New Roman" w:cstheme="majorHAnsi"/>
          <w:sz w:val="22"/>
          <w:szCs w:val="22"/>
          <w:lang w:val="en-GB"/>
        </w:rPr>
        <w:t>Roberto</w:t>
      </w:r>
      <w:r w:rsidRPr="004E053C">
        <w:rPr>
          <w:rFonts w:eastAsia="Times New Roman" w:cstheme="majorHAnsi"/>
          <w:sz w:val="22"/>
          <w:szCs w:val="22"/>
          <w:lang w:val="en-GB"/>
        </w:rPr>
        <w:t>, also came to live in Laberinto due to a breakdown in his sister’s marriage which had resulted in her requesting he came to live with her for some time –</w:t>
      </w:r>
      <w:r w:rsidR="004B6894" w:rsidRPr="004E053C">
        <w:rPr>
          <w:rFonts w:eastAsia="Times New Roman" w:cstheme="majorHAnsi"/>
          <w:i/>
          <w:sz w:val="22"/>
          <w:szCs w:val="22"/>
          <w:lang w:val="en-GB"/>
        </w:rPr>
        <w:t xml:space="preserve"> ‘</w:t>
      </w:r>
      <w:r w:rsidRPr="004E053C">
        <w:rPr>
          <w:rFonts w:eastAsia="Times New Roman" w:cstheme="majorHAnsi"/>
          <w:i/>
          <w:sz w:val="22"/>
          <w:szCs w:val="22"/>
          <w:lang w:val="en-GB"/>
        </w:rPr>
        <w:t>Although I didn’t like Lima, I was working there, so it wasn’t because of a job that I came here</w:t>
      </w:r>
      <w:r w:rsidR="004B6894"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Roberto</w:t>
      </w:r>
      <w:r w:rsidRPr="004E053C">
        <w:rPr>
          <w:rFonts w:eastAsia="Times New Roman" w:cstheme="majorHAnsi"/>
          <w:sz w:val="22"/>
          <w:szCs w:val="22"/>
          <w:lang w:val="en-GB"/>
        </w:rPr>
        <w:t xml:space="preserve">, ex-miner, Laberinto). It is however important to consider the interconnecting factors that may influence decisions however. </w:t>
      </w:r>
      <w:r w:rsidRPr="004E053C">
        <w:rPr>
          <w:rFonts w:eastAsia="Times New Roman" w:cstheme="majorHAnsi"/>
          <w:sz w:val="22"/>
          <w:szCs w:val="22"/>
          <w:lang w:val="en-GB"/>
        </w:rPr>
        <w:lastRenderedPageBreak/>
        <w:t xml:space="preserve">For example, if </w:t>
      </w:r>
      <w:r w:rsidR="00EA7F80" w:rsidRPr="004E053C">
        <w:rPr>
          <w:rFonts w:eastAsia="Times New Roman" w:cstheme="majorHAnsi"/>
          <w:sz w:val="22"/>
          <w:szCs w:val="22"/>
          <w:lang w:val="en-GB"/>
        </w:rPr>
        <w:t>Roberto</w:t>
      </w:r>
      <w:r w:rsidRPr="004E053C">
        <w:rPr>
          <w:rFonts w:eastAsia="Times New Roman" w:cstheme="majorHAnsi"/>
          <w:sz w:val="22"/>
          <w:szCs w:val="22"/>
          <w:lang w:val="en-GB"/>
        </w:rPr>
        <w:t xml:space="preserve"> had liked his job or had been able to afford a more comfortable life in Lima, he may not have been so tempted t</w:t>
      </w:r>
      <w:r w:rsidR="00906830" w:rsidRPr="004E053C">
        <w:rPr>
          <w:rFonts w:eastAsia="Times New Roman" w:cstheme="majorHAnsi"/>
          <w:sz w:val="22"/>
          <w:szCs w:val="22"/>
          <w:lang w:val="en-GB"/>
        </w:rPr>
        <w:t xml:space="preserve">o stay in Laberinto long-term. </w:t>
      </w:r>
    </w:p>
    <w:p w14:paraId="3195C9E8" w14:textId="77777777" w:rsidR="004A3EF1" w:rsidRPr="004E053C" w:rsidRDefault="004A3EF1" w:rsidP="004E053C">
      <w:pPr>
        <w:spacing w:line="360" w:lineRule="auto"/>
        <w:jc w:val="both"/>
        <w:rPr>
          <w:rFonts w:eastAsia="Times New Roman" w:cstheme="majorHAnsi"/>
          <w:sz w:val="22"/>
          <w:szCs w:val="22"/>
          <w:lang w:val="en-GB"/>
        </w:rPr>
      </w:pPr>
    </w:p>
    <w:p w14:paraId="6EEBAB26" w14:textId="7FDB45AA" w:rsidR="0091076C"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.2</w:t>
      </w:r>
      <w:r w:rsidR="0091076C" w:rsidRPr="004E053C">
        <w:rPr>
          <w:rFonts w:asciiTheme="minorHAnsi" w:hAnsiTheme="minorHAnsi"/>
        </w:rPr>
        <w:t>.5. Family history of mining</w:t>
      </w:r>
    </w:p>
    <w:p w14:paraId="5A6FA31E" w14:textId="77777777" w:rsidR="004A3EF1" w:rsidRPr="004E053C" w:rsidRDefault="004A3EF1" w:rsidP="004E053C">
      <w:pPr>
        <w:spacing w:line="360" w:lineRule="auto"/>
        <w:jc w:val="both"/>
        <w:rPr>
          <w:rFonts w:cstheme="majorHAnsi"/>
          <w:lang w:val="en-GB"/>
        </w:rPr>
      </w:pPr>
    </w:p>
    <w:p w14:paraId="6211B731" w14:textId="542B3D47"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 xml:space="preserve">As the majority of the miners interviewed were migrants, they had not always grown up in mining families. However, some had parents that had worked in </w:t>
      </w:r>
      <w:r w:rsidR="00831F41" w:rsidRPr="004E053C">
        <w:rPr>
          <w:rFonts w:cstheme="majorHAnsi"/>
          <w:sz w:val="22"/>
          <w:szCs w:val="22"/>
          <w:lang w:val="en-GB"/>
        </w:rPr>
        <w:t>ASM</w:t>
      </w:r>
      <w:r w:rsidRPr="004E053C">
        <w:rPr>
          <w:rFonts w:cstheme="majorHAnsi"/>
          <w:sz w:val="22"/>
          <w:szCs w:val="22"/>
          <w:lang w:val="en-GB"/>
        </w:rPr>
        <w:t xml:space="preserve">, either seasonally or full-time, or who had gained some experience of mining themselves when they were very young. In Laberinto, this tends to be those miners who grew up in Madre de Dios, but in Ocongate, the intergenerational reliance on ASM meant that some of the respondents’ fathers had also been involved in the sector. </w:t>
      </w:r>
      <w:r w:rsidR="00831F41" w:rsidRPr="004E053C">
        <w:rPr>
          <w:rFonts w:cstheme="majorHAnsi"/>
          <w:sz w:val="22"/>
          <w:szCs w:val="22"/>
          <w:lang w:val="en-GB"/>
        </w:rPr>
        <w:t>Interestingly however, none of the respondents in my sample had any family history of working in large-scale mining</w:t>
      </w:r>
      <w:r w:rsidR="00B15E94" w:rsidRPr="004E053C">
        <w:rPr>
          <w:rFonts w:cstheme="majorHAnsi"/>
          <w:sz w:val="22"/>
          <w:szCs w:val="22"/>
          <w:lang w:val="en-GB"/>
        </w:rPr>
        <w:t xml:space="preserve">, which may be because of the relative difficulty of securing work in that sector. </w:t>
      </w:r>
      <w:r w:rsidRPr="004E053C">
        <w:rPr>
          <w:rFonts w:cstheme="majorHAnsi"/>
          <w:sz w:val="22"/>
          <w:szCs w:val="22"/>
          <w:lang w:val="en-GB"/>
        </w:rPr>
        <w:t xml:space="preserve">One of the community leaders explained </w:t>
      </w:r>
      <w:r w:rsidR="004B6894" w:rsidRPr="004E053C">
        <w:rPr>
          <w:rFonts w:cstheme="majorHAnsi"/>
          <w:sz w:val="22"/>
          <w:szCs w:val="22"/>
          <w:lang w:val="en-GB"/>
        </w:rPr>
        <w:t>–</w:t>
      </w:r>
      <w:r w:rsidRPr="004E053C">
        <w:rPr>
          <w:rFonts w:cstheme="majorHAnsi"/>
          <w:sz w:val="22"/>
          <w:szCs w:val="22"/>
          <w:lang w:val="en-GB"/>
        </w:rPr>
        <w:t xml:space="preserve"> </w:t>
      </w:r>
      <w:r w:rsidR="004B6894" w:rsidRPr="004E053C">
        <w:rPr>
          <w:rFonts w:cstheme="majorHAnsi"/>
          <w:sz w:val="22"/>
          <w:szCs w:val="22"/>
          <w:lang w:val="en-GB"/>
        </w:rPr>
        <w:t>‘</w:t>
      </w:r>
      <w:r w:rsidRPr="004E053C">
        <w:rPr>
          <w:rFonts w:cstheme="majorHAnsi"/>
          <w:i/>
          <w:sz w:val="22"/>
          <w:szCs w:val="22"/>
          <w:lang w:val="en-GB"/>
        </w:rPr>
        <w:t>We have always had to work in the mines because it is the only way to provide for the family…here in the Sierra there is nothing and no other income</w:t>
      </w:r>
      <w:r w:rsidR="004B6894" w:rsidRPr="004E053C">
        <w:rPr>
          <w:rFonts w:cstheme="majorHAnsi"/>
          <w:sz w:val="22"/>
          <w:szCs w:val="22"/>
          <w:lang w:val="en-GB"/>
        </w:rPr>
        <w:t>’</w:t>
      </w:r>
      <w:r w:rsidRPr="004E053C">
        <w:rPr>
          <w:rFonts w:cstheme="majorHAnsi"/>
          <w:sz w:val="22"/>
          <w:szCs w:val="22"/>
          <w:lang w:val="en-GB"/>
        </w:rPr>
        <w:t xml:space="preserve"> (Marcelo, </w:t>
      </w:r>
      <w:r w:rsidR="00FD1963" w:rsidRPr="004E053C">
        <w:rPr>
          <w:rFonts w:cstheme="majorHAnsi"/>
          <w:sz w:val="22"/>
          <w:szCs w:val="22"/>
          <w:lang w:val="en-GB"/>
        </w:rPr>
        <w:t>Ocongate</w:t>
      </w:r>
      <w:r w:rsidRPr="004E053C">
        <w:rPr>
          <w:rFonts w:cstheme="majorHAnsi"/>
          <w:sz w:val="22"/>
          <w:szCs w:val="22"/>
          <w:lang w:val="en-GB"/>
        </w:rPr>
        <w:t xml:space="preserve">). To some extent, this will have created a mining identity within the household, making involvement in ASM more likely. </w:t>
      </w:r>
    </w:p>
    <w:p w14:paraId="5CADC810" w14:textId="77777777" w:rsidR="0091076C" w:rsidRPr="004E053C" w:rsidRDefault="0091076C" w:rsidP="004E053C">
      <w:pPr>
        <w:spacing w:line="360" w:lineRule="auto"/>
        <w:jc w:val="both"/>
        <w:rPr>
          <w:rFonts w:eastAsia="Times New Roman" w:cstheme="majorHAnsi"/>
          <w:sz w:val="22"/>
          <w:szCs w:val="22"/>
          <w:lang w:val="en-GB"/>
        </w:rPr>
      </w:pPr>
    </w:p>
    <w:p w14:paraId="11E0F1EB" w14:textId="6997F462"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 xml:space="preserve">In Laberinto, there are many examples of miners having started work in ASM at a young age to help their parents. </w:t>
      </w:r>
      <w:r w:rsidR="00EA7F80" w:rsidRPr="004E053C">
        <w:rPr>
          <w:rFonts w:cstheme="majorHAnsi"/>
          <w:sz w:val="22"/>
          <w:szCs w:val="22"/>
          <w:lang w:val="en-GB"/>
        </w:rPr>
        <w:t>Mario</w:t>
      </w:r>
      <w:r w:rsidRPr="004E053C">
        <w:rPr>
          <w:rFonts w:cstheme="majorHAnsi"/>
          <w:sz w:val="22"/>
          <w:szCs w:val="22"/>
          <w:lang w:val="en-GB"/>
        </w:rPr>
        <w:t xml:space="preserve">’s family moved to Laberinto in 1977 when he was 12 to work in ASM. As </w:t>
      </w:r>
      <w:r w:rsidR="00EA7F80" w:rsidRPr="004E053C">
        <w:rPr>
          <w:rFonts w:cstheme="majorHAnsi"/>
          <w:sz w:val="22"/>
          <w:szCs w:val="22"/>
          <w:lang w:val="en-GB"/>
        </w:rPr>
        <w:t>Mario</w:t>
      </w:r>
      <w:r w:rsidRPr="004E053C">
        <w:rPr>
          <w:rFonts w:cstheme="majorHAnsi"/>
          <w:sz w:val="22"/>
          <w:szCs w:val="22"/>
          <w:lang w:val="en-GB"/>
        </w:rPr>
        <w:t xml:space="preserve"> had always helped his father, who was very old, he found himself following the same career path –</w:t>
      </w:r>
      <w:r w:rsidR="004B6894" w:rsidRPr="004E053C">
        <w:rPr>
          <w:rFonts w:cstheme="majorHAnsi"/>
          <w:sz w:val="22"/>
          <w:szCs w:val="22"/>
          <w:lang w:val="en-GB"/>
        </w:rPr>
        <w:t>‘</w:t>
      </w:r>
      <w:r w:rsidRPr="004E053C">
        <w:rPr>
          <w:rFonts w:eastAsia="Times New Roman" w:cstheme="majorHAnsi"/>
          <w:i/>
          <w:sz w:val="22"/>
          <w:szCs w:val="22"/>
          <w:lang w:val="en-GB"/>
        </w:rPr>
        <w:t>It doesn’t matter how I felt, what could I do? I had to help my Father and I had to be where my family was</w:t>
      </w:r>
      <w:r w:rsidR="004B6894" w:rsidRPr="004E053C">
        <w:rPr>
          <w:rFonts w:eastAsia="Times New Roman" w:cstheme="majorHAnsi"/>
          <w: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Mario</w:t>
      </w:r>
      <w:r w:rsidRPr="004E053C">
        <w:rPr>
          <w:rFonts w:eastAsia="Times New Roman" w:cstheme="majorHAnsi"/>
          <w:sz w:val="22"/>
          <w:szCs w:val="22"/>
          <w:lang w:val="en-GB"/>
        </w:rPr>
        <w:t>, ASM miner, Laberinto). Four</w:t>
      </w:r>
      <w:r w:rsidRPr="004E053C">
        <w:rPr>
          <w:rFonts w:cstheme="majorHAnsi"/>
          <w:sz w:val="22"/>
          <w:szCs w:val="22"/>
          <w:lang w:val="en-GB"/>
        </w:rPr>
        <w:t xml:space="preserve"> other respondents said that they too had become involved at a young age, either through a desire to help their parents or support themselves through school. Having a history of mining in the family can also be helpful if individuals need to turn to ASM in times of crisis – for example, when </w:t>
      </w:r>
      <w:r w:rsidR="000E13B9" w:rsidRPr="004E053C">
        <w:rPr>
          <w:rFonts w:cstheme="majorHAnsi"/>
          <w:sz w:val="22"/>
          <w:szCs w:val="22"/>
          <w:lang w:val="en-GB"/>
        </w:rPr>
        <w:t>Stefano</w:t>
      </w:r>
      <w:r w:rsidRPr="004E053C">
        <w:rPr>
          <w:rFonts w:cstheme="majorHAnsi"/>
          <w:sz w:val="22"/>
          <w:szCs w:val="22"/>
          <w:lang w:val="en-GB"/>
        </w:rPr>
        <w:t>’s father died he found mining eas</w:t>
      </w:r>
      <w:r w:rsidR="00906830" w:rsidRPr="004E053C">
        <w:rPr>
          <w:rFonts w:cstheme="majorHAnsi"/>
          <w:sz w:val="22"/>
          <w:szCs w:val="22"/>
          <w:lang w:val="en-GB"/>
        </w:rPr>
        <w:t>y due to his family background.</w:t>
      </w:r>
    </w:p>
    <w:p w14:paraId="07D1ADF0" w14:textId="77777777" w:rsidR="004A3EF1" w:rsidRPr="004E053C" w:rsidRDefault="004A3EF1" w:rsidP="004E053C">
      <w:pPr>
        <w:spacing w:line="360" w:lineRule="auto"/>
        <w:jc w:val="both"/>
        <w:rPr>
          <w:rFonts w:cstheme="majorHAnsi"/>
          <w:sz w:val="22"/>
          <w:szCs w:val="22"/>
          <w:lang w:val="en-GB"/>
        </w:rPr>
      </w:pPr>
    </w:p>
    <w:p w14:paraId="7DAD919E" w14:textId="390B2E96" w:rsidR="0091076C"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.2</w:t>
      </w:r>
      <w:r w:rsidR="0091076C" w:rsidRPr="004E053C">
        <w:rPr>
          <w:rFonts w:asciiTheme="minorHAnsi" w:hAnsiTheme="minorHAnsi"/>
        </w:rPr>
        <w:t>.6. Pressure/encouragement from other community members</w:t>
      </w:r>
    </w:p>
    <w:p w14:paraId="120A8338" w14:textId="77777777" w:rsidR="004A3EF1" w:rsidRPr="004E053C" w:rsidRDefault="004A3EF1" w:rsidP="004E053C">
      <w:pPr>
        <w:spacing w:line="360" w:lineRule="auto"/>
        <w:jc w:val="both"/>
        <w:rPr>
          <w:rFonts w:cstheme="majorHAnsi"/>
          <w:lang w:val="en-GB"/>
        </w:rPr>
      </w:pPr>
    </w:p>
    <w:p w14:paraId="06B86505" w14:textId="3E36421B"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As Laberinto has a strong gold mining identity, the majority of people working there are engaged in ASM either directly or indirectly. While the vast majority of migrants arrived in Laberinto specifically to work in ASM, others arrived looking for other work, particularly during the period when the government was encouraging migration to Madre de Dios. Some of the miners had therefore been convinced to start mining by friends they made in the area. </w:t>
      </w:r>
      <w:r w:rsidR="00EA7F80" w:rsidRPr="004E053C">
        <w:rPr>
          <w:rFonts w:eastAsia="Times New Roman" w:cstheme="majorHAnsi"/>
          <w:sz w:val="22"/>
          <w:szCs w:val="22"/>
          <w:lang w:val="en-GB"/>
        </w:rPr>
        <w:t>Diego</w:t>
      </w:r>
      <w:r w:rsidRPr="004E053C">
        <w:rPr>
          <w:rFonts w:eastAsia="Times New Roman" w:cstheme="majorHAnsi"/>
          <w:sz w:val="22"/>
          <w:szCs w:val="22"/>
          <w:lang w:val="en-GB"/>
        </w:rPr>
        <w:t xml:space="preserve"> had moved to </w:t>
      </w:r>
      <w:r w:rsidR="00DA3497" w:rsidRPr="004E053C">
        <w:rPr>
          <w:rFonts w:eastAsia="Times New Roman" w:cstheme="majorHAnsi"/>
          <w:sz w:val="22"/>
          <w:szCs w:val="22"/>
          <w:lang w:val="en-GB"/>
        </w:rPr>
        <w:t xml:space="preserve">Puerto Maldonado </w:t>
      </w:r>
      <w:r w:rsidR="00DA3497" w:rsidRPr="004E053C">
        <w:rPr>
          <w:rFonts w:eastAsia="Times New Roman" w:cstheme="majorHAnsi"/>
          <w:sz w:val="22"/>
          <w:szCs w:val="22"/>
          <w:lang w:val="en-GB"/>
        </w:rPr>
        <w:lastRenderedPageBreak/>
        <w:t>in 1979</w:t>
      </w:r>
      <w:r w:rsidRPr="004E053C">
        <w:rPr>
          <w:rFonts w:eastAsia="Times New Roman" w:cstheme="majorHAnsi"/>
          <w:sz w:val="22"/>
          <w:szCs w:val="22"/>
          <w:lang w:val="en-GB"/>
        </w:rPr>
        <w:t xml:space="preserve">, in response to the government’s drive for population of the Amazon, and found a job selling ice creams. He did this for two years before his friends convinced him to start working in ASM </w:t>
      </w:r>
      <w:r w:rsidR="00A70DD0"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A70DD0" w:rsidRPr="004E053C">
        <w:rPr>
          <w:rFonts w:eastAsia="Times New Roman" w:cstheme="majorHAnsi"/>
          <w:sz w:val="22"/>
          <w:szCs w:val="22"/>
          <w:lang w:val="en-GB"/>
        </w:rPr>
        <w:t>‘</w:t>
      </w:r>
      <w:r w:rsidRPr="004E053C">
        <w:rPr>
          <w:rFonts w:eastAsia="Times New Roman" w:cstheme="majorHAnsi"/>
          <w:i/>
          <w:sz w:val="22"/>
          <w:szCs w:val="22"/>
          <w:lang w:val="en-GB"/>
        </w:rPr>
        <w:t>People motivated me…I decided to start because all my friends were doing it and talking about the money</w:t>
      </w:r>
      <w:r w:rsidR="00A70DD0"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Diego</w:t>
      </w:r>
      <w:r w:rsidRPr="004E053C">
        <w:rPr>
          <w:rFonts w:eastAsia="Times New Roman" w:cstheme="majorHAnsi"/>
          <w:sz w:val="22"/>
          <w:szCs w:val="22"/>
          <w:lang w:val="en-GB"/>
        </w:rPr>
        <w:t xml:space="preserve">, ASM miner, Laberinto). While mining undoubtedly paid more than </w:t>
      </w:r>
      <w:r w:rsidR="00FD1963" w:rsidRPr="004E053C">
        <w:rPr>
          <w:rFonts w:eastAsia="Times New Roman" w:cstheme="majorHAnsi"/>
          <w:sz w:val="22"/>
          <w:szCs w:val="22"/>
          <w:lang w:val="en-GB"/>
        </w:rPr>
        <w:t>ice cream</w:t>
      </w:r>
      <w:r w:rsidRPr="004E053C">
        <w:rPr>
          <w:rFonts w:eastAsia="Times New Roman" w:cstheme="majorHAnsi"/>
          <w:sz w:val="22"/>
          <w:szCs w:val="22"/>
          <w:lang w:val="en-GB"/>
        </w:rPr>
        <w:t xml:space="preserve"> selling, it was the encouragement of his friends that led Perimigio to find work in mining and move to Laberinto.</w:t>
      </w:r>
    </w:p>
    <w:p w14:paraId="6B0825CA" w14:textId="77777777" w:rsidR="0091076C" w:rsidRPr="004E053C" w:rsidRDefault="0091076C" w:rsidP="004E053C">
      <w:pPr>
        <w:spacing w:line="360" w:lineRule="auto"/>
        <w:jc w:val="both"/>
        <w:rPr>
          <w:rFonts w:eastAsia="Times New Roman" w:cstheme="majorHAnsi"/>
          <w:sz w:val="22"/>
          <w:szCs w:val="22"/>
          <w:lang w:val="en-GB"/>
        </w:rPr>
      </w:pPr>
    </w:p>
    <w:p w14:paraId="329EA055" w14:textId="2CCA2AEA"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In a </w:t>
      </w:r>
      <w:r w:rsidR="00363A6B" w:rsidRPr="004E053C">
        <w:rPr>
          <w:rFonts w:eastAsia="Times New Roman" w:cstheme="majorHAnsi"/>
          <w:sz w:val="22"/>
          <w:szCs w:val="22"/>
          <w:lang w:val="en-GB"/>
        </w:rPr>
        <w:t>place like</w:t>
      </w:r>
      <w:r w:rsidRPr="004E053C">
        <w:rPr>
          <w:rFonts w:eastAsia="Times New Roman" w:cstheme="majorHAnsi"/>
          <w:sz w:val="22"/>
          <w:szCs w:val="22"/>
          <w:lang w:val="en-GB"/>
        </w:rPr>
        <w:t xml:space="preserve"> Laberinto where mining is engrained into the social fabric</w:t>
      </w:r>
      <w:r w:rsidR="00363A6B" w:rsidRPr="004E053C">
        <w:rPr>
          <w:rFonts w:eastAsia="Times New Roman" w:cstheme="majorHAnsi"/>
          <w:sz w:val="22"/>
          <w:szCs w:val="22"/>
          <w:lang w:val="en-GB"/>
        </w:rPr>
        <w:t xml:space="preserve"> and reflected in the habitus of local people</w:t>
      </w:r>
      <w:r w:rsidRPr="004E053C">
        <w:rPr>
          <w:rFonts w:eastAsia="Times New Roman" w:cstheme="majorHAnsi"/>
          <w:sz w:val="22"/>
          <w:szCs w:val="22"/>
          <w:lang w:val="en-GB"/>
        </w:rPr>
        <w:t xml:space="preserve">, there can be a lot of pressure to work in the sector. Whereas people in Lima question why anyone would engage in illegal mining, in Laberinto the question is </w:t>
      </w:r>
      <w:r w:rsidR="00A70DD0" w:rsidRPr="004E053C">
        <w:rPr>
          <w:rFonts w:eastAsia="Times New Roman" w:cstheme="majorHAnsi"/>
          <w:sz w:val="22"/>
          <w:szCs w:val="22"/>
          <w:lang w:val="en-GB"/>
        </w:rPr>
        <w:t>‘why wouldn’t they?’</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Justiniano</w:t>
      </w:r>
      <w:r w:rsidRPr="004E053C">
        <w:rPr>
          <w:rFonts w:eastAsia="Times New Roman" w:cstheme="majorHAnsi"/>
          <w:sz w:val="22"/>
          <w:szCs w:val="22"/>
          <w:lang w:val="en-GB"/>
        </w:rPr>
        <w:t xml:space="preserve"> had previously worked in a band and explained how his friends and family simply did not understand this: </w:t>
      </w:r>
    </w:p>
    <w:p w14:paraId="0A79B0BA" w14:textId="77777777" w:rsidR="0091076C" w:rsidRPr="004E053C" w:rsidRDefault="0091076C" w:rsidP="004E053C">
      <w:pPr>
        <w:spacing w:line="360" w:lineRule="auto"/>
        <w:jc w:val="both"/>
        <w:rPr>
          <w:rFonts w:eastAsia="Times New Roman" w:cstheme="majorHAnsi"/>
          <w:sz w:val="22"/>
          <w:szCs w:val="22"/>
          <w:lang w:val="en-GB"/>
        </w:rPr>
      </w:pPr>
    </w:p>
    <w:p w14:paraId="797D8CDC" w14:textId="599597EF" w:rsidR="0091076C" w:rsidRPr="004E053C" w:rsidRDefault="00A70DD0"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0091076C" w:rsidRPr="004E053C">
        <w:rPr>
          <w:rFonts w:eastAsia="Times New Roman" w:cstheme="majorHAnsi"/>
          <w:i/>
          <w:sz w:val="22"/>
          <w:szCs w:val="22"/>
          <w:lang w:val="en-GB"/>
        </w:rPr>
        <w:t>The other people here always</w:t>
      </w:r>
      <w:r w:rsidR="008678D3" w:rsidRPr="004E053C">
        <w:rPr>
          <w:rFonts w:eastAsia="Times New Roman" w:cstheme="majorHAnsi"/>
          <w:i/>
          <w:sz w:val="22"/>
          <w:szCs w:val="22"/>
          <w:lang w:val="en-GB"/>
        </w:rPr>
        <w:t xml:space="preserve"> said, “What are you doing? </w:t>
      </w:r>
      <w:r w:rsidR="0091076C" w:rsidRPr="004E053C">
        <w:rPr>
          <w:rFonts w:eastAsia="Times New Roman" w:cstheme="majorHAnsi"/>
          <w:i/>
          <w:sz w:val="22"/>
          <w:szCs w:val="22"/>
          <w:lang w:val="en-GB"/>
        </w:rPr>
        <w:t>You are not earning anything or gaining money? You’re just wasting your life!” So everyone in the town told me to do mining, and eventually when enough of your friends tell you something and you talk to them about it you agree with them. So because of that I decided to do mining</w:t>
      </w:r>
      <w:r w:rsidRPr="004E053C">
        <w:rPr>
          <w:rFonts w:eastAsia="Times New Roman" w:cstheme="majorHAnsi"/>
          <w:sz w:val="22"/>
          <w:szCs w:val="22"/>
          <w:lang w:val="en-GB"/>
        </w:rPr>
        <w:t>’</w:t>
      </w:r>
      <w:r w:rsidR="0091076C"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Justiniano</w:t>
      </w:r>
      <w:r w:rsidR="0091076C" w:rsidRPr="004E053C">
        <w:rPr>
          <w:rFonts w:eastAsia="Times New Roman" w:cstheme="majorHAnsi"/>
          <w:sz w:val="22"/>
          <w:szCs w:val="22"/>
          <w:lang w:val="en-GB"/>
        </w:rPr>
        <w:t>, ASM miner, Laberinto).</w:t>
      </w:r>
    </w:p>
    <w:p w14:paraId="1ABEF248" w14:textId="77777777" w:rsidR="00843DED" w:rsidRPr="004E053C" w:rsidRDefault="00843DED" w:rsidP="004E053C">
      <w:pPr>
        <w:spacing w:line="360" w:lineRule="auto"/>
        <w:jc w:val="both"/>
        <w:rPr>
          <w:rFonts w:eastAsia="Times New Roman" w:cstheme="majorHAnsi"/>
          <w:sz w:val="22"/>
          <w:szCs w:val="22"/>
          <w:lang w:val="en-GB"/>
        </w:rPr>
      </w:pPr>
    </w:p>
    <w:p w14:paraId="478C9ADF" w14:textId="4C9C6A27" w:rsidR="003C4EBD" w:rsidRPr="004E053C" w:rsidRDefault="003C4EBD" w:rsidP="004E053C">
      <w:pPr>
        <w:pStyle w:val="NormalWeb"/>
        <w:spacing w:before="0" w:beforeAutospacing="0" w:line="360" w:lineRule="auto"/>
        <w:jc w:val="both"/>
        <w:rPr>
          <w:rFonts w:asciiTheme="minorHAnsi" w:hAnsiTheme="minorHAnsi" w:cstheme="majorHAnsi"/>
          <w:color w:val="FF0000"/>
          <w:sz w:val="22"/>
          <w:szCs w:val="22"/>
        </w:rPr>
      </w:pPr>
      <w:r w:rsidRPr="004E053C">
        <w:rPr>
          <w:rFonts w:asciiTheme="minorHAnsi" w:hAnsiTheme="minorHAnsi" w:cstheme="majorHAnsi"/>
          <w:sz w:val="22"/>
          <w:szCs w:val="22"/>
        </w:rPr>
        <w:t xml:space="preserve">Not only does ASM potentially enable the accumulation of different </w:t>
      </w:r>
      <w:r w:rsidR="00FD1963" w:rsidRPr="004E053C">
        <w:rPr>
          <w:rFonts w:asciiTheme="minorHAnsi" w:hAnsiTheme="minorHAnsi" w:cstheme="majorHAnsi"/>
          <w:sz w:val="22"/>
          <w:szCs w:val="22"/>
        </w:rPr>
        <w:t>forms</w:t>
      </w:r>
      <w:r w:rsidRPr="004E053C">
        <w:rPr>
          <w:rFonts w:asciiTheme="minorHAnsi" w:hAnsiTheme="minorHAnsi" w:cstheme="majorHAnsi"/>
          <w:sz w:val="22"/>
          <w:szCs w:val="22"/>
        </w:rPr>
        <w:t xml:space="preserve"> of ‘cultural’ and social capital, which may be translated into both self-respect and respect from others, but the experience of </w:t>
      </w:r>
      <w:r w:rsidR="00EA7F80" w:rsidRPr="004E053C">
        <w:rPr>
          <w:rFonts w:asciiTheme="minorHAnsi" w:hAnsiTheme="minorHAnsi" w:cstheme="majorHAnsi"/>
          <w:sz w:val="22"/>
          <w:szCs w:val="22"/>
        </w:rPr>
        <w:t>Justiniano</w:t>
      </w:r>
      <w:r w:rsidRPr="004E053C">
        <w:rPr>
          <w:rFonts w:asciiTheme="minorHAnsi" w:hAnsiTheme="minorHAnsi" w:cstheme="majorHAnsi"/>
          <w:sz w:val="22"/>
          <w:szCs w:val="22"/>
        </w:rPr>
        <w:t xml:space="preserve"> hig</w:t>
      </w:r>
      <w:r w:rsidR="004A3001" w:rsidRPr="004E053C">
        <w:rPr>
          <w:rFonts w:asciiTheme="minorHAnsi" w:hAnsiTheme="minorHAnsi" w:cstheme="majorHAnsi"/>
          <w:sz w:val="22"/>
          <w:szCs w:val="22"/>
        </w:rPr>
        <w:t xml:space="preserve">hlights the same relatively low </w:t>
      </w:r>
      <w:r w:rsidRPr="004E053C">
        <w:rPr>
          <w:rFonts w:asciiTheme="minorHAnsi" w:hAnsiTheme="minorHAnsi" w:cstheme="majorHAnsi"/>
          <w:sz w:val="22"/>
          <w:szCs w:val="22"/>
        </w:rPr>
        <w:t xml:space="preserve">barriers to entry that have been identified in other ‘criminal’ social fields </w:t>
      </w:r>
      <w:r w:rsidR="004A27C0"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2016)","plainTextFormattedCitation":"(Shammus &amp; Sandberg, 2016)","previouslyFormattedCitation":"(Shammus &amp; Sandberg, 2016)"},"properties":{"noteIndex":0},"schema":"https://github.com/citation-style-language/schema/raw/master/csl-citation.json"}</w:instrText>
      </w:r>
      <w:r w:rsidR="004A27C0" w:rsidRPr="004E053C">
        <w:rPr>
          <w:rFonts w:asciiTheme="minorHAnsi" w:hAnsiTheme="minorHAnsi" w:cstheme="majorHAnsi"/>
          <w:sz w:val="22"/>
          <w:szCs w:val="22"/>
        </w:rPr>
        <w:fldChar w:fldCharType="separate"/>
      </w:r>
      <w:r w:rsidR="004A27C0" w:rsidRPr="004E053C">
        <w:rPr>
          <w:rFonts w:asciiTheme="minorHAnsi" w:hAnsiTheme="minorHAnsi" w:cstheme="majorHAnsi"/>
          <w:noProof/>
          <w:sz w:val="22"/>
          <w:szCs w:val="22"/>
        </w:rPr>
        <w:t>(Shammus &amp; Sandberg, 2016)</w:t>
      </w:r>
      <w:r w:rsidR="004A27C0" w:rsidRPr="004E053C">
        <w:rPr>
          <w:rFonts w:asciiTheme="minorHAnsi" w:hAnsiTheme="minorHAnsi" w:cstheme="majorHAnsi"/>
          <w:sz w:val="22"/>
          <w:szCs w:val="22"/>
        </w:rPr>
        <w:fldChar w:fldCharType="end"/>
      </w:r>
      <w:r w:rsidRPr="004E053C">
        <w:rPr>
          <w:rFonts w:asciiTheme="minorHAnsi" w:hAnsiTheme="minorHAnsi" w:cstheme="majorHAnsi"/>
          <w:sz w:val="22"/>
          <w:szCs w:val="22"/>
        </w:rPr>
        <w:t>. While this is in part due to the high levels of marginalisation within the lo</w:t>
      </w:r>
      <w:r w:rsidR="004A3001" w:rsidRPr="004E053C">
        <w:rPr>
          <w:rFonts w:asciiTheme="minorHAnsi" w:hAnsiTheme="minorHAnsi" w:cstheme="majorHAnsi"/>
          <w:sz w:val="22"/>
          <w:szCs w:val="22"/>
        </w:rPr>
        <w:t>cality, it is also clearly linked</w:t>
      </w:r>
      <w:r w:rsidRPr="004E053C">
        <w:rPr>
          <w:rFonts w:asciiTheme="minorHAnsi" w:hAnsiTheme="minorHAnsi" w:cstheme="majorHAnsi"/>
          <w:sz w:val="22"/>
          <w:szCs w:val="22"/>
        </w:rPr>
        <w:t xml:space="preserve"> to the strength of the collective habitus within the local population. </w:t>
      </w:r>
    </w:p>
    <w:p w14:paraId="531C7D0C" w14:textId="21557899" w:rsidR="0091076C" w:rsidRPr="004E053C" w:rsidRDefault="0091076C" w:rsidP="004E053C">
      <w:pPr>
        <w:spacing w:line="360" w:lineRule="auto"/>
        <w:jc w:val="both"/>
        <w:rPr>
          <w:rFonts w:cstheme="majorHAnsi"/>
          <w:color w:val="0070C0"/>
          <w:sz w:val="22"/>
          <w:szCs w:val="22"/>
          <w:lang w:val="en-GB"/>
        </w:rPr>
      </w:pPr>
      <w:r w:rsidRPr="004E053C">
        <w:rPr>
          <w:rFonts w:cstheme="majorHAnsi"/>
          <w:sz w:val="22"/>
          <w:szCs w:val="22"/>
          <w:lang w:val="en-GB"/>
        </w:rPr>
        <w:t xml:space="preserve">While ASM offers a route out of poverty, it is widely acknowledged that the work is not easy and carries risks. </w:t>
      </w:r>
      <w:r w:rsidRPr="004E053C">
        <w:rPr>
          <w:rFonts w:eastAsia="Times New Roman" w:cstheme="majorHAnsi"/>
          <w:sz w:val="22"/>
          <w:szCs w:val="22"/>
          <w:lang w:val="en-GB"/>
        </w:rPr>
        <w:t>However, respondents viewed households that did not engage in mining as not wanting to help themselves, and there was little sympathy for people who</w:t>
      </w:r>
      <w:r w:rsidRPr="004E053C">
        <w:rPr>
          <w:rFonts w:cstheme="majorHAnsi"/>
          <w:sz w:val="22"/>
          <w:szCs w:val="22"/>
          <w:lang w:val="en-GB"/>
        </w:rPr>
        <w:t xml:space="preserve"> chose not to mine. In Ocongate in particular, there was a consensus amongst mining households that the poorer members of the community were too lazy to work in ASM or did not want to better themselves. The community leader</w:t>
      </w:r>
      <w:r w:rsidR="002A484D" w:rsidRPr="004E053C">
        <w:rPr>
          <w:rFonts w:cstheme="majorHAnsi"/>
          <w:sz w:val="22"/>
          <w:szCs w:val="22"/>
          <w:lang w:val="en-GB"/>
        </w:rPr>
        <w:t xml:space="preserve"> said</w:t>
      </w:r>
      <w:r w:rsidRPr="004E053C">
        <w:rPr>
          <w:rFonts w:cstheme="majorHAnsi"/>
          <w:sz w:val="22"/>
          <w:szCs w:val="22"/>
          <w:lang w:val="en-GB"/>
        </w:rPr>
        <w:t xml:space="preserve"> that the inequality in Ocongate existed because while some people worked in other places to earn money, there were others that were still poor because they refused to do so. </w:t>
      </w:r>
      <w:r w:rsidR="00871587" w:rsidRPr="004E053C">
        <w:rPr>
          <w:rFonts w:cstheme="majorHAnsi"/>
          <w:sz w:val="22"/>
          <w:szCs w:val="22"/>
          <w:lang w:val="en-GB"/>
        </w:rPr>
        <w:t>Meanwhile, in Laberinto, some residents also suggested that their personalities were not well suited to mining. For example, o</w:t>
      </w:r>
      <w:r w:rsidRPr="004E053C">
        <w:rPr>
          <w:rFonts w:cstheme="majorHAnsi"/>
          <w:sz w:val="22"/>
          <w:szCs w:val="22"/>
          <w:lang w:val="en-GB"/>
        </w:rPr>
        <w:t xml:space="preserve">ne ex-miner interpreted his dislike of mining as a reflection of his character, rather than being due to the nature of mining work: </w:t>
      </w:r>
    </w:p>
    <w:p w14:paraId="06F61545" w14:textId="77777777" w:rsidR="0091076C" w:rsidRPr="004E053C" w:rsidRDefault="0091076C" w:rsidP="004E053C">
      <w:pPr>
        <w:spacing w:line="360" w:lineRule="auto"/>
        <w:jc w:val="both"/>
        <w:rPr>
          <w:rFonts w:cstheme="majorHAnsi"/>
          <w:sz w:val="22"/>
          <w:szCs w:val="22"/>
          <w:lang w:val="en-GB"/>
        </w:rPr>
      </w:pPr>
    </w:p>
    <w:p w14:paraId="299ABEBA" w14:textId="3864C73D" w:rsidR="0091076C" w:rsidRPr="004E053C" w:rsidRDefault="00B07B14" w:rsidP="004E053C">
      <w:pPr>
        <w:ind w:left="720"/>
        <w:jc w:val="both"/>
        <w:rPr>
          <w:rFonts w:cstheme="majorHAnsi"/>
          <w:sz w:val="22"/>
          <w:szCs w:val="22"/>
          <w:lang w:val="en-GB"/>
        </w:rPr>
      </w:pPr>
      <w:r w:rsidRPr="004E053C">
        <w:rPr>
          <w:rFonts w:eastAsia="Times New Roman" w:cstheme="majorHAnsi"/>
          <w:i/>
          <w:iCs/>
          <w:sz w:val="22"/>
          <w:szCs w:val="22"/>
          <w:lang w:val="en-GB"/>
        </w:rPr>
        <w:t>‘</w:t>
      </w:r>
      <w:r w:rsidR="0091076C" w:rsidRPr="004E053C">
        <w:rPr>
          <w:rFonts w:eastAsia="Times New Roman" w:cstheme="majorHAnsi"/>
          <w:i/>
          <w:iCs/>
          <w:sz w:val="22"/>
          <w:szCs w:val="22"/>
          <w:lang w:val="en-GB"/>
        </w:rPr>
        <w:t xml:space="preserve">I have never been a concession guy or a boss, I was just an obrero. I came here when the gold crisis was here, and so I thought </w:t>
      </w:r>
      <w:r w:rsidR="00A70DD0" w:rsidRPr="004E053C">
        <w:rPr>
          <w:rFonts w:eastAsia="Times New Roman" w:cstheme="majorHAnsi"/>
          <w:i/>
          <w:iCs/>
          <w:sz w:val="22"/>
          <w:szCs w:val="22"/>
          <w:lang w:val="en-GB"/>
        </w:rPr>
        <w:t>“</w:t>
      </w:r>
      <w:r w:rsidR="0091076C" w:rsidRPr="004E053C">
        <w:rPr>
          <w:rFonts w:eastAsia="Times New Roman" w:cstheme="majorHAnsi"/>
          <w:i/>
          <w:iCs/>
          <w:sz w:val="22"/>
          <w:szCs w:val="22"/>
          <w:lang w:val="en-GB"/>
        </w:rPr>
        <w:t>well, I’m not being THAT well paid as a worker to be carrying all this heavy stuff”…I’ve never been ambitious, I just want to learn how to do a job and learn to do it well. It wasn’t wort</w:t>
      </w:r>
      <w:r w:rsidRPr="004E053C">
        <w:rPr>
          <w:rFonts w:eastAsia="Times New Roman" w:cstheme="majorHAnsi"/>
          <w:i/>
          <w:iCs/>
          <w:sz w:val="22"/>
          <w:szCs w:val="22"/>
          <w:lang w:val="en-GB"/>
        </w:rPr>
        <w:t>h it to do this hard mining job’</w:t>
      </w:r>
      <w:r w:rsidR="0091076C" w:rsidRPr="004E053C">
        <w:rPr>
          <w:rFonts w:eastAsia="Times New Roman" w:cstheme="majorHAnsi"/>
          <w:i/>
          <w:iCs/>
          <w:sz w:val="22"/>
          <w:szCs w:val="22"/>
          <w:lang w:val="en-GB"/>
        </w:rPr>
        <w:t xml:space="preserve"> </w:t>
      </w:r>
      <w:r w:rsidR="0091076C" w:rsidRPr="004E053C">
        <w:rPr>
          <w:rFonts w:eastAsia="Times New Roman" w:cstheme="majorHAnsi"/>
          <w:sz w:val="22"/>
          <w:szCs w:val="22"/>
          <w:lang w:val="en-GB"/>
        </w:rPr>
        <w:t>(</w:t>
      </w:r>
      <w:r w:rsidR="00EA7F80" w:rsidRPr="004E053C">
        <w:rPr>
          <w:rFonts w:eastAsia="Times New Roman" w:cstheme="majorHAnsi"/>
          <w:sz w:val="22"/>
          <w:szCs w:val="22"/>
          <w:lang w:val="en-GB"/>
        </w:rPr>
        <w:t>Roberto</w:t>
      </w:r>
      <w:r w:rsidR="0091076C" w:rsidRPr="004E053C">
        <w:rPr>
          <w:rFonts w:eastAsia="Times New Roman" w:cstheme="majorHAnsi"/>
          <w:sz w:val="22"/>
          <w:szCs w:val="22"/>
          <w:lang w:val="en-GB"/>
        </w:rPr>
        <w:t>, ex-miner, Laberinto).</w:t>
      </w:r>
    </w:p>
    <w:p w14:paraId="3093A410" w14:textId="77777777" w:rsidR="0091076C" w:rsidRPr="004E053C" w:rsidRDefault="0091076C" w:rsidP="004E053C">
      <w:pPr>
        <w:spacing w:line="360" w:lineRule="auto"/>
        <w:jc w:val="both"/>
        <w:rPr>
          <w:rFonts w:cstheme="majorHAnsi"/>
          <w:sz w:val="22"/>
          <w:szCs w:val="22"/>
          <w:lang w:val="en-GB"/>
        </w:rPr>
      </w:pPr>
    </w:p>
    <w:p w14:paraId="30186139" w14:textId="59B2DA3C" w:rsidR="00906830" w:rsidRPr="004E053C" w:rsidRDefault="00EA7F80" w:rsidP="004E053C">
      <w:pPr>
        <w:spacing w:line="360" w:lineRule="auto"/>
        <w:jc w:val="both"/>
        <w:rPr>
          <w:rFonts w:cstheme="majorHAnsi"/>
          <w:sz w:val="22"/>
          <w:szCs w:val="22"/>
          <w:lang w:val="en-GB"/>
        </w:rPr>
      </w:pPr>
      <w:r w:rsidRPr="004E053C">
        <w:rPr>
          <w:rFonts w:cstheme="majorHAnsi"/>
          <w:sz w:val="22"/>
          <w:szCs w:val="22"/>
          <w:lang w:val="en-GB"/>
        </w:rPr>
        <w:t>Roberto</w:t>
      </w:r>
      <w:r w:rsidR="0091076C" w:rsidRPr="004E053C">
        <w:rPr>
          <w:rFonts w:cstheme="majorHAnsi"/>
          <w:sz w:val="22"/>
          <w:szCs w:val="22"/>
          <w:lang w:val="en-GB"/>
        </w:rPr>
        <w:t xml:space="preserve"> wanted to stay in Laberinto and is still employed in the sector indirectly as he works as a mechanic. However, his </w:t>
      </w:r>
      <w:r w:rsidR="00A70DD0" w:rsidRPr="004E053C">
        <w:rPr>
          <w:rFonts w:cstheme="majorHAnsi"/>
          <w:sz w:val="22"/>
          <w:szCs w:val="22"/>
          <w:lang w:val="en-GB"/>
        </w:rPr>
        <w:t>belief that it was his lack of ‘</w:t>
      </w:r>
      <w:r w:rsidR="0091076C" w:rsidRPr="004E053C">
        <w:rPr>
          <w:rFonts w:cstheme="majorHAnsi"/>
          <w:sz w:val="22"/>
          <w:szCs w:val="22"/>
          <w:lang w:val="en-GB"/>
        </w:rPr>
        <w:t>ambitio</w:t>
      </w:r>
      <w:r w:rsidR="00A70DD0" w:rsidRPr="004E053C">
        <w:rPr>
          <w:rFonts w:cstheme="majorHAnsi"/>
          <w:sz w:val="22"/>
          <w:szCs w:val="22"/>
          <w:lang w:val="en-GB"/>
        </w:rPr>
        <w:t>n’</w:t>
      </w:r>
      <w:r w:rsidR="0091076C" w:rsidRPr="004E053C">
        <w:rPr>
          <w:rFonts w:cstheme="majorHAnsi"/>
          <w:sz w:val="22"/>
          <w:szCs w:val="22"/>
          <w:lang w:val="en-GB"/>
        </w:rPr>
        <w:t xml:space="preserve"> that prevented him from working in mining, rather than because it is dangerous and the work is difficult, highlights the extent to which ASM</w:t>
      </w:r>
      <w:r w:rsidR="00906830" w:rsidRPr="004E053C">
        <w:rPr>
          <w:rFonts w:cstheme="majorHAnsi"/>
          <w:sz w:val="22"/>
          <w:szCs w:val="22"/>
          <w:lang w:val="en-GB"/>
        </w:rPr>
        <w:t xml:space="preserve"> is engrained in the community.</w:t>
      </w:r>
    </w:p>
    <w:p w14:paraId="3858A335" w14:textId="77777777" w:rsidR="004A3EF1" w:rsidRPr="004E053C" w:rsidRDefault="004A3EF1" w:rsidP="004E053C">
      <w:pPr>
        <w:spacing w:line="360" w:lineRule="auto"/>
        <w:jc w:val="both"/>
        <w:rPr>
          <w:rFonts w:cstheme="majorHAnsi"/>
          <w:sz w:val="22"/>
          <w:szCs w:val="22"/>
          <w:lang w:val="en-GB"/>
        </w:rPr>
      </w:pPr>
    </w:p>
    <w:p w14:paraId="3256A6A4" w14:textId="7A45DA68" w:rsidR="0091076C"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.2</w:t>
      </w:r>
      <w:r w:rsidR="0091076C" w:rsidRPr="004E053C">
        <w:rPr>
          <w:rFonts w:asciiTheme="minorHAnsi" w:hAnsiTheme="minorHAnsi"/>
        </w:rPr>
        <w:t xml:space="preserve">.7. Escaping from Terrorist Violence </w:t>
      </w:r>
    </w:p>
    <w:p w14:paraId="3B79F402" w14:textId="77777777" w:rsidR="004A3EF1" w:rsidRPr="004E053C" w:rsidRDefault="004A3EF1" w:rsidP="004E053C">
      <w:pPr>
        <w:spacing w:line="360" w:lineRule="auto"/>
        <w:jc w:val="both"/>
        <w:rPr>
          <w:rFonts w:cstheme="majorHAnsi"/>
          <w:lang w:val="en-GB"/>
        </w:rPr>
      </w:pPr>
    </w:p>
    <w:p w14:paraId="4143C0BD" w14:textId="70462182" w:rsidR="0091076C" w:rsidRPr="004E053C" w:rsidRDefault="0091076C" w:rsidP="004E053C">
      <w:pPr>
        <w:spacing w:line="360" w:lineRule="auto"/>
        <w:jc w:val="both"/>
        <w:rPr>
          <w:rFonts w:eastAsia="Times New Roman" w:cstheme="majorHAnsi"/>
          <w:color w:val="000000"/>
          <w:sz w:val="22"/>
          <w:szCs w:val="22"/>
          <w:lang w:val="en-GB"/>
        </w:rPr>
      </w:pPr>
      <w:r w:rsidRPr="004E053C">
        <w:rPr>
          <w:rFonts w:cstheme="majorHAnsi"/>
          <w:sz w:val="22"/>
          <w:szCs w:val="22"/>
          <w:lang w:val="en-GB"/>
        </w:rPr>
        <w:t xml:space="preserve">A key distinguishing feature of the history of ASM in Peru is the influence that terrorist violence has had over an individual’s entry into the sector. Many of the respondents in Laberinto had arrived in the 1980’s as a direct result of terrorism and the activities of Shining Path. In most of the cases, entire families had to relocate to Madre de Dios in an attempt to escape the violence that had overtaken the rural areas, particularly in the Andes. They may have contributed to Laberinto’s emergence as an established mining town, as people were looking for somewhere to live long-term, rather than simply a place to work temporarily. </w:t>
      </w:r>
      <w:r w:rsidRPr="004E053C">
        <w:rPr>
          <w:rFonts w:eastAsia="Times New Roman" w:cstheme="majorHAnsi"/>
          <w:sz w:val="22"/>
          <w:szCs w:val="22"/>
          <w:lang w:val="en-GB"/>
        </w:rPr>
        <w:t xml:space="preserve">Many of these migrants did other jobs when they first arrived in Madre de Dios, and only moved into ASM when they found out about the profitability of the sector from friends. </w:t>
      </w:r>
      <w:r w:rsidRPr="004E053C">
        <w:rPr>
          <w:rFonts w:eastAsia="Times New Roman" w:cstheme="majorHAnsi"/>
          <w:color w:val="000000"/>
          <w:sz w:val="22"/>
          <w:szCs w:val="22"/>
          <w:lang w:val="en-GB"/>
        </w:rPr>
        <w:t xml:space="preserve">Once in the region, ASM is the obvious choice for unskilled workers, as it pays far better than other occupations, and thus a combination of pressure from friends and the lure of a higher income become influencing factors. </w:t>
      </w:r>
    </w:p>
    <w:p w14:paraId="5F45E05C" w14:textId="67D73A73" w:rsidR="0091076C" w:rsidRPr="004E053C" w:rsidRDefault="0091076C" w:rsidP="004E053C">
      <w:pPr>
        <w:spacing w:line="360" w:lineRule="auto"/>
        <w:jc w:val="both"/>
        <w:rPr>
          <w:rFonts w:eastAsia="Times New Roman" w:cstheme="majorHAnsi"/>
          <w:sz w:val="22"/>
          <w:szCs w:val="22"/>
          <w:lang w:val="en-GB"/>
        </w:rPr>
      </w:pPr>
    </w:p>
    <w:p w14:paraId="16BD1120" w14:textId="7DBC2C95" w:rsidR="0091076C" w:rsidRPr="004E053C" w:rsidRDefault="00EA7F83" w:rsidP="004E053C">
      <w:pPr>
        <w:pStyle w:val="Heading2"/>
        <w:spacing w:before="0" w:line="360" w:lineRule="auto"/>
        <w:jc w:val="both"/>
        <w:rPr>
          <w:rFonts w:cstheme="majorHAnsi"/>
          <w:lang w:val="en-GB"/>
        </w:rPr>
      </w:pPr>
      <w:bookmarkStart w:id="75" w:name="_Toc33293111"/>
      <w:r w:rsidRPr="004E053C">
        <w:rPr>
          <w:rFonts w:cstheme="majorHAnsi"/>
          <w:lang w:val="en-GB"/>
        </w:rPr>
        <w:t>6</w:t>
      </w:r>
      <w:r w:rsidR="00F32A9B" w:rsidRPr="004E053C">
        <w:rPr>
          <w:rFonts w:cstheme="majorHAnsi"/>
          <w:lang w:val="en-GB"/>
        </w:rPr>
        <w:t>.3</w:t>
      </w:r>
      <w:r w:rsidR="0091076C" w:rsidRPr="004E053C">
        <w:rPr>
          <w:rFonts w:cstheme="majorHAnsi"/>
          <w:lang w:val="en-GB"/>
        </w:rPr>
        <w:t>. Establishing a mining livelihood</w:t>
      </w:r>
      <w:bookmarkEnd w:id="75"/>
    </w:p>
    <w:p w14:paraId="6E46BB15" w14:textId="77777777" w:rsidR="0091076C" w:rsidRPr="004E053C" w:rsidRDefault="0091076C" w:rsidP="004E053C">
      <w:pPr>
        <w:spacing w:line="360" w:lineRule="auto"/>
        <w:jc w:val="both"/>
        <w:rPr>
          <w:rFonts w:cstheme="majorHAnsi"/>
          <w:b/>
          <w:sz w:val="22"/>
          <w:szCs w:val="22"/>
          <w:lang w:val="en-GB"/>
        </w:rPr>
      </w:pPr>
    </w:p>
    <w:p w14:paraId="2A841941" w14:textId="7EFDCB70" w:rsidR="0091076C" w:rsidRPr="004E053C" w:rsidRDefault="0091076C" w:rsidP="004E053C">
      <w:pPr>
        <w:spacing w:line="360" w:lineRule="auto"/>
        <w:jc w:val="both"/>
        <w:rPr>
          <w:rFonts w:cstheme="majorHAnsi"/>
          <w:color w:val="FF0000"/>
          <w:sz w:val="22"/>
          <w:szCs w:val="22"/>
          <w:lang w:val="en-GB"/>
        </w:rPr>
      </w:pPr>
      <w:r w:rsidRPr="004E053C">
        <w:rPr>
          <w:rFonts w:eastAsia="Times New Roman" w:cstheme="majorHAnsi"/>
          <w:sz w:val="22"/>
          <w:szCs w:val="22"/>
          <w:lang w:val="en-GB"/>
        </w:rPr>
        <w:t xml:space="preserve">This section will briefly look at how miners utilise their networks and find work, which they usually do either before they arrive in the mining communities or through social networks. This is important in translocal livelihoods, because networks are </w:t>
      </w:r>
      <w:r w:rsidRPr="004E053C">
        <w:rPr>
          <w:rFonts w:cstheme="majorHAnsi"/>
          <w:sz w:val="22"/>
          <w:szCs w:val="22"/>
          <w:lang w:val="en-GB"/>
        </w:rPr>
        <w:t>crucial if households are</w:t>
      </w:r>
      <w:r w:rsidR="002D6E5D" w:rsidRPr="004E053C">
        <w:rPr>
          <w:rFonts w:cstheme="majorHAnsi"/>
          <w:sz w:val="22"/>
          <w:szCs w:val="22"/>
          <w:lang w:val="en-GB"/>
        </w:rPr>
        <w:t xml:space="preserve"> to access and utilis</w:t>
      </w:r>
      <w:r w:rsidRPr="004E053C">
        <w:rPr>
          <w:rFonts w:cstheme="majorHAnsi"/>
          <w:sz w:val="22"/>
          <w:szCs w:val="22"/>
          <w:lang w:val="en-GB"/>
        </w:rPr>
        <w:t xml:space="preserve">e opportunities in the different localities </w:t>
      </w:r>
      <w:r w:rsidR="004A27C0" w:rsidRPr="004E053C">
        <w:rPr>
          <w:rFonts w:cstheme="majorHAnsi"/>
          <w:sz w:val="22"/>
          <w:szCs w:val="22"/>
          <w:lang w:val="en-GB"/>
        </w:rPr>
        <w:t>(</w:t>
      </w:r>
      <w:r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{"citationItems":[{"id":"ITEM-1","itemData":{"author":[{"dropping-particle":"","family":"Steinbrink","given":"Malte","non-dropping-particle":"","parse-names":false,"suffix":""}],"container-title":"Etude de la Population Africaine/African Population Studies","id":"ITEM-1","issued":{"date-parts":[["2009"]]},"page":"219-252","title":"Urbanisation, poverty and translocality: insights from South Africa","type":"article-journal","volume":"23"},"uris":["http://www.mendeley.com/documents/?uuid=73471f27-74d4-4cda-9d28-bfa63481d3fb"]}],"mendeley":{"formattedCitation":"(Steinbrink, 2009)","manualFormatting":"Steinbrink, 2009)","plainTextFormattedCitation":"(Steinbrink, 2009)","previouslyFormattedCitation":"(Steinbrink,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Steinbrink, 2009)</w:t>
      </w:r>
      <w:r w:rsidRPr="004E053C">
        <w:rPr>
          <w:rFonts w:cstheme="majorHAnsi"/>
          <w:sz w:val="22"/>
          <w:szCs w:val="22"/>
          <w:lang w:val="en-GB"/>
        </w:rPr>
        <w:fldChar w:fldCharType="end"/>
      </w:r>
      <w:r w:rsidRPr="004E053C">
        <w:rPr>
          <w:rFonts w:cstheme="majorHAnsi"/>
          <w:sz w:val="22"/>
          <w:szCs w:val="22"/>
          <w:lang w:val="en-GB"/>
        </w:rPr>
        <w:t>. However, it is important first to explain the difference be</w:t>
      </w:r>
      <w:r w:rsidR="005533C3" w:rsidRPr="004E053C">
        <w:rPr>
          <w:rFonts w:cstheme="majorHAnsi"/>
          <w:sz w:val="22"/>
          <w:szCs w:val="22"/>
          <w:lang w:val="en-GB"/>
        </w:rPr>
        <w:t>t</w:t>
      </w:r>
      <w:r w:rsidRPr="004E053C">
        <w:rPr>
          <w:rFonts w:cstheme="majorHAnsi"/>
          <w:sz w:val="22"/>
          <w:szCs w:val="22"/>
          <w:lang w:val="en-GB"/>
        </w:rPr>
        <w:t xml:space="preserve">ween </w:t>
      </w:r>
      <w:r w:rsidRPr="004E053C">
        <w:rPr>
          <w:rFonts w:cstheme="majorHAnsi"/>
          <w:i/>
          <w:sz w:val="22"/>
          <w:szCs w:val="22"/>
          <w:lang w:val="en-GB"/>
        </w:rPr>
        <w:t xml:space="preserve">concessionarios, duenos </w:t>
      </w:r>
      <w:r w:rsidRPr="004E053C">
        <w:rPr>
          <w:rFonts w:cstheme="majorHAnsi"/>
          <w:sz w:val="22"/>
          <w:szCs w:val="22"/>
          <w:lang w:val="en-GB"/>
        </w:rPr>
        <w:t xml:space="preserve">and </w:t>
      </w:r>
      <w:r w:rsidRPr="004E053C">
        <w:rPr>
          <w:rFonts w:cstheme="majorHAnsi"/>
          <w:i/>
          <w:sz w:val="22"/>
          <w:szCs w:val="22"/>
          <w:lang w:val="en-GB"/>
        </w:rPr>
        <w:t xml:space="preserve">obreros. </w:t>
      </w:r>
      <w:r w:rsidR="005527DD" w:rsidRPr="004E053C">
        <w:rPr>
          <w:rFonts w:cstheme="majorHAnsi"/>
          <w:i/>
          <w:sz w:val="22"/>
          <w:szCs w:val="22"/>
          <w:lang w:val="en-GB"/>
        </w:rPr>
        <w:t xml:space="preserve">Concessionarios </w:t>
      </w:r>
      <w:r w:rsidR="005527DD" w:rsidRPr="004E053C">
        <w:rPr>
          <w:rFonts w:cstheme="majorHAnsi"/>
          <w:sz w:val="22"/>
          <w:szCs w:val="22"/>
          <w:lang w:val="en-GB"/>
        </w:rPr>
        <w:t xml:space="preserve">are the individuals who own the land and have the title deeds from the government, although owning a concession no longer necessarily implies formality, as this also requires </w:t>
      </w:r>
      <w:r w:rsidR="00091107" w:rsidRPr="004E053C">
        <w:rPr>
          <w:rFonts w:cstheme="majorHAnsi"/>
          <w:sz w:val="22"/>
          <w:szCs w:val="22"/>
          <w:lang w:val="en-GB"/>
        </w:rPr>
        <w:t>formalisation</w:t>
      </w:r>
      <w:r w:rsidR="005527DD" w:rsidRPr="004E053C">
        <w:rPr>
          <w:rFonts w:cstheme="majorHAnsi"/>
          <w:sz w:val="22"/>
          <w:szCs w:val="22"/>
          <w:lang w:val="en-GB"/>
        </w:rPr>
        <w:t xml:space="preserve"> documents. </w:t>
      </w:r>
      <w:r w:rsidRPr="004E053C">
        <w:rPr>
          <w:rFonts w:cstheme="majorHAnsi"/>
          <w:sz w:val="22"/>
          <w:szCs w:val="22"/>
          <w:lang w:val="en-GB"/>
        </w:rPr>
        <w:t xml:space="preserve">All the interviewed </w:t>
      </w:r>
      <w:r w:rsidRPr="004E053C">
        <w:rPr>
          <w:rFonts w:cstheme="majorHAnsi"/>
          <w:i/>
          <w:iCs/>
          <w:sz w:val="22"/>
          <w:szCs w:val="22"/>
          <w:lang w:val="en-GB"/>
        </w:rPr>
        <w:t>concessionarios</w:t>
      </w:r>
      <w:r w:rsidRPr="004E053C">
        <w:rPr>
          <w:rFonts w:cstheme="majorHAnsi"/>
          <w:sz w:val="22"/>
          <w:szCs w:val="22"/>
          <w:lang w:val="en-GB"/>
        </w:rPr>
        <w:t xml:space="preserve"> live in Laberinto and are heavily involved in the day-to-day operations </w:t>
      </w:r>
      <w:r w:rsidRPr="004E053C">
        <w:rPr>
          <w:rFonts w:cstheme="majorHAnsi"/>
          <w:sz w:val="22"/>
          <w:szCs w:val="22"/>
          <w:lang w:val="en-GB"/>
        </w:rPr>
        <w:lastRenderedPageBreak/>
        <w:t xml:space="preserve">on their land. However, many other </w:t>
      </w:r>
      <w:r w:rsidRPr="004E053C">
        <w:rPr>
          <w:rFonts w:cstheme="majorHAnsi"/>
          <w:i/>
          <w:iCs/>
          <w:sz w:val="22"/>
          <w:szCs w:val="22"/>
          <w:lang w:val="en-GB"/>
        </w:rPr>
        <w:t>concessionarios</w:t>
      </w:r>
      <w:r w:rsidR="005533C3" w:rsidRPr="004E053C">
        <w:rPr>
          <w:rFonts w:cstheme="majorHAnsi"/>
          <w:sz w:val="22"/>
          <w:szCs w:val="22"/>
          <w:lang w:val="en-GB"/>
        </w:rPr>
        <w:t xml:space="preserve"> do not</w:t>
      </w:r>
      <w:r w:rsidRPr="004E053C">
        <w:rPr>
          <w:rFonts w:cstheme="majorHAnsi"/>
          <w:sz w:val="22"/>
          <w:szCs w:val="22"/>
          <w:lang w:val="en-GB"/>
        </w:rPr>
        <w:t xml:space="preserve"> involve themselves in ASM operations or even live in the vicinity, but invite others to work on the concession with their own motors. They are usually considerably better off than the </w:t>
      </w:r>
      <w:r w:rsidRPr="004E053C">
        <w:rPr>
          <w:rFonts w:cstheme="majorHAnsi"/>
          <w:i/>
          <w:iCs/>
          <w:sz w:val="22"/>
          <w:szCs w:val="22"/>
          <w:lang w:val="en-GB"/>
        </w:rPr>
        <w:t>concessionarios</w:t>
      </w:r>
      <w:r w:rsidRPr="004E053C">
        <w:rPr>
          <w:rFonts w:cstheme="majorHAnsi"/>
          <w:sz w:val="22"/>
          <w:szCs w:val="22"/>
          <w:lang w:val="en-GB"/>
        </w:rPr>
        <w:t xml:space="preserve"> based in Laberinto, potentially owning multiple concessions. However, no elite </w:t>
      </w:r>
      <w:r w:rsidRPr="004E053C">
        <w:rPr>
          <w:rFonts w:cstheme="majorHAnsi"/>
          <w:i/>
          <w:iCs/>
          <w:sz w:val="22"/>
          <w:szCs w:val="22"/>
          <w:lang w:val="en-GB"/>
        </w:rPr>
        <w:t>concessionarios</w:t>
      </w:r>
      <w:r w:rsidRPr="004E053C">
        <w:rPr>
          <w:rFonts w:cstheme="majorHAnsi"/>
          <w:sz w:val="22"/>
          <w:szCs w:val="22"/>
          <w:lang w:val="en-GB"/>
        </w:rPr>
        <w:t xml:space="preserve"> were interviewed during fieldwork, as they do not usually play an active role in daily life in the community.</w:t>
      </w:r>
      <w:r w:rsidRPr="004E053C">
        <w:rPr>
          <w:rFonts w:cstheme="majorHAnsi"/>
          <w:color w:val="FF0000"/>
          <w:sz w:val="22"/>
          <w:szCs w:val="22"/>
          <w:lang w:val="en-GB"/>
        </w:rPr>
        <w:t xml:space="preserve"> </w:t>
      </w:r>
    </w:p>
    <w:p w14:paraId="28C99992" w14:textId="77777777" w:rsidR="0091076C" w:rsidRPr="004E053C" w:rsidRDefault="0091076C" w:rsidP="004E053C">
      <w:pPr>
        <w:spacing w:line="360" w:lineRule="auto"/>
        <w:jc w:val="both"/>
        <w:rPr>
          <w:rFonts w:cstheme="majorHAnsi"/>
          <w:color w:val="FF0000"/>
          <w:sz w:val="22"/>
          <w:szCs w:val="22"/>
          <w:lang w:val="en-GB"/>
        </w:rPr>
      </w:pPr>
    </w:p>
    <w:p w14:paraId="59155067" w14:textId="372A0F3A" w:rsidR="0091076C" w:rsidRPr="004E053C" w:rsidRDefault="0091076C" w:rsidP="004E053C">
      <w:pPr>
        <w:spacing w:line="360" w:lineRule="auto"/>
        <w:jc w:val="both"/>
        <w:rPr>
          <w:rFonts w:cstheme="majorHAnsi"/>
          <w:i/>
          <w:iCs/>
          <w:sz w:val="22"/>
          <w:szCs w:val="22"/>
          <w:lang w:val="en-GB"/>
        </w:rPr>
      </w:pPr>
      <w:r w:rsidRPr="004E053C">
        <w:rPr>
          <w:rFonts w:cstheme="majorHAnsi"/>
          <w:sz w:val="22"/>
          <w:szCs w:val="22"/>
          <w:lang w:val="en-GB"/>
        </w:rPr>
        <w:t xml:space="preserve">Although many of the migrants who arrived in Laberinto in the 1970s, 80s or 90s could easily acquire concessions, this became more difficult for later arrivals due to changes in policy and the number of concessions that had already been sold. However, </w:t>
      </w:r>
      <w:r w:rsidRPr="004E053C">
        <w:rPr>
          <w:rFonts w:eastAsia="Times New Roman" w:cstheme="majorHAnsi"/>
          <w:sz w:val="22"/>
          <w:szCs w:val="22"/>
          <w:lang w:val="en-GB"/>
        </w:rPr>
        <w:t>the miners could s</w:t>
      </w:r>
      <w:r w:rsidR="004A3001" w:rsidRPr="004E053C">
        <w:rPr>
          <w:rFonts w:eastAsia="Times New Roman" w:cstheme="majorHAnsi"/>
          <w:sz w:val="22"/>
          <w:szCs w:val="22"/>
          <w:lang w:val="en-GB"/>
        </w:rPr>
        <w:t>till find employment directly through</w:t>
      </w:r>
      <w:r w:rsidRPr="004E053C">
        <w:rPr>
          <w:rFonts w:eastAsia="Times New Roman" w:cstheme="majorHAnsi"/>
          <w:sz w:val="22"/>
          <w:szCs w:val="22"/>
          <w:lang w:val="en-GB"/>
        </w:rPr>
        <w:t xml:space="preserve"> a</w:t>
      </w:r>
      <w:r w:rsidRPr="004E053C">
        <w:rPr>
          <w:rFonts w:eastAsia="Times New Roman" w:cstheme="majorHAnsi"/>
          <w:i/>
          <w:iCs/>
          <w:sz w:val="22"/>
          <w:szCs w:val="22"/>
          <w:lang w:val="en-GB"/>
        </w:rPr>
        <w:t xml:space="preserve"> concessionario</w:t>
      </w:r>
      <w:r w:rsidRPr="004E053C">
        <w:rPr>
          <w:rFonts w:eastAsia="Times New Roman" w:cstheme="majorHAnsi"/>
          <w:sz w:val="22"/>
          <w:szCs w:val="22"/>
          <w:lang w:val="en-GB"/>
        </w:rPr>
        <w:t xml:space="preserve"> or buy their own mining equipment and negotiate with them to gain access to work on their land. </w:t>
      </w:r>
      <w:r w:rsidRPr="004E053C">
        <w:rPr>
          <w:rFonts w:cstheme="majorHAnsi"/>
          <w:sz w:val="22"/>
          <w:szCs w:val="22"/>
          <w:lang w:val="en-GB"/>
        </w:rPr>
        <w:t xml:space="preserve">Any </w:t>
      </w:r>
      <w:r w:rsidR="005527DD" w:rsidRPr="004E053C">
        <w:rPr>
          <w:rFonts w:cstheme="majorHAnsi"/>
          <w:sz w:val="22"/>
          <w:szCs w:val="22"/>
          <w:lang w:val="en-GB"/>
        </w:rPr>
        <w:t>individuals that own</w:t>
      </w:r>
      <w:r w:rsidRPr="004E053C">
        <w:rPr>
          <w:rFonts w:cstheme="majorHAnsi"/>
          <w:sz w:val="22"/>
          <w:szCs w:val="22"/>
          <w:lang w:val="en-GB"/>
        </w:rPr>
        <w:t xml:space="preserve"> their own motor and tools can be considered a </w:t>
      </w:r>
      <w:r w:rsidRPr="004E053C">
        <w:rPr>
          <w:rFonts w:cstheme="majorHAnsi"/>
          <w:i/>
          <w:sz w:val="22"/>
          <w:szCs w:val="22"/>
          <w:lang w:val="en-GB"/>
        </w:rPr>
        <w:t>dueno</w:t>
      </w:r>
      <w:r w:rsidRPr="004E053C">
        <w:rPr>
          <w:rFonts w:cstheme="majorHAnsi"/>
          <w:sz w:val="22"/>
          <w:szCs w:val="22"/>
          <w:lang w:val="en-GB"/>
        </w:rPr>
        <w:t xml:space="preserve">. They often manage the concession for the </w:t>
      </w:r>
      <w:r w:rsidRPr="004E053C">
        <w:rPr>
          <w:rFonts w:cstheme="majorHAnsi"/>
          <w:i/>
          <w:sz w:val="22"/>
          <w:szCs w:val="22"/>
          <w:lang w:val="en-GB"/>
        </w:rPr>
        <w:t xml:space="preserve">concessionario </w:t>
      </w:r>
      <w:r w:rsidRPr="004E053C">
        <w:rPr>
          <w:rFonts w:cstheme="majorHAnsi"/>
          <w:sz w:val="22"/>
          <w:szCs w:val="22"/>
          <w:lang w:val="en-GB"/>
        </w:rPr>
        <w:t xml:space="preserve">in his/her absence, but there may be more than one </w:t>
      </w:r>
      <w:r w:rsidRPr="004E053C">
        <w:rPr>
          <w:rFonts w:cstheme="majorHAnsi"/>
          <w:i/>
          <w:sz w:val="22"/>
          <w:szCs w:val="22"/>
          <w:lang w:val="en-GB"/>
        </w:rPr>
        <w:t xml:space="preserve">dueno </w:t>
      </w:r>
      <w:r w:rsidRPr="004E053C">
        <w:rPr>
          <w:rFonts w:cstheme="majorHAnsi"/>
          <w:sz w:val="22"/>
          <w:szCs w:val="22"/>
          <w:lang w:val="en-GB"/>
        </w:rPr>
        <w:t xml:space="preserve">working on any one concession. In other cases, the </w:t>
      </w:r>
      <w:r w:rsidRPr="004E053C">
        <w:rPr>
          <w:rFonts w:cstheme="majorHAnsi"/>
          <w:i/>
          <w:iCs/>
          <w:sz w:val="22"/>
          <w:szCs w:val="22"/>
          <w:lang w:val="en-GB"/>
        </w:rPr>
        <w:t>duenos</w:t>
      </w:r>
      <w:r w:rsidRPr="004E053C">
        <w:rPr>
          <w:rFonts w:cstheme="majorHAnsi"/>
          <w:sz w:val="22"/>
          <w:szCs w:val="22"/>
          <w:lang w:val="en-GB"/>
        </w:rPr>
        <w:t xml:space="preserve"> have to pay the </w:t>
      </w:r>
      <w:r w:rsidRPr="004E053C">
        <w:rPr>
          <w:rFonts w:cstheme="majorHAnsi"/>
          <w:i/>
          <w:iCs/>
          <w:sz w:val="22"/>
          <w:szCs w:val="22"/>
          <w:lang w:val="en-GB"/>
        </w:rPr>
        <w:t>concessionarios</w:t>
      </w:r>
      <w:r w:rsidRPr="004E053C">
        <w:rPr>
          <w:rFonts w:cstheme="majorHAnsi"/>
          <w:sz w:val="22"/>
          <w:szCs w:val="22"/>
          <w:lang w:val="en-GB"/>
        </w:rPr>
        <w:t xml:space="preserve"> to work on their land. The final </w:t>
      </w:r>
      <w:r w:rsidR="005527DD" w:rsidRPr="004E053C">
        <w:rPr>
          <w:rFonts w:cstheme="majorHAnsi"/>
          <w:sz w:val="22"/>
          <w:szCs w:val="22"/>
          <w:lang w:val="en-GB"/>
        </w:rPr>
        <w:t>group is</w:t>
      </w:r>
      <w:r w:rsidRPr="004E053C">
        <w:rPr>
          <w:rFonts w:cstheme="majorHAnsi"/>
          <w:sz w:val="22"/>
          <w:szCs w:val="22"/>
          <w:lang w:val="en-GB"/>
        </w:rPr>
        <w:t xml:space="preserve"> the </w:t>
      </w:r>
      <w:r w:rsidRPr="004E053C">
        <w:rPr>
          <w:rFonts w:cstheme="majorHAnsi"/>
          <w:i/>
          <w:sz w:val="22"/>
          <w:szCs w:val="22"/>
          <w:lang w:val="en-GB"/>
        </w:rPr>
        <w:t>obreros</w:t>
      </w:r>
      <w:r w:rsidRPr="004E053C">
        <w:rPr>
          <w:rFonts w:cstheme="majorHAnsi"/>
          <w:sz w:val="22"/>
          <w:szCs w:val="22"/>
          <w:lang w:val="en-GB"/>
        </w:rPr>
        <w:t xml:space="preserve">, who do not own their own motors and are just employed as workers in a variety of different roles. The </w:t>
      </w:r>
      <w:r w:rsidRPr="004E053C">
        <w:rPr>
          <w:rFonts w:cstheme="majorHAnsi"/>
          <w:i/>
          <w:iCs/>
          <w:sz w:val="22"/>
          <w:szCs w:val="22"/>
          <w:lang w:val="en-GB"/>
        </w:rPr>
        <w:t>obreros</w:t>
      </w:r>
      <w:r w:rsidRPr="004E053C">
        <w:rPr>
          <w:rFonts w:cstheme="majorHAnsi"/>
          <w:sz w:val="22"/>
          <w:szCs w:val="22"/>
          <w:lang w:val="en-GB"/>
        </w:rPr>
        <w:t xml:space="preserve"> are often not referred to as </w:t>
      </w:r>
      <w:r w:rsidR="00A70DD0" w:rsidRPr="004E053C">
        <w:rPr>
          <w:rFonts w:cstheme="majorHAnsi"/>
          <w:sz w:val="22"/>
          <w:szCs w:val="22"/>
          <w:lang w:val="en-GB"/>
        </w:rPr>
        <w:t>‘miners’</w:t>
      </w:r>
      <w:r w:rsidRPr="004E053C">
        <w:rPr>
          <w:rFonts w:cstheme="majorHAnsi"/>
          <w:sz w:val="22"/>
          <w:szCs w:val="22"/>
          <w:lang w:val="en-GB"/>
        </w:rPr>
        <w:t>, particularly by the</w:t>
      </w:r>
      <w:r w:rsidRPr="004E053C">
        <w:rPr>
          <w:rFonts w:cstheme="majorHAnsi"/>
          <w:i/>
          <w:iCs/>
          <w:sz w:val="22"/>
          <w:szCs w:val="22"/>
          <w:lang w:val="en-GB"/>
        </w:rPr>
        <w:t xml:space="preserve"> duenos. </w:t>
      </w:r>
    </w:p>
    <w:p w14:paraId="21BA5B82" w14:textId="77777777" w:rsidR="0091076C" w:rsidRPr="004E053C" w:rsidRDefault="0091076C" w:rsidP="004E053C">
      <w:pPr>
        <w:spacing w:line="360" w:lineRule="auto"/>
        <w:jc w:val="both"/>
        <w:rPr>
          <w:rFonts w:eastAsia="Times New Roman" w:cstheme="majorHAnsi"/>
          <w:sz w:val="22"/>
          <w:szCs w:val="22"/>
          <w:lang w:val="en-GB"/>
        </w:rPr>
      </w:pPr>
    </w:p>
    <w:p w14:paraId="055546C6" w14:textId="606B9FBF" w:rsidR="0091076C" w:rsidRPr="004E053C" w:rsidRDefault="00123AB0" w:rsidP="004E053C">
      <w:pPr>
        <w:spacing w:line="360" w:lineRule="auto"/>
        <w:jc w:val="both"/>
        <w:rPr>
          <w:rFonts w:cstheme="majorHAnsi"/>
          <w:sz w:val="22"/>
          <w:szCs w:val="22"/>
          <w:lang w:val="en-GB"/>
        </w:rPr>
      </w:pPr>
      <w:r w:rsidRPr="004E053C">
        <w:rPr>
          <w:rFonts w:eastAsia="Times New Roman" w:cstheme="majorHAnsi"/>
          <w:sz w:val="22"/>
          <w:szCs w:val="22"/>
          <w:lang w:val="en-GB"/>
        </w:rPr>
        <w:t>S</w:t>
      </w:r>
      <w:r w:rsidR="0091076C" w:rsidRPr="004E053C">
        <w:rPr>
          <w:rFonts w:eastAsia="Times New Roman" w:cstheme="majorHAnsi"/>
          <w:sz w:val="22"/>
          <w:szCs w:val="22"/>
          <w:lang w:val="en-GB"/>
        </w:rPr>
        <w:t>ocial networks are important for miners to find work, not least because they have to prove that they possess the necessary skills. One</w:t>
      </w:r>
      <w:r w:rsidR="0091076C" w:rsidRPr="004E053C">
        <w:rPr>
          <w:rFonts w:eastAsia="Times New Roman" w:cstheme="majorHAnsi"/>
          <w:i/>
          <w:iCs/>
          <w:sz w:val="22"/>
          <w:szCs w:val="22"/>
          <w:lang w:val="en-GB"/>
        </w:rPr>
        <w:t xml:space="preserve"> dueno</w:t>
      </w:r>
      <w:r w:rsidR="0091076C" w:rsidRPr="004E053C">
        <w:rPr>
          <w:rFonts w:eastAsia="Times New Roman" w:cstheme="majorHAnsi"/>
          <w:sz w:val="22"/>
          <w:szCs w:val="22"/>
          <w:lang w:val="en-GB"/>
        </w:rPr>
        <w:t xml:space="preserve"> explained that at the beginning it is impossible to tell if a new </w:t>
      </w:r>
      <w:r w:rsidR="0091076C" w:rsidRPr="004E053C">
        <w:rPr>
          <w:rFonts w:eastAsia="Times New Roman" w:cstheme="majorHAnsi"/>
          <w:i/>
          <w:sz w:val="22"/>
          <w:szCs w:val="22"/>
          <w:lang w:val="en-GB"/>
        </w:rPr>
        <w:t xml:space="preserve">obrero </w:t>
      </w:r>
      <w:r w:rsidR="0091076C" w:rsidRPr="004E053C">
        <w:rPr>
          <w:rFonts w:eastAsia="Times New Roman" w:cstheme="majorHAnsi"/>
          <w:sz w:val="22"/>
          <w:szCs w:val="22"/>
          <w:lang w:val="en-GB"/>
        </w:rPr>
        <w:t>is going to be useless or not, and so new recruits must start with simple jobs, such as clearing away mud and foliage or moving rocks, until they build their skills and experience.</w:t>
      </w:r>
      <w:r w:rsidR="0091076C" w:rsidRPr="004E053C">
        <w:rPr>
          <w:rFonts w:cstheme="majorHAnsi"/>
          <w:sz w:val="22"/>
          <w:szCs w:val="22"/>
          <w:lang w:val="en-GB"/>
        </w:rPr>
        <w:t xml:space="preserve"> </w:t>
      </w:r>
      <w:r w:rsidR="0091076C" w:rsidRPr="004E053C">
        <w:rPr>
          <w:rFonts w:eastAsia="Times New Roman" w:cstheme="majorHAnsi"/>
          <w:sz w:val="22"/>
          <w:szCs w:val="22"/>
          <w:lang w:val="en-GB"/>
        </w:rPr>
        <w:t>However, the miners that had arrived some time ago stressed the ease with which one could find work in Madre de Dios, even with no experience:</w:t>
      </w:r>
    </w:p>
    <w:p w14:paraId="3388C46A" w14:textId="77777777" w:rsidR="0091076C" w:rsidRPr="004E053C" w:rsidRDefault="0091076C" w:rsidP="004E053C">
      <w:pPr>
        <w:spacing w:line="360" w:lineRule="auto"/>
        <w:jc w:val="both"/>
        <w:rPr>
          <w:rFonts w:eastAsia="Times New Roman" w:cstheme="majorHAnsi"/>
          <w:sz w:val="22"/>
          <w:szCs w:val="22"/>
          <w:lang w:val="en-GB"/>
        </w:rPr>
      </w:pPr>
    </w:p>
    <w:p w14:paraId="20E3EFF9" w14:textId="36B5C124" w:rsidR="0091076C" w:rsidRPr="004E053C" w:rsidRDefault="00A70DD0"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0091076C" w:rsidRPr="004E053C">
        <w:rPr>
          <w:rFonts w:eastAsia="Times New Roman" w:cstheme="majorHAnsi"/>
          <w:i/>
          <w:sz w:val="22"/>
          <w:szCs w:val="22"/>
          <w:lang w:val="en-GB"/>
        </w:rPr>
        <w:t>At that time there was the possibility that everyone could get a job. You just had to go and ask people, or there were announcements. Just if you went and looked at a sign the miners came over and said, “hey do you want to work?” And if you say, “Yes!” then they say “Ok, great, what can you do and what do you know?” And then you say, “Nothing”, and they say, “That’s ok, doesn’t matter…come and work with us</w:t>
      </w:r>
      <w:r w:rsidRPr="004E053C">
        <w:rPr>
          <w:rFonts w:eastAsia="Times New Roman" w:cstheme="majorHAnsi"/>
          <w:sz w:val="22"/>
          <w:szCs w:val="22"/>
          <w:lang w:val="en-GB"/>
        </w:rPr>
        <w:t>’</w:t>
      </w:r>
      <w:r w:rsidR="0091076C"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Carlos</w:t>
      </w:r>
      <w:r w:rsidR="0091076C" w:rsidRPr="004E053C">
        <w:rPr>
          <w:rFonts w:eastAsia="Times New Roman" w:cstheme="majorHAnsi"/>
          <w:sz w:val="22"/>
          <w:szCs w:val="22"/>
          <w:lang w:val="en-GB"/>
        </w:rPr>
        <w:t>, ex-miner, Puerto Maldonado)</w:t>
      </w:r>
      <w:r w:rsidR="00843DED" w:rsidRPr="004E053C">
        <w:rPr>
          <w:rFonts w:eastAsia="Times New Roman" w:cstheme="majorHAnsi"/>
          <w:sz w:val="22"/>
          <w:szCs w:val="22"/>
          <w:lang w:val="en-GB"/>
        </w:rPr>
        <w:t xml:space="preserve">. </w:t>
      </w:r>
    </w:p>
    <w:p w14:paraId="6379F8A6" w14:textId="77777777" w:rsidR="0091076C" w:rsidRPr="004E053C" w:rsidRDefault="0091076C" w:rsidP="004E053C">
      <w:pPr>
        <w:spacing w:line="360" w:lineRule="auto"/>
        <w:jc w:val="both"/>
        <w:rPr>
          <w:rFonts w:eastAsia="Times New Roman" w:cstheme="majorHAnsi"/>
          <w:sz w:val="22"/>
          <w:szCs w:val="22"/>
          <w:lang w:val="en-GB"/>
        </w:rPr>
      </w:pPr>
    </w:p>
    <w:p w14:paraId="3C474732" w14:textId="3ED17FFB" w:rsidR="00375FB0" w:rsidRPr="004E053C" w:rsidRDefault="00123AB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This</w:t>
      </w:r>
      <w:r w:rsidR="005527DD" w:rsidRPr="004E053C">
        <w:rPr>
          <w:rFonts w:eastAsia="Times New Roman" w:cstheme="majorHAnsi"/>
          <w:sz w:val="22"/>
          <w:szCs w:val="22"/>
          <w:lang w:val="en-GB"/>
        </w:rPr>
        <w:t xml:space="preserve"> account seem</w:t>
      </w:r>
      <w:r w:rsidRPr="004E053C">
        <w:rPr>
          <w:rFonts w:eastAsia="Times New Roman" w:cstheme="majorHAnsi"/>
          <w:sz w:val="22"/>
          <w:szCs w:val="22"/>
          <w:lang w:val="en-GB"/>
        </w:rPr>
        <w:t>s</w:t>
      </w:r>
      <w:r w:rsidR="005527DD" w:rsidRPr="004E053C">
        <w:rPr>
          <w:rFonts w:eastAsia="Times New Roman" w:cstheme="majorHAnsi"/>
          <w:sz w:val="22"/>
          <w:szCs w:val="22"/>
          <w:lang w:val="en-GB"/>
        </w:rPr>
        <w:t xml:space="preserve"> to fit with observations in a local mining recruitment agency in Laberinto, where positions that are announced over the market’s tannoy system are filled minutes later. </w:t>
      </w:r>
      <w:r w:rsidR="0091076C" w:rsidRPr="004E053C">
        <w:rPr>
          <w:rFonts w:eastAsia="Times New Roman" w:cstheme="majorHAnsi"/>
          <w:sz w:val="22"/>
          <w:szCs w:val="22"/>
          <w:lang w:val="en-GB"/>
        </w:rPr>
        <w:t>However, nearly all of the interviewed miners had utilised social connections to secure work. As has be</w:t>
      </w:r>
      <w:r w:rsidR="006B391A" w:rsidRPr="004E053C">
        <w:rPr>
          <w:rFonts w:eastAsia="Times New Roman" w:cstheme="majorHAnsi"/>
          <w:sz w:val="22"/>
          <w:szCs w:val="22"/>
          <w:lang w:val="en-GB"/>
        </w:rPr>
        <w:t xml:space="preserve">en identified by Verbrugge </w:t>
      </w:r>
      <w:r w:rsidR="006B391A" w:rsidRPr="004E053C">
        <w:rPr>
          <w:rFonts w:eastAsia="Times New Roman" w:cstheme="majorHAnsi"/>
          <w:sz w:val="22"/>
          <w:szCs w:val="22"/>
          <w:lang w:val="en-GB"/>
        </w:rPr>
        <w:fldChar w:fldCharType="begin" w:fldLock="1"/>
      </w:r>
      <w:r w:rsidR="007F27D0" w:rsidRPr="004E053C">
        <w:rPr>
          <w:rFonts w:eastAsia="Times New Roman" w:cstheme="majorHAnsi"/>
          <w:sz w:val="22"/>
          <w:szCs w:val="22"/>
          <w:lang w:val="en-GB"/>
        </w:rPr>
        <w:instrText>ADDIN CSL_CITATION {"citationItems":[{"id":"ITEM-1","itemData":{"abstract":"Combining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Studies","id":"ITEM-1","issue":"Part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transformation","type":"article-journal","volume":"47"},"uris":["http://www.mendeley.com/documents/?uuid=fb82d0a5-64cc-4673-b8d8-4ea22e3fb839"]}],"mendeley":{"formattedCitation":"(Verbrugge, 2016)","manualFormatting":"(2016)","plainTextFormattedCitation":"(Verbrugge, 2016)","previouslyFormattedCitation":"(Verbrugge, 2016)"},"properties":{"noteIndex":0},"schema":"https://github.com/citation-style-language/schema/raw/master/csl-citation.json"}</w:instrText>
      </w:r>
      <w:r w:rsidR="006B391A" w:rsidRPr="004E053C">
        <w:rPr>
          <w:rFonts w:eastAsia="Times New Roman" w:cstheme="majorHAnsi"/>
          <w:sz w:val="22"/>
          <w:szCs w:val="22"/>
          <w:lang w:val="en-GB"/>
        </w:rPr>
        <w:fldChar w:fldCharType="separate"/>
      </w:r>
      <w:r w:rsidR="006B391A" w:rsidRPr="004E053C">
        <w:rPr>
          <w:rFonts w:eastAsia="Times New Roman" w:cstheme="majorHAnsi"/>
          <w:noProof/>
          <w:sz w:val="22"/>
          <w:szCs w:val="22"/>
          <w:lang w:val="en-GB"/>
        </w:rPr>
        <w:t>(2016)</w:t>
      </w:r>
      <w:r w:rsidR="006B391A" w:rsidRPr="004E053C">
        <w:rPr>
          <w:rFonts w:eastAsia="Times New Roman" w:cstheme="majorHAnsi"/>
          <w:sz w:val="22"/>
          <w:szCs w:val="22"/>
          <w:lang w:val="en-GB"/>
        </w:rPr>
        <w:fldChar w:fldCharType="end"/>
      </w:r>
      <w:r w:rsidR="0091076C" w:rsidRPr="004E053C">
        <w:rPr>
          <w:rFonts w:eastAsia="Times New Roman" w:cstheme="majorHAnsi"/>
          <w:sz w:val="22"/>
          <w:szCs w:val="22"/>
          <w:lang w:val="en-GB"/>
        </w:rPr>
        <w:t xml:space="preserve">, kinship networks are particularly important, and five of the miners reported finding work through relatives already working in the area. For some, having these pre-existing relationships was a key factor in their decision to migrate. Other miners found a way into </w:t>
      </w:r>
      <w:r w:rsidR="0091076C" w:rsidRPr="004E053C">
        <w:rPr>
          <w:rFonts w:eastAsia="Times New Roman" w:cstheme="majorHAnsi"/>
          <w:sz w:val="22"/>
          <w:szCs w:val="22"/>
          <w:lang w:val="en-GB"/>
        </w:rPr>
        <w:lastRenderedPageBreak/>
        <w:t>the ASM through building social connections after their arrival, either through their leisure time or through other work e.g. in hotels which housed miners. Si</w:t>
      </w:r>
      <w:r w:rsidR="00F92A10" w:rsidRPr="004E053C">
        <w:rPr>
          <w:rFonts w:eastAsia="Times New Roman" w:cstheme="majorHAnsi"/>
          <w:sz w:val="22"/>
          <w:szCs w:val="22"/>
          <w:lang w:val="en-GB"/>
        </w:rPr>
        <w:t xml:space="preserve">milar to findings </w:t>
      </w:r>
      <w:r w:rsidR="000C4968" w:rsidRPr="004E053C">
        <w:rPr>
          <w:rFonts w:eastAsia="Times New Roman" w:cstheme="majorHAnsi"/>
          <w:sz w:val="22"/>
          <w:szCs w:val="22"/>
          <w:lang w:val="en-GB"/>
        </w:rPr>
        <w:t>from Benin</w:t>
      </w:r>
      <w:r w:rsidR="00F92A10" w:rsidRPr="004E053C">
        <w:rPr>
          <w:rFonts w:eastAsia="Times New Roman" w:cstheme="majorHAnsi"/>
          <w:sz w:val="22"/>
          <w:szCs w:val="22"/>
          <w:lang w:val="en-GB"/>
        </w:rPr>
        <w:t xml:space="preserve"> </w:t>
      </w:r>
      <w:r w:rsidR="006B391A"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{"citationItems":[{"id":"ITEM-1","itemData":{"abstract":"Gold miners in Northern Benin are exposed to physical risks as well as economic risks of uncertain yields. The interrelatedness of different types of risk, both in their perception and in the coping strategies, will be addressed in this paper. It also challenges theoretical perspectives on risk that assume coherent world-views and highlights processes of communication and group behaviour.","author":[{"dropping-particle":"","family":"Grätz","given":"Tilo","non-dropping-particle":"","parse-names":false,"suffix":""}],"container-title":"Ethnos","id":"ITEM-1","issue":"2","issued":{"date-parts":[["2003"]]},"page":"92- 208","title":"Gold-mining and risk management: A case study from northern Benin","type":"article-journal","volume":"68"},"uris":["http://www.mendeley.com/documents/?uuid=6343a2ca-4269-43e3-8d6a-134abd34f207"]},{"id":"ITEM-2","itemData":{"author":[{"dropping-particle":"","family":"Grätz","given":"Tilo","non-dropping-particle":"","parse-names":false,"suffix":""}],"container-title":"Africa: Journal of the International African Institute","id":"ITEM-2","issue":"2","issued":{"date-parts":[["2004"]]},"page":"146-172","title":"Gold Trading Networks and the Creation of Trust: A Case Study from Northern Benin","type":"article-journal","volume":"74"},"uris":["http://www.mendeley.com/documents/?uuid=d39d6dd5-3b2d-4d7c-8419-5ff8daa54c5d"]},{"id":"ITEM-3","itemData":{"abstract":"The paper explores the life and work of young male gold miners in Northern Benin, West Africa. It describes modes of organisation, norms and rules of mining teams as well as the situation in the region's mining camps at large. Despite various internal conflicts and a high degree of social fluctuation and uncertainty due to repeated state interventions, the social field of gold mining is marked by cohesion and viable patterns of risk sharing. © 2009 Elsevier Ltd. All rights reserved.","author":[{"dropping-particle":"","family":"Grätz","given":"Tilo","non-dropping-particle":"","parse-names":false,"suffix":""}],"container-title":"Resources Policy","id":"ITEM-3","issued":{"date-parts":[["2009"]]},"title":"Moralities, risk and rules in West African artisanal gold mining communities: A case study of Northern Benin","type":"article-journal"},"uris":["http://www.mendeley.com/documents/?uuid=ce8980ff-88a3-3fb2-b6c3-ca1f45808b55"]}],"mendeley":{"formattedCitation":"(Grätz, 2003, 2004b, 2009)","manualFormatting":"(Gratz, 2003, 2004, 2009)","plainTextFormattedCitation":"(Grätz, 2003, 2004b, 2009)","previouslyFormattedCitation":"(Grätz, 2003, 2004b, 2009)"},"properties":{"noteIndex":0},"schema":"https://github.com/citation-style-language/schema/raw/master/csl-citation.json"}</w:instrText>
      </w:r>
      <w:r w:rsidR="006B391A" w:rsidRPr="004E053C">
        <w:rPr>
          <w:rFonts w:eastAsia="Times New Roman" w:cstheme="majorHAnsi"/>
          <w:sz w:val="22"/>
          <w:szCs w:val="22"/>
          <w:lang w:val="en-GB"/>
        </w:rPr>
        <w:fldChar w:fldCharType="separate"/>
      </w:r>
      <w:r w:rsidR="006B391A" w:rsidRPr="004E053C">
        <w:rPr>
          <w:rFonts w:eastAsia="Times New Roman" w:cstheme="majorHAnsi"/>
          <w:noProof/>
          <w:sz w:val="22"/>
          <w:szCs w:val="22"/>
          <w:lang w:val="en-GB"/>
        </w:rPr>
        <w:t>(</w:t>
      </w:r>
      <w:r w:rsidR="000C4968" w:rsidRPr="004E053C">
        <w:rPr>
          <w:rFonts w:eastAsia="Times New Roman" w:cstheme="majorHAnsi"/>
          <w:noProof/>
          <w:sz w:val="22"/>
          <w:szCs w:val="22"/>
          <w:lang w:val="en-GB"/>
        </w:rPr>
        <w:t xml:space="preserve">Gratz, </w:t>
      </w:r>
      <w:r w:rsidR="006B391A" w:rsidRPr="004E053C">
        <w:rPr>
          <w:rFonts w:eastAsia="Times New Roman" w:cstheme="majorHAnsi"/>
          <w:noProof/>
          <w:sz w:val="22"/>
          <w:szCs w:val="22"/>
          <w:lang w:val="en-GB"/>
        </w:rPr>
        <w:t>2003, 2004, 2009)</w:t>
      </w:r>
      <w:r w:rsidR="006B391A" w:rsidRPr="004E053C">
        <w:rPr>
          <w:rFonts w:eastAsia="Times New Roman" w:cstheme="majorHAnsi"/>
          <w:sz w:val="22"/>
          <w:szCs w:val="22"/>
          <w:lang w:val="en-GB"/>
        </w:rPr>
        <w:fldChar w:fldCharType="end"/>
      </w:r>
      <w:r w:rsidR="00BD3790" w:rsidRPr="004E053C">
        <w:rPr>
          <w:rFonts w:eastAsia="Times New Roman" w:cstheme="majorHAnsi"/>
          <w:sz w:val="22"/>
          <w:szCs w:val="22"/>
          <w:lang w:val="en-GB"/>
        </w:rPr>
        <w:t xml:space="preserve"> and Suriname </w:t>
      </w:r>
      <w:r w:rsidR="00BD3790" w:rsidRPr="004E053C">
        <w:rPr>
          <w:rFonts w:eastAsia="Times New Roman" w:cstheme="majorHAnsi"/>
          <w:sz w:val="22"/>
          <w:szCs w:val="22"/>
          <w:lang w:val="en-GB"/>
        </w:rPr>
        <w:fldChar w:fldCharType="begin" w:fldLock="1"/>
      </w:r>
      <w:r w:rsidR="007A757C" w:rsidRPr="004E053C">
        <w:rPr>
          <w:rFonts w:eastAsia="Times New Roman" w:cstheme="majorHAnsi"/>
          <w:sz w:val="22"/>
          <w:szCs w:val="22"/>
          <w:lang w:val="en-GB"/>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2009)","plainTextFormattedCitation":"(De Theije &amp; Heemskerk, 2009)","previouslyFormattedCitation":"(De Theije &amp; Heemskerk, 2009)"},"properties":{"noteIndex":0},"schema":"https://github.com/citation-style-language/schema/raw/master/csl-citation.json"}</w:instrText>
      </w:r>
      <w:r w:rsidR="00BD3790" w:rsidRPr="004E053C">
        <w:rPr>
          <w:rFonts w:eastAsia="Times New Roman" w:cstheme="majorHAnsi"/>
          <w:sz w:val="22"/>
          <w:szCs w:val="22"/>
          <w:lang w:val="en-GB"/>
        </w:rPr>
        <w:fldChar w:fldCharType="separate"/>
      </w:r>
      <w:r w:rsidR="00BD3790" w:rsidRPr="004E053C">
        <w:rPr>
          <w:rFonts w:eastAsia="Times New Roman" w:cstheme="majorHAnsi"/>
          <w:noProof/>
          <w:sz w:val="22"/>
          <w:szCs w:val="22"/>
          <w:lang w:val="en-GB"/>
        </w:rPr>
        <w:t>(De Theije &amp; Heemskerk, 2009)</w:t>
      </w:r>
      <w:r w:rsidR="00BD3790" w:rsidRPr="004E053C">
        <w:rPr>
          <w:rFonts w:eastAsia="Times New Roman" w:cstheme="majorHAnsi"/>
          <w:sz w:val="22"/>
          <w:szCs w:val="22"/>
          <w:lang w:val="en-GB"/>
        </w:rPr>
        <w:fldChar w:fldCharType="end"/>
      </w:r>
      <w:r w:rsidR="00BD3790" w:rsidRPr="004E053C">
        <w:rPr>
          <w:rFonts w:eastAsia="Times New Roman" w:cstheme="majorHAnsi"/>
          <w:sz w:val="22"/>
          <w:szCs w:val="22"/>
          <w:lang w:val="en-GB"/>
        </w:rPr>
        <w:t xml:space="preserve">, </w:t>
      </w:r>
      <w:r w:rsidR="0091076C" w:rsidRPr="004E053C">
        <w:rPr>
          <w:rFonts w:eastAsia="Times New Roman" w:cstheme="majorHAnsi"/>
          <w:sz w:val="22"/>
          <w:szCs w:val="22"/>
          <w:lang w:val="en-GB"/>
        </w:rPr>
        <w:t xml:space="preserve">the respondents said that the friendships they formed outside of work, particularly through playing football and socialising in local bars, enabled them to secure future work opportunities. </w:t>
      </w:r>
      <w:r w:rsidR="00D50466" w:rsidRPr="004E053C">
        <w:rPr>
          <w:rFonts w:eastAsia="Times New Roman" w:cstheme="majorHAnsi"/>
          <w:sz w:val="22"/>
          <w:szCs w:val="22"/>
          <w:lang w:val="en-GB"/>
        </w:rPr>
        <w:t>This highlights a key way in</w:t>
      </w:r>
      <w:r w:rsidR="00375FB0" w:rsidRPr="004E053C">
        <w:rPr>
          <w:rFonts w:eastAsia="Times New Roman" w:cstheme="majorHAnsi"/>
          <w:sz w:val="22"/>
          <w:szCs w:val="22"/>
          <w:lang w:val="en-GB"/>
        </w:rPr>
        <w:t xml:space="preserve"> which </w:t>
      </w:r>
      <w:r w:rsidR="00D50466" w:rsidRPr="004E053C">
        <w:rPr>
          <w:rFonts w:eastAsia="Times New Roman" w:cstheme="majorHAnsi"/>
          <w:sz w:val="22"/>
          <w:szCs w:val="22"/>
          <w:lang w:val="en-GB"/>
        </w:rPr>
        <w:t xml:space="preserve">the </w:t>
      </w:r>
      <w:r w:rsidR="00375FB0" w:rsidRPr="004E053C">
        <w:rPr>
          <w:rFonts w:eastAsia="Times New Roman" w:cstheme="majorHAnsi"/>
          <w:sz w:val="22"/>
          <w:szCs w:val="22"/>
          <w:lang w:val="en-GB"/>
        </w:rPr>
        <w:t xml:space="preserve">habitus that develops within the social field of ASM translate into social capital </w:t>
      </w:r>
      <w:r w:rsidR="00D50466" w:rsidRPr="004E053C">
        <w:rPr>
          <w:rFonts w:eastAsia="Times New Roman" w:cstheme="majorHAnsi"/>
          <w:sz w:val="22"/>
          <w:szCs w:val="22"/>
          <w:lang w:val="en-GB"/>
        </w:rPr>
        <w:t xml:space="preserve">and status </w:t>
      </w:r>
      <w:r w:rsidR="006B391A"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{"citationItems":[{"id":"ITEM-1","itemData":{"abstract":"Most of Pierre Bourdieu’s work describes struggles over symbolic capital and hierarchies among the economic and cultural elite. However, his theories and concepts are not exclusive to studies of those with power. By using Bourdieu’s conceptualizations of social space, capital and habitus, the article discusses the hierarchies and struggles over symbolic capital at the bottom of societies. The analysis is grounded in interviews and fieldwork with ethnic minority youths on the streets of Oslo, Norway. Analysing the violence among the young men, the article argues that marginalized ethnic minorities and certain groups of refugees use particular strategies in order to accumulate symbolic capital. They have embodied experiences that can be transformed into forms of ‘street capital’ favourable in a violent street culture.","author":[{"dropping-particle":"","family":"Sandberg","given":"Sveinung","non-dropping-particle":"","parse-names":false,"suffix":""}],"container-title":"Theoretical Criminology","id":"ITEM-1","issue":"2","issued":{"date-parts":[["2008"]]},"page":"153-171","title":"Street capital: ethnicity and violence on the streets of Oslo","type":"article-journal","volume":"12"},"uris":["http://www.mendeley.com/documents/?uuid=adef821f-3946-4c33-bdec-ac47eca11b5b"]}],"mendeley":{"formattedCitation":"(Sandberg, 2008)","plainTextFormattedCitation":"(Sandberg, 2008)","previouslyFormattedCitation":"(Sandberg, 2008)"},"properties":{"noteIndex":0},"schema":"https://github.com/citation-style-language/schema/raw/master/csl-citation.json"}</w:instrText>
      </w:r>
      <w:r w:rsidR="006B391A" w:rsidRPr="004E053C">
        <w:rPr>
          <w:rFonts w:eastAsia="Times New Roman" w:cstheme="majorHAnsi"/>
          <w:sz w:val="22"/>
          <w:szCs w:val="22"/>
          <w:lang w:val="en-GB"/>
        </w:rPr>
        <w:fldChar w:fldCharType="separate"/>
      </w:r>
      <w:r w:rsidR="006B391A" w:rsidRPr="004E053C">
        <w:rPr>
          <w:rFonts w:eastAsia="Times New Roman" w:cstheme="majorHAnsi"/>
          <w:noProof/>
          <w:sz w:val="22"/>
          <w:szCs w:val="22"/>
          <w:lang w:val="en-GB"/>
        </w:rPr>
        <w:t>(Sandberg, 2008)</w:t>
      </w:r>
      <w:r w:rsidR="006B391A" w:rsidRPr="004E053C">
        <w:rPr>
          <w:rFonts w:eastAsia="Times New Roman" w:cstheme="majorHAnsi"/>
          <w:sz w:val="22"/>
          <w:szCs w:val="22"/>
          <w:lang w:val="en-GB"/>
        </w:rPr>
        <w:fldChar w:fldCharType="end"/>
      </w:r>
      <w:r w:rsidR="00DB3DA8" w:rsidRPr="004E053C">
        <w:rPr>
          <w:rFonts w:eastAsia="Times New Roman" w:cstheme="majorHAnsi"/>
          <w:sz w:val="22"/>
          <w:szCs w:val="22"/>
          <w:lang w:val="en-GB"/>
        </w:rPr>
        <w:t xml:space="preserve">. </w:t>
      </w:r>
    </w:p>
    <w:p w14:paraId="4343E453" w14:textId="77777777" w:rsidR="0091076C" w:rsidRPr="004E053C" w:rsidRDefault="0091076C" w:rsidP="004E053C">
      <w:pPr>
        <w:spacing w:line="360" w:lineRule="auto"/>
        <w:jc w:val="both"/>
        <w:rPr>
          <w:rFonts w:eastAsia="Times New Roman" w:cstheme="majorHAnsi"/>
          <w:sz w:val="22"/>
          <w:szCs w:val="22"/>
          <w:lang w:val="en-GB"/>
        </w:rPr>
      </w:pPr>
    </w:p>
    <w:p w14:paraId="1E9B2184" w14:textId="11FD57C8" w:rsidR="0091076C" w:rsidRPr="004E053C" w:rsidRDefault="0091076C"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Professional relationships can be used to move from being an </w:t>
      </w:r>
      <w:r w:rsidRPr="004E053C">
        <w:rPr>
          <w:rFonts w:eastAsia="Times New Roman" w:cstheme="majorHAnsi"/>
          <w:i/>
          <w:iCs/>
          <w:sz w:val="22"/>
          <w:szCs w:val="22"/>
          <w:lang w:val="en-GB"/>
        </w:rPr>
        <w:t>obrero</w:t>
      </w:r>
      <w:r w:rsidRPr="004E053C">
        <w:rPr>
          <w:rFonts w:eastAsia="Times New Roman" w:cstheme="majorHAnsi"/>
          <w:sz w:val="22"/>
          <w:szCs w:val="22"/>
          <w:lang w:val="en-GB"/>
        </w:rPr>
        <w:t xml:space="preserve"> to a </w:t>
      </w:r>
      <w:r w:rsidRPr="004E053C">
        <w:rPr>
          <w:rFonts w:eastAsia="Times New Roman" w:cstheme="majorHAnsi"/>
          <w:i/>
          <w:iCs/>
          <w:sz w:val="22"/>
          <w:szCs w:val="22"/>
          <w:lang w:val="en-GB"/>
        </w:rPr>
        <w:t>dueno</w:t>
      </w:r>
      <w:r w:rsidR="00F42644" w:rsidRPr="004E053C">
        <w:rPr>
          <w:rFonts w:eastAsia="Times New Roman" w:cstheme="majorHAnsi"/>
          <w:i/>
          <w:iCs/>
          <w:sz w:val="22"/>
          <w:szCs w:val="22"/>
          <w:lang w:val="en-GB"/>
        </w:rPr>
        <w:t xml:space="preserve">, </w:t>
      </w:r>
      <w:r w:rsidR="00F42644" w:rsidRPr="004E053C">
        <w:rPr>
          <w:rFonts w:eastAsia="Times New Roman" w:cstheme="majorHAnsi"/>
          <w:iCs/>
          <w:sz w:val="22"/>
          <w:szCs w:val="22"/>
          <w:lang w:val="en-GB"/>
        </w:rPr>
        <w:t>and in doing so potentially secure financial gain</w:t>
      </w:r>
      <w:r w:rsidR="00F42644" w:rsidRPr="004E053C">
        <w:rPr>
          <w:rFonts w:eastAsia="Times New Roman" w:cstheme="majorHAnsi"/>
          <w:sz w:val="22"/>
          <w:szCs w:val="22"/>
          <w:lang w:val="en-GB"/>
        </w:rPr>
        <w:t>. Developing such relationships generally involves</w:t>
      </w:r>
      <w:r w:rsidRPr="004E053C">
        <w:rPr>
          <w:rFonts w:eastAsia="Times New Roman" w:cstheme="majorHAnsi"/>
          <w:sz w:val="22"/>
          <w:szCs w:val="22"/>
          <w:lang w:val="en-GB"/>
        </w:rPr>
        <w:t xml:space="preserve"> working hard and proving your ability to the owner. For example, </w:t>
      </w:r>
      <w:r w:rsidR="00EA7F80" w:rsidRPr="004E053C">
        <w:rPr>
          <w:rFonts w:eastAsia="Times New Roman" w:cstheme="majorHAnsi"/>
          <w:sz w:val="22"/>
          <w:szCs w:val="22"/>
          <w:lang w:val="en-GB"/>
        </w:rPr>
        <w:t>Benito</w:t>
      </w:r>
      <w:r w:rsidRPr="004E053C">
        <w:rPr>
          <w:rFonts w:eastAsia="Times New Roman" w:cstheme="majorHAnsi"/>
          <w:sz w:val="22"/>
          <w:szCs w:val="22"/>
          <w:lang w:val="en-GB"/>
        </w:rPr>
        <w:t xml:space="preserve"> said that after only eight months working in Laberinto he had been able to open his own business with the advice and support of his boss, with whom he built a good relationship: </w:t>
      </w:r>
    </w:p>
    <w:p w14:paraId="406184DE" w14:textId="77777777" w:rsidR="0091076C" w:rsidRPr="004E053C" w:rsidRDefault="0091076C" w:rsidP="004E053C">
      <w:pPr>
        <w:spacing w:line="360" w:lineRule="auto"/>
        <w:jc w:val="both"/>
        <w:rPr>
          <w:rFonts w:eastAsia="Times New Roman" w:cstheme="majorHAnsi"/>
          <w:sz w:val="22"/>
          <w:szCs w:val="22"/>
          <w:lang w:val="en-GB"/>
        </w:rPr>
      </w:pPr>
    </w:p>
    <w:p w14:paraId="78331029" w14:textId="65328780" w:rsidR="0091076C" w:rsidRPr="004E053C" w:rsidRDefault="00F42644" w:rsidP="004E053C">
      <w:pPr>
        <w:ind w:left="720"/>
        <w:jc w:val="both"/>
        <w:rPr>
          <w:rFonts w:cstheme="majorHAnsi"/>
          <w:sz w:val="22"/>
          <w:szCs w:val="22"/>
          <w:lang w:val="en-GB"/>
        </w:rPr>
      </w:pPr>
      <w:r w:rsidRPr="004E053C">
        <w:rPr>
          <w:rFonts w:cstheme="majorHAnsi"/>
          <w:sz w:val="22"/>
          <w:szCs w:val="22"/>
          <w:lang w:val="en-GB"/>
        </w:rPr>
        <w:t>‘</w:t>
      </w:r>
      <w:r w:rsidR="0091076C" w:rsidRPr="004E053C">
        <w:rPr>
          <w:rFonts w:cstheme="majorHAnsi"/>
          <w:i/>
          <w:sz w:val="22"/>
          <w:szCs w:val="22"/>
          <w:lang w:val="en-GB"/>
        </w:rPr>
        <w:t>I used to recommend ways for him to improve his business. I used to help him a lot and I didn’t get money for that, but he helped me get my own business. He helped me buy my own motor which meant that I could work by myself</w:t>
      </w:r>
      <w:r w:rsidRPr="004E053C">
        <w:rPr>
          <w:rFonts w:cstheme="majorHAnsi"/>
          <w:sz w:val="22"/>
          <w:szCs w:val="22"/>
          <w:lang w:val="en-GB"/>
        </w:rPr>
        <w:t>’</w:t>
      </w:r>
      <w:r w:rsidR="0091076C" w:rsidRPr="004E053C">
        <w:rPr>
          <w:rFonts w:cstheme="majorHAnsi"/>
          <w:sz w:val="22"/>
          <w:szCs w:val="22"/>
          <w:lang w:val="en-GB"/>
        </w:rPr>
        <w:t xml:space="preserve"> (</w:t>
      </w:r>
      <w:r w:rsidR="00EA7F80" w:rsidRPr="004E053C">
        <w:rPr>
          <w:rFonts w:cstheme="majorHAnsi"/>
          <w:sz w:val="22"/>
          <w:szCs w:val="22"/>
          <w:lang w:val="en-GB"/>
        </w:rPr>
        <w:t>Benito</w:t>
      </w:r>
      <w:r w:rsidR="0091076C" w:rsidRPr="004E053C">
        <w:rPr>
          <w:rFonts w:cstheme="majorHAnsi"/>
          <w:sz w:val="22"/>
          <w:szCs w:val="22"/>
          <w:lang w:val="en-GB"/>
        </w:rPr>
        <w:t>, ASM Miner, Laberinto).</w:t>
      </w:r>
    </w:p>
    <w:p w14:paraId="59FFFB17" w14:textId="77777777" w:rsidR="0091076C" w:rsidRPr="004E053C" w:rsidRDefault="0091076C" w:rsidP="004E053C">
      <w:pPr>
        <w:spacing w:line="360" w:lineRule="auto"/>
        <w:jc w:val="both"/>
        <w:rPr>
          <w:rFonts w:cstheme="majorHAnsi"/>
          <w:sz w:val="22"/>
          <w:szCs w:val="22"/>
          <w:lang w:val="en-GB"/>
        </w:rPr>
      </w:pPr>
    </w:p>
    <w:p w14:paraId="4C50877B" w14:textId="0CBE0150" w:rsidR="0091076C" w:rsidRPr="004E053C" w:rsidRDefault="0091076C"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A similar experience was reported by </w:t>
      </w:r>
      <w:r w:rsidR="00EA7F80" w:rsidRPr="004E053C">
        <w:rPr>
          <w:rFonts w:cstheme="majorHAnsi"/>
          <w:sz w:val="22"/>
          <w:szCs w:val="22"/>
          <w:lang w:val="en-GB"/>
        </w:rPr>
        <w:t>Bernardo</w:t>
      </w:r>
      <w:r w:rsidRPr="004E053C">
        <w:rPr>
          <w:rFonts w:cstheme="majorHAnsi"/>
          <w:sz w:val="22"/>
          <w:szCs w:val="22"/>
          <w:lang w:val="en-GB"/>
        </w:rPr>
        <w:t xml:space="preserve">, who said that because the miners know each other very well, they support each other to become </w:t>
      </w:r>
      <w:r w:rsidRPr="004E053C">
        <w:rPr>
          <w:rFonts w:cstheme="majorHAnsi"/>
          <w:i/>
          <w:sz w:val="22"/>
          <w:szCs w:val="22"/>
          <w:lang w:val="en-GB"/>
        </w:rPr>
        <w:t xml:space="preserve">duenos </w:t>
      </w:r>
      <w:r w:rsidRPr="004E053C">
        <w:rPr>
          <w:rFonts w:cstheme="majorHAnsi"/>
          <w:sz w:val="22"/>
          <w:szCs w:val="22"/>
          <w:lang w:val="en-GB"/>
        </w:rPr>
        <w:t xml:space="preserve">and not just </w:t>
      </w:r>
      <w:r w:rsidRPr="004E053C">
        <w:rPr>
          <w:rFonts w:cstheme="majorHAnsi"/>
          <w:i/>
          <w:sz w:val="22"/>
          <w:szCs w:val="22"/>
          <w:lang w:val="en-GB"/>
        </w:rPr>
        <w:t>obr</w:t>
      </w:r>
      <w:r w:rsidR="00F42644" w:rsidRPr="004E053C">
        <w:rPr>
          <w:rFonts w:cstheme="majorHAnsi"/>
          <w:i/>
          <w:sz w:val="22"/>
          <w:szCs w:val="22"/>
          <w:lang w:val="en-GB"/>
        </w:rPr>
        <w:t xml:space="preserve">eros – ‘They say, </w:t>
      </w:r>
      <w:r w:rsidR="00A70DD0" w:rsidRPr="004E053C">
        <w:rPr>
          <w:rFonts w:cstheme="majorHAnsi"/>
          <w:i/>
          <w:sz w:val="22"/>
          <w:szCs w:val="22"/>
          <w:lang w:val="en-GB"/>
        </w:rPr>
        <w:t>“</w:t>
      </w:r>
      <w:r w:rsidRPr="004E053C">
        <w:rPr>
          <w:rFonts w:cstheme="majorHAnsi"/>
          <w:i/>
          <w:sz w:val="22"/>
          <w:szCs w:val="22"/>
          <w:lang w:val="en-GB"/>
        </w:rPr>
        <w:t xml:space="preserve">why are you working for someone else if you are strong enough to have your </w:t>
      </w:r>
      <w:r w:rsidR="00A70DD0" w:rsidRPr="004E053C">
        <w:rPr>
          <w:rFonts w:cstheme="majorHAnsi"/>
          <w:i/>
          <w:sz w:val="22"/>
          <w:szCs w:val="22"/>
          <w:lang w:val="en-GB"/>
        </w:rPr>
        <w:t>own business or be independent?”’</w:t>
      </w:r>
      <w:r w:rsidRPr="004E053C">
        <w:rPr>
          <w:rFonts w:cstheme="majorHAnsi"/>
          <w:sz w:val="22"/>
          <w:szCs w:val="22"/>
          <w:lang w:val="en-GB"/>
        </w:rPr>
        <w:t xml:space="preserve"> </w:t>
      </w:r>
      <w:r w:rsidRPr="004E053C">
        <w:rPr>
          <w:rFonts w:eastAsia="Times New Roman" w:cstheme="majorHAnsi"/>
          <w:sz w:val="22"/>
          <w:szCs w:val="22"/>
          <w:lang w:val="en-GB"/>
        </w:rPr>
        <w:t>However, these social and professional connections are also useful if miners lose a concession or have a problem with their mining equipment and can no longer work for themselves.</w:t>
      </w:r>
    </w:p>
    <w:p w14:paraId="486A69A0" w14:textId="77777777" w:rsidR="0091076C" w:rsidRPr="004E053C" w:rsidRDefault="0091076C" w:rsidP="004E053C">
      <w:pPr>
        <w:spacing w:line="360" w:lineRule="auto"/>
        <w:jc w:val="both"/>
        <w:rPr>
          <w:rFonts w:eastAsia="Times New Roman" w:cstheme="majorHAnsi"/>
          <w:b/>
          <w:sz w:val="22"/>
          <w:szCs w:val="22"/>
          <w:lang w:val="en-GB"/>
        </w:rPr>
      </w:pPr>
    </w:p>
    <w:p w14:paraId="35630734" w14:textId="7550A429" w:rsidR="0091076C" w:rsidRPr="004E053C" w:rsidRDefault="00D3785B"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In Ocongate, the respondents reported entering into the ASM sector through family and neighbours with pre-existing relationships, although a couple had travelled to the mining area alone after hearing rumours about the high availability of work in ASM. </w:t>
      </w:r>
      <w:r w:rsidR="0091076C" w:rsidRPr="004E053C">
        <w:rPr>
          <w:rFonts w:cstheme="majorHAnsi"/>
          <w:sz w:val="22"/>
          <w:szCs w:val="22"/>
          <w:lang w:val="en-GB"/>
        </w:rPr>
        <w:t>After some time in the sector, the miners developed their own professional and social networks to draw on, although some still occasionally travel to the larger mining towns such a</w:t>
      </w:r>
      <w:r w:rsidR="00475547" w:rsidRPr="004E053C">
        <w:rPr>
          <w:rFonts w:cstheme="majorHAnsi"/>
          <w:sz w:val="22"/>
          <w:szCs w:val="22"/>
          <w:lang w:val="en-GB"/>
        </w:rPr>
        <w:t>s Laberinto or Mazuco to organis</w:t>
      </w:r>
      <w:r w:rsidR="0091076C" w:rsidRPr="004E053C">
        <w:rPr>
          <w:rFonts w:cstheme="majorHAnsi"/>
          <w:sz w:val="22"/>
          <w:szCs w:val="22"/>
          <w:lang w:val="en-GB"/>
        </w:rPr>
        <w:t xml:space="preserve">e work through agencies. There is a strong history of seasonal migration and no reports of anyone finding it difficult to secure work. </w:t>
      </w:r>
      <w:r w:rsidR="0091076C" w:rsidRPr="004E053C">
        <w:rPr>
          <w:rFonts w:eastAsia="Times New Roman" w:cstheme="majorHAnsi"/>
          <w:sz w:val="22"/>
          <w:szCs w:val="22"/>
          <w:lang w:val="en-GB"/>
        </w:rPr>
        <w:t xml:space="preserve">Several respondents said that the owners of mines sometimes came to the villages to try to recruit people, either to work as </w:t>
      </w:r>
      <w:r w:rsidR="0091076C" w:rsidRPr="004E053C">
        <w:rPr>
          <w:rFonts w:eastAsia="Times New Roman" w:cstheme="majorHAnsi"/>
          <w:i/>
          <w:sz w:val="22"/>
          <w:szCs w:val="22"/>
          <w:lang w:val="en-GB"/>
        </w:rPr>
        <w:t>obreros</w:t>
      </w:r>
      <w:r w:rsidR="0091076C" w:rsidRPr="004E053C">
        <w:rPr>
          <w:rFonts w:eastAsia="Times New Roman" w:cstheme="majorHAnsi"/>
          <w:sz w:val="22"/>
          <w:szCs w:val="22"/>
          <w:lang w:val="en-GB"/>
        </w:rPr>
        <w:t xml:space="preserve"> or as cooks or barmaids, and there are often advertisements for these roles on local notice boards. However, such advertisements can be associated with human trafficking, and it is much safer for men and women to travel to Madre de Dios with friends and relatives or at least to work for </w:t>
      </w:r>
      <w:r w:rsidR="0091076C" w:rsidRPr="004E053C">
        <w:rPr>
          <w:rFonts w:eastAsia="Times New Roman" w:cstheme="majorHAnsi"/>
          <w:i/>
          <w:sz w:val="22"/>
          <w:szCs w:val="22"/>
          <w:lang w:val="en-GB"/>
        </w:rPr>
        <w:t>duenos</w:t>
      </w:r>
      <w:r w:rsidR="0091076C" w:rsidRPr="004E053C">
        <w:rPr>
          <w:rFonts w:eastAsia="Times New Roman" w:cstheme="majorHAnsi"/>
          <w:sz w:val="22"/>
          <w:szCs w:val="22"/>
          <w:lang w:val="en-GB"/>
        </w:rPr>
        <w:t xml:space="preserve"> with whom they have some connections. </w:t>
      </w:r>
    </w:p>
    <w:p w14:paraId="331814D5" w14:textId="77777777" w:rsidR="0091076C" w:rsidRPr="004E053C" w:rsidRDefault="0091076C" w:rsidP="004E053C">
      <w:pPr>
        <w:spacing w:line="360" w:lineRule="auto"/>
        <w:jc w:val="both"/>
        <w:rPr>
          <w:rFonts w:cstheme="majorHAnsi"/>
          <w:sz w:val="22"/>
          <w:szCs w:val="22"/>
          <w:lang w:val="en-GB"/>
        </w:rPr>
      </w:pPr>
    </w:p>
    <w:p w14:paraId="3DE3F909" w14:textId="2549102D" w:rsidR="0091076C" w:rsidRPr="004E053C" w:rsidRDefault="0091076C" w:rsidP="004E053C">
      <w:pPr>
        <w:spacing w:line="360" w:lineRule="auto"/>
        <w:jc w:val="both"/>
        <w:rPr>
          <w:rFonts w:eastAsia="Times New Roman" w:cstheme="majorHAnsi"/>
          <w:sz w:val="22"/>
          <w:szCs w:val="22"/>
          <w:highlight w:val="yellow"/>
          <w:lang w:val="en-GB"/>
        </w:rPr>
      </w:pPr>
      <w:r w:rsidRPr="004E053C">
        <w:rPr>
          <w:rFonts w:cstheme="majorHAnsi"/>
          <w:sz w:val="22"/>
          <w:szCs w:val="22"/>
          <w:lang w:val="en-GB"/>
        </w:rPr>
        <w:t>Social networks are crucially important for securing work in ASM, and the connections that these interrelationships form between the various sites in the ASM community and part of what makes it translocal. In Madre de Dios</w:t>
      </w:r>
      <w:r w:rsidR="000F1423" w:rsidRPr="004E053C">
        <w:rPr>
          <w:rFonts w:cstheme="majorHAnsi"/>
          <w:sz w:val="22"/>
          <w:szCs w:val="22"/>
          <w:lang w:val="en-GB"/>
        </w:rPr>
        <w:t>,</w:t>
      </w:r>
      <w:r w:rsidRPr="004E053C">
        <w:rPr>
          <w:rFonts w:cstheme="majorHAnsi"/>
          <w:sz w:val="22"/>
          <w:szCs w:val="22"/>
          <w:lang w:val="en-GB"/>
        </w:rPr>
        <w:t xml:space="preserve"> the need for miners to form social networks </w:t>
      </w:r>
      <w:r w:rsidR="000F1423" w:rsidRPr="004E053C">
        <w:rPr>
          <w:rFonts w:cstheme="majorHAnsi"/>
          <w:sz w:val="22"/>
          <w:szCs w:val="22"/>
          <w:lang w:val="en-GB"/>
        </w:rPr>
        <w:t xml:space="preserve">is important both to find work initially and </w:t>
      </w:r>
      <w:r w:rsidRPr="004E053C">
        <w:rPr>
          <w:rFonts w:cstheme="majorHAnsi"/>
          <w:sz w:val="22"/>
          <w:szCs w:val="22"/>
          <w:lang w:val="en-GB"/>
        </w:rPr>
        <w:t xml:space="preserve">to progress within ASM, and miners </w:t>
      </w:r>
      <w:r w:rsidR="000F1423" w:rsidRPr="004E053C">
        <w:rPr>
          <w:rFonts w:cstheme="majorHAnsi"/>
          <w:sz w:val="22"/>
          <w:szCs w:val="22"/>
          <w:lang w:val="en-GB"/>
        </w:rPr>
        <w:t xml:space="preserve">usually </w:t>
      </w:r>
      <w:r w:rsidRPr="004E053C">
        <w:rPr>
          <w:rFonts w:cstheme="majorHAnsi"/>
          <w:sz w:val="22"/>
          <w:szCs w:val="22"/>
          <w:lang w:val="en-GB"/>
        </w:rPr>
        <w:t xml:space="preserve">form these connections through their work </w:t>
      </w:r>
      <w:r w:rsidR="000F1423" w:rsidRPr="004E053C">
        <w:rPr>
          <w:rFonts w:cstheme="majorHAnsi"/>
          <w:sz w:val="22"/>
          <w:szCs w:val="22"/>
          <w:lang w:val="en-GB"/>
        </w:rPr>
        <w:t>and during their</w:t>
      </w:r>
      <w:r w:rsidRPr="004E053C">
        <w:rPr>
          <w:rFonts w:cstheme="majorHAnsi"/>
          <w:sz w:val="22"/>
          <w:szCs w:val="22"/>
          <w:lang w:val="en-GB"/>
        </w:rPr>
        <w:t xml:space="preserve"> social time. However, the translocality of miners and the amount of time they spend in one place is likely to have an impact on how these networks develop. </w:t>
      </w:r>
    </w:p>
    <w:p w14:paraId="6DD596F3" w14:textId="77777777" w:rsidR="0091076C" w:rsidRPr="004E053C" w:rsidRDefault="0091076C" w:rsidP="004E053C">
      <w:pPr>
        <w:spacing w:line="360" w:lineRule="auto"/>
        <w:jc w:val="both"/>
        <w:rPr>
          <w:rFonts w:eastAsia="Times New Roman" w:cstheme="majorHAnsi"/>
          <w:sz w:val="22"/>
          <w:szCs w:val="22"/>
          <w:lang w:val="en-GB"/>
        </w:rPr>
      </w:pPr>
    </w:p>
    <w:p w14:paraId="360CC976" w14:textId="4927EDF4" w:rsidR="0091076C" w:rsidRPr="004E053C" w:rsidRDefault="00EA7F83" w:rsidP="004E053C">
      <w:pPr>
        <w:pStyle w:val="Heading2"/>
        <w:spacing w:before="0" w:line="360" w:lineRule="auto"/>
        <w:jc w:val="both"/>
        <w:rPr>
          <w:rFonts w:cstheme="majorHAnsi"/>
          <w:lang w:val="en-GB"/>
        </w:rPr>
      </w:pPr>
      <w:bookmarkStart w:id="76" w:name="_Toc33293112"/>
      <w:r w:rsidRPr="004E053C">
        <w:rPr>
          <w:rFonts w:cstheme="majorHAnsi"/>
          <w:lang w:val="en-GB"/>
        </w:rPr>
        <w:t>6</w:t>
      </w:r>
      <w:r w:rsidR="00F32A9B" w:rsidRPr="004E053C">
        <w:rPr>
          <w:rFonts w:cstheme="majorHAnsi"/>
          <w:lang w:val="en-GB"/>
        </w:rPr>
        <w:t>.4</w:t>
      </w:r>
      <w:r w:rsidR="0091076C" w:rsidRPr="004E053C">
        <w:rPr>
          <w:rFonts w:cstheme="majorHAnsi"/>
          <w:lang w:val="en-GB"/>
        </w:rPr>
        <w:t>. Types of mining migrants</w:t>
      </w:r>
      <w:bookmarkEnd w:id="76"/>
      <w:r w:rsidR="0091076C" w:rsidRPr="004E053C">
        <w:rPr>
          <w:rFonts w:cstheme="majorHAnsi"/>
          <w:lang w:val="en-GB"/>
        </w:rPr>
        <w:t xml:space="preserve"> </w:t>
      </w:r>
    </w:p>
    <w:p w14:paraId="23997DF9" w14:textId="77777777" w:rsidR="0091076C" w:rsidRPr="004E053C" w:rsidRDefault="0091076C" w:rsidP="004E053C">
      <w:pPr>
        <w:spacing w:line="360" w:lineRule="auto"/>
        <w:jc w:val="both"/>
        <w:rPr>
          <w:rFonts w:eastAsia="Times New Roman" w:cstheme="majorHAnsi"/>
          <w:b/>
          <w:sz w:val="22"/>
          <w:szCs w:val="22"/>
          <w:lang w:val="en-GB"/>
        </w:rPr>
      </w:pPr>
    </w:p>
    <w:p w14:paraId="52828595" w14:textId="04D3A61A"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During fieldwork</w:t>
      </w:r>
      <w:r w:rsidR="00A94AE1" w:rsidRPr="004E053C">
        <w:rPr>
          <w:rFonts w:cstheme="majorHAnsi"/>
          <w:sz w:val="22"/>
          <w:szCs w:val="22"/>
          <w:lang w:val="en-GB"/>
        </w:rPr>
        <w:t>,</w:t>
      </w:r>
      <w:r w:rsidRPr="004E053C">
        <w:rPr>
          <w:rFonts w:cstheme="majorHAnsi"/>
          <w:sz w:val="22"/>
          <w:szCs w:val="22"/>
          <w:lang w:val="en-GB"/>
        </w:rPr>
        <w:t xml:space="preserve"> it became clear that </w:t>
      </w:r>
      <w:r w:rsidR="00A94AE1" w:rsidRPr="004E053C">
        <w:rPr>
          <w:rFonts w:cstheme="majorHAnsi"/>
          <w:sz w:val="22"/>
          <w:szCs w:val="22"/>
          <w:lang w:val="en-GB"/>
        </w:rPr>
        <w:t>while</w:t>
      </w:r>
      <w:r w:rsidRPr="004E053C">
        <w:rPr>
          <w:rFonts w:cstheme="majorHAnsi"/>
          <w:sz w:val="22"/>
          <w:szCs w:val="22"/>
          <w:lang w:val="en-GB"/>
        </w:rPr>
        <w:t xml:space="preserve"> ASM migrants </w:t>
      </w:r>
      <w:r w:rsidR="00A94AE1" w:rsidRPr="004E053C">
        <w:rPr>
          <w:rFonts w:cstheme="majorHAnsi"/>
          <w:sz w:val="22"/>
          <w:szCs w:val="22"/>
          <w:lang w:val="en-GB"/>
        </w:rPr>
        <w:t xml:space="preserve">in Madre de Dios exist in the same translocal social field, thinking about them </w:t>
      </w:r>
      <w:r w:rsidRPr="004E053C">
        <w:rPr>
          <w:rFonts w:cstheme="majorHAnsi"/>
          <w:sz w:val="22"/>
          <w:szCs w:val="22"/>
          <w:lang w:val="en-GB"/>
        </w:rPr>
        <w:t>as one homogenous group doe</w:t>
      </w:r>
      <w:r w:rsidR="007A7DCE">
        <w:rPr>
          <w:rFonts w:cstheme="majorHAnsi"/>
          <w:sz w:val="22"/>
          <w:szCs w:val="22"/>
          <w:lang w:val="en-GB"/>
        </w:rPr>
        <w:t>s not make sense. Other researcher</w:t>
      </w:r>
      <w:r w:rsidRPr="004E053C">
        <w:rPr>
          <w:rFonts w:cstheme="majorHAnsi"/>
          <w:sz w:val="22"/>
          <w:szCs w:val="22"/>
          <w:lang w:val="en-GB"/>
        </w:rPr>
        <w:t xml:space="preserve">s have looked at this lack of </w:t>
      </w:r>
      <w:r w:rsidR="005527DD" w:rsidRPr="004E053C">
        <w:rPr>
          <w:rFonts w:cstheme="majorHAnsi"/>
          <w:sz w:val="22"/>
          <w:szCs w:val="22"/>
          <w:lang w:val="en-GB"/>
        </w:rPr>
        <w:t>homogeneity</w:t>
      </w:r>
      <w:r w:rsidR="00A94AE1" w:rsidRPr="004E053C">
        <w:rPr>
          <w:rFonts w:cstheme="majorHAnsi"/>
          <w:sz w:val="22"/>
          <w:szCs w:val="22"/>
          <w:lang w:val="en-GB"/>
        </w:rPr>
        <w:t xml:space="preserve"> between miners</w:t>
      </w:r>
      <w:r w:rsidR="004E19ED" w:rsidRPr="004E053C">
        <w:rPr>
          <w:rFonts w:cstheme="majorHAnsi"/>
          <w:sz w:val="22"/>
          <w:szCs w:val="22"/>
          <w:lang w:val="en-GB"/>
        </w:rPr>
        <w:t xml:space="preserve">, with </w:t>
      </w:r>
      <w:r w:rsidR="005527DD" w:rsidRPr="004E053C">
        <w:rPr>
          <w:rFonts w:cstheme="majorHAnsi"/>
          <w:sz w:val="22"/>
          <w:szCs w:val="22"/>
          <w:lang w:val="en-GB"/>
        </w:rPr>
        <w:t>Verbrug</w:t>
      </w:r>
      <w:r w:rsidRPr="004E053C">
        <w:rPr>
          <w:rFonts w:cstheme="majorHAnsi"/>
          <w:sz w:val="22"/>
          <w:szCs w:val="22"/>
          <w:lang w:val="en-GB"/>
        </w:rPr>
        <w:t xml:space="preserve">ge </w:t>
      </w:r>
      <w:r w:rsidR="006B391A"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{"citationItems":[{"id":"ITEM-1","itemData":{"abstract":"In line with trends observed in several other countries, small-scale gold mining in Compostela Valley (ComVal) province has expanded immensely, and now boasts a high number of more advanced i.e. more capitalized and mechanized operations that push the edge of what is usually considered artisanal and small-scale mining (ASM). A historical, fieldwork-based analysis is presented of the diverse factors underlying the current situation. It is argued that existing accounts of ASM-expansion, by focusing disproportionately on the role of poverty in pushing people into ASM, fail to satisfactorily account for the state of gold mining in ComVal. Whereas this poverty-driven narrative may well explain the constant supply of mining recruits, it risks obscuring how for certain groups, ASM harbors important opportunities for capital accumulation. More specifically, the increased engagement in gold mining on the part of a heterogeneous class of mining financiers enabled ASM to evolve from rudimentary into relatively mechanized operations with highly complex working practices and revenue sharing arrangements. The nascent gold mining elite has entrenched itself in a regulatory environment amenable to the further expansion of gold mining. These observations suggest that more critical attention should be paid to the 'capital interests' driving similar transformations of ASM elsewhere. © 2014 Elsevier Ltd.","author":[{"dropping-particle":"","family":"Verbrugge","given":"Boris","non-dropping-particle":"","parse-names":false,"suffix":""}],"container-title":"Extractive Industries and Society","id":"ITEM-1","issue":"1","issued":{"date-parts":[["2014"]]},"page":"86-95","publisher":"Elsevier Ltd","title":"Capital interests: a historical analysis of the transformation of small-scale gold mining in Compostela Valley province, Southern Philippines","type":"article-journal","volume":"1"},"uris":["http://www.mendeley.com/documents/?uuid=7900df1e-3ca3-4f89-b985-69d57f5c9473"]}],"mendeley":{"formattedCitation":"(Verbrugge, 2014)","manualFormatting":"(2014)","plainTextFormattedCitation":"(Verbrugge, 2014)","previouslyFormattedCitation":"(Verbrugge, 2014)"},"properties":{"noteIndex":0},"schema":"https://github.com/citation-style-language/schema/raw/master/csl-citation.json"}</w:instrText>
      </w:r>
      <w:r w:rsidR="006B391A" w:rsidRPr="004E053C">
        <w:rPr>
          <w:rFonts w:cstheme="majorHAnsi"/>
          <w:sz w:val="22"/>
          <w:szCs w:val="22"/>
          <w:lang w:val="en-GB"/>
        </w:rPr>
        <w:fldChar w:fldCharType="separate"/>
      </w:r>
      <w:r w:rsidR="006B391A" w:rsidRPr="004E053C">
        <w:rPr>
          <w:rFonts w:cstheme="majorHAnsi"/>
          <w:noProof/>
          <w:sz w:val="22"/>
          <w:szCs w:val="22"/>
          <w:lang w:val="en-GB"/>
        </w:rPr>
        <w:t>(2014)</w:t>
      </w:r>
      <w:r w:rsidR="006B391A" w:rsidRPr="004E053C">
        <w:rPr>
          <w:rFonts w:cstheme="majorHAnsi"/>
          <w:sz w:val="22"/>
          <w:szCs w:val="22"/>
          <w:lang w:val="en-GB"/>
        </w:rPr>
        <w:fldChar w:fldCharType="end"/>
      </w:r>
      <w:r w:rsidR="006B391A" w:rsidRPr="004E053C">
        <w:rPr>
          <w:rFonts w:cstheme="majorHAnsi"/>
          <w:sz w:val="22"/>
          <w:szCs w:val="22"/>
          <w:lang w:val="en-GB"/>
        </w:rPr>
        <w:t xml:space="preserve"> </w:t>
      </w:r>
      <w:r w:rsidR="004E19ED" w:rsidRPr="004E053C">
        <w:rPr>
          <w:rFonts w:cstheme="majorHAnsi"/>
          <w:sz w:val="22"/>
          <w:szCs w:val="22"/>
          <w:lang w:val="en-GB"/>
        </w:rPr>
        <w:t>having highlighted the</w:t>
      </w:r>
      <w:r w:rsidRPr="004E053C">
        <w:rPr>
          <w:rFonts w:cstheme="majorHAnsi"/>
          <w:sz w:val="22"/>
          <w:szCs w:val="22"/>
          <w:lang w:val="en-GB"/>
        </w:rPr>
        <w:t xml:space="preserve"> </w:t>
      </w:r>
      <w:r w:rsidR="004E19ED" w:rsidRPr="004E053C">
        <w:rPr>
          <w:rFonts w:cstheme="majorHAnsi"/>
          <w:sz w:val="22"/>
          <w:szCs w:val="22"/>
          <w:lang w:val="en-GB"/>
        </w:rPr>
        <w:t>differentiation between the s</w:t>
      </w:r>
      <w:r w:rsidRPr="004E053C">
        <w:rPr>
          <w:rFonts w:cstheme="majorHAnsi"/>
          <w:sz w:val="22"/>
          <w:szCs w:val="22"/>
          <w:lang w:val="en-GB"/>
        </w:rPr>
        <w:t>ocioeconomic positions of miners and workers</w:t>
      </w:r>
      <w:r w:rsidR="004E19ED" w:rsidRPr="004E053C">
        <w:rPr>
          <w:rFonts w:cstheme="majorHAnsi"/>
          <w:sz w:val="22"/>
          <w:szCs w:val="22"/>
          <w:lang w:val="en-GB"/>
        </w:rPr>
        <w:t xml:space="preserve">. Cortes-McPherson </w:t>
      </w:r>
      <w:r w:rsidR="004E19ED"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{"citationItems":[{"id":"ITEM-1","itemData":{"author":[{"dropping-particle":"","family":"Cortés-McPherson","given":"Dolores","non-dropping-particle":"","parse-names":false,"suffix":""}],"container-title":"The Extractive Industries and Society","id":"ITEM-1","issue":"2","issued":{"date-parts":[["2019"]]},"page":"382-389","title":"Expansion of small-scale gold mining in Madre de Dios: ‘capital interests’ and the emergence of a new elite of entrepreneurs in the Peruvian Amazon","type":"article-journal","volume":"6"},"uris":["http://www.mendeley.com/documents/?uuid=402f7023-8f80-4150-99dd-21c5e92f9a63"]}],"mendeley":{"formattedCitation":"(Cortés-McPherson, 2019)","manualFormatting":"(2019)","plainTextFormattedCitation":"(Cortés-McPherson, 2019)","previouslyFormattedCitation":"(Cortés-McPherson, 2019)"},"properties":{"noteIndex":0},"schema":"https://github.com/citation-style-language/schema/raw/master/csl-citation.json"}</w:instrText>
      </w:r>
      <w:r w:rsidR="004E19ED" w:rsidRPr="004E053C">
        <w:rPr>
          <w:rFonts w:cstheme="majorHAnsi"/>
          <w:sz w:val="22"/>
          <w:szCs w:val="22"/>
          <w:lang w:val="en-GB"/>
        </w:rPr>
        <w:fldChar w:fldCharType="separate"/>
      </w:r>
      <w:r w:rsidR="004E19ED" w:rsidRPr="004E053C">
        <w:rPr>
          <w:rFonts w:cstheme="majorHAnsi"/>
          <w:noProof/>
          <w:sz w:val="22"/>
          <w:szCs w:val="22"/>
          <w:lang w:val="en-GB"/>
        </w:rPr>
        <w:t>(2019)</w:t>
      </w:r>
      <w:r w:rsidR="004E19ED" w:rsidRPr="004E053C">
        <w:rPr>
          <w:rFonts w:cstheme="majorHAnsi"/>
          <w:sz w:val="22"/>
          <w:szCs w:val="22"/>
          <w:lang w:val="en-GB"/>
        </w:rPr>
        <w:fldChar w:fldCharType="end"/>
      </w:r>
      <w:r w:rsidR="004E19ED" w:rsidRPr="004E053C">
        <w:rPr>
          <w:rFonts w:cstheme="majorHAnsi"/>
          <w:sz w:val="22"/>
          <w:szCs w:val="22"/>
          <w:lang w:val="en-GB"/>
        </w:rPr>
        <w:t xml:space="preserve"> has built on this work in relation to Madre de Dios, pointing to the existence of an elite group of entreprenurs who are able to influence national resource discourse. </w:t>
      </w:r>
      <w:r w:rsidRPr="004E053C">
        <w:rPr>
          <w:rFonts w:cstheme="majorHAnsi"/>
          <w:sz w:val="22"/>
          <w:szCs w:val="22"/>
          <w:lang w:val="en-GB"/>
        </w:rPr>
        <w:t>However, there has been no translocal livelihoods analysis that focuses on differing migration patterns as a key factor in AS</w:t>
      </w:r>
      <w:r w:rsidR="00A94AE1" w:rsidRPr="004E053C">
        <w:rPr>
          <w:rFonts w:cstheme="majorHAnsi"/>
          <w:sz w:val="22"/>
          <w:szCs w:val="22"/>
          <w:lang w:val="en-GB"/>
        </w:rPr>
        <w:t>M</w:t>
      </w:r>
      <w:r w:rsidRPr="004E053C">
        <w:rPr>
          <w:rFonts w:cstheme="majorHAnsi"/>
          <w:sz w:val="22"/>
          <w:szCs w:val="22"/>
          <w:lang w:val="en-GB"/>
        </w:rPr>
        <w:t xml:space="preserve"> identities. This is important because one of the key features of ASM livelihoods is their translocality, which has severe implications for the formation of social </w:t>
      </w:r>
      <w:r w:rsidR="000F1423" w:rsidRPr="004E053C">
        <w:rPr>
          <w:rFonts w:cstheme="majorHAnsi"/>
          <w:sz w:val="22"/>
          <w:szCs w:val="22"/>
          <w:lang w:val="en-GB"/>
        </w:rPr>
        <w:t>relationships. Crucially</w:t>
      </w:r>
      <w:r w:rsidRPr="004E053C">
        <w:rPr>
          <w:rFonts w:cstheme="majorHAnsi"/>
          <w:sz w:val="22"/>
          <w:szCs w:val="22"/>
          <w:lang w:val="en-GB"/>
        </w:rPr>
        <w:t xml:space="preserve">, the heterogeneity of those involved in the sector means that while some miners are transient, others are not. Thus, in the translocal community, while some people are fluid and actively connect different locations, others remain fixed despite their daily interactions with transient members of the community. </w:t>
      </w:r>
      <w:r w:rsidR="002321CC" w:rsidRPr="004E053C">
        <w:rPr>
          <w:rFonts w:cstheme="majorHAnsi"/>
          <w:sz w:val="22"/>
          <w:szCs w:val="22"/>
          <w:lang w:val="en-GB"/>
        </w:rPr>
        <w:t xml:space="preserve">This latter group represent another </w:t>
      </w:r>
      <w:r w:rsidR="00A70DD0" w:rsidRPr="004E053C">
        <w:rPr>
          <w:rFonts w:cstheme="majorHAnsi"/>
          <w:sz w:val="22"/>
          <w:szCs w:val="22"/>
          <w:lang w:val="en-GB"/>
        </w:rPr>
        <w:t>‘immobile’</w:t>
      </w:r>
      <w:r w:rsidR="002321CC" w:rsidRPr="004E053C">
        <w:rPr>
          <w:rFonts w:cstheme="majorHAnsi"/>
          <w:sz w:val="22"/>
          <w:szCs w:val="22"/>
          <w:lang w:val="en-GB"/>
        </w:rPr>
        <w:t xml:space="preserve"> population, yet this time one base</w:t>
      </w:r>
      <w:r w:rsidR="000C4968" w:rsidRPr="004E053C">
        <w:rPr>
          <w:rFonts w:cstheme="majorHAnsi"/>
          <w:sz w:val="22"/>
          <w:szCs w:val="22"/>
          <w:lang w:val="en-GB"/>
        </w:rPr>
        <w:t>d within the mining settlements</w:t>
      </w:r>
      <w:r w:rsidR="002321CC" w:rsidRPr="004E053C">
        <w:rPr>
          <w:rFonts w:cstheme="majorHAnsi"/>
          <w:sz w:val="22"/>
          <w:szCs w:val="22"/>
          <w:lang w:val="en-GB"/>
        </w:rPr>
        <w:t>. These patterns of mobility and immobility</w:t>
      </w:r>
      <w:r w:rsidRPr="004E053C">
        <w:rPr>
          <w:rFonts w:cstheme="majorHAnsi"/>
          <w:sz w:val="22"/>
          <w:szCs w:val="22"/>
          <w:lang w:val="en-GB"/>
        </w:rPr>
        <w:t xml:space="preserve"> can profoundly shape the formation of a place and the community dynamics within it, as highlighted by the relative stability of the long-established mining towns of Laberinto compared with the insecurity found in more temporary, informal settlements in La Pampa. Translocality affects how the miners relate to each other, and </w:t>
      </w:r>
      <w:r w:rsidR="00A94AE1" w:rsidRPr="004E053C">
        <w:rPr>
          <w:rFonts w:cstheme="majorHAnsi"/>
          <w:sz w:val="22"/>
          <w:szCs w:val="22"/>
          <w:lang w:val="en-GB"/>
        </w:rPr>
        <w:t xml:space="preserve">as </w:t>
      </w:r>
      <w:r w:rsidRPr="004E053C">
        <w:rPr>
          <w:rFonts w:cstheme="majorHAnsi"/>
          <w:sz w:val="22"/>
          <w:szCs w:val="22"/>
          <w:lang w:val="en-GB"/>
        </w:rPr>
        <w:t xml:space="preserve">this thesis intends to show, has an impact not only on </w:t>
      </w:r>
      <w:r w:rsidR="000F1423" w:rsidRPr="004E053C">
        <w:rPr>
          <w:rFonts w:cstheme="majorHAnsi"/>
          <w:sz w:val="22"/>
          <w:szCs w:val="22"/>
          <w:lang w:val="en-GB"/>
        </w:rPr>
        <w:t xml:space="preserve">place attachment and community identity, </w:t>
      </w:r>
      <w:r w:rsidRPr="004E053C">
        <w:rPr>
          <w:rFonts w:cstheme="majorHAnsi"/>
          <w:sz w:val="22"/>
          <w:szCs w:val="22"/>
          <w:lang w:val="en-GB"/>
        </w:rPr>
        <w:t xml:space="preserve">but also on their perceptions of criminality in relation to ASM. While other studies have focused on the characteristics of miners, here we are interested in the mining community as a whole. </w:t>
      </w:r>
    </w:p>
    <w:p w14:paraId="744B93F2" w14:textId="77777777" w:rsidR="0091076C" w:rsidRPr="004E053C" w:rsidRDefault="0091076C" w:rsidP="004E053C">
      <w:pPr>
        <w:spacing w:line="360" w:lineRule="auto"/>
        <w:jc w:val="both"/>
        <w:rPr>
          <w:rFonts w:cstheme="majorHAnsi"/>
          <w:sz w:val="22"/>
          <w:szCs w:val="22"/>
          <w:lang w:val="en-GB"/>
        </w:rPr>
      </w:pPr>
    </w:p>
    <w:p w14:paraId="12779D8F" w14:textId="7C036C8A" w:rsidR="0091076C" w:rsidRPr="004E053C" w:rsidRDefault="00AD0893" w:rsidP="004E053C">
      <w:pPr>
        <w:spacing w:line="360" w:lineRule="auto"/>
        <w:jc w:val="both"/>
        <w:rPr>
          <w:rFonts w:cstheme="majorHAnsi"/>
          <w:sz w:val="22"/>
          <w:szCs w:val="22"/>
          <w:lang w:val="en-GB"/>
        </w:rPr>
      </w:pPr>
      <w:r w:rsidRPr="004E053C">
        <w:rPr>
          <w:rFonts w:cstheme="majorHAnsi"/>
          <w:sz w:val="22"/>
          <w:szCs w:val="22"/>
          <w:lang w:val="en-GB"/>
        </w:rPr>
        <w:t>Table 6</w:t>
      </w:r>
      <w:r w:rsidR="0091076C" w:rsidRPr="004E053C">
        <w:rPr>
          <w:rFonts w:cstheme="majorHAnsi"/>
          <w:sz w:val="22"/>
          <w:szCs w:val="22"/>
          <w:lang w:val="en-GB"/>
        </w:rPr>
        <w:t>.2 below sets o</w:t>
      </w:r>
      <w:r w:rsidR="00B5602F" w:rsidRPr="004E053C">
        <w:rPr>
          <w:rFonts w:cstheme="majorHAnsi"/>
          <w:sz w:val="22"/>
          <w:szCs w:val="22"/>
          <w:lang w:val="en-GB"/>
        </w:rPr>
        <w:t>ut the four</w:t>
      </w:r>
      <w:r w:rsidR="00E04337" w:rsidRPr="004E053C">
        <w:rPr>
          <w:rFonts w:cstheme="majorHAnsi"/>
          <w:sz w:val="22"/>
          <w:szCs w:val="22"/>
          <w:lang w:val="en-GB"/>
        </w:rPr>
        <w:t xml:space="preserve"> broad types of migrant</w:t>
      </w:r>
      <w:r w:rsidR="0091076C" w:rsidRPr="004E053C">
        <w:rPr>
          <w:rFonts w:cstheme="majorHAnsi"/>
          <w:sz w:val="22"/>
          <w:szCs w:val="22"/>
          <w:lang w:val="en-GB"/>
        </w:rPr>
        <w:t>s;</w:t>
      </w:r>
      <w:r w:rsidR="00B5602F" w:rsidRPr="004E053C">
        <w:rPr>
          <w:rFonts w:cstheme="majorHAnsi"/>
          <w:sz w:val="22"/>
          <w:szCs w:val="22"/>
          <w:lang w:val="en-GB"/>
        </w:rPr>
        <w:t xml:space="preserve"> permanent</w:t>
      </w:r>
      <w:r w:rsidR="002321CC" w:rsidRPr="004E053C">
        <w:rPr>
          <w:rFonts w:cstheme="majorHAnsi"/>
          <w:sz w:val="22"/>
          <w:szCs w:val="22"/>
          <w:lang w:val="en-GB"/>
        </w:rPr>
        <w:t xml:space="preserve">, </w:t>
      </w:r>
      <w:r w:rsidR="000B0219" w:rsidRPr="004E053C">
        <w:rPr>
          <w:rFonts w:cstheme="majorHAnsi"/>
          <w:sz w:val="22"/>
          <w:szCs w:val="22"/>
          <w:lang w:val="en-GB"/>
        </w:rPr>
        <w:t>temporary</w:t>
      </w:r>
      <w:r w:rsidR="0047096C" w:rsidRPr="004E053C">
        <w:rPr>
          <w:rFonts w:cstheme="majorHAnsi"/>
          <w:sz w:val="22"/>
          <w:szCs w:val="22"/>
          <w:lang w:val="en-GB"/>
        </w:rPr>
        <w:t xml:space="preserve"> (which may be either static</w:t>
      </w:r>
      <w:r w:rsidR="00B5602F" w:rsidRPr="004E053C">
        <w:rPr>
          <w:rFonts w:cstheme="majorHAnsi"/>
          <w:sz w:val="22"/>
          <w:szCs w:val="22"/>
          <w:lang w:val="en-GB"/>
        </w:rPr>
        <w:t xml:space="preserve"> </w:t>
      </w:r>
      <w:r w:rsidR="0047096C" w:rsidRPr="004E053C">
        <w:rPr>
          <w:rFonts w:cstheme="majorHAnsi"/>
          <w:sz w:val="22"/>
          <w:szCs w:val="22"/>
          <w:lang w:val="en-GB"/>
        </w:rPr>
        <w:t>or</w:t>
      </w:r>
      <w:r w:rsidR="00B5602F" w:rsidRPr="004E053C">
        <w:rPr>
          <w:rFonts w:cstheme="majorHAnsi"/>
          <w:sz w:val="22"/>
          <w:szCs w:val="22"/>
          <w:lang w:val="en-GB"/>
        </w:rPr>
        <w:t xml:space="preserve"> </w:t>
      </w:r>
      <w:r w:rsidR="00E04337" w:rsidRPr="004E053C">
        <w:rPr>
          <w:rFonts w:cstheme="majorHAnsi"/>
          <w:sz w:val="22"/>
          <w:szCs w:val="22"/>
          <w:lang w:val="en-GB"/>
        </w:rPr>
        <w:t>seasonal</w:t>
      </w:r>
      <w:r w:rsidR="00B5602F" w:rsidRPr="004E053C">
        <w:rPr>
          <w:rFonts w:cstheme="majorHAnsi"/>
          <w:sz w:val="22"/>
          <w:szCs w:val="22"/>
          <w:lang w:val="en-GB"/>
        </w:rPr>
        <w:t>)</w:t>
      </w:r>
      <w:r w:rsidR="002321CC" w:rsidRPr="004E053C">
        <w:rPr>
          <w:rFonts w:cstheme="majorHAnsi"/>
          <w:sz w:val="22"/>
          <w:szCs w:val="22"/>
          <w:lang w:val="en-GB"/>
        </w:rPr>
        <w:t xml:space="preserve">, floating and </w:t>
      </w:r>
      <w:r w:rsidR="0091076C" w:rsidRPr="004E053C">
        <w:rPr>
          <w:rFonts w:cstheme="majorHAnsi"/>
          <w:sz w:val="22"/>
          <w:szCs w:val="22"/>
          <w:lang w:val="en-GB"/>
        </w:rPr>
        <w:t xml:space="preserve">non-migrant. </w:t>
      </w:r>
      <w:r w:rsidR="000A7AA4" w:rsidRPr="004E053C">
        <w:rPr>
          <w:rFonts w:eastAsia="Times New Roman" w:cstheme="majorHAnsi"/>
          <w:sz w:val="22"/>
          <w:szCs w:val="22"/>
          <w:lang w:val="en-GB"/>
        </w:rPr>
        <w:t xml:space="preserve">I have broadened the definition of ASM activity </w:t>
      </w:r>
      <w:r w:rsidR="000A7AA4" w:rsidRPr="004E053C">
        <w:rPr>
          <w:rFonts w:eastAsia="Times New Roman" w:cstheme="majorHAnsi"/>
          <w:sz w:val="22"/>
          <w:szCs w:val="22"/>
          <w:lang w:val="en-GB"/>
        </w:rPr>
        <w:lastRenderedPageBreak/>
        <w:t xml:space="preserve">to incorporate the </w:t>
      </w:r>
      <w:r w:rsidR="00A70DD0" w:rsidRPr="004E053C">
        <w:rPr>
          <w:rFonts w:eastAsia="Times New Roman" w:cstheme="majorHAnsi"/>
          <w:sz w:val="22"/>
          <w:szCs w:val="22"/>
          <w:lang w:val="en-GB"/>
        </w:rPr>
        <w:t>‘downstream’</w:t>
      </w:r>
      <w:r w:rsidR="000A7AA4" w:rsidRPr="004E053C">
        <w:rPr>
          <w:rFonts w:eastAsia="Times New Roman" w:cstheme="majorHAnsi"/>
          <w:sz w:val="22"/>
          <w:szCs w:val="22"/>
          <w:lang w:val="en-GB"/>
        </w:rPr>
        <w:t xml:space="preserve"> activities that support ASM operations and make up so much of the local economy. </w:t>
      </w:r>
      <w:r w:rsidR="000A7AA4" w:rsidRPr="004E053C">
        <w:rPr>
          <w:rFonts w:cstheme="majorHAnsi"/>
          <w:sz w:val="22"/>
          <w:szCs w:val="22"/>
          <w:lang w:val="en-GB"/>
        </w:rPr>
        <w:t>W</w:t>
      </w:r>
      <w:r w:rsidR="00E04337" w:rsidRPr="004E053C">
        <w:rPr>
          <w:rFonts w:cstheme="majorHAnsi"/>
          <w:sz w:val="22"/>
          <w:szCs w:val="22"/>
          <w:lang w:val="en-GB"/>
        </w:rPr>
        <w:t xml:space="preserve">hile </w:t>
      </w:r>
      <w:r w:rsidR="00CE4B8D" w:rsidRPr="004E053C">
        <w:rPr>
          <w:rFonts w:cstheme="majorHAnsi"/>
          <w:sz w:val="22"/>
          <w:szCs w:val="22"/>
          <w:lang w:val="en-GB"/>
        </w:rPr>
        <w:t xml:space="preserve">some of </w:t>
      </w:r>
      <w:r w:rsidR="00E04337" w:rsidRPr="004E053C">
        <w:rPr>
          <w:rFonts w:cstheme="majorHAnsi"/>
          <w:sz w:val="22"/>
          <w:szCs w:val="22"/>
          <w:lang w:val="en-GB"/>
        </w:rPr>
        <w:t>the</w:t>
      </w:r>
      <w:r w:rsidR="00CE4B8D" w:rsidRPr="004E053C">
        <w:rPr>
          <w:rFonts w:cstheme="majorHAnsi"/>
          <w:sz w:val="22"/>
          <w:szCs w:val="22"/>
          <w:lang w:val="en-GB"/>
        </w:rPr>
        <w:t xml:space="preserve"> typologies fit most obviously to those working direct</w:t>
      </w:r>
      <w:r w:rsidR="00A70DD0" w:rsidRPr="004E053C">
        <w:rPr>
          <w:rFonts w:cstheme="majorHAnsi"/>
          <w:sz w:val="22"/>
          <w:szCs w:val="22"/>
          <w:lang w:val="en-GB"/>
        </w:rPr>
        <w:t>ly in mining, particularly the ‘floating’</w:t>
      </w:r>
      <w:r w:rsidR="00CE4B8D" w:rsidRPr="004E053C">
        <w:rPr>
          <w:rFonts w:cstheme="majorHAnsi"/>
          <w:sz w:val="22"/>
          <w:szCs w:val="22"/>
          <w:lang w:val="en-GB"/>
        </w:rPr>
        <w:t xml:space="preserve"> category, they are also applicable to those men and women who work in the sector only indirectly. </w:t>
      </w:r>
      <w:r w:rsidR="0091076C" w:rsidRPr="004E053C">
        <w:rPr>
          <w:rFonts w:cstheme="majorHAnsi"/>
          <w:sz w:val="22"/>
          <w:szCs w:val="22"/>
          <w:lang w:val="en-GB"/>
        </w:rPr>
        <w:t>This section will go on to explain these four categories in detail, and the following chapters will draw on the categories for analysis. While this chapter has already considered the various reasons individuals and households may decide to engage in the ASM sector, t</w:t>
      </w:r>
      <w:r w:rsidR="00923CFD" w:rsidRPr="004E053C">
        <w:rPr>
          <w:rFonts w:cstheme="majorHAnsi"/>
          <w:sz w:val="22"/>
          <w:szCs w:val="22"/>
          <w:lang w:val="en-GB"/>
        </w:rPr>
        <w:t>he typology presented in table 6</w:t>
      </w:r>
      <w:r w:rsidR="0091076C" w:rsidRPr="004E053C">
        <w:rPr>
          <w:rFonts w:cstheme="majorHAnsi"/>
          <w:sz w:val="22"/>
          <w:szCs w:val="22"/>
          <w:lang w:val="en-GB"/>
        </w:rPr>
        <w:t>.2 explores the livelihood trajectories that are initiated as a result of those decisions. In some instances, the reasons behind the decision may influence the livelihood trajectory, but in other scenarios</w:t>
      </w:r>
      <w:r w:rsidR="00E04337" w:rsidRPr="004E053C">
        <w:rPr>
          <w:rFonts w:cstheme="majorHAnsi"/>
          <w:sz w:val="22"/>
          <w:szCs w:val="22"/>
          <w:lang w:val="en-GB"/>
        </w:rPr>
        <w:t>,</w:t>
      </w:r>
      <w:r w:rsidR="0091076C" w:rsidRPr="004E053C">
        <w:rPr>
          <w:rFonts w:cstheme="majorHAnsi"/>
          <w:sz w:val="22"/>
          <w:szCs w:val="22"/>
          <w:lang w:val="en-GB"/>
        </w:rPr>
        <w:t xml:space="preserve"> other circumstances have become important.</w:t>
      </w:r>
    </w:p>
    <w:p w14:paraId="11E42722" w14:textId="77777777" w:rsidR="0091076C" w:rsidRPr="004E053C" w:rsidRDefault="0091076C" w:rsidP="004E053C">
      <w:pPr>
        <w:spacing w:line="360" w:lineRule="auto"/>
        <w:jc w:val="both"/>
        <w:rPr>
          <w:rFonts w:eastAsia="Times New Roman" w:cstheme="majorHAnsi"/>
          <w:sz w:val="22"/>
          <w:szCs w:val="22"/>
          <w:lang w:val="en-GB"/>
        </w:rPr>
      </w:pPr>
    </w:p>
    <w:p w14:paraId="78BDEEF5" w14:textId="3206EEDB" w:rsidR="0091076C" w:rsidRPr="004E053C" w:rsidRDefault="00AD0893" w:rsidP="004E053C">
      <w:pPr>
        <w:spacing w:line="360" w:lineRule="auto"/>
        <w:jc w:val="both"/>
        <w:rPr>
          <w:rFonts w:eastAsia="Times New Roman" w:cstheme="majorHAnsi"/>
          <w:b/>
          <w:bCs/>
          <w:sz w:val="22"/>
          <w:szCs w:val="22"/>
          <w:lang w:val="en-GB"/>
        </w:rPr>
      </w:pPr>
      <w:r w:rsidRPr="004E053C">
        <w:rPr>
          <w:rFonts w:eastAsia="Times New Roman" w:cstheme="majorHAnsi"/>
          <w:b/>
          <w:bCs/>
          <w:sz w:val="22"/>
          <w:szCs w:val="22"/>
          <w:lang w:val="en-GB"/>
        </w:rPr>
        <w:t>Table 6</w:t>
      </w:r>
      <w:r w:rsidR="0091076C" w:rsidRPr="004E053C">
        <w:rPr>
          <w:rFonts w:eastAsia="Times New Roman" w:cstheme="majorHAnsi"/>
          <w:b/>
          <w:bCs/>
          <w:sz w:val="22"/>
          <w:szCs w:val="22"/>
          <w:lang w:val="en-GB"/>
        </w:rPr>
        <w:t xml:space="preserve">.2: </w:t>
      </w:r>
      <w:r w:rsidR="00906830" w:rsidRPr="004E053C">
        <w:rPr>
          <w:rFonts w:eastAsia="Times New Roman" w:cstheme="majorHAnsi"/>
          <w:b/>
          <w:bCs/>
          <w:sz w:val="22"/>
          <w:szCs w:val="22"/>
          <w:lang w:val="en-GB"/>
        </w:rPr>
        <w:t>Characteristics of Migrant Typologies</w:t>
      </w:r>
    </w:p>
    <w:p w14:paraId="29852245" w14:textId="77777777" w:rsidR="0091076C" w:rsidRPr="004E053C" w:rsidRDefault="0091076C" w:rsidP="004E053C">
      <w:pPr>
        <w:spacing w:line="360" w:lineRule="auto"/>
        <w:jc w:val="both"/>
        <w:rPr>
          <w:rFonts w:eastAsia="Times New Roman" w:cstheme="majorHAnsi"/>
          <w:sz w:val="22"/>
          <w:szCs w:val="22"/>
          <w:lang w:val="en-GB"/>
        </w:rPr>
      </w:pPr>
    </w:p>
    <w:tbl>
      <w:tblPr>
        <w:tblStyle w:val="TableGrid"/>
        <w:tblW w:w="0" w:type="auto"/>
        <w:tblLook w:val="04A0" w:firstRow="1" w:lastRow="0" w:firstColumn="1" w:lastColumn="0" w:noHBand="0" w:noVBand="1"/>
      </w:tblPr>
      <w:tblGrid>
        <w:gridCol w:w="1696"/>
        <w:gridCol w:w="6594"/>
      </w:tblGrid>
      <w:tr w:rsidR="0091076C" w:rsidRPr="004E053C" w14:paraId="7C8831EB" w14:textId="77777777" w:rsidTr="0047096C">
        <w:tc>
          <w:tcPr>
            <w:tcW w:w="1696" w:type="dxa"/>
          </w:tcPr>
          <w:p w14:paraId="73806EE1"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Type of Migrant</w:t>
            </w:r>
          </w:p>
        </w:tc>
        <w:tc>
          <w:tcPr>
            <w:tcW w:w="6594" w:type="dxa"/>
          </w:tcPr>
          <w:p w14:paraId="212AA853"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Characteristics </w:t>
            </w:r>
          </w:p>
        </w:tc>
      </w:tr>
      <w:tr w:rsidR="0091076C" w:rsidRPr="004E053C" w14:paraId="3DAEEE85" w14:textId="77777777" w:rsidTr="0047096C">
        <w:tc>
          <w:tcPr>
            <w:tcW w:w="1696" w:type="dxa"/>
          </w:tcPr>
          <w:p w14:paraId="0FF0064D" w14:textId="76F7FC2A"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Permanent </w:t>
            </w:r>
          </w:p>
        </w:tc>
        <w:tc>
          <w:tcPr>
            <w:tcW w:w="6594" w:type="dxa"/>
          </w:tcPr>
          <w:p w14:paraId="062E6A41" w14:textId="6ACF2FEC" w:rsidR="0091076C" w:rsidRPr="004E053C" w:rsidRDefault="00C97B48"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Migrant</w:t>
            </w:r>
            <w:r w:rsidR="0091076C" w:rsidRPr="004E053C">
              <w:rPr>
                <w:rFonts w:eastAsia="Times New Roman" w:cstheme="majorHAnsi"/>
                <w:sz w:val="22"/>
                <w:szCs w:val="22"/>
                <w:lang w:val="en-GB"/>
              </w:rPr>
              <w:t xml:space="preserve"> works in mining settl</w:t>
            </w:r>
            <w:r w:rsidRPr="004E053C">
              <w:rPr>
                <w:rFonts w:eastAsia="Times New Roman" w:cstheme="majorHAnsi"/>
                <w:sz w:val="22"/>
                <w:szCs w:val="22"/>
                <w:lang w:val="en-GB"/>
              </w:rPr>
              <w:t>ement for an extended period. May bring their family with them or start a family once they have</w:t>
            </w:r>
            <w:r w:rsidR="0091076C" w:rsidRPr="004E053C">
              <w:rPr>
                <w:rFonts w:eastAsia="Times New Roman" w:cstheme="majorHAnsi"/>
                <w:sz w:val="22"/>
                <w:szCs w:val="22"/>
                <w:lang w:val="en-GB"/>
              </w:rPr>
              <w:t xml:space="preserve"> arrived. The presence of a family in the mining settlement creates more stability – although the length of time a family plans to stay are becoming more uncertain due to insecurity</w:t>
            </w:r>
          </w:p>
        </w:tc>
      </w:tr>
      <w:tr w:rsidR="0047096C" w:rsidRPr="004E053C" w14:paraId="5F47D6AE" w14:textId="77777777" w:rsidTr="0047096C">
        <w:tc>
          <w:tcPr>
            <w:tcW w:w="1696" w:type="dxa"/>
            <w:vMerge w:val="restart"/>
          </w:tcPr>
          <w:p w14:paraId="621332E0" w14:textId="79103EC2" w:rsidR="0047096C" w:rsidRPr="004E053C" w:rsidRDefault="004709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Temporary</w:t>
            </w:r>
          </w:p>
          <w:p w14:paraId="7B0132EA" w14:textId="3D359BD8" w:rsidR="0047096C" w:rsidRPr="004E053C" w:rsidRDefault="0047096C" w:rsidP="004E053C">
            <w:pPr>
              <w:spacing w:line="360" w:lineRule="auto"/>
              <w:jc w:val="both"/>
              <w:rPr>
                <w:rFonts w:eastAsia="Times New Roman" w:cstheme="majorHAnsi"/>
                <w:sz w:val="22"/>
                <w:szCs w:val="22"/>
                <w:lang w:val="en-GB"/>
              </w:rPr>
            </w:pPr>
          </w:p>
        </w:tc>
        <w:tc>
          <w:tcPr>
            <w:tcW w:w="6594" w:type="dxa"/>
          </w:tcPr>
          <w:p w14:paraId="780B2999" w14:textId="18211EC2" w:rsidR="0047096C" w:rsidRPr="004E053C" w:rsidRDefault="004709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Static - Migrant works in a particular mining settlement for a given period of time, potentially with a family, but future plans are elsewhere and the length of stay is increasingly uncertain due to insecurity</w:t>
            </w:r>
          </w:p>
        </w:tc>
      </w:tr>
      <w:tr w:rsidR="0047096C" w:rsidRPr="004E053C" w14:paraId="10B315F7" w14:textId="77777777" w:rsidTr="0047096C">
        <w:tc>
          <w:tcPr>
            <w:tcW w:w="1696" w:type="dxa"/>
            <w:vMerge/>
          </w:tcPr>
          <w:p w14:paraId="6203B40A" w14:textId="6A3DDB4E" w:rsidR="0047096C" w:rsidRPr="004E053C" w:rsidRDefault="0047096C" w:rsidP="004E053C">
            <w:pPr>
              <w:spacing w:line="360" w:lineRule="auto"/>
              <w:jc w:val="both"/>
              <w:rPr>
                <w:rFonts w:eastAsia="Times New Roman" w:cstheme="majorHAnsi"/>
                <w:sz w:val="22"/>
                <w:szCs w:val="22"/>
                <w:lang w:val="en-GB"/>
              </w:rPr>
            </w:pPr>
          </w:p>
        </w:tc>
        <w:tc>
          <w:tcPr>
            <w:tcW w:w="6594" w:type="dxa"/>
          </w:tcPr>
          <w:p w14:paraId="431ED3E0" w14:textId="677FBBFD" w:rsidR="0047096C" w:rsidRPr="004E053C" w:rsidRDefault="004709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Seasonal - Migration occurs back-and-forth between mining settlement and origin community. The amount of time away can vary from around 3 months a year to all year round, but with breaks every 2-3 months when the migrant returns home</w:t>
            </w:r>
          </w:p>
        </w:tc>
      </w:tr>
      <w:tr w:rsidR="0091076C" w:rsidRPr="004E053C" w14:paraId="4C2438D0" w14:textId="77777777" w:rsidTr="0047096C">
        <w:tc>
          <w:tcPr>
            <w:tcW w:w="1696" w:type="dxa"/>
          </w:tcPr>
          <w:p w14:paraId="415E5330"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Floating</w:t>
            </w:r>
          </w:p>
        </w:tc>
        <w:tc>
          <w:tcPr>
            <w:tcW w:w="6594" w:type="dxa"/>
          </w:tcPr>
          <w:p w14:paraId="5AAA2397" w14:textId="131B243C"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Migration is not fixed to one location. With no social ties, the </w:t>
            </w:r>
            <w:r w:rsidR="00CE4B8D" w:rsidRPr="004E053C">
              <w:rPr>
                <w:rFonts w:eastAsia="Times New Roman" w:cstheme="majorHAnsi"/>
                <w:sz w:val="22"/>
                <w:szCs w:val="22"/>
                <w:lang w:val="en-GB"/>
              </w:rPr>
              <w:t>migrant</w:t>
            </w:r>
            <w:r w:rsidRPr="004E053C">
              <w:rPr>
                <w:rFonts w:eastAsia="Times New Roman" w:cstheme="majorHAnsi"/>
                <w:sz w:val="22"/>
                <w:szCs w:val="22"/>
                <w:lang w:val="en-GB"/>
              </w:rPr>
              <w:t xml:space="preserve"> is free to move between mining settlements, and has very weak social connections </w:t>
            </w:r>
          </w:p>
        </w:tc>
      </w:tr>
      <w:tr w:rsidR="0091076C" w:rsidRPr="004E053C" w14:paraId="20BD0757" w14:textId="77777777" w:rsidTr="0047096C">
        <w:tc>
          <w:tcPr>
            <w:tcW w:w="1696" w:type="dxa"/>
          </w:tcPr>
          <w:p w14:paraId="24A45F0D"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Non-migrant</w:t>
            </w:r>
          </w:p>
        </w:tc>
        <w:tc>
          <w:tcPr>
            <w:tcW w:w="6594" w:type="dxa"/>
          </w:tcPr>
          <w:p w14:paraId="50DF473E" w14:textId="53747D1D"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Individuals who were born in mining settlements. These individuals may share the charac</w:t>
            </w:r>
            <w:r w:rsidR="00E04337" w:rsidRPr="004E053C">
              <w:rPr>
                <w:rFonts w:eastAsia="Times New Roman" w:cstheme="majorHAnsi"/>
                <w:sz w:val="22"/>
                <w:szCs w:val="22"/>
                <w:lang w:val="en-GB"/>
              </w:rPr>
              <w:t>teristics of other migrant</w:t>
            </w:r>
            <w:r w:rsidRPr="004E053C">
              <w:rPr>
                <w:rFonts w:eastAsia="Times New Roman" w:cstheme="majorHAnsi"/>
                <w:sz w:val="22"/>
                <w:szCs w:val="22"/>
                <w:lang w:val="en-GB"/>
              </w:rPr>
              <w:t>s – they may be students, or may move around between mining settlements looking for work</w:t>
            </w:r>
          </w:p>
        </w:tc>
      </w:tr>
    </w:tbl>
    <w:p w14:paraId="0ECF6B13" w14:textId="77777777" w:rsidR="0091076C" w:rsidRPr="004E053C" w:rsidRDefault="0091076C" w:rsidP="004E053C">
      <w:pPr>
        <w:spacing w:line="360" w:lineRule="auto"/>
        <w:jc w:val="both"/>
        <w:rPr>
          <w:rFonts w:eastAsia="Times New Roman" w:cstheme="majorHAnsi"/>
          <w:sz w:val="22"/>
          <w:szCs w:val="22"/>
          <w:lang w:val="en-GB"/>
        </w:rPr>
      </w:pPr>
    </w:p>
    <w:p w14:paraId="464B82E8" w14:textId="2BC13B6A" w:rsidR="0091076C" w:rsidRPr="004E053C" w:rsidRDefault="00EA7F83" w:rsidP="004E053C">
      <w:pPr>
        <w:pStyle w:val="Heading3"/>
        <w:rPr>
          <w:rFonts w:asciiTheme="minorHAnsi" w:hAnsiTheme="minorHAnsi"/>
        </w:rPr>
      </w:pPr>
      <w:r w:rsidRPr="004E053C">
        <w:rPr>
          <w:rFonts w:asciiTheme="minorHAnsi" w:hAnsiTheme="minorHAnsi"/>
        </w:rPr>
        <w:lastRenderedPageBreak/>
        <w:t>6</w:t>
      </w:r>
      <w:r w:rsidR="00F32A9B" w:rsidRPr="004E053C">
        <w:rPr>
          <w:rFonts w:asciiTheme="minorHAnsi" w:hAnsiTheme="minorHAnsi"/>
        </w:rPr>
        <w:t>.4</w:t>
      </w:r>
      <w:r w:rsidR="0047096C" w:rsidRPr="004E053C">
        <w:rPr>
          <w:rFonts w:asciiTheme="minorHAnsi" w:hAnsiTheme="minorHAnsi"/>
        </w:rPr>
        <w:t xml:space="preserve">.1. </w:t>
      </w:r>
      <w:r w:rsidR="0091076C" w:rsidRPr="004E053C">
        <w:rPr>
          <w:rFonts w:asciiTheme="minorHAnsi" w:hAnsiTheme="minorHAnsi"/>
        </w:rPr>
        <w:t>Permanent</w:t>
      </w:r>
    </w:p>
    <w:p w14:paraId="5092BCB4" w14:textId="77777777" w:rsidR="004A3EF1" w:rsidRPr="004E053C" w:rsidRDefault="004A3EF1" w:rsidP="004E053C">
      <w:pPr>
        <w:spacing w:line="360" w:lineRule="auto"/>
        <w:jc w:val="both"/>
        <w:rPr>
          <w:rFonts w:cstheme="majorHAnsi"/>
          <w:lang w:val="en-GB"/>
        </w:rPr>
      </w:pPr>
    </w:p>
    <w:p w14:paraId="59E9D14D" w14:textId="04EFF71E" w:rsidR="0091076C" w:rsidRPr="004E053C" w:rsidRDefault="0091076C" w:rsidP="004E053C">
      <w:pPr>
        <w:spacing w:line="360" w:lineRule="auto"/>
        <w:jc w:val="both"/>
        <w:rPr>
          <w:rFonts w:eastAsia="Times New Roman" w:cstheme="majorHAnsi"/>
          <w:bCs/>
          <w:color w:val="333132"/>
          <w:sz w:val="22"/>
          <w:szCs w:val="22"/>
          <w:lang w:val="en-GB"/>
        </w:rPr>
      </w:pPr>
      <w:r w:rsidRPr="004E053C">
        <w:rPr>
          <w:rFonts w:cstheme="majorHAnsi"/>
          <w:sz w:val="22"/>
          <w:szCs w:val="22"/>
          <w:lang w:val="en-GB"/>
        </w:rPr>
        <w:t xml:space="preserve">Many of the </w:t>
      </w:r>
      <w:r w:rsidR="0047096C" w:rsidRPr="004E053C">
        <w:rPr>
          <w:rFonts w:cstheme="majorHAnsi"/>
          <w:sz w:val="22"/>
          <w:szCs w:val="22"/>
          <w:lang w:val="en-GB"/>
        </w:rPr>
        <w:t xml:space="preserve">permanent </w:t>
      </w:r>
      <w:r w:rsidRPr="004E053C">
        <w:rPr>
          <w:rFonts w:cstheme="majorHAnsi"/>
          <w:sz w:val="22"/>
          <w:szCs w:val="22"/>
          <w:lang w:val="en-GB"/>
        </w:rPr>
        <w:t>residents of Laberinto work in ASM and have similar char</w:t>
      </w:r>
      <w:r w:rsidR="00923CFD" w:rsidRPr="004E053C">
        <w:rPr>
          <w:rFonts w:cstheme="majorHAnsi"/>
          <w:sz w:val="22"/>
          <w:szCs w:val="22"/>
          <w:lang w:val="en-GB"/>
        </w:rPr>
        <w:t>acteristics to the career miner</w:t>
      </w:r>
      <w:r w:rsidRPr="004E053C">
        <w:rPr>
          <w:rFonts w:cstheme="majorHAnsi"/>
          <w:sz w:val="22"/>
          <w:szCs w:val="22"/>
          <w:lang w:val="en-GB"/>
        </w:rPr>
        <w:t xml:space="preserve">s identified by </w:t>
      </w:r>
      <w:r w:rsidRPr="004E053C">
        <w:rPr>
          <w:rFonts w:cstheme="majorHAnsi"/>
          <w:bCs/>
          <w:sz w:val="22"/>
          <w:szCs w:val="22"/>
          <w:lang w:val="en-GB"/>
        </w:rPr>
        <w:t xml:space="preserve">Bryceson and </w:t>
      </w:r>
      <w:r w:rsidRPr="004E053C">
        <w:rPr>
          <w:rFonts w:eastAsia="Times New Roman" w:cstheme="majorHAnsi"/>
          <w:bCs/>
          <w:color w:val="333132"/>
          <w:sz w:val="22"/>
          <w:szCs w:val="22"/>
          <w:lang w:val="en-GB"/>
        </w:rPr>
        <w:t xml:space="preserve">Jønsson </w:t>
      </w:r>
      <w:r w:rsidRPr="004E053C">
        <w:rPr>
          <w:rFonts w:eastAsia="Times New Roman" w:cstheme="majorHAnsi"/>
          <w:bCs/>
          <w:color w:val="333132"/>
          <w:sz w:val="22"/>
          <w:szCs w:val="22"/>
          <w:lang w:val="en-GB"/>
        </w:rPr>
        <w:fldChar w:fldCharType="begin" w:fldLock="1"/>
      </w:r>
      <w:r w:rsidR="0004146F" w:rsidRPr="004E053C">
        <w:rPr>
          <w:rFonts w:eastAsia="Times New Roman" w:cstheme="majorHAnsi"/>
          <w:bCs/>
          <w:color w:val="333132"/>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2010)","manualFormatting":"(2010)","plainTextFormattedCitation":"(D. F. Bryceson &amp; Jønsson, 2010)","previouslyFormattedCitation":"(D. F. Bryceson &amp; Jønsson, 2010)"},"properties":{"noteIndex":0},"schema":"https://github.com/citation-style-language/schema/raw/master/csl-citation.json"}</w:instrText>
      </w:r>
      <w:r w:rsidRPr="004E053C">
        <w:rPr>
          <w:rFonts w:eastAsia="Times New Roman" w:cstheme="majorHAnsi"/>
          <w:bCs/>
          <w:color w:val="333132"/>
          <w:sz w:val="22"/>
          <w:szCs w:val="22"/>
          <w:lang w:val="en-GB"/>
        </w:rPr>
        <w:fldChar w:fldCharType="separate"/>
      </w:r>
      <w:r w:rsidRPr="004E053C">
        <w:rPr>
          <w:rFonts w:eastAsia="Times New Roman" w:cstheme="majorHAnsi"/>
          <w:bCs/>
          <w:noProof/>
          <w:color w:val="333132"/>
          <w:sz w:val="22"/>
          <w:szCs w:val="22"/>
          <w:lang w:val="en-GB"/>
        </w:rPr>
        <w:t>(2010)</w:t>
      </w:r>
      <w:r w:rsidRPr="004E053C">
        <w:rPr>
          <w:rFonts w:eastAsia="Times New Roman" w:cstheme="majorHAnsi"/>
          <w:bCs/>
          <w:color w:val="333132"/>
          <w:sz w:val="22"/>
          <w:szCs w:val="22"/>
          <w:lang w:val="en-GB"/>
        </w:rPr>
        <w:fldChar w:fldCharType="end"/>
      </w:r>
      <w:r w:rsidRPr="004E053C">
        <w:rPr>
          <w:rFonts w:eastAsia="Times New Roman" w:cstheme="majorHAnsi"/>
          <w:bCs/>
          <w:color w:val="333132"/>
          <w:sz w:val="22"/>
          <w:szCs w:val="22"/>
          <w:lang w:val="en-GB"/>
        </w:rPr>
        <w:t xml:space="preserve">.  </w:t>
      </w:r>
      <w:r w:rsidRPr="004E053C">
        <w:rPr>
          <w:rFonts w:cstheme="majorHAnsi"/>
          <w:bCs/>
          <w:sz w:val="22"/>
          <w:szCs w:val="22"/>
          <w:lang w:val="en-GB"/>
        </w:rPr>
        <w:t xml:space="preserve">Bryceson and </w:t>
      </w:r>
      <w:r w:rsidRPr="004E053C">
        <w:rPr>
          <w:rFonts w:eastAsia="Times New Roman" w:cstheme="majorHAnsi"/>
          <w:bCs/>
          <w:sz w:val="22"/>
          <w:szCs w:val="22"/>
          <w:lang w:val="en-GB"/>
        </w:rPr>
        <w:t xml:space="preserve">Jønsson use the term </w:t>
      </w:r>
      <w:r w:rsidR="00A70DD0" w:rsidRPr="004E053C">
        <w:rPr>
          <w:rFonts w:eastAsia="Times New Roman" w:cstheme="majorHAnsi"/>
          <w:bCs/>
          <w:sz w:val="22"/>
          <w:szCs w:val="22"/>
          <w:lang w:val="en-GB"/>
        </w:rPr>
        <w:t>‘</w:t>
      </w:r>
      <w:r w:rsidRPr="004E053C">
        <w:rPr>
          <w:rFonts w:eastAsia="Times New Roman" w:cstheme="majorHAnsi"/>
          <w:bCs/>
          <w:sz w:val="22"/>
          <w:szCs w:val="22"/>
          <w:lang w:val="en-GB"/>
        </w:rPr>
        <w:t>Caree</w:t>
      </w:r>
      <w:r w:rsidR="00A70DD0" w:rsidRPr="004E053C">
        <w:rPr>
          <w:rFonts w:eastAsia="Times New Roman" w:cstheme="majorHAnsi"/>
          <w:bCs/>
          <w:sz w:val="22"/>
          <w:szCs w:val="22"/>
          <w:lang w:val="en-GB"/>
        </w:rPr>
        <w:t>r Miner’</w:t>
      </w:r>
      <w:r w:rsidR="003D1D4F" w:rsidRPr="004E053C">
        <w:rPr>
          <w:rFonts w:eastAsia="Times New Roman" w:cstheme="majorHAnsi"/>
          <w:bCs/>
          <w:sz w:val="22"/>
          <w:szCs w:val="22"/>
          <w:lang w:val="en-GB"/>
        </w:rPr>
        <w:t xml:space="preserve"> to relate to a miner’s</w:t>
      </w:r>
      <w:r w:rsidRPr="004E053C">
        <w:rPr>
          <w:rFonts w:eastAsia="Times New Roman" w:cstheme="majorHAnsi"/>
          <w:bCs/>
          <w:sz w:val="22"/>
          <w:szCs w:val="22"/>
          <w:lang w:val="en-GB"/>
        </w:rPr>
        <w:t xml:space="preserve">; i) length of occupational engagement; ii) their level of concentration on mining activities; and iii) their willingness to be mobile in response to the changing availability of miners. </w:t>
      </w:r>
      <w:r w:rsidR="000A7AA4" w:rsidRPr="004E053C">
        <w:rPr>
          <w:rFonts w:cstheme="majorHAnsi"/>
          <w:sz w:val="22"/>
          <w:szCs w:val="22"/>
          <w:lang w:val="en-GB"/>
        </w:rPr>
        <w:t>The permanent</w:t>
      </w:r>
      <w:r w:rsidRPr="004E053C">
        <w:rPr>
          <w:rFonts w:cstheme="majorHAnsi"/>
          <w:sz w:val="22"/>
          <w:szCs w:val="22"/>
          <w:lang w:val="en-GB"/>
        </w:rPr>
        <w:t xml:space="preserve"> miners in Laberinto have been engaging in ASM for a long-time and </w:t>
      </w:r>
      <w:r w:rsidRPr="004E053C">
        <w:rPr>
          <w:rFonts w:eastAsia="Times New Roman" w:cstheme="majorHAnsi"/>
          <w:bCs/>
          <w:sz w:val="22"/>
          <w:szCs w:val="22"/>
          <w:lang w:val="en-GB"/>
        </w:rPr>
        <w:t xml:space="preserve">their commitment to the sector is high. </w:t>
      </w:r>
      <w:r w:rsidRPr="004E053C">
        <w:rPr>
          <w:rFonts w:cstheme="majorHAnsi"/>
          <w:sz w:val="22"/>
          <w:szCs w:val="22"/>
          <w:lang w:val="en-GB"/>
        </w:rPr>
        <w:t>This is reflected in the fact that most have made significant capital invest</w:t>
      </w:r>
      <w:r w:rsidR="003D1D4F" w:rsidRPr="004E053C">
        <w:rPr>
          <w:rFonts w:cstheme="majorHAnsi"/>
          <w:sz w:val="22"/>
          <w:szCs w:val="22"/>
          <w:lang w:val="en-GB"/>
        </w:rPr>
        <w:t>ments in ASM to bring them</w:t>
      </w:r>
      <w:r w:rsidRPr="004E053C">
        <w:rPr>
          <w:rFonts w:cstheme="majorHAnsi"/>
          <w:sz w:val="22"/>
          <w:szCs w:val="22"/>
          <w:lang w:val="en-GB"/>
        </w:rPr>
        <w:t xml:space="preserve"> above the level of </w:t>
      </w:r>
      <w:r w:rsidRPr="004E053C">
        <w:rPr>
          <w:rFonts w:cstheme="majorHAnsi"/>
          <w:i/>
          <w:iCs/>
          <w:sz w:val="22"/>
          <w:szCs w:val="22"/>
          <w:lang w:val="en-GB"/>
        </w:rPr>
        <w:t>obrero.</w:t>
      </w:r>
      <w:r w:rsidR="003D1D4F" w:rsidRPr="004E053C">
        <w:rPr>
          <w:rFonts w:cstheme="majorHAnsi"/>
          <w:sz w:val="22"/>
          <w:szCs w:val="22"/>
          <w:lang w:val="en-GB"/>
        </w:rPr>
        <w:t xml:space="preserve"> </w:t>
      </w:r>
      <w:r w:rsidRPr="004E053C">
        <w:rPr>
          <w:rFonts w:eastAsia="Times New Roman" w:cstheme="majorHAnsi"/>
          <w:sz w:val="22"/>
          <w:szCs w:val="22"/>
          <w:lang w:val="en-GB"/>
        </w:rPr>
        <w:t xml:space="preserve">Those who arrived in Laberinto early enough tend to be </w:t>
      </w:r>
      <w:r w:rsidRPr="004E053C">
        <w:rPr>
          <w:rFonts w:eastAsia="Times New Roman" w:cstheme="majorHAnsi"/>
          <w:i/>
          <w:sz w:val="22"/>
          <w:szCs w:val="22"/>
          <w:lang w:val="en-GB"/>
        </w:rPr>
        <w:t>concessionarios</w:t>
      </w:r>
      <w:r w:rsidRPr="004E053C">
        <w:rPr>
          <w:rFonts w:eastAsia="Times New Roman" w:cstheme="majorHAnsi"/>
          <w:sz w:val="22"/>
          <w:szCs w:val="22"/>
          <w:lang w:val="en-GB"/>
        </w:rPr>
        <w:t xml:space="preserve"> and the relatively new arrivals who have been un</w:t>
      </w:r>
      <w:r w:rsidRPr="004E053C">
        <w:rPr>
          <w:rFonts w:cstheme="majorHAnsi"/>
          <w:sz w:val="22"/>
          <w:szCs w:val="22"/>
          <w:lang w:val="en-GB"/>
        </w:rPr>
        <w:t xml:space="preserve">able to acquire land have tended to invest in their own machines to become </w:t>
      </w:r>
      <w:r w:rsidRPr="004E053C">
        <w:rPr>
          <w:rFonts w:cstheme="majorHAnsi"/>
          <w:i/>
          <w:sz w:val="22"/>
          <w:szCs w:val="22"/>
          <w:lang w:val="en-GB"/>
        </w:rPr>
        <w:t xml:space="preserve">duenos. </w:t>
      </w:r>
      <w:r w:rsidRPr="004E053C">
        <w:rPr>
          <w:rFonts w:cstheme="majorHAnsi"/>
          <w:iCs/>
          <w:sz w:val="22"/>
          <w:szCs w:val="22"/>
          <w:lang w:val="en-GB"/>
        </w:rPr>
        <w:t xml:space="preserve">Only one of the </w:t>
      </w:r>
      <w:r w:rsidR="0047096C" w:rsidRPr="004E053C">
        <w:rPr>
          <w:rFonts w:cstheme="majorHAnsi"/>
          <w:iCs/>
          <w:sz w:val="22"/>
          <w:szCs w:val="22"/>
          <w:lang w:val="en-GB"/>
        </w:rPr>
        <w:t>permanent</w:t>
      </w:r>
      <w:r w:rsidRPr="004E053C">
        <w:rPr>
          <w:rFonts w:cstheme="majorHAnsi"/>
          <w:iCs/>
          <w:sz w:val="22"/>
          <w:szCs w:val="22"/>
          <w:lang w:val="en-GB"/>
        </w:rPr>
        <w:t xml:space="preserve"> miners had never invested in his own equipment or land</w:t>
      </w:r>
      <w:r w:rsidRPr="004E053C">
        <w:rPr>
          <w:rFonts w:eastAsia="Times New Roman" w:cstheme="majorHAnsi"/>
          <w:i/>
          <w:sz w:val="22"/>
          <w:szCs w:val="22"/>
          <w:lang w:val="en-GB"/>
        </w:rPr>
        <w:t xml:space="preserve">, </w:t>
      </w:r>
      <w:r w:rsidRPr="004E053C">
        <w:rPr>
          <w:rFonts w:eastAsia="Times New Roman" w:cstheme="majorHAnsi"/>
          <w:sz w:val="22"/>
          <w:szCs w:val="22"/>
          <w:lang w:val="en-GB"/>
        </w:rPr>
        <w:t xml:space="preserve">but he also spent time doing other jobs and is not a full-time miner. </w:t>
      </w:r>
    </w:p>
    <w:p w14:paraId="7A0F5AB3" w14:textId="77777777" w:rsidR="0091076C" w:rsidRPr="004E053C" w:rsidRDefault="0091076C" w:rsidP="004E053C">
      <w:pPr>
        <w:spacing w:line="360" w:lineRule="auto"/>
        <w:jc w:val="both"/>
        <w:rPr>
          <w:rFonts w:eastAsia="Times New Roman" w:cstheme="majorHAnsi"/>
          <w:sz w:val="22"/>
          <w:szCs w:val="22"/>
          <w:lang w:val="en-GB"/>
        </w:rPr>
      </w:pPr>
    </w:p>
    <w:p w14:paraId="3A177C2A" w14:textId="4BCB3DD3" w:rsidR="0091076C" w:rsidRPr="004E053C" w:rsidRDefault="0091076C" w:rsidP="004E053C">
      <w:pPr>
        <w:spacing w:line="360" w:lineRule="auto"/>
        <w:jc w:val="both"/>
        <w:rPr>
          <w:rFonts w:eastAsia="Times New Roman" w:cstheme="majorHAnsi"/>
          <w:bCs/>
          <w:sz w:val="22"/>
          <w:szCs w:val="22"/>
          <w:lang w:val="en-GB"/>
        </w:rPr>
      </w:pPr>
      <w:r w:rsidRPr="004E053C">
        <w:rPr>
          <w:rFonts w:eastAsia="Times New Roman" w:cstheme="majorHAnsi"/>
          <w:bCs/>
          <w:sz w:val="22"/>
          <w:szCs w:val="22"/>
          <w:lang w:val="en-GB"/>
        </w:rPr>
        <w:t xml:space="preserve">There are however, two key points of departure between the definition of career miners as used by </w:t>
      </w:r>
      <w:r w:rsidRPr="004E053C">
        <w:rPr>
          <w:rFonts w:cstheme="majorHAnsi"/>
          <w:bCs/>
          <w:sz w:val="22"/>
          <w:szCs w:val="22"/>
          <w:lang w:val="en-GB"/>
        </w:rPr>
        <w:t xml:space="preserve">Bryceson and </w:t>
      </w:r>
      <w:r w:rsidRPr="004E053C">
        <w:rPr>
          <w:rFonts w:eastAsia="Times New Roman" w:cstheme="majorHAnsi"/>
          <w:bCs/>
          <w:color w:val="333132"/>
          <w:sz w:val="22"/>
          <w:szCs w:val="22"/>
          <w:lang w:val="en-GB"/>
        </w:rPr>
        <w:t xml:space="preserve">Jønsson </w:t>
      </w:r>
      <w:r w:rsidRPr="004E053C">
        <w:rPr>
          <w:rFonts w:eastAsia="Times New Roman" w:cstheme="majorHAnsi"/>
          <w:bCs/>
          <w:color w:val="333132"/>
          <w:sz w:val="22"/>
          <w:szCs w:val="22"/>
          <w:lang w:val="en-GB"/>
        </w:rPr>
        <w:fldChar w:fldCharType="begin" w:fldLock="1"/>
      </w:r>
      <w:r w:rsidR="0004146F" w:rsidRPr="004E053C">
        <w:rPr>
          <w:rFonts w:eastAsia="Times New Roman" w:cstheme="majorHAnsi"/>
          <w:bCs/>
          <w:color w:val="333132"/>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2010)","manualFormatting":"(2010)","plainTextFormattedCitation":"(D. F. Bryceson &amp; Jønsson, 2010)","previouslyFormattedCitation":"(D. F. Bryceson &amp; Jønsson, 2010)"},"properties":{"noteIndex":0},"schema":"https://github.com/citation-style-language/schema/raw/master/csl-citation.json"}</w:instrText>
      </w:r>
      <w:r w:rsidRPr="004E053C">
        <w:rPr>
          <w:rFonts w:eastAsia="Times New Roman" w:cstheme="majorHAnsi"/>
          <w:bCs/>
          <w:color w:val="333132"/>
          <w:sz w:val="22"/>
          <w:szCs w:val="22"/>
          <w:lang w:val="en-GB"/>
        </w:rPr>
        <w:fldChar w:fldCharType="separate"/>
      </w:r>
      <w:r w:rsidRPr="004E053C">
        <w:rPr>
          <w:rFonts w:eastAsia="Times New Roman" w:cstheme="majorHAnsi"/>
          <w:bCs/>
          <w:noProof/>
          <w:color w:val="333132"/>
          <w:sz w:val="22"/>
          <w:szCs w:val="22"/>
          <w:lang w:val="en-GB"/>
        </w:rPr>
        <w:t>(2010)</w:t>
      </w:r>
      <w:r w:rsidRPr="004E053C">
        <w:rPr>
          <w:rFonts w:eastAsia="Times New Roman" w:cstheme="majorHAnsi"/>
          <w:bCs/>
          <w:color w:val="333132"/>
          <w:sz w:val="22"/>
          <w:szCs w:val="22"/>
          <w:lang w:val="en-GB"/>
        </w:rPr>
        <w:fldChar w:fldCharType="end"/>
      </w:r>
      <w:r w:rsidRPr="004E053C">
        <w:rPr>
          <w:rFonts w:eastAsia="Times New Roman" w:cstheme="majorHAnsi"/>
          <w:bCs/>
          <w:color w:val="333132"/>
          <w:sz w:val="22"/>
          <w:szCs w:val="22"/>
          <w:lang w:val="en-GB"/>
        </w:rPr>
        <w:t xml:space="preserve"> </w:t>
      </w:r>
      <w:r w:rsidRPr="004E053C">
        <w:rPr>
          <w:rFonts w:eastAsia="Times New Roman" w:cstheme="majorHAnsi"/>
          <w:bCs/>
          <w:sz w:val="22"/>
          <w:szCs w:val="22"/>
          <w:lang w:val="en-GB"/>
        </w:rPr>
        <w:t xml:space="preserve">and the </w:t>
      </w:r>
      <w:r w:rsidR="00B470D1" w:rsidRPr="004E053C">
        <w:rPr>
          <w:rFonts w:eastAsia="Times New Roman" w:cstheme="majorHAnsi"/>
          <w:bCs/>
          <w:sz w:val="22"/>
          <w:szCs w:val="22"/>
          <w:lang w:val="en-GB"/>
        </w:rPr>
        <w:t>permanent</w:t>
      </w:r>
      <w:r w:rsidRPr="004E053C">
        <w:rPr>
          <w:rFonts w:eastAsia="Times New Roman" w:cstheme="majorHAnsi"/>
          <w:bCs/>
          <w:sz w:val="22"/>
          <w:szCs w:val="22"/>
          <w:lang w:val="en-GB"/>
        </w:rPr>
        <w:t xml:space="preserve"> ASM migrants identified here. Firstly, this research is also interested in those </w:t>
      </w:r>
      <w:r w:rsidR="0047096C" w:rsidRPr="004E053C">
        <w:rPr>
          <w:rFonts w:eastAsia="Times New Roman" w:cstheme="majorHAnsi"/>
          <w:bCs/>
          <w:sz w:val="22"/>
          <w:szCs w:val="22"/>
          <w:lang w:val="en-GB"/>
        </w:rPr>
        <w:t>permanent</w:t>
      </w:r>
      <w:r w:rsidRPr="004E053C">
        <w:rPr>
          <w:rFonts w:eastAsia="Times New Roman" w:cstheme="majorHAnsi"/>
          <w:bCs/>
          <w:sz w:val="22"/>
          <w:szCs w:val="22"/>
          <w:lang w:val="en-GB"/>
        </w:rPr>
        <w:t xml:space="preserve"> residents of Laberinto who are not necessarily directly involved in mining. Including these residents is important as they have made investments in the community and share a similar outlook to the </w:t>
      </w:r>
      <w:r w:rsidR="0047096C" w:rsidRPr="004E053C">
        <w:rPr>
          <w:rFonts w:eastAsia="Times New Roman" w:cstheme="majorHAnsi"/>
          <w:bCs/>
          <w:sz w:val="22"/>
          <w:szCs w:val="22"/>
          <w:lang w:val="en-GB"/>
        </w:rPr>
        <w:t>permanent</w:t>
      </w:r>
      <w:r w:rsidRPr="004E053C">
        <w:rPr>
          <w:rFonts w:eastAsia="Times New Roman" w:cstheme="majorHAnsi"/>
          <w:bCs/>
          <w:sz w:val="22"/>
          <w:szCs w:val="22"/>
          <w:lang w:val="en-GB"/>
        </w:rPr>
        <w:t xml:space="preserve"> min</w:t>
      </w:r>
      <w:r w:rsidR="00E06A67" w:rsidRPr="004E053C">
        <w:rPr>
          <w:rFonts w:eastAsia="Times New Roman" w:cstheme="majorHAnsi"/>
          <w:bCs/>
          <w:sz w:val="22"/>
          <w:szCs w:val="22"/>
          <w:lang w:val="en-GB"/>
        </w:rPr>
        <w:t>ers in that they see Laberinto a</w:t>
      </w:r>
      <w:r w:rsidRPr="004E053C">
        <w:rPr>
          <w:rFonts w:eastAsia="Times New Roman" w:cstheme="majorHAnsi"/>
          <w:bCs/>
          <w:sz w:val="22"/>
          <w:szCs w:val="22"/>
          <w:lang w:val="en-GB"/>
        </w:rPr>
        <w:t>s their home. It shifts the focus to community dynamics in mining settlements, a</w:t>
      </w:r>
      <w:r w:rsidR="00E06A67" w:rsidRPr="004E053C">
        <w:rPr>
          <w:rFonts w:eastAsia="Times New Roman" w:cstheme="majorHAnsi"/>
          <w:bCs/>
          <w:sz w:val="22"/>
          <w:szCs w:val="22"/>
          <w:lang w:val="en-GB"/>
        </w:rPr>
        <w:t>nd has the potential to bring</w:t>
      </w:r>
      <w:r w:rsidRPr="004E053C">
        <w:rPr>
          <w:rFonts w:eastAsia="Times New Roman" w:cstheme="majorHAnsi"/>
          <w:bCs/>
          <w:sz w:val="22"/>
          <w:szCs w:val="22"/>
          <w:lang w:val="en-GB"/>
        </w:rPr>
        <w:t xml:space="preserve"> women into the analysis. </w:t>
      </w:r>
      <w:r w:rsidR="0019790F" w:rsidRPr="004E053C">
        <w:rPr>
          <w:rFonts w:eastAsia="Times New Roman" w:cstheme="majorHAnsi"/>
          <w:bCs/>
          <w:sz w:val="22"/>
          <w:szCs w:val="22"/>
          <w:lang w:val="en-GB"/>
        </w:rPr>
        <w:t xml:space="preserve">The experience of women will be considered in more detail in the next chapter, but for now it is important to note that women that reside </w:t>
      </w:r>
      <w:r w:rsidR="00FD1963" w:rsidRPr="004E053C">
        <w:rPr>
          <w:rFonts w:eastAsia="Times New Roman" w:cstheme="majorHAnsi"/>
          <w:bCs/>
          <w:sz w:val="22"/>
          <w:szCs w:val="22"/>
          <w:lang w:val="en-GB"/>
        </w:rPr>
        <w:t>permanently</w:t>
      </w:r>
      <w:r w:rsidR="0019790F" w:rsidRPr="004E053C">
        <w:rPr>
          <w:rFonts w:eastAsia="Times New Roman" w:cstheme="majorHAnsi"/>
          <w:bCs/>
          <w:sz w:val="22"/>
          <w:szCs w:val="22"/>
          <w:lang w:val="en-GB"/>
        </w:rPr>
        <w:t xml:space="preserve"> in Laberinto may have arrived independently or with a husband but often, though not always, settled after meeting a partner in the area. </w:t>
      </w:r>
      <w:r w:rsidRPr="004E053C">
        <w:rPr>
          <w:rFonts w:eastAsia="Times New Roman" w:cstheme="majorHAnsi"/>
          <w:bCs/>
          <w:sz w:val="22"/>
          <w:szCs w:val="22"/>
          <w:lang w:val="en-GB"/>
        </w:rPr>
        <w:t>Secondly, their thir</w:t>
      </w:r>
      <w:r w:rsidR="003D1D4F" w:rsidRPr="004E053C">
        <w:rPr>
          <w:rFonts w:eastAsia="Times New Roman" w:cstheme="majorHAnsi"/>
          <w:bCs/>
          <w:sz w:val="22"/>
          <w:szCs w:val="22"/>
          <w:lang w:val="en-GB"/>
        </w:rPr>
        <w:t>d criteria</w:t>
      </w:r>
      <w:r w:rsidRPr="004E053C">
        <w:rPr>
          <w:rFonts w:eastAsia="Times New Roman" w:cstheme="majorHAnsi"/>
          <w:bCs/>
          <w:sz w:val="22"/>
          <w:szCs w:val="22"/>
          <w:lang w:val="en-GB"/>
        </w:rPr>
        <w:t xml:space="preserve"> of mobility as a factor in career progression, does not fit in the context of Laberinto. While they may have mining camps a little out of town, the key defining feature of the </w:t>
      </w:r>
      <w:r w:rsidR="0047096C" w:rsidRPr="004E053C">
        <w:rPr>
          <w:rFonts w:eastAsia="Times New Roman" w:cstheme="majorHAnsi"/>
          <w:bCs/>
          <w:sz w:val="22"/>
          <w:szCs w:val="22"/>
          <w:lang w:val="en-GB"/>
        </w:rPr>
        <w:t>permanent</w:t>
      </w:r>
      <w:r w:rsidRPr="004E053C">
        <w:rPr>
          <w:rFonts w:eastAsia="Times New Roman" w:cstheme="majorHAnsi"/>
          <w:bCs/>
          <w:sz w:val="22"/>
          <w:szCs w:val="22"/>
          <w:lang w:val="en-GB"/>
        </w:rPr>
        <w:t xml:space="preserve"> miners and other residents is their lack of mobility. </w:t>
      </w:r>
      <w:r w:rsidRPr="004E053C">
        <w:rPr>
          <w:rFonts w:cstheme="majorHAnsi"/>
          <w:iCs/>
          <w:sz w:val="22"/>
          <w:szCs w:val="22"/>
          <w:lang w:val="en-GB"/>
        </w:rPr>
        <w:t xml:space="preserve">Investing in a concession effectively fixes a miner in place, reducing his or her transience within the translocal mining community. Yet these miners are often better off than the </w:t>
      </w:r>
      <w:r w:rsidRPr="004E053C">
        <w:rPr>
          <w:rFonts w:cstheme="majorHAnsi"/>
          <w:i/>
          <w:sz w:val="22"/>
          <w:szCs w:val="22"/>
          <w:lang w:val="en-GB"/>
        </w:rPr>
        <w:t>duenos</w:t>
      </w:r>
      <w:r w:rsidRPr="004E053C">
        <w:rPr>
          <w:rFonts w:cstheme="majorHAnsi"/>
          <w:iCs/>
          <w:sz w:val="22"/>
          <w:szCs w:val="22"/>
          <w:lang w:val="en-GB"/>
        </w:rPr>
        <w:t xml:space="preserve"> and </w:t>
      </w:r>
      <w:r w:rsidRPr="004E053C">
        <w:rPr>
          <w:rFonts w:cstheme="majorHAnsi"/>
          <w:i/>
          <w:sz w:val="22"/>
          <w:szCs w:val="22"/>
          <w:lang w:val="en-GB"/>
        </w:rPr>
        <w:t>obreros</w:t>
      </w:r>
      <w:r w:rsidRPr="004E053C">
        <w:rPr>
          <w:rFonts w:cstheme="majorHAnsi"/>
          <w:iCs/>
          <w:sz w:val="22"/>
          <w:szCs w:val="22"/>
          <w:lang w:val="en-GB"/>
        </w:rPr>
        <w:t xml:space="preserve"> who work on the concessions on others, indicating that there is not the reliance on mobility </w:t>
      </w:r>
      <w:r w:rsidR="00091107" w:rsidRPr="004E053C">
        <w:rPr>
          <w:rFonts w:cstheme="majorHAnsi"/>
          <w:iCs/>
          <w:sz w:val="22"/>
          <w:szCs w:val="22"/>
          <w:lang w:val="en-GB"/>
        </w:rPr>
        <w:t>emphasised</w:t>
      </w:r>
      <w:r w:rsidRPr="004E053C">
        <w:rPr>
          <w:rFonts w:cstheme="majorHAnsi"/>
          <w:iCs/>
          <w:sz w:val="22"/>
          <w:szCs w:val="22"/>
          <w:lang w:val="en-GB"/>
        </w:rPr>
        <w:t xml:space="preserve"> by </w:t>
      </w:r>
      <w:r w:rsidRPr="004E053C">
        <w:rPr>
          <w:rFonts w:cstheme="majorHAnsi"/>
          <w:bCs/>
          <w:iCs/>
          <w:sz w:val="22"/>
          <w:szCs w:val="22"/>
          <w:lang w:val="en-GB"/>
        </w:rPr>
        <w:t xml:space="preserve">Bryceson and </w:t>
      </w:r>
      <w:r w:rsidRPr="004E053C">
        <w:rPr>
          <w:rFonts w:eastAsia="Times New Roman" w:cstheme="majorHAnsi"/>
          <w:bCs/>
          <w:iCs/>
          <w:sz w:val="22"/>
          <w:szCs w:val="22"/>
          <w:lang w:val="en-GB"/>
        </w:rPr>
        <w:t xml:space="preserve">Jønsson </w:t>
      </w:r>
      <w:r w:rsidRPr="004E053C">
        <w:rPr>
          <w:rFonts w:eastAsia="Times New Roman" w:cstheme="majorHAnsi"/>
          <w:bCs/>
          <w:iCs/>
          <w:sz w:val="22"/>
          <w:szCs w:val="22"/>
          <w:lang w:val="en-GB"/>
        </w:rPr>
        <w:fldChar w:fldCharType="begin" w:fldLock="1"/>
      </w:r>
      <w:r w:rsidR="0004146F" w:rsidRPr="004E053C">
        <w:rPr>
          <w:rFonts w:eastAsia="Times New Roman" w:cstheme="majorHAnsi"/>
          <w:bCs/>
          <w:iCs/>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2010)","manualFormatting":"(2010)","plainTextFormattedCitation":"(D. F. Bryceson &amp; Jønsson, 2010)","previouslyFormattedCitation":"(D. F. Bryceson &amp; Jønsson, 2010)"},"properties":{"noteIndex":0},"schema":"https://github.com/citation-style-language/schema/raw/master/csl-citation.json"}</w:instrText>
      </w:r>
      <w:r w:rsidRPr="004E053C">
        <w:rPr>
          <w:rFonts w:eastAsia="Times New Roman" w:cstheme="majorHAnsi"/>
          <w:bCs/>
          <w:iCs/>
          <w:sz w:val="22"/>
          <w:szCs w:val="22"/>
          <w:lang w:val="en-GB"/>
        </w:rPr>
        <w:fldChar w:fldCharType="separate"/>
      </w:r>
      <w:r w:rsidRPr="004E053C">
        <w:rPr>
          <w:rFonts w:eastAsia="Times New Roman" w:cstheme="majorHAnsi"/>
          <w:bCs/>
          <w:iCs/>
          <w:noProof/>
          <w:sz w:val="22"/>
          <w:szCs w:val="22"/>
          <w:lang w:val="en-GB"/>
        </w:rPr>
        <w:t>(2010)</w:t>
      </w:r>
      <w:r w:rsidRPr="004E053C">
        <w:rPr>
          <w:rFonts w:eastAsia="Times New Roman" w:cstheme="majorHAnsi"/>
          <w:bCs/>
          <w:iCs/>
          <w:sz w:val="22"/>
          <w:szCs w:val="22"/>
          <w:lang w:val="en-GB"/>
        </w:rPr>
        <w:fldChar w:fldCharType="end"/>
      </w:r>
      <w:r w:rsidRPr="004E053C">
        <w:rPr>
          <w:rFonts w:eastAsia="Times New Roman" w:cstheme="majorHAnsi"/>
          <w:bCs/>
          <w:iCs/>
          <w:sz w:val="22"/>
          <w:szCs w:val="22"/>
          <w:lang w:val="en-GB"/>
        </w:rPr>
        <w:t>.</w:t>
      </w:r>
    </w:p>
    <w:p w14:paraId="320329E8" w14:textId="77777777" w:rsidR="0091076C" w:rsidRPr="004E053C" w:rsidRDefault="0091076C" w:rsidP="004E053C">
      <w:pPr>
        <w:spacing w:line="360" w:lineRule="auto"/>
        <w:jc w:val="both"/>
        <w:rPr>
          <w:rFonts w:eastAsia="Times New Roman" w:cstheme="majorHAnsi"/>
          <w:sz w:val="22"/>
          <w:szCs w:val="22"/>
          <w:lang w:val="en-GB"/>
        </w:rPr>
      </w:pPr>
    </w:p>
    <w:p w14:paraId="3E6B6A2B" w14:textId="4DCB206E" w:rsidR="0091076C" w:rsidRPr="004E053C" w:rsidRDefault="0091076C" w:rsidP="004E053C">
      <w:pPr>
        <w:spacing w:line="360" w:lineRule="auto"/>
        <w:jc w:val="both"/>
        <w:rPr>
          <w:rFonts w:eastAsia="Times New Roman" w:cstheme="majorHAnsi"/>
          <w:iCs/>
          <w:sz w:val="22"/>
          <w:szCs w:val="22"/>
          <w:lang w:val="en-GB"/>
        </w:rPr>
      </w:pPr>
      <w:r w:rsidRPr="004E053C">
        <w:rPr>
          <w:rFonts w:eastAsia="Times New Roman" w:cstheme="majorHAnsi"/>
          <w:sz w:val="22"/>
          <w:szCs w:val="22"/>
          <w:lang w:val="en-GB"/>
        </w:rPr>
        <w:t xml:space="preserve">The </w:t>
      </w:r>
      <w:r w:rsidR="0047096C" w:rsidRPr="004E053C">
        <w:rPr>
          <w:rFonts w:eastAsia="Times New Roman" w:cstheme="majorHAnsi"/>
          <w:sz w:val="22"/>
          <w:szCs w:val="22"/>
          <w:lang w:val="en-GB"/>
        </w:rPr>
        <w:t xml:space="preserve">permanent </w:t>
      </w:r>
      <w:r w:rsidRPr="004E053C">
        <w:rPr>
          <w:rFonts w:eastAsia="Times New Roman" w:cstheme="majorHAnsi"/>
          <w:sz w:val="22"/>
          <w:szCs w:val="22"/>
          <w:lang w:val="en-GB"/>
        </w:rPr>
        <w:t>migrants in Laberinto can be categorised as those who see their long-term future in Laberinto and the surrounding area. In total,</w:t>
      </w:r>
      <w:r w:rsidRPr="004E053C">
        <w:rPr>
          <w:rFonts w:cstheme="majorHAnsi"/>
          <w:bCs/>
          <w:sz w:val="22"/>
          <w:szCs w:val="22"/>
          <w:lang w:val="en-GB"/>
        </w:rPr>
        <w:t xml:space="preserve"> fifteen of those interviewed coul</w:t>
      </w:r>
      <w:r w:rsidR="0047096C" w:rsidRPr="004E053C">
        <w:rPr>
          <w:rFonts w:cstheme="majorHAnsi"/>
          <w:bCs/>
          <w:sz w:val="22"/>
          <w:szCs w:val="22"/>
          <w:lang w:val="en-GB"/>
        </w:rPr>
        <w:t>d be considered to be permanent residents</w:t>
      </w:r>
      <w:r w:rsidRPr="004E053C">
        <w:rPr>
          <w:rFonts w:cstheme="majorHAnsi"/>
          <w:bCs/>
          <w:sz w:val="22"/>
          <w:szCs w:val="22"/>
          <w:lang w:val="en-GB"/>
        </w:rPr>
        <w:t xml:space="preserve"> and </w:t>
      </w:r>
      <w:r w:rsidR="000A7AA4" w:rsidRPr="004E053C">
        <w:rPr>
          <w:rFonts w:cstheme="majorHAnsi"/>
          <w:bCs/>
          <w:sz w:val="22"/>
          <w:szCs w:val="22"/>
          <w:lang w:val="en-GB"/>
        </w:rPr>
        <w:t xml:space="preserve">they </w:t>
      </w:r>
      <w:r w:rsidRPr="004E053C">
        <w:rPr>
          <w:rFonts w:cstheme="majorHAnsi"/>
          <w:bCs/>
          <w:sz w:val="22"/>
          <w:szCs w:val="22"/>
          <w:lang w:val="en-GB"/>
        </w:rPr>
        <w:t>all clearly saw the community as their home:</w:t>
      </w:r>
    </w:p>
    <w:p w14:paraId="39D4D900" w14:textId="77777777" w:rsidR="0091076C" w:rsidRPr="004E053C" w:rsidRDefault="0091076C" w:rsidP="004E053C">
      <w:pPr>
        <w:spacing w:line="360" w:lineRule="auto"/>
        <w:jc w:val="both"/>
        <w:rPr>
          <w:rFonts w:eastAsia="Times New Roman" w:cstheme="majorHAnsi"/>
          <w:sz w:val="22"/>
          <w:szCs w:val="22"/>
          <w:lang w:val="en-GB"/>
        </w:rPr>
      </w:pPr>
    </w:p>
    <w:p w14:paraId="3595A5A0" w14:textId="1794F53D" w:rsidR="0091076C" w:rsidRPr="004E053C" w:rsidRDefault="00A70DD0"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0091076C" w:rsidRPr="004E053C">
        <w:rPr>
          <w:rFonts w:eastAsia="Times New Roman" w:cstheme="majorHAnsi"/>
          <w:i/>
          <w:sz w:val="22"/>
          <w:szCs w:val="22"/>
          <w:lang w:val="en-GB"/>
        </w:rPr>
        <w:t>It is calm here and that’s what motivates me to stay. I have a tranquil, quiet life, and I like it. I want to be here for the rest of my life until I die</w:t>
      </w:r>
      <w:r w:rsidRPr="004E053C">
        <w:rPr>
          <w:rFonts w:eastAsia="Times New Roman" w:cstheme="majorHAnsi"/>
          <w:sz w:val="22"/>
          <w:szCs w:val="22"/>
          <w:lang w:val="en-GB"/>
        </w:rPr>
        <w:t>’</w:t>
      </w:r>
      <w:r w:rsidR="0091076C"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Diego</w:t>
      </w:r>
      <w:r w:rsidR="0091076C" w:rsidRPr="004E053C">
        <w:rPr>
          <w:rFonts w:eastAsia="Times New Roman" w:cstheme="majorHAnsi"/>
          <w:sz w:val="22"/>
          <w:szCs w:val="22"/>
          <w:lang w:val="en-GB"/>
        </w:rPr>
        <w:t>, ASM miner, Laberinto).</w:t>
      </w:r>
    </w:p>
    <w:p w14:paraId="48FFAFAF" w14:textId="77777777" w:rsidR="0091076C" w:rsidRPr="004E053C" w:rsidRDefault="0091076C" w:rsidP="004E053C">
      <w:pPr>
        <w:jc w:val="both"/>
        <w:rPr>
          <w:rFonts w:eastAsia="Times New Roman" w:cstheme="majorHAnsi"/>
          <w:sz w:val="22"/>
          <w:szCs w:val="22"/>
          <w:lang w:val="en-GB"/>
        </w:rPr>
      </w:pPr>
    </w:p>
    <w:p w14:paraId="1403AE22" w14:textId="21772986" w:rsidR="0091076C" w:rsidRPr="004E053C" w:rsidRDefault="00A70DD0"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0091076C" w:rsidRPr="004E053C">
        <w:rPr>
          <w:rFonts w:eastAsia="Times New Roman" w:cstheme="majorHAnsi"/>
          <w:i/>
          <w:sz w:val="22"/>
          <w:szCs w:val="22"/>
          <w:lang w:val="en-GB"/>
        </w:rPr>
        <w:t>I’m going</w:t>
      </w:r>
      <w:r w:rsidR="0019790F" w:rsidRPr="004E053C">
        <w:rPr>
          <w:rFonts w:eastAsia="Times New Roman" w:cstheme="majorHAnsi"/>
          <w:i/>
          <w:sz w:val="22"/>
          <w:szCs w:val="22"/>
          <w:lang w:val="en-GB"/>
        </w:rPr>
        <w:t xml:space="preserve"> to live here with (my husband</w:t>
      </w:r>
      <w:r w:rsidR="0091076C" w:rsidRPr="004E053C">
        <w:rPr>
          <w:rFonts w:eastAsia="Times New Roman" w:cstheme="majorHAnsi"/>
          <w:i/>
          <w:sz w:val="22"/>
          <w:szCs w:val="22"/>
          <w:lang w:val="en-GB"/>
        </w:rPr>
        <w:t xml:space="preserve">) and my children. Our plan is to stay here for a long time. He lives here and has adapted to here now, he doesn’t want </w:t>
      </w:r>
      <w:r w:rsidRPr="004E053C">
        <w:rPr>
          <w:rFonts w:eastAsia="Times New Roman" w:cstheme="majorHAnsi"/>
          <w:i/>
          <w:sz w:val="22"/>
          <w:szCs w:val="22"/>
          <w:lang w:val="en-GB"/>
        </w:rPr>
        <w:t>to move’</w:t>
      </w:r>
      <w:r w:rsidR="0091076C" w:rsidRPr="004E053C">
        <w:rPr>
          <w:rFonts w:eastAsia="Times New Roman" w:cstheme="majorHAnsi"/>
          <w:i/>
          <w:sz w:val="22"/>
          <w:szCs w:val="22"/>
          <w:lang w:val="en-GB"/>
        </w:rPr>
        <w:t xml:space="preserve"> </w:t>
      </w:r>
      <w:r w:rsidR="0091076C" w:rsidRPr="004E053C">
        <w:rPr>
          <w:rFonts w:eastAsia="Times New Roman" w:cstheme="majorHAnsi"/>
          <w:sz w:val="22"/>
          <w:szCs w:val="22"/>
          <w:lang w:val="en-GB"/>
        </w:rPr>
        <w:t>(</w:t>
      </w:r>
      <w:r w:rsidR="00B21FFD" w:rsidRPr="004E053C">
        <w:rPr>
          <w:rFonts w:eastAsia="Times New Roman" w:cstheme="majorHAnsi"/>
          <w:sz w:val="22"/>
          <w:szCs w:val="22"/>
          <w:lang w:val="en-GB"/>
        </w:rPr>
        <w:t>Lorena</w:t>
      </w:r>
      <w:r w:rsidR="0091076C" w:rsidRPr="004E053C">
        <w:rPr>
          <w:rFonts w:eastAsia="Times New Roman" w:cstheme="majorHAnsi"/>
          <w:sz w:val="22"/>
          <w:szCs w:val="22"/>
          <w:lang w:val="en-GB"/>
        </w:rPr>
        <w:t>, shop assistant/wife of miner, Laberinto).</w:t>
      </w:r>
    </w:p>
    <w:p w14:paraId="6C3C14DB" w14:textId="77777777" w:rsidR="0091076C" w:rsidRPr="004E053C" w:rsidRDefault="0091076C" w:rsidP="004E053C">
      <w:pPr>
        <w:spacing w:line="360" w:lineRule="auto"/>
        <w:jc w:val="both"/>
        <w:rPr>
          <w:rFonts w:eastAsia="Times New Roman" w:cstheme="majorHAnsi"/>
          <w:b/>
          <w:sz w:val="22"/>
          <w:szCs w:val="22"/>
          <w:lang w:val="en-GB"/>
        </w:rPr>
      </w:pPr>
    </w:p>
    <w:p w14:paraId="57F912D6" w14:textId="0A1280BE" w:rsidR="0091076C" w:rsidRPr="004E053C" w:rsidRDefault="0047096C" w:rsidP="004E053C">
      <w:pPr>
        <w:spacing w:line="360" w:lineRule="auto"/>
        <w:jc w:val="both"/>
        <w:rPr>
          <w:rFonts w:cstheme="majorHAnsi"/>
          <w:b/>
          <w:sz w:val="22"/>
          <w:szCs w:val="22"/>
          <w:lang w:val="en-GB"/>
        </w:rPr>
      </w:pPr>
      <w:r w:rsidRPr="004E053C">
        <w:rPr>
          <w:rFonts w:eastAsia="Times New Roman" w:cstheme="majorHAnsi"/>
          <w:bCs/>
          <w:sz w:val="22"/>
          <w:szCs w:val="22"/>
          <w:lang w:val="en-GB"/>
        </w:rPr>
        <w:t>The views of these two resident</w:t>
      </w:r>
      <w:r w:rsidR="0019790F" w:rsidRPr="004E053C">
        <w:rPr>
          <w:rFonts w:eastAsia="Times New Roman" w:cstheme="majorHAnsi"/>
          <w:bCs/>
          <w:sz w:val="22"/>
          <w:szCs w:val="22"/>
          <w:lang w:val="en-GB"/>
        </w:rPr>
        <w:t xml:space="preserve">s, </w:t>
      </w:r>
      <w:r w:rsidR="0091076C" w:rsidRPr="004E053C">
        <w:rPr>
          <w:rFonts w:eastAsia="Times New Roman" w:cstheme="majorHAnsi"/>
          <w:bCs/>
          <w:sz w:val="22"/>
          <w:szCs w:val="22"/>
          <w:lang w:val="en-GB"/>
        </w:rPr>
        <w:t xml:space="preserve">suggests a </w:t>
      </w:r>
      <w:r w:rsidR="001A7F8F" w:rsidRPr="004E053C">
        <w:rPr>
          <w:rFonts w:eastAsia="Times New Roman" w:cstheme="majorHAnsi"/>
          <w:bCs/>
          <w:sz w:val="22"/>
          <w:szCs w:val="22"/>
          <w:lang w:val="en-GB"/>
        </w:rPr>
        <w:t>rela</w:t>
      </w:r>
      <w:r w:rsidR="00BD3790" w:rsidRPr="004E053C">
        <w:rPr>
          <w:rFonts w:eastAsia="Times New Roman" w:cstheme="majorHAnsi"/>
          <w:bCs/>
          <w:sz w:val="22"/>
          <w:szCs w:val="22"/>
          <w:lang w:val="en-GB"/>
        </w:rPr>
        <w:t xml:space="preserve">tively stable mining community. </w:t>
      </w:r>
      <w:r w:rsidR="0091076C" w:rsidRPr="004E053C">
        <w:rPr>
          <w:rFonts w:cstheme="majorHAnsi"/>
          <w:bCs/>
          <w:sz w:val="22"/>
          <w:szCs w:val="22"/>
          <w:lang w:val="en-GB"/>
        </w:rPr>
        <w:t xml:space="preserve">As Laberinto is a long-established, formal town, </w:t>
      </w:r>
      <w:r w:rsidR="003D1D4F" w:rsidRPr="004E053C">
        <w:rPr>
          <w:rFonts w:cstheme="majorHAnsi"/>
          <w:bCs/>
          <w:sz w:val="22"/>
          <w:szCs w:val="22"/>
          <w:lang w:val="en-GB"/>
        </w:rPr>
        <w:t>the development of a sense of community is more</w:t>
      </w:r>
      <w:r w:rsidR="0091076C" w:rsidRPr="004E053C">
        <w:rPr>
          <w:rFonts w:cstheme="majorHAnsi"/>
          <w:bCs/>
          <w:sz w:val="22"/>
          <w:szCs w:val="22"/>
          <w:lang w:val="en-GB"/>
        </w:rPr>
        <w:t xml:space="preserve"> important than in informal, rush-type settlements in which the population is entirely transient. </w:t>
      </w:r>
      <w:r w:rsidRPr="004E053C">
        <w:rPr>
          <w:rFonts w:eastAsia="Times New Roman" w:cstheme="majorHAnsi"/>
          <w:bCs/>
          <w:sz w:val="22"/>
          <w:szCs w:val="22"/>
          <w:lang w:val="en-GB"/>
        </w:rPr>
        <w:t>Permanent</w:t>
      </w:r>
      <w:r w:rsidR="0091076C" w:rsidRPr="004E053C">
        <w:rPr>
          <w:rFonts w:eastAsia="Times New Roman" w:cstheme="majorHAnsi"/>
          <w:bCs/>
          <w:sz w:val="22"/>
          <w:szCs w:val="22"/>
          <w:lang w:val="en-GB"/>
        </w:rPr>
        <w:t xml:space="preserve"> residents of Laberinto are therefore more concerned </w:t>
      </w:r>
      <w:r w:rsidR="003D1D4F" w:rsidRPr="004E053C">
        <w:rPr>
          <w:rFonts w:eastAsia="Times New Roman" w:cstheme="majorHAnsi"/>
          <w:bCs/>
          <w:sz w:val="22"/>
          <w:szCs w:val="22"/>
          <w:lang w:val="en-GB"/>
        </w:rPr>
        <w:t xml:space="preserve">with </w:t>
      </w:r>
      <w:r w:rsidR="0091076C" w:rsidRPr="004E053C">
        <w:rPr>
          <w:rFonts w:eastAsia="Times New Roman" w:cstheme="majorHAnsi"/>
          <w:bCs/>
          <w:sz w:val="22"/>
          <w:szCs w:val="22"/>
          <w:lang w:val="en-GB"/>
        </w:rPr>
        <w:t>investing in community facilities, opening other small businesses or even expanding</w:t>
      </w:r>
      <w:r w:rsidR="0091076C" w:rsidRPr="004E053C">
        <w:rPr>
          <w:rFonts w:eastAsia="Times New Roman" w:cstheme="majorHAnsi"/>
          <w:sz w:val="22"/>
          <w:szCs w:val="22"/>
          <w:lang w:val="en-GB"/>
        </w:rPr>
        <w:t xml:space="preserve"> into very small-scale agriculture. </w:t>
      </w:r>
      <w:r w:rsidR="0091076C" w:rsidRPr="004E053C">
        <w:rPr>
          <w:rFonts w:cstheme="majorHAnsi"/>
          <w:sz w:val="22"/>
          <w:szCs w:val="22"/>
          <w:lang w:val="en-GB"/>
        </w:rPr>
        <w:t xml:space="preserve">This is very different to the outlook of </w:t>
      </w:r>
      <w:r w:rsidRPr="004E053C">
        <w:rPr>
          <w:rFonts w:cstheme="majorHAnsi"/>
          <w:sz w:val="22"/>
          <w:szCs w:val="22"/>
          <w:lang w:val="en-GB"/>
        </w:rPr>
        <w:t>temporary</w:t>
      </w:r>
      <w:r w:rsidR="0091076C" w:rsidRPr="004E053C">
        <w:rPr>
          <w:rFonts w:cstheme="majorHAnsi"/>
          <w:sz w:val="22"/>
          <w:szCs w:val="22"/>
          <w:lang w:val="en-GB"/>
        </w:rPr>
        <w:t xml:space="preserve"> miners who anticipate that their livelihood trajectories will take them elsewhere. </w:t>
      </w:r>
    </w:p>
    <w:p w14:paraId="0954908F" w14:textId="77777777" w:rsidR="0091076C" w:rsidRPr="004E053C" w:rsidRDefault="0091076C" w:rsidP="004E053C">
      <w:pPr>
        <w:spacing w:line="360" w:lineRule="auto"/>
        <w:jc w:val="both"/>
        <w:rPr>
          <w:rFonts w:cstheme="majorHAnsi"/>
          <w:sz w:val="22"/>
          <w:szCs w:val="22"/>
          <w:lang w:val="en-GB"/>
        </w:rPr>
      </w:pPr>
    </w:p>
    <w:p w14:paraId="0C3A783F" w14:textId="47BF85EB" w:rsidR="0091076C" w:rsidRPr="004E053C" w:rsidRDefault="0091076C"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However, in almost all cases, it appears that being in Laberinto long-term was not the initial intention of most of the respondents. For example, </w:t>
      </w:r>
      <w:r w:rsidR="00EA7F80" w:rsidRPr="004E053C">
        <w:rPr>
          <w:rFonts w:eastAsia="Times New Roman" w:cstheme="majorHAnsi"/>
          <w:sz w:val="22"/>
          <w:szCs w:val="22"/>
          <w:lang w:val="en-GB"/>
        </w:rPr>
        <w:t>Noe</w:t>
      </w:r>
      <w:r w:rsidRPr="004E053C">
        <w:rPr>
          <w:rFonts w:eastAsia="Times New Roman" w:cstheme="majorHAnsi"/>
          <w:sz w:val="22"/>
          <w:szCs w:val="22"/>
          <w:lang w:val="en-GB"/>
        </w:rPr>
        <w:t xml:space="preserve"> described how he hated the to</w:t>
      </w:r>
      <w:r w:rsidR="00AF7E75" w:rsidRPr="004E053C">
        <w:rPr>
          <w:rFonts w:eastAsia="Times New Roman" w:cstheme="majorHAnsi"/>
          <w:sz w:val="22"/>
          <w:szCs w:val="22"/>
          <w:lang w:val="en-GB"/>
        </w:rPr>
        <w:t xml:space="preserve">wn when he first arrived in 1990 </w:t>
      </w:r>
      <w:r w:rsidR="00A70DD0"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A70DD0" w:rsidRPr="004E053C">
        <w:rPr>
          <w:rFonts w:eastAsia="Times New Roman" w:cstheme="majorHAnsi"/>
          <w:sz w:val="22"/>
          <w:szCs w:val="22"/>
          <w:lang w:val="en-GB"/>
        </w:rPr>
        <w:t>‘</w:t>
      </w:r>
      <w:r w:rsidRPr="004E053C">
        <w:rPr>
          <w:rFonts w:eastAsia="Times New Roman" w:cstheme="majorHAnsi"/>
          <w:i/>
          <w:sz w:val="22"/>
          <w:szCs w:val="22"/>
          <w:lang w:val="en-GB"/>
        </w:rPr>
        <w:t>Initially I came here just for one year and then I returned home, because I didn’t like this place. There were no houses, just small shelters without walls. Also, the job was hard to do</w:t>
      </w:r>
      <w:r w:rsidR="00A70DD0"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Noe</w:t>
      </w:r>
      <w:r w:rsidRPr="004E053C">
        <w:rPr>
          <w:rFonts w:eastAsia="Times New Roman" w:cstheme="majorHAnsi"/>
          <w:sz w:val="22"/>
          <w:szCs w:val="22"/>
          <w:lang w:val="en-GB"/>
        </w:rPr>
        <w:t xml:space="preserve">, ASM miner, Laberinto). Similarly, </w:t>
      </w:r>
      <w:r w:rsidR="00EA7F80" w:rsidRPr="004E053C">
        <w:rPr>
          <w:rFonts w:eastAsia="Times New Roman" w:cstheme="majorHAnsi"/>
          <w:sz w:val="22"/>
          <w:szCs w:val="22"/>
          <w:lang w:val="en-GB"/>
        </w:rPr>
        <w:t>David</w:t>
      </w:r>
      <w:r w:rsidRPr="004E053C">
        <w:rPr>
          <w:rFonts w:eastAsia="Times New Roman" w:cstheme="majorHAnsi"/>
          <w:sz w:val="22"/>
          <w:szCs w:val="22"/>
          <w:lang w:val="en-GB"/>
        </w:rPr>
        <w:t xml:space="preserve"> had arrived in Laberinto in the 1970’s but had taken a dislike to the area immediately on arrival – he said that it was too hot, there were too many insects and the food was awful. This is interesting as it highlights </w:t>
      </w:r>
      <w:r w:rsidR="00AF7E75" w:rsidRPr="004E053C">
        <w:rPr>
          <w:rFonts w:eastAsia="Times New Roman" w:cstheme="majorHAnsi"/>
          <w:sz w:val="22"/>
          <w:szCs w:val="22"/>
          <w:lang w:val="en-GB"/>
        </w:rPr>
        <w:t>how some of the temporary</w:t>
      </w:r>
      <w:r w:rsidRPr="004E053C">
        <w:rPr>
          <w:rFonts w:eastAsia="Times New Roman" w:cstheme="majorHAnsi"/>
          <w:sz w:val="22"/>
          <w:szCs w:val="22"/>
          <w:lang w:val="en-GB"/>
        </w:rPr>
        <w:t xml:space="preserve"> miners </w:t>
      </w:r>
      <w:r w:rsidR="00AF7E75" w:rsidRPr="004E053C">
        <w:rPr>
          <w:rFonts w:eastAsia="Times New Roman" w:cstheme="majorHAnsi"/>
          <w:sz w:val="22"/>
          <w:szCs w:val="22"/>
          <w:lang w:val="en-GB"/>
        </w:rPr>
        <w:t>can eventually</w:t>
      </w:r>
      <w:r w:rsidRPr="004E053C">
        <w:rPr>
          <w:rFonts w:eastAsia="Times New Roman" w:cstheme="majorHAnsi"/>
          <w:sz w:val="22"/>
          <w:szCs w:val="22"/>
          <w:lang w:val="en-GB"/>
        </w:rPr>
        <w:t xml:space="preserve"> find th</w:t>
      </w:r>
      <w:r w:rsidR="00BF0EFA" w:rsidRPr="004E053C">
        <w:rPr>
          <w:rFonts w:eastAsia="Times New Roman" w:cstheme="majorHAnsi"/>
          <w:sz w:val="22"/>
          <w:szCs w:val="22"/>
          <w:lang w:val="en-GB"/>
        </w:rPr>
        <w:t>emselves remaining in the area.</w:t>
      </w:r>
      <w:r w:rsidR="0019790F" w:rsidRPr="004E053C">
        <w:rPr>
          <w:rFonts w:eastAsia="Times New Roman" w:cstheme="majorHAnsi"/>
          <w:sz w:val="22"/>
          <w:szCs w:val="22"/>
          <w:lang w:val="en-GB"/>
        </w:rPr>
        <w:t xml:space="preserve"> </w:t>
      </w:r>
      <w:r w:rsidR="00BE7E39" w:rsidRPr="004E053C">
        <w:rPr>
          <w:rFonts w:eastAsia="Times New Roman" w:cstheme="majorHAnsi"/>
          <w:sz w:val="22"/>
          <w:szCs w:val="22"/>
          <w:lang w:val="en-GB"/>
        </w:rPr>
        <w:t>This is the same for women who arrive independently, and will be elaborated o</w:t>
      </w:r>
      <w:r w:rsidR="00F16371" w:rsidRPr="004E053C">
        <w:rPr>
          <w:rFonts w:eastAsia="Times New Roman" w:cstheme="majorHAnsi"/>
          <w:sz w:val="22"/>
          <w:szCs w:val="22"/>
          <w:lang w:val="en-GB"/>
        </w:rPr>
        <w:t>n in further detail in chapter 7</w:t>
      </w:r>
      <w:r w:rsidR="00BE7E39" w:rsidRPr="004E053C">
        <w:rPr>
          <w:rFonts w:eastAsia="Times New Roman" w:cstheme="majorHAnsi"/>
          <w:sz w:val="22"/>
          <w:szCs w:val="22"/>
          <w:lang w:val="en-GB"/>
        </w:rPr>
        <w:t>.</w:t>
      </w:r>
    </w:p>
    <w:p w14:paraId="3A23C880" w14:textId="77777777" w:rsidR="00BF0EFA" w:rsidRPr="004E053C" w:rsidRDefault="00BF0EFA" w:rsidP="004E053C">
      <w:pPr>
        <w:spacing w:line="360" w:lineRule="auto"/>
        <w:jc w:val="both"/>
        <w:rPr>
          <w:rFonts w:eastAsia="Times New Roman" w:cstheme="majorHAnsi"/>
          <w:sz w:val="22"/>
          <w:szCs w:val="22"/>
          <w:lang w:val="en-GB"/>
        </w:rPr>
      </w:pPr>
    </w:p>
    <w:p w14:paraId="09CFB883" w14:textId="219F1FF0" w:rsidR="0091076C" w:rsidRPr="004E053C" w:rsidRDefault="0091076C" w:rsidP="004E053C">
      <w:pPr>
        <w:pStyle w:val="NoSpacing"/>
        <w:spacing w:line="360" w:lineRule="auto"/>
        <w:jc w:val="both"/>
        <w:rPr>
          <w:rFonts w:cstheme="majorHAnsi"/>
          <w:b/>
          <w:sz w:val="22"/>
          <w:szCs w:val="22"/>
          <w:u w:val="single"/>
          <w:lang w:val="en-GB"/>
        </w:rPr>
      </w:pPr>
      <w:r w:rsidRPr="004E053C">
        <w:rPr>
          <w:rFonts w:cstheme="majorHAnsi"/>
          <w:sz w:val="22"/>
          <w:szCs w:val="22"/>
          <w:u w:val="single"/>
          <w:lang w:val="en-GB"/>
        </w:rPr>
        <w:t xml:space="preserve">Uncertainty for </w:t>
      </w:r>
      <w:r w:rsidR="00AF7E75" w:rsidRPr="004E053C">
        <w:rPr>
          <w:rFonts w:cstheme="majorHAnsi"/>
          <w:sz w:val="22"/>
          <w:szCs w:val="22"/>
          <w:u w:val="single"/>
          <w:lang w:val="en-GB"/>
        </w:rPr>
        <w:t>Permanent</w:t>
      </w:r>
      <w:r w:rsidRPr="004E053C">
        <w:rPr>
          <w:rFonts w:cstheme="majorHAnsi"/>
          <w:sz w:val="22"/>
          <w:szCs w:val="22"/>
          <w:u w:val="single"/>
          <w:lang w:val="en-GB"/>
        </w:rPr>
        <w:t xml:space="preserve"> Miners and Residents</w:t>
      </w:r>
    </w:p>
    <w:p w14:paraId="00E61D2F" w14:textId="77777777" w:rsidR="0091076C" w:rsidRPr="004E053C" w:rsidRDefault="0091076C" w:rsidP="004E053C">
      <w:pPr>
        <w:spacing w:line="360" w:lineRule="auto"/>
        <w:jc w:val="both"/>
        <w:rPr>
          <w:rFonts w:eastAsia="Times New Roman" w:cstheme="majorHAnsi"/>
          <w:sz w:val="22"/>
          <w:szCs w:val="22"/>
          <w:lang w:val="en-GB"/>
        </w:rPr>
      </w:pPr>
    </w:p>
    <w:p w14:paraId="16FA5244" w14:textId="5256DAC9"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While many respondents in Laberinto desire to stay long-term, this does not necessarily align with the cycles of boom and bust common in mining settlements. </w:t>
      </w:r>
      <w:r w:rsidR="005527DD" w:rsidRPr="004E053C">
        <w:rPr>
          <w:rFonts w:eastAsia="Times New Roman" w:cstheme="majorHAnsi"/>
          <w:sz w:val="22"/>
          <w:szCs w:val="22"/>
          <w:lang w:val="en-GB"/>
        </w:rPr>
        <w:t>In the Latin American context this is most evident in the city of</w:t>
      </w:r>
      <w:r w:rsidR="005527DD" w:rsidRPr="004E053C">
        <w:rPr>
          <w:rFonts w:cstheme="majorHAnsi"/>
          <w:sz w:val="22"/>
          <w:szCs w:val="22"/>
          <w:lang w:val="en-GB"/>
        </w:rPr>
        <w:t xml:space="preserve"> Potosí</w:t>
      </w:r>
      <w:r w:rsidR="005527DD" w:rsidRPr="004E053C">
        <w:rPr>
          <w:rFonts w:eastAsia="Times New Roman" w:cstheme="majorHAnsi"/>
          <w:sz w:val="22"/>
          <w:szCs w:val="22"/>
          <w:lang w:val="en-GB"/>
        </w:rPr>
        <w:t xml:space="preserve">, which suffered an economic collapse after the interest in silver mining waned </w:t>
      </w:r>
      <w:r w:rsidR="005527DD" w:rsidRPr="004E053C">
        <w:rPr>
          <w:rFonts w:eastAsia="Times New Roman" w:cstheme="majorHAnsi"/>
          <w:sz w:val="22"/>
          <w:szCs w:val="22"/>
          <w:lang w:val="en-GB"/>
        </w:rPr>
        <w:fldChar w:fldCharType="begin" w:fldLock="1"/>
      </w:r>
      <w:r w:rsidR="00A20C2C" w:rsidRPr="004E053C">
        <w:rPr>
          <w:rFonts w:eastAsia="Times New Roman" w:cstheme="majorHAnsi"/>
          <w:sz w:val="22"/>
          <w:szCs w:val="22"/>
          <w:lang w:val="en-GB"/>
        </w:rPr>
        <w:instrText>ADDIN CSL_CITATION {"citationItems":[{"id":"ITEM-1","itemData":{"author":[{"dropping-particle":"","family":"Galeano","given":"Eduardo","non-dropping-particle":"","parse-names":false,"suffix":""}],"id":"ITEM-1","issued":{"date-parts":[["1971"]]},"publisher":"Monthly Review Press","publisher-place":"New York, NY","title":"Open Veins of Latin America: Five Centuries of the Pillage of a Continent","type":"book"},"uris":["http://www.mendeley.com/documents/?uuid=41746be1-4da2-4607-88d4-915b5d8aa604"]}],"mendeley":{"formattedCitation":"(Galeano, 1971)","plainTextFormattedCitation":"(Galeano, 1971)","previouslyFormattedCitation":"(Galeano, 1971)"},"properties":{"noteIndex":0},"schema":"https://github.com/citation-style-language/schema/raw/master/csl-citation.json"}</w:instrText>
      </w:r>
      <w:r w:rsidR="005527DD" w:rsidRPr="004E053C">
        <w:rPr>
          <w:rFonts w:eastAsia="Times New Roman" w:cstheme="majorHAnsi"/>
          <w:sz w:val="22"/>
          <w:szCs w:val="22"/>
          <w:lang w:val="en-GB"/>
        </w:rPr>
        <w:fldChar w:fldCharType="separate"/>
      </w:r>
      <w:r w:rsidR="00F356E1" w:rsidRPr="004E053C">
        <w:rPr>
          <w:rFonts w:eastAsia="Times New Roman" w:cstheme="majorHAnsi"/>
          <w:noProof/>
          <w:sz w:val="22"/>
          <w:szCs w:val="22"/>
          <w:lang w:val="en-GB"/>
        </w:rPr>
        <w:t>(Galeano, 1971)</w:t>
      </w:r>
      <w:r w:rsidR="005527DD" w:rsidRPr="004E053C">
        <w:rPr>
          <w:rFonts w:eastAsia="Times New Roman" w:cstheme="majorHAnsi"/>
          <w:sz w:val="22"/>
          <w:szCs w:val="22"/>
          <w:lang w:val="en-GB"/>
        </w:rPr>
        <w:fldChar w:fldCharType="end"/>
      </w:r>
      <w:r w:rsidR="005527DD" w:rsidRPr="004E053C">
        <w:rPr>
          <w:rFonts w:eastAsia="Times New Roman" w:cstheme="majorHAnsi"/>
          <w:sz w:val="22"/>
          <w:szCs w:val="22"/>
          <w:lang w:val="en-GB"/>
        </w:rPr>
        <w:t xml:space="preserve">. </w:t>
      </w:r>
      <w:r w:rsidRPr="004E053C">
        <w:rPr>
          <w:rFonts w:eastAsia="Times New Roman" w:cstheme="majorHAnsi"/>
          <w:sz w:val="22"/>
          <w:szCs w:val="22"/>
          <w:lang w:val="en-GB"/>
        </w:rPr>
        <w:t xml:space="preserve">Achieving a sustainable livelihood in ASM is difficult because they are somewhat reliant on the variable price of gold and finite deposits. Gold deposits near Laberinto are already starting to be depleted, and highlighted by several respondents including </w:t>
      </w:r>
      <w:r w:rsidR="001B115B" w:rsidRPr="004E053C">
        <w:rPr>
          <w:rFonts w:eastAsia="Times New Roman" w:cstheme="majorHAnsi"/>
          <w:sz w:val="22"/>
          <w:szCs w:val="22"/>
          <w:lang w:val="en-GB"/>
        </w:rPr>
        <w:t>Yara</w:t>
      </w:r>
      <w:r w:rsidRPr="004E053C">
        <w:rPr>
          <w:rFonts w:eastAsia="Times New Roman" w:cstheme="majorHAnsi"/>
          <w:sz w:val="22"/>
          <w:szCs w:val="22"/>
          <w:lang w:val="en-GB"/>
        </w:rPr>
        <w:t>, whose husband works in a mining camp:</w:t>
      </w:r>
    </w:p>
    <w:p w14:paraId="1C32CB68" w14:textId="77777777" w:rsidR="0091076C" w:rsidRPr="004E053C" w:rsidRDefault="0091076C" w:rsidP="004E053C">
      <w:pPr>
        <w:spacing w:line="360" w:lineRule="auto"/>
        <w:jc w:val="both"/>
        <w:rPr>
          <w:rFonts w:eastAsia="Times New Roman" w:cstheme="majorHAnsi"/>
          <w:sz w:val="22"/>
          <w:szCs w:val="22"/>
          <w:lang w:val="en-GB"/>
        </w:rPr>
      </w:pPr>
    </w:p>
    <w:p w14:paraId="63B20572" w14:textId="45838E2E" w:rsidR="0091076C" w:rsidRPr="004E053C" w:rsidRDefault="00A70DD0" w:rsidP="004E053C">
      <w:pPr>
        <w:ind w:left="720"/>
        <w:jc w:val="both"/>
        <w:rPr>
          <w:rFonts w:cstheme="majorHAnsi"/>
          <w:sz w:val="22"/>
          <w:szCs w:val="22"/>
          <w:lang w:val="en-GB"/>
        </w:rPr>
      </w:pPr>
      <w:r w:rsidRPr="004E053C">
        <w:rPr>
          <w:rFonts w:cstheme="majorHAnsi"/>
          <w:sz w:val="22"/>
          <w:szCs w:val="22"/>
          <w:lang w:val="en-GB"/>
        </w:rPr>
        <w:t>‘</w:t>
      </w:r>
      <w:r w:rsidR="0091076C" w:rsidRPr="004E053C">
        <w:rPr>
          <w:rFonts w:cstheme="majorHAnsi"/>
          <w:i/>
          <w:sz w:val="22"/>
          <w:szCs w:val="22"/>
          <w:lang w:val="en-GB"/>
        </w:rPr>
        <w:t xml:space="preserve">Now they got 4-5 grams of gold, and they work for 24 hours for 50 soles. In the past, they used to get 30-40 grams, so they were getting 1500 soles per day. In the past it was really </w:t>
      </w:r>
      <w:r w:rsidR="0091076C" w:rsidRPr="004E053C">
        <w:rPr>
          <w:rFonts w:cstheme="majorHAnsi"/>
          <w:i/>
          <w:sz w:val="22"/>
          <w:szCs w:val="22"/>
          <w:lang w:val="en-GB"/>
        </w:rPr>
        <w:lastRenderedPageBreak/>
        <w:t>good, my husband used to send me 3-4k soles a week, but now it’s much less</w:t>
      </w:r>
      <w:r w:rsidRPr="004E053C">
        <w:rPr>
          <w:rFonts w:cstheme="majorHAnsi"/>
          <w:sz w:val="22"/>
          <w:szCs w:val="22"/>
          <w:lang w:val="en-GB"/>
        </w:rPr>
        <w:t>’</w:t>
      </w:r>
      <w:r w:rsidR="0091076C" w:rsidRPr="004E053C">
        <w:rPr>
          <w:rFonts w:cstheme="majorHAnsi"/>
          <w:sz w:val="22"/>
          <w:szCs w:val="22"/>
          <w:lang w:val="en-GB"/>
        </w:rPr>
        <w:t xml:space="preserve"> (</w:t>
      </w:r>
      <w:r w:rsidR="001B115B" w:rsidRPr="004E053C">
        <w:rPr>
          <w:rFonts w:cstheme="majorHAnsi"/>
          <w:sz w:val="22"/>
          <w:szCs w:val="22"/>
          <w:lang w:val="en-GB"/>
        </w:rPr>
        <w:t>Yara</w:t>
      </w:r>
      <w:r w:rsidR="0091076C" w:rsidRPr="004E053C">
        <w:rPr>
          <w:rFonts w:cstheme="majorHAnsi"/>
          <w:sz w:val="22"/>
          <w:szCs w:val="22"/>
          <w:lang w:val="en-GB"/>
        </w:rPr>
        <w:t>, market worker, Laberinto).</w:t>
      </w:r>
    </w:p>
    <w:p w14:paraId="3F87D280" w14:textId="77777777" w:rsidR="0091076C" w:rsidRPr="004E053C" w:rsidRDefault="0091076C" w:rsidP="004E053C">
      <w:pPr>
        <w:spacing w:line="360" w:lineRule="auto"/>
        <w:jc w:val="both"/>
        <w:rPr>
          <w:rFonts w:eastAsia="Times New Roman" w:cstheme="majorHAnsi"/>
          <w:sz w:val="22"/>
          <w:szCs w:val="22"/>
          <w:lang w:val="en-GB"/>
        </w:rPr>
      </w:pPr>
    </w:p>
    <w:p w14:paraId="58A33FD5" w14:textId="066BADD8"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As </w:t>
      </w:r>
      <w:r w:rsidR="001B115B" w:rsidRPr="004E053C">
        <w:rPr>
          <w:rFonts w:eastAsia="Times New Roman" w:cstheme="majorHAnsi"/>
          <w:sz w:val="22"/>
          <w:szCs w:val="22"/>
          <w:lang w:val="en-GB"/>
        </w:rPr>
        <w:t>Yara</w:t>
      </w:r>
      <w:r w:rsidRPr="004E053C">
        <w:rPr>
          <w:rFonts w:eastAsia="Times New Roman" w:cstheme="majorHAnsi"/>
          <w:sz w:val="22"/>
          <w:szCs w:val="22"/>
          <w:lang w:val="en-GB"/>
        </w:rPr>
        <w:t>’s family are only interested in saving money, there is no reason for them to remain in Laberinto if ASM becomes less profitable. As the gold runs out, miners are more likely to move elsewhere to look for gold, which has already partly contributed to the influx of miners into La Pampa, where the gold reserves are much higher.</w:t>
      </w:r>
    </w:p>
    <w:p w14:paraId="09D4A539" w14:textId="77777777" w:rsidR="0091076C" w:rsidRPr="004E053C" w:rsidRDefault="0091076C" w:rsidP="004E053C">
      <w:pPr>
        <w:spacing w:line="360" w:lineRule="auto"/>
        <w:jc w:val="both"/>
        <w:rPr>
          <w:rFonts w:eastAsia="Times New Roman" w:cstheme="majorHAnsi"/>
          <w:sz w:val="22"/>
          <w:szCs w:val="22"/>
          <w:lang w:val="en-GB"/>
        </w:rPr>
      </w:pPr>
    </w:p>
    <w:p w14:paraId="3DD34330" w14:textId="42D585C1"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Government policy has also had implications for the profitability of ASM livelihoods. This initially occurred through increased monthly taxes and fees aimed at </w:t>
      </w:r>
      <w:r w:rsidRPr="004E053C">
        <w:rPr>
          <w:rFonts w:eastAsia="Times New Roman" w:cstheme="majorHAnsi"/>
          <w:i/>
          <w:iCs/>
          <w:sz w:val="22"/>
          <w:szCs w:val="22"/>
          <w:lang w:val="en-GB"/>
        </w:rPr>
        <w:t>concessionarios</w:t>
      </w:r>
      <w:r w:rsidRPr="004E053C">
        <w:rPr>
          <w:rFonts w:eastAsia="Times New Roman" w:cstheme="majorHAnsi"/>
          <w:sz w:val="22"/>
          <w:szCs w:val="22"/>
          <w:lang w:val="en-GB"/>
        </w:rPr>
        <w:t xml:space="preserve">, who stood to lose their land if they could not make the payments. Several of the miners interviewed in Laberinto had lost their concessions in this way, and one noted that the depleted gold reserves made it harder to afford payments. These miners have either continued working on the same land, which </w:t>
      </w:r>
      <w:r w:rsidR="003D1D4F" w:rsidRPr="004E053C">
        <w:rPr>
          <w:rFonts w:eastAsia="Times New Roman" w:cstheme="majorHAnsi"/>
          <w:sz w:val="22"/>
          <w:szCs w:val="22"/>
          <w:lang w:val="en-GB"/>
        </w:rPr>
        <w:t>is usually possible because</w:t>
      </w:r>
      <w:r w:rsidRPr="004E053C">
        <w:rPr>
          <w:rFonts w:eastAsia="Times New Roman" w:cstheme="majorHAnsi"/>
          <w:sz w:val="22"/>
          <w:szCs w:val="22"/>
          <w:lang w:val="en-GB"/>
        </w:rPr>
        <w:t xml:space="preserve"> the government no longer reallocates the concessions to others, or take their motors and work on other people’s land. One exception was </w:t>
      </w:r>
      <w:r w:rsidR="000E13B9" w:rsidRPr="004E053C">
        <w:rPr>
          <w:rFonts w:eastAsia="Times New Roman" w:cstheme="majorHAnsi"/>
          <w:sz w:val="22"/>
          <w:szCs w:val="22"/>
          <w:lang w:val="en-GB"/>
        </w:rPr>
        <w:t>Willbert</w:t>
      </w:r>
      <w:r w:rsidRPr="004E053C">
        <w:rPr>
          <w:rFonts w:eastAsia="Times New Roman" w:cstheme="majorHAnsi"/>
          <w:sz w:val="22"/>
          <w:szCs w:val="22"/>
          <w:lang w:val="en-GB"/>
        </w:rPr>
        <w:t xml:space="preserve">, who was still working as an </w:t>
      </w:r>
      <w:r w:rsidRPr="004E053C">
        <w:rPr>
          <w:rFonts w:eastAsia="Times New Roman" w:cstheme="majorHAnsi"/>
          <w:i/>
          <w:sz w:val="22"/>
          <w:szCs w:val="22"/>
          <w:lang w:val="en-GB"/>
        </w:rPr>
        <w:t xml:space="preserve">obrero </w:t>
      </w:r>
      <w:r w:rsidRPr="004E053C">
        <w:rPr>
          <w:rFonts w:eastAsia="Times New Roman" w:cstheme="majorHAnsi"/>
          <w:sz w:val="22"/>
          <w:szCs w:val="22"/>
          <w:lang w:val="en-GB"/>
        </w:rPr>
        <w:t xml:space="preserve">after losing his previous concession. He was having some difficulties earning enough money as he was based in Laberinto and not moving around for work </w:t>
      </w:r>
      <w:r w:rsidR="003D1D4F"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3D1D4F" w:rsidRPr="004E053C">
        <w:rPr>
          <w:rFonts w:eastAsia="Times New Roman" w:cstheme="majorHAnsi"/>
          <w:sz w:val="22"/>
          <w:szCs w:val="22"/>
          <w:lang w:val="en-GB"/>
        </w:rPr>
        <w:t>‘</w:t>
      </w:r>
      <w:r w:rsidRPr="004E053C">
        <w:rPr>
          <w:rFonts w:eastAsia="Times New Roman" w:cstheme="majorHAnsi"/>
          <w:i/>
          <w:sz w:val="22"/>
          <w:szCs w:val="22"/>
          <w:lang w:val="en-GB"/>
        </w:rPr>
        <w:t>Now the situation is difficult for me. I’m working independently with no regular employer in other businesses</w:t>
      </w:r>
      <w:r w:rsidR="003D1D4F"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0E13B9" w:rsidRPr="004E053C">
        <w:rPr>
          <w:rFonts w:eastAsia="Times New Roman" w:cstheme="majorHAnsi"/>
          <w:sz w:val="22"/>
          <w:szCs w:val="22"/>
          <w:lang w:val="en-GB"/>
        </w:rPr>
        <w:t>Willbert</w:t>
      </w:r>
      <w:r w:rsidRPr="004E053C">
        <w:rPr>
          <w:rFonts w:eastAsia="Times New Roman" w:cstheme="majorHAnsi"/>
          <w:sz w:val="22"/>
          <w:szCs w:val="22"/>
          <w:lang w:val="en-GB"/>
        </w:rPr>
        <w:t xml:space="preserve">, ASM miner, Laberinto). This highlights how although remaining fixed can be more lucrative for those that own concessions, it can hinder the ability of the </w:t>
      </w:r>
      <w:r w:rsidRPr="004E053C">
        <w:rPr>
          <w:rFonts w:eastAsia="Times New Roman" w:cstheme="majorHAnsi"/>
          <w:i/>
          <w:iCs/>
          <w:sz w:val="22"/>
          <w:szCs w:val="22"/>
          <w:lang w:val="en-GB"/>
        </w:rPr>
        <w:t xml:space="preserve">obreros </w:t>
      </w:r>
      <w:r w:rsidRPr="004E053C">
        <w:rPr>
          <w:rFonts w:eastAsia="Times New Roman" w:cstheme="majorHAnsi"/>
          <w:sz w:val="22"/>
          <w:szCs w:val="22"/>
          <w:lang w:val="en-GB"/>
        </w:rPr>
        <w:t>to find work.</w:t>
      </w:r>
    </w:p>
    <w:p w14:paraId="6CC56D37" w14:textId="77777777" w:rsidR="0091076C" w:rsidRPr="004E053C" w:rsidRDefault="0091076C" w:rsidP="004E053C">
      <w:pPr>
        <w:spacing w:line="360" w:lineRule="auto"/>
        <w:jc w:val="both"/>
        <w:rPr>
          <w:rFonts w:eastAsia="Times New Roman" w:cstheme="majorHAnsi"/>
          <w:sz w:val="22"/>
          <w:szCs w:val="22"/>
          <w:lang w:val="en-GB"/>
        </w:rPr>
      </w:pPr>
    </w:p>
    <w:p w14:paraId="6CFBBC95" w14:textId="05266824"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On top of these policy changes, the government have also implemented a series of violent interdictions in an attempt to deter ASM activity, which can result in miners being arrested </w:t>
      </w:r>
      <w:r w:rsidR="00923CFD" w:rsidRPr="004E053C">
        <w:rPr>
          <w:rFonts w:eastAsia="Times New Roman" w:cstheme="majorHAnsi"/>
          <w:sz w:val="22"/>
          <w:szCs w:val="22"/>
          <w:lang w:val="en-GB"/>
        </w:rPr>
        <w:t xml:space="preserve">or having their equipment blown </w:t>
      </w:r>
      <w:r w:rsidRPr="004E053C">
        <w:rPr>
          <w:rFonts w:eastAsia="Times New Roman" w:cstheme="majorHAnsi"/>
          <w:sz w:val="22"/>
          <w:szCs w:val="22"/>
          <w:lang w:val="en-GB"/>
        </w:rPr>
        <w:t xml:space="preserve">up. The government clampdown also affects the </w:t>
      </w:r>
      <w:r w:rsidR="00C21441" w:rsidRPr="004E053C">
        <w:rPr>
          <w:rFonts w:eastAsia="Times New Roman" w:cstheme="majorHAnsi"/>
          <w:sz w:val="22"/>
          <w:szCs w:val="22"/>
          <w:lang w:val="en-GB"/>
        </w:rPr>
        <w:t>permanent</w:t>
      </w:r>
      <w:r w:rsidRPr="004E053C">
        <w:rPr>
          <w:rFonts w:eastAsia="Times New Roman" w:cstheme="majorHAnsi"/>
          <w:sz w:val="22"/>
          <w:szCs w:val="22"/>
          <w:lang w:val="en-GB"/>
        </w:rPr>
        <w:t xml:space="preserve"> residents of Laberinto who do not work directly in mining. For example, several of Laberinto’s market stall operators complained of a recent fall in income because the miners had less disposable income and were mining further from the town and returning less frequently, choosing instead to sleep in makeshift camps. Many of the respondents discussed the effect of this:</w:t>
      </w:r>
    </w:p>
    <w:p w14:paraId="107E85A9" w14:textId="77777777" w:rsidR="0091076C" w:rsidRPr="004E053C" w:rsidRDefault="0091076C" w:rsidP="004E053C">
      <w:pPr>
        <w:spacing w:line="360" w:lineRule="auto"/>
        <w:jc w:val="both"/>
        <w:rPr>
          <w:rFonts w:eastAsia="Times New Roman" w:cstheme="majorHAnsi"/>
          <w:sz w:val="22"/>
          <w:szCs w:val="22"/>
          <w:lang w:val="en-GB"/>
        </w:rPr>
      </w:pPr>
    </w:p>
    <w:p w14:paraId="60DA5CAA" w14:textId="253F1D3E" w:rsidR="0091076C" w:rsidRPr="004E053C" w:rsidRDefault="007948FC"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w:t>
      </w:r>
      <w:r w:rsidR="0091076C" w:rsidRPr="004E053C">
        <w:rPr>
          <w:rFonts w:eastAsia="Times New Roman" w:cstheme="majorHAnsi"/>
          <w:i/>
          <w:sz w:val="22"/>
          <w:szCs w:val="22"/>
          <w:lang w:val="en-GB"/>
        </w:rPr>
        <w:t>What will the people do if there isn’t mining anymore? All these people that live here, I don’t know what they would do. The government should be with us, as we were with them before when we voted for them… From the 5,000 people that are here now, probably only 1,000 would stay, People would migrate to other places</w:t>
      </w:r>
      <w:r w:rsidRPr="004E053C">
        <w:rPr>
          <w:rFonts w:eastAsia="Times New Roman" w:cstheme="majorHAnsi"/>
          <w:i/>
          <w:sz w:val="22"/>
          <w:szCs w:val="22"/>
          <w:lang w:val="en-GB"/>
        </w:rPr>
        <w:t xml:space="preserve">’ </w:t>
      </w:r>
      <w:r w:rsidR="0091076C" w:rsidRPr="004E053C">
        <w:rPr>
          <w:rFonts w:eastAsia="Times New Roman" w:cstheme="majorHAnsi"/>
          <w:sz w:val="22"/>
          <w:szCs w:val="22"/>
          <w:lang w:val="en-GB"/>
        </w:rPr>
        <w:t>(</w:t>
      </w:r>
      <w:r w:rsidR="00EA7F80" w:rsidRPr="004E053C">
        <w:rPr>
          <w:rFonts w:eastAsia="Times New Roman" w:cstheme="majorHAnsi"/>
          <w:sz w:val="22"/>
          <w:szCs w:val="22"/>
          <w:lang w:val="en-GB"/>
        </w:rPr>
        <w:t>Andres</w:t>
      </w:r>
      <w:r w:rsidR="0091076C" w:rsidRPr="004E053C">
        <w:rPr>
          <w:rFonts w:eastAsia="Times New Roman" w:cstheme="majorHAnsi"/>
          <w:sz w:val="22"/>
          <w:szCs w:val="22"/>
          <w:lang w:val="en-GB"/>
        </w:rPr>
        <w:t>, ASM miner, Laberinto).</w:t>
      </w:r>
    </w:p>
    <w:p w14:paraId="3421CF68" w14:textId="77777777" w:rsidR="0091076C" w:rsidRPr="004E053C" w:rsidRDefault="0091076C" w:rsidP="004E053C">
      <w:pPr>
        <w:spacing w:line="360" w:lineRule="auto"/>
        <w:jc w:val="both"/>
        <w:rPr>
          <w:rFonts w:cstheme="majorHAnsi"/>
          <w:sz w:val="22"/>
          <w:szCs w:val="22"/>
          <w:lang w:val="en-GB"/>
        </w:rPr>
      </w:pPr>
    </w:p>
    <w:p w14:paraId="101EA6F8" w14:textId="34359FD1"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 xml:space="preserve">The quote above by </w:t>
      </w:r>
      <w:r w:rsidR="00EA7F80" w:rsidRPr="004E053C">
        <w:rPr>
          <w:rFonts w:cstheme="majorHAnsi"/>
          <w:sz w:val="22"/>
          <w:szCs w:val="22"/>
          <w:lang w:val="en-GB"/>
        </w:rPr>
        <w:t>Andres</w:t>
      </w:r>
      <w:r w:rsidRPr="004E053C">
        <w:rPr>
          <w:rFonts w:cstheme="majorHAnsi"/>
          <w:sz w:val="22"/>
          <w:szCs w:val="22"/>
          <w:lang w:val="en-GB"/>
        </w:rPr>
        <w:t xml:space="preserve"> is interesting as he is </w:t>
      </w:r>
      <w:r w:rsidR="00AF7E75" w:rsidRPr="004E053C">
        <w:rPr>
          <w:rFonts w:cstheme="majorHAnsi"/>
          <w:sz w:val="22"/>
          <w:szCs w:val="22"/>
          <w:lang w:val="en-GB"/>
        </w:rPr>
        <w:t xml:space="preserve">a permanent </w:t>
      </w:r>
      <w:r w:rsidRPr="004E053C">
        <w:rPr>
          <w:rFonts w:cstheme="majorHAnsi"/>
          <w:sz w:val="22"/>
          <w:szCs w:val="22"/>
          <w:lang w:val="en-GB"/>
        </w:rPr>
        <w:t xml:space="preserve">miner yet acknowledges the </w:t>
      </w:r>
      <w:r w:rsidR="00993225" w:rsidRPr="004E053C">
        <w:rPr>
          <w:rFonts w:cstheme="majorHAnsi"/>
          <w:sz w:val="22"/>
          <w:szCs w:val="22"/>
          <w:lang w:val="en-GB"/>
        </w:rPr>
        <w:t xml:space="preserve">dim long-term prospects in </w:t>
      </w:r>
      <w:r w:rsidRPr="004E053C">
        <w:rPr>
          <w:rFonts w:cstheme="majorHAnsi"/>
          <w:sz w:val="22"/>
          <w:szCs w:val="22"/>
          <w:lang w:val="en-GB"/>
        </w:rPr>
        <w:t>a town where the economy is based around such an insecure livelihood.</w:t>
      </w:r>
    </w:p>
    <w:p w14:paraId="02F837F0" w14:textId="77777777" w:rsidR="0091076C" w:rsidRPr="004E053C" w:rsidRDefault="0091076C" w:rsidP="004E053C">
      <w:pPr>
        <w:spacing w:line="360" w:lineRule="auto"/>
        <w:jc w:val="both"/>
        <w:rPr>
          <w:rFonts w:cstheme="majorHAnsi"/>
          <w:sz w:val="22"/>
          <w:szCs w:val="22"/>
          <w:lang w:val="en-GB"/>
        </w:rPr>
      </w:pPr>
    </w:p>
    <w:p w14:paraId="07869C60" w14:textId="4284CD92"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While the</w:t>
      </w:r>
      <w:r w:rsidR="00AF7E75" w:rsidRPr="004E053C">
        <w:rPr>
          <w:rFonts w:eastAsia="Times New Roman" w:cstheme="majorHAnsi"/>
          <w:sz w:val="22"/>
          <w:szCs w:val="22"/>
          <w:lang w:val="en-GB"/>
        </w:rPr>
        <w:t>re was evidence of the permanent</w:t>
      </w:r>
      <w:r w:rsidRPr="004E053C">
        <w:rPr>
          <w:rFonts w:eastAsia="Times New Roman" w:cstheme="majorHAnsi"/>
          <w:sz w:val="22"/>
          <w:szCs w:val="22"/>
          <w:lang w:val="en-GB"/>
        </w:rPr>
        <w:t xml:space="preserve"> miners beginning to acknowledge problems with remaining in ASM locally, they had less clarity about the alternative options. This appears linked to their rootedness, and the fact that many have not contemplated moving away from Madre de Dios. While a couple suggested the possibility of construction or agriculture, they noted that not only did these jobs pay considerably less, but also the government were not keen for large-scale agricultural or logging activities to occur within the jungle either. One conceded that he would probably have to move to Puerto Maldonado to work in construction, while another thought about investing in land in his ancestral home. It was also suggested, perhaps somewhat tongue in cheek, that if the government were going to leave them with no option, miners may start involving themselves in more illicit livelihood activity, such as cultivating cocaine: </w:t>
      </w:r>
    </w:p>
    <w:p w14:paraId="5229CC78" w14:textId="77777777" w:rsidR="0091076C" w:rsidRPr="004E053C" w:rsidRDefault="0091076C" w:rsidP="004E053C">
      <w:pPr>
        <w:spacing w:line="360" w:lineRule="auto"/>
        <w:jc w:val="both"/>
        <w:rPr>
          <w:rFonts w:cstheme="majorHAnsi"/>
          <w:sz w:val="22"/>
          <w:szCs w:val="22"/>
          <w:lang w:val="en-GB"/>
        </w:rPr>
      </w:pPr>
    </w:p>
    <w:p w14:paraId="2895EDE7" w14:textId="1E6836EF" w:rsidR="0091076C" w:rsidRPr="004E053C" w:rsidRDefault="00A70DD0" w:rsidP="004E053C">
      <w:pPr>
        <w:ind w:left="720"/>
        <w:jc w:val="both"/>
        <w:rPr>
          <w:rFonts w:eastAsia="Times New Roman" w:cstheme="majorHAnsi"/>
          <w:sz w:val="22"/>
          <w:szCs w:val="22"/>
          <w:lang w:val="en-GB"/>
        </w:rPr>
      </w:pPr>
      <w:r w:rsidRPr="004E053C">
        <w:rPr>
          <w:rFonts w:cstheme="majorHAnsi"/>
          <w:sz w:val="22"/>
          <w:szCs w:val="22"/>
          <w:lang w:val="en-GB"/>
        </w:rPr>
        <w:t>‘</w:t>
      </w:r>
      <w:r w:rsidR="0091076C" w:rsidRPr="004E053C">
        <w:rPr>
          <w:rFonts w:eastAsia="Times New Roman" w:cstheme="majorHAnsi"/>
          <w:i/>
          <w:sz w:val="22"/>
          <w:szCs w:val="22"/>
          <w:lang w:val="en-GB"/>
        </w:rPr>
        <w:t xml:space="preserve">We cannot do anything other than mining. Maybe agriculture, but that doesn’t give us enough to live on…the people will say, “well we have nothing else </w:t>
      </w:r>
      <w:r w:rsidR="00923CFD" w:rsidRPr="004E053C">
        <w:rPr>
          <w:rFonts w:eastAsia="Times New Roman" w:cstheme="majorHAnsi"/>
          <w:i/>
          <w:sz w:val="22"/>
          <w:szCs w:val="22"/>
          <w:lang w:val="en-GB"/>
        </w:rPr>
        <w:t>to do, let’s produce some drugs</w:t>
      </w:r>
      <w:r w:rsidRPr="004E053C">
        <w:rPr>
          <w:rFonts w:eastAsia="Times New Roman" w:cstheme="majorHAnsi"/>
          <w:i/>
          <w:sz w:val="22"/>
          <w:szCs w:val="22"/>
          <w:lang w:val="en-GB"/>
        </w:rPr>
        <w:t>’</w:t>
      </w:r>
      <w:r w:rsidR="0091076C"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Alejandro</w:t>
      </w:r>
      <w:r w:rsidR="0091076C" w:rsidRPr="004E053C">
        <w:rPr>
          <w:rFonts w:eastAsia="Times New Roman" w:cstheme="majorHAnsi"/>
          <w:sz w:val="22"/>
          <w:szCs w:val="22"/>
          <w:lang w:val="en-GB"/>
        </w:rPr>
        <w:t>, ASM miner, Laberinto).</w:t>
      </w:r>
    </w:p>
    <w:p w14:paraId="1AD48B11" w14:textId="77777777" w:rsidR="0091076C" w:rsidRPr="004E053C" w:rsidRDefault="0091076C" w:rsidP="004E053C">
      <w:pPr>
        <w:spacing w:line="360" w:lineRule="auto"/>
        <w:jc w:val="both"/>
        <w:rPr>
          <w:rFonts w:eastAsia="Times New Roman" w:cstheme="majorHAnsi"/>
          <w:sz w:val="22"/>
          <w:szCs w:val="22"/>
          <w:lang w:val="en-GB"/>
        </w:rPr>
      </w:pPr>
    </w:p>
    <w:p w14:paraId="66E7BDFA" w14:textId="1F102466" w:rsidR="0091076C" w:rsidRPr="004E053C" w:rsidRDefault="00FD7D27"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To some </w:t>
      </w:r>
      <w:r w:rsidR="00AD0893" w:rsidRPr="004E053C">
        <w:rPr>
          <w:rFonts w:eastAsia="Times New Roman" w:cstheme="majorHAnsi"/>
          <w:sz w:val="22"/>
          <w:szCs w:val="22"/>
          <w:lang w:val="en-GB"/>
        </w:rPr>
        <w:t>extent,</w:t>
      </w:r>
      <w:r w:rsidRPr="004E053C">
        <w:rPr>
          <w:rFonts w:eastAsia="Times New Roman" w:cstheme="majorHAnsi"/>
          <w:sz w:val="22"/>
          <w:szCs w:val="22"/>
          <w:lang w:val="en-GB"/>
        </w:rPr>
        <w:t xml:space="preserve"> it may be argued that </w:t>
      </w:r>
      <w:r w:rsidR="00EA7F80" w:rsidRPr="004E053C">
        <w:rPr>
          <w:rFonts w:eastAsia="Times New Roman" w:cstheme="majorHAnsi"/>
          <w:sz w:val="22"/>
          <w:szCs w:val="22"/>
          <w:lang w:val="en-GB"/>
        </w:rPr>
        <w:t>Alejandro</w:t>
      </w:r>
      <w:r w:rsidRPr="004E053C">
        <w:rPr>
          <w:rFonts w:eastAsia="Times New Roman" w:cstheme="majorHAnsi"/>
          <w:sz w:val="22"/>
          <w:szCs w:val="22"/>
          <w:lang w:val="en-GB"/>
        </w:rPr>
        <w:t>’s comment reflects some internali</w:t>
      </w:r>
      <w:r w:rsidR="00475547" w:rsidRPr="004E053C">
        <w:rPr>
          <w:rFonts w:eastAsia="Times New Roman" w:cstheme="majorHAnsi"/>
          <w:sz w:val="22"/>
          <w:szCs w:val="22"/>
          <w:lang w:val="en-GB"/>
        </w:rPr>
        <w:t>s</w:t>
      </w:r>
      <w:r w:rsidRPr="004E053C">
        <w:rPr>
          <w:rFonts w:eastAsia="Times New Roman" w:cstheme="majorHAnsi"/>
          <w:sz w:val="22"/>
          <w:szCs w:val="22"/>
          <w:lang w:val="en-GB"/>
        </w:rPr>
        <w:t>ation of a deviant identity, as the miners come to identify with illicit livelihood activity. This will be discuss</w:t>
      </w:r>
      <w:r w:rsidR="00F16371" w:rsidRPr="004E053C">
        <w:rPr>
          <w:rFonts w:eastAsia="Times New Roman" w:cstheme="majorHAnsi"/>
          <w:sz w:val="22"/>
          <w:szCs w:val="22"/>
          <w:lang w:val="en-GB"/>
        </w:rPr>
        <w:t>ed in more detail in chapter 9</w:t>
      </w:r>
      <w:r w:rsidRPr="004E053C">
        <w:rPr>
          <w:rFonts w:eastAsia="Times New Roman" w:cstheme="majorHAnsi"/>
          <w:sz w:val="22"/>
          <w:szCs w:val="22"/>
          <w:lang w:val="en-GB"/>
        </w:rPr>
        <w:t xml:space="preserve">. </w:t>
      </w:r>
      <w:r w:rsidR="0091076C" w:rsidRPr="004E053C">
        <w:rPr>
          <w:rFonts w:eastAsia="Times New Roman" w:cstheme="majorHAnsi"/>
          <w:sz w:val="22"/>
          <w:szCs w:val="22"/>
          <w:lang w:val="en-GB"/>
        </w:rPr>
        <w:t xml:space="preserve">However, while miners like </w:t>
      </w:r>
      <w:r w:rsidR="00EA7F80" w:rsidRPr="004E053C">
        <w:rPr>
          <w:rFonts w:eastAsia="Times New Roman" w:cstheme="majorHAnsi"/>
          <w:sz w:val="22"/>
          <w:szCs w:val="22"/>
          <w:lang w:val="en-GB"/>
        </w:rPr>
        <w:t>Alejandro</w:t>
      </w:r>
      <w:r w:rsidR="0091076C" w:rsidRPr="004E053C">
        <w:rPr>
          <w:rFonts w:eastAsia="Times New Roman" w:cstheme="majorHAnsi"/>
          <w:sz w:val="22"/>
          <w:szCs w:val="22"/>
          <w:lang w:val="en-GB"/>
        </w:rPr>
        <w:t xml:space="preserve"> were sta</w:t>
      </w:r>
      <w:r w:rsidR="00993225" w:rsidRPr="004E053C">
        <w:rPr>
          <w:rFonts w:eastAsia="Times New Roman" w:cstheme="majorHAnsi"/>
          <w:sz w:val="22"/>
          <w:szCs w:val="22"/>
          <w:lang w:val="en-GB"/>
        </w:rPr>
        <w:t xml:space="preserve">rting to consider other options, </w:t>
      </w:r>
      <w:r w:rsidR="0091076C" w:rsidRPr="004E053C">
        <w:rPr>
          <w:rFonts w:eastAsia="Times New Roman" w:cstheme="majorHAnsi"/>
          <w:sz w:val="22"/>
          <w:szCs w:val="22"/>
          <w:lang w:val="en-GB"/>
        </w:rPr>
        <w:t xml:space="preserve">however unfeasible they may be, others explicitly stated that </w:t>
      </w:r>
      <w:r w:rsidR="00993225" w:rsidRPr="004E053C">
        <w:rPr>
          <w:rFonts w:eastAsia="Times New Roman" w:cstheme="majorHAnsi"/>
          <w:sz w:val="22"/>
          <w:szCs w:val="22"/>
          <w:lang w:val="en-GB"/>
        </w:rPr>
        <w:t xml:space="preserve">their lack of </w:t>
      </w:r>
      <w:r w:rsidR="0091076C" w:rsidRPr="004E053C">
        <w:rPr>
          <w:rFonts w:eastAsia="Times New Roman" w:cstheme="majorHAnsi"/>
          <w:sz w:val="22"/>
          <w:szCs w:val="22"/>
          <w:lang w:val="en-GB"/>
        </w:rPr>
        <w:t xml:space="preserve">other skills </w:t>
      </w:r>
      <w:r w:rsidR="00993225" w:rsidRPr="004E053C">
        <w:rPr>
          <w:rFonts w:eastAsia="Times New Roman" w:cstheme="majorHAnsi"/>
          <w:sz w:val="22"/>
          <w:szCs w:val="22"/>
          <w:lang w:val="en-GB"/>
        </w:rPr>
        <w:t>meant they had n</w:t>
      </w:r>
      <w:r w:rsidR="0091076C" w:rsidRPr="004E053C">
        <w:rPr>
          <w:rFonts w:eastAsia="Times New Roman" w:cstheme="majorHAnsi"/>
          <w:sz w:val="22"/>
          <w:szCs w:val="22"/>
          <w:lang w:val="en-GB"/>
        </w:rPr>
        <w:t>o choice but to continue mining. One miner explained that when the problems with the government had started he had gone looking for work in Arequipa, but had been unable to find a suitable job due to a mismatch between his expectations and his tr</w:t>
      </w:r>
      <w:r w:rsidR="00993225" w:rsidRPr="004E053C">
        <w:rPr>
          <w:rFonts w:eastAsia="Times New Roman" w:cstheme="majorHAnsi"/>
          <w:sz w:val="22"/>
          <w:szCs w:val="22"/>
          <w:lang w:val="en-GB"/>
        </w:rPr>
        <w:t>ansferable skills. One</w:t>
      </w:r>
      <w:r w:rsidR="00AF7E75" w:rsidRPr="004E053C">
        <w:rPr>
          <w:rFonts w:eastAsia="Times New Roman" w:cstheme="majorHAnsi"/>
          <w:sz w:val="22"/>
          <w:szCs w:val="22"/>
          <w:lang w:val="en-GB"/>
        </w:rPr>
        <w:t xml:space="preserve"> </w:t>
      </w:r>
      <w:r w:rsidR="0091076C" w:rsidRPr="004E053C">
        <w:rPr>
          <w:rFonts w:eastAsia="Times New Roman" w:cstheme="majorHAnsi"/>
          <w:sz w:val="22"/>
          <w:szCs w:val="22"/>
          <w:lang w:val="en-GB"/>
        </w:rPr>
        <w:t>ex-miner explicitly linked the lack of alternative opportunities for miners to their lack of skills:</w:t>
      </w:r>
    </w:p>
    <w:p w14:paraId="636FFF80" w14:textId="77777777" w:rsidR="0091076C" w:rsidRPr="004E053C" w:rsidRDefault="0091076C" w:rsidP="004E053C">
      <w:pPr>
        <w:spacing w:line="360" w:lineRule="auto"/>
        <w:jc w:val="both"/>
        <w:rPr>
          <w:rFonts w:eastAsia="Times New Roman" w:cstheme="majorHAnsi"/>
          <w:sz w:val="22"/>
          <w:szCs w:val="22"/>
          <w:lang w:val="en-GB"/>
        </w:rPr>
      </w:pPr>
    </w:p>
    <w:p w14:paraId="5AA9CFFA" w14:textId="22685F43" w:rsidR="0091076C" w:rsidRPr="004E053C" w:rsidRDefault="00A70DD0" w:rsidP="004E053C">
      <w:pPr>
        <w:ind w:left="720"/>
        <w:jc w:val="both"/>
        <w:rPr>
          <w:rFonts w:eastAsia="Times New Roman" w:cstheme="majorHAnsi"/>
          <w:sz w:val="22"/>
          <w:szCs w:val="22"/>
          <w:highlight w:val="yellow"/>
          <w:lang w:val="en-GB"/>
        </w:rPr>
      </w:pPr>
      <w:r w:rsidRPr="004E053C">
        <w:rPr>
          <w:rFonts w:eastAsia="Times New Roman" w:cstheme="majorHAnsi"/>
          <w:i/>
          <w:sz w:val="22"/>
          <w:szCs w:val="22"/>
          <w:lang w:val="en-GB"/>
        </w:rPr>
        <w:t>‘</w:t>
      </w:r>
      <w:r w:rsidR="0091076C" w:rsidRPr="004E053C">
        <w:rPr>
          <w:rFonts w:eastAsia="Times New Roman" w:cstheme="majorHAnsi"/>
          <w:i/>
          <w:sz w:val="22"/>
          <w:szCs w:val="22"/>
          <w:lang w:val="en-GB"/>
        </w:rPr>
        <w:t>My Dad doesn’t like (mining), but he doesn’t know how to do anything else. I don’t think anyone really likes mining, but if you’re a carpenter, you can’t become a lawyer. He has to do the things he knows how to do</w:t>
      </w:r>
      <w:r w:rsidRPr="004E053C">
        <w:rPr>
          <w:rFonts w:eastAsia="Times New Roman" w:cstheme="majorHAnsi"/>
          <w:i/>
          <w:sz w:val="22"/>
          <w:szCs w:val="22"/>
          <w:lang w:val="en-GB"/>
        </w:rPr>
        <w:t>’</w:t>
      </w:r>
      <w:r w:rsidR="0091076C" w:rsidRPr="004E053C">
        <w:rPr>
          <w:rFonts w:cstheme="majorHAnsi"/>
          <w:sz w:val="22"/>
          <w:szCs w:val="22"/>
          <w:lang w:val="en-GB"/>
        </w:rPr>
        <w:t xml:space="preserve"> (</w:t>
      </w:r>
      <w:r w:rsidR="00EA7F80" w:rsidRPr="004E053C">
        <w:rPr>
          <w:rFonts w:cstheme="majorHAnsi"/>
          <w:sz w:val="22"/>
          <w:szCs w:val="22"/>
          <w:lang w:val="en-GB"/>
        </w:rPr>
        <w:t>Cesar</w:t>
      </w:r>
      <w:r w:rsidR="0091076C" w:rsidRPr="004E053C">
        <w:rPr>
          <w:rFonts w:cstheme="majorHAnsi"/>
          <w:sz w:val="22"/>
          <w:szCs w:val="22"/>
          <w:lang w:val="en-GB"/>
        </w:rPr>
        <w:t>, ex-</w:t>
      </w:r>
      <w:r w:rsidR="0091076C" w:rsidRPr="004E053C">
        <w:rPr>
          <w:rFonts w:eastAsia="Times New Roman" w:cstheme="majorHAnsi"/>
          <w:sz w:val="22"/>
          <w:szCs w:val="22"/>
          <w:lang w:val="en-GB"/>
        </w:rPr>
        <w:t xml:space="preserve">miner, Puerto Maldonado). </w:t>
      </w:r>
    </w:p>
    <w:p w14:paraId="3F9C9B0A" w14:textId="77777777" w:rsidR="0091076C" w:rsidRPr="004E053C" w:rsidRDefault="0091076C" w:rsidP="004E053C">
      <w:pPr>
        <w:spacing w:line="360" w:lineRule="auto"/>
        <w:jc w:val="both"/>
        <w:rPr>
          <w:rFonts w:eastAsia="Times New Roman" w:cstheme="majorHAnsi"/>
          <w:color w:val="FF0000"/>
          <w:sz w:val="22"/>
          <w:szCs w:val="22"/>
          <w:lang w:val="en-GB"/>
        </w:rPr>
      </w:pPr>
    </w:p>
    <w:p w14:paraId="75F493B7" w14:textId="128ACD00" w:rsidR="0091076C" w:rsidRPr="004E053C" w:rsidRDefault="0091076C"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This inability to move due to a lack of other options was clear amongst those mining households in Laberinto who were already finding it difficult to earn a living, particularly in the face of government policy changes. For example, although Jamie has struggled to earn enough money as an </w:t>
      </w:r>
      <w:r w:rsidRPr="004E053C">
        <w:rPr>
          <w:rFonts w:cstheme="majorHAnsi"/>
          <w:i/>
          <w:sz w:val="22"/>
          <w:szCs w:val="22"/>
          <w:lang w:val="en-GB"/>
        </w:rPr>
        <w:t>obrero</w:t>
      </w:r>
      <w:r w:rsidRPr="004E053C">
        <w:rPr>
          <w:rFonts w:cstheme="majorHAnsi"/>
          <w:sz w:val="22"/>
          <w:szCs w:val="22"/>
          <w:lang w:val="en-GB"/>
        </w:rPr>
        <w:t xml:space="preserve"> since losing his concession, he has remained working in ASM. Moreover, because he sees his future in ASM, he is actively engaged in the conflict with the government in order to improve the situation for miners rather than attempting to change his livelihood.</w:t>
      </w:r>
      <w:r w:rsidRPr="004E053C">
        <w:rPr>
          <w:rFonts w:eastAsia="Times New Roman" w:cstheme="majorHAnsi"/>
          <w:sz w:val="22"/>
          <w:szCs w:val="22"/>
          <w:lang w:val="en-GB"/>
        </w:rPr>
        <w:t xml:space="preserve"> Despite the </w:t>
      </w:r>
      <w:r w:rsidR="002221CE" w:rsidRPr="004E053C">
        <w:rPr>
          <w:rFonts w:eastAsia="Times New Roman" w:cstheme="majorHAnsi"/>
          <w:sz w:val="22"/>
          <w:szCs w:val="22"/>
          <w:lang w:val="en-GB"/>
        </w:rPr>
        <w:t>insecure long-term prospects for gold mining in</w:t>
      </w:r>
      <w:r w:rsidRPr="004E053C">
        <w:rPr>
          <w:rFonts w:eastAsia="Times New Roman" w:cstheme="majorHAnsi"/>
          <w:sz w:val="22"/>
          <w:szCs w:val="22"/>
          <w:lang w:val="en-GB"/>
        </w:rPr>
        <w:t xml:space="preserve"> Laberinto therefore, it is clear that many ASM miners and other community members </w:t>
      </w:r>
      <w:r w:rsidRPr="004E053C">
        <w:rPr>
          <w:rFonts w:eastAsia="Times New Roman" w:cstheme="majorHAnsi"/>
          <w:sz w:val="22"/>
          <w:szCs w:val="22"/>
          <w:lang w:val="en-GB"/>
        </w:rPr>
        <w:lastRenderedPageBreak/>
        <w:t xml:space="preserve">desire to </w:t>
      </w:r>
      <w:r w:rsidR="00993225" w:rsidRPr="004E053C">
        <w:rPr>
          <w:rFonts w:eastAsia="Times New Roman" w:cstheme="majorHAnsi"/>
          <w:sz w:val="22"/>
          <w:szCs w:val="22"/>
          <w:lang w:val="en-GB"/>
        </w:rPr>
        <w:t>build their lives in the town</w:t>
      </w:r>
      <w:r w:rsidRPr="004E053C">
        <w:rPr>
          <w:rFonts w:eastAsia="Times New Roman" w:cstheme="majorHAnsi"/>
          <w:sz w:val="22"/>
          <w:szCs w:val="22"/>
          <w:lang w:val="en-GB"/>
        </w:rPr>
        <w:t xml:space="preserve"> and ideally continue mining. In some cases, this may be due to a perceived or real inability to engage with another livelihood or move to a new location. However, whatever the reason, it is clear that the </w:t>
      </w:r>
      <w:r w:rsidR="00AF7E75" w:rsidRPr="004E053C">
        <w:rPr>
          <w:rFonts w:eastAsia="Times New Roman" w:cstheme="majorHAnsi"/>
          <w:sz w:val="22"/>
          <w:szCs w:val="22"/>
          <w:lang w:val="en-GB"/>
        </w:rPr>
        <w:t>permanent</w:t>
      </w:r>
      <w:r w:rsidRPr="004E053C">
        <w:rPr>
          <w:rFonts w:eastAsia="Times New Roman" w:cstheme="majorHAnsi"/>
          <w:sz w:val="22"/>
          <w:szCs w:val="22"/>
          <w:lang w:val="en-GB"/>
        </w:rPr>
        <w:t xml:space="preserve"> miners have a strong desire to protect both their livelihood and their community. </w:t>
      </w:r>
    </w:p>
    <w:p w14:paraId="285E2646" w14:textId="77777777" w:rsidR="004A3EF1" w:rsidRPr="004E053C" w:rsidRDefault="004A3EF1" w:rsidP="004E053C">
      <w:pPr>
        <w:spacing w:line="360" w:lineRule="auto"/>
        <w:jc w:val="both"/>
        <w:rPr>
          <w:rFonts w:eastAsia="Times New Roman" w:cstheme="majorHAnsi"/>
          <w:i/>
          <w:sz w:val="22"/>
          <w:szCs w:val="22"/>
          <w:lang w:val="en-GB"/>
        </w:rPr>
      </w:pPr>
    </w:p>
    <w:p w14:paraId="2F4A840A" w14:textId="5714D959" w:rsidR="00BA47DF"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.4</w:t>
      </w:r>
      <w:r w:rsidR="0091076C" w:rsidRPr="004E053C">
        <w:rPr>
          <w:rFonts w:asciiTheme="minorHAnsi" w:hAnsiTheme="minorHAnsi"/>
        </w:rPr>
        <w:t xml:space="preserve">.2. </w:t>
      </w:r>
      <w:r w:rsidR="00AF7E75" w:rsidRPr="004E053C">
        <w:rPr>
          <w:rFonts w:asciiTheme="minorHAnsi" w:hAnsiTheme="minorHAnsi"/>
        </w:rPr>
        <w:t>Temporary</w:t>
      </w:r>
      <w:r w:rsidR="0091076C" w:rsidRPr="004E053C">
        <w:rPr>
          <w:rFonts w:asciiTheme="minorHAnsi" w:hAnsiTheme="minorHAnsi"/>
        </w:rPr>
        <w:t xml:space="preserve"> migrants</w:t>
      </w:r>
      <w:r w:rsidR="004A3EF1" w:rsidRPr="004E053C">
        <w:rPr>
          <w:rFonts w:asciiTheme="minorHAnsi" w:hAnsiTheme="minorHAnsi"/>
        </w:rPr>
        <w:t xml:space="preserve"> – static and s</w:t>
      </w:r>
      <w:r w:rsidR="00AF7E75" w:rsidRPr="004E053C">
        <w:rPr>
          <w:rFonts w:asciiTheme="minorHAnsi" w:hAnsiTheme="minorHAnsi"/>
        </w:rPr>
        <w:t>easonal</w:t>
      </w:r>
    </w:p>
    <w:p w14:paraId="3EEF1FF3" w14:textId="77777777" w:rsidR="004A3EF1" w:rsidRPr="004E053C" w:rsidRDefault="004A3EF1" w:rsidP="004E053C">
      <w:pPr>
        <w:spacing w:line="360" w:lineRule="auto"/>
        <w:jc w:val="both"/>
        <w:rPr>
          <w:rFonts w:cstheme="majorHAnsi"/>
          <w:lang w:val="en-GB"/>
        </w:rPr>
      </w:pPr>
    </w:p>
    <w:p w14:paraId="18624EF5" w14:textId="4FBEFC1A" w:rsidR="005D703E"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In the translocal ASM community, flows of migrant labour connect various locations over an extended period. </w:t>
      </w:r>
      <w:r w:rsidR="002221CE" w:rsidRPr="004E053C">
        <w:rPr>
          <w:rFonts w:eastAsia="Times New Roman" w:cstheme="majorHAnsi"/>
          <w:sz w:val="22"/>
          <w:szCs w:val="22"/>
          <w:lang w:val="en-GB"/>
        </w:rPr>
        <w:t xml:space="preserve">In the ASM literature, </w:t>
      </w:r>
      <w:r w:rsidR="005E3970" w:rsidRPr="004E053C">
        <w:rPr>
          <w:rFonts w:eastAsia="Times New Roman" w:cstheme="majorHAnsi"/>
          <w:sz w:val="22"/>
          <w:szCs w:val="22"/>
          <w:lang w:val="en-GB"/>
        </w:rPr>
        <w:t>numerous studies have</w:t>
      </w:r>
      <w:r w:rsidR="002221CE" w:rsidRPr="004E053C">
        <w:rPr>
          <w:rFonts w:eastAsia="Times New Roman" w:cstheme="majorHAnsi"/>
          <w:sz w:val="22"/>
          <w:szCs w:val="22"/>
          <w:lang w:val="en-GB"/>
        </w:rPr>
        <w:t xml:space="preserve"> highlight</w:t>
      </w:r>
      <w:r w:rsidR="005E3970" w:rsidRPr="004E053C">
        <w:rPr>
          <w:rFonts w:eastAsia="Times New Roman" w:cstheme="majorHAnsi"/>
          <w:sz w:val="22"/>
          <w:szCs w:val="22"/>
          <w:lang w:val="en-GB"/>
        </w:rPr>
        <w:t>ed</w:t>
      </w:r>
      <w:r w:rsidR="002221CE" w:rsidRPr="004E053C">
        <w:rPr>
          <w:rFonts w:eastAsia="Times New Roman" w:cstheme="majorHAnsi"/>
          <w:sz w:val="22"/>
          <w:szCs w:val="22"/>
          <w:lang w:val="en-GB"/>
        </w:rPr>
        <w:t xml:space="preserve"> the existence of seasonal and circular migration to and from mining towns </w:t>
      </w:r>
      <w:r w:rsidR="00BB181E" w:rsidRPr="004E053C">
        <w:rPr>
          <w:rFonts w:eastAsia="Times New Roman" w:cstheme="majorHAnsi"/>
          <w:sz w:val="22"/>
          <w:szCs w:val="22"/>
          <w:lang w:val="en-GB"/>
        </w:rPr>
        <w:fldChar w:fldCharType="begin" w:fldLock="1"/>
      </w:r>
      <w:r w:rsidR="002F0CEA">
        <w:rPr>
          <w:rFonts w:eastAsia="Times New Roman" w:cstheme="majorHAnsi"/>
          <w:sz w:val="22"/>
          <w:szCs w:val="22"/>
          <w:lang w:val="en-GB"/>
        </w:rPr>
        <w:instrText>ADDIN CSL_CITATION {"citationItems":[{"id":"ITEM-1","itemData":{"abstract":"This paper offers an alternative viewpoint on why people choose to engage in artisanal mining - the low tech mineral extraction and processing of mainly precious metals and stones - for extended periods in sub-Saharan Africa. Drawing upon experiences from Akwatia, Ghana's epicentre of diamond production since the mid-1920s, the analysis challenges the commonly-held view that the region's people are drawn to artisanal mining solely because of a desire 'to get rich quick'. A combination of events, including the recent closure of Ghana Consolidated Diamonds Ltd's industrial-scale operation and decreased foreign investment in the country's diamond industry over concerns of it potentially harbouring 'conflict' stones from neighbouring Côte D'Ivoire, has had a debilitating economic impact on Akwatia. In an attempt to alleviate their hardships, many of the town's so-called 'lifetime' diamond miners have managed to secure employment in neighbouring artisanal gold mining camps. But their decision has been condemned by many of the country's policymakers and traditional leaders, who see it solely as a move to secure 'fast money'. It is argued here, however, that these people pursue work in surrounding artisanal gold mining communities mainly because of poverty, and that their decision has more to do with a desire to immerse in activities with which they are familiar, that offer stable employment and consistent salaries, and provide immediate debt relief. Misdiagnosis of cases such as Akwatia underscores how unfamiliar policymakers and donors are with the dynamics of ASM in sub-Saharan Africa. © 2010 Elsevier Ltd.","author":[{"dropping-particle":"","family":"Hilson","given":"G","non-dropping-particle":"","parse-names":false,"suffix":""}],"container-title":"Journal of Rural Studies","id":"ITEM-1","issue":"3","issued":{"date-parts":[["2010","7"]]},"page":"296-307","title":"'Once a miner, always a miner': poverty and livelihood diversification in Akwatia, Ghana","type":"article-journal","volume":"26"},"uris":["http://www.mendeley.com/documents/?uuid=55cc5957-54c3-346a-990f-2b14ec389a42"]},{"id":"ITEM-2","itemData":{"abstract":"This contribution critically explores changing relationships between diamond mining and patterns of urbanisation in Sierra Leone. In providing an historical overview of mining expansion and contraction, the paper highlights the significant impacts that mining has had on the ruralurban continuum, and how this has shaped political, economic and social change in diamondiferous regions. Focusing on Kono District, the effects of diamond mining on populations are evaluated before, during and after the civil war, demonstrating how diamonds have had diverse and varying impacts on both population mobility and urban agglomeration at different points in time. While much attention has focused on the social consequences of wartime displacement from diamondiferous areas to the capital city, Freetown, recent research suggests that the postwar return of young people to diamond mining regions has had unexpected consequences. Most significantly, a decline in artisanal mining activities and the rise of large-scale industrial mining has reawakened the interest of young ex-miners in farming, especially those who enjoy hereditary land rights. While one consequence of the war may be that the population is now more urban and more mobile, the paper concludes that the return of young people to their villages of origin, and rapprochement with local chiefs, may be helping to drive a resurgence of community-based cooperation in Kono District, a development which could provide a more durable basis for sustainable and democratic development in the years to come.","author":[{"dropping-particle":"","family":"Maconachie","given":"Roy","non-dropping-particle":"","parse-names":false,"suffix":""}],"container-title":"Journal of Contemporary African Studies","id":"ITEM-2","issue":"4","issued":{"date-parts":[["2012"]]},"page":"705-723","title":"Diamond mining, urbanisation and social transformation in Sierra Leone","type":"article-journal","volume":"30"},"uris":["http://www.mendeley.com/documents/?uuid=5835ff48-a3a9-31f6-859f-233c2894fec3"]},{"id":"ITEM-3","itemData":{"abstract":"While artisanal and small-scale mining (ASM) and its impact on socio-economic development have produced voluminous studies, knowledge of the underlying migratory dynamics of artisanal miners remains incomplete. Using Ghana as a case study, we explore the trajectories, adaptation responses (\"triumphs\"), and implications (\"tribulations\") associated with ASM operators. Based on in-person interviews, participant observations, and mining-site visits conducted from 2005 to 2012, the study reveals that several factors influence how migrant miners strategically \"hop\" from one mine to another - a phenomenon we describe as \"transitory mining\" - to exploit low-yield gold (and, to a lesser extent, diamond) deposits. We find that miners are forging strong bonds with host communities by sending pre-mining negotiation teams and employing extended family networks to arrange mutually beneficial agreements with local actors. These strategies and techniques lower the entry barriers into ASM by facilitating access to mineral-bearing lands. Even though transitory mining has increased mineral discoveries and personal incomes, we examine how such \"triumphs\" are hindered by vexing \"tribulations\". First, there are growing human security threats posed by armed thugs who prey on miners and mining communities as well as police raids of illegal mining that often involve violence. Second, the deleterious environmental impact of transitory mining continues unabated. © 2014 Elsevier Ltd.","author":[{"dropping-particle":"","family":"Nyame","given":"Frank K.","non-dropping-particle":"","parse-names":false,"suffix":""},{"dropping-particle":"","family":"Grant","given":"J. Andrew","non-dropping-particle":"","parse-names":false,"suffix":""}],"container-title":"Extractive Industries and Society","id":"ITEM-3","issue":"1","issued":{"date-parts":[["2014"]]},"page":"75-85","publisher":"Elsevier Ltd","title":"The political economy of transitory mining in Ghana: understanding the trajectories, triumphs, and tribulations of artisanal and small-scale operators","type":"article-journal","volume":"1"},"uris":["http://www.mendeley.com/documents/?uuid=56fd2b4b-fd5a-31ef-a59e-d2c754808936"]}],"mendeley":{"formattedCitation":"(G Hilson, 2010; Maconachie, 2012; F. K. Nyame &amp; Grant, 2014)","manualFormatting":"(Hilson, 2010; Maconachie, 2012; Nyame &amp; Grant, 2014)","plainTextFormattedCitation":"(G Hilson, 2010; Maconachie, 2012; F. K. Nyame &amp; Grant, 2014)","previouslyFormattedCitation":"(G Hilson, 2010; Maconachie, 2012; F. K. Nyame &amp; Grant, 2014)"},"properties":{"noteIndex":0},"schema":"https://github.com/citation-style-language/schema/raw/master/csl-citation.json"}</w:instrText>
      </w:r>
      <w:r w:rsidR="00BB181E" w:rsidRPr="004E053C">
        <w:rPr>
          <w:rFonts w:eastAsia="Times New Roman" w:cstheme="majorHAnsi"/>
          <w:sz w:val="22"/>
          <w:szCs w:val="22"/>
          <w:lang w:val="en-GB"/>
        </w:rPr>
        <w:fldChar w:fldCharType="separate"/>
      </w:r>
      <w:r w:rsidR="00BB181E" w:rsidRPr="004E053C">
        <w:rPr>
          <w:rFonts w:eastAsia="Times New Roman" w:cstheme="majorHAnsi"/>
          <w:noProof/>
          <w:sz w:val="22"/>
          <w:szCs w:val="22"/>
          <w:lang w:val="en-GB"/>
        </w:rPr>
        <w:t>(Hilson</w:t>
      </w:r>
      <w:r w:rsidR="00830084" w:rsidRPr="004E053C">
        <w:rPr>
          <w:rFonts w:eastAsia="Times New Roman" w:cstheme="majorHAnsi"/>
          <w:noProof/>
          <w:sz w:val="22"/>
          <w:szCs w:val="22"/>
          <w:lang w:val="en-GB"/>
        </w:rPr>
        <w:t xml:space="preserve">, 2010; Maconachie, 2012; </w:t>
      </w:r>
      <w:r w:rsidR="00BB181E" w:rsidRPr="004E053C">
        <w:rPr>
          <w:rFonts w:eastAsia="Times New Roman" w:cstheme="majorHAnsi"/>
          <w:noProof/>
          <w:sz w:val="22"/>
          <w:szCs w:val="22"/>
          <w:lang w:val="en-GB"/>
        </w:rPr>
        <w:t>Nyame &amp; Grant, 2014)</w:t>
      </w:r>
      <w:r w:rsidR="00BB181E" w:rsidRPr="004E053C">
        <w:rPr>
          <w:rFonts w:eastAsia="Times New Roman" w:cstheme="majorHAnsi"/>
          <w:sz w:val="22"/>
          <w:szCs w:val="22"/>
          <w:lang w:val="en-GB"/>
        </w:rPr>
        <w:fldChar w:fldCharType="end"/>
      </w:r>
      <w:r w:rsidR="002221CE" w:rsidRPr="004E053C">
        <w:rPr>
          <w:rFonts w:eastAsia="Times New Roman" w:cstheme="majorHAnsi"/>
          <w:sz w:val="22"/>
          <w:szCs w:val="22"/>
          <w:lang w:val="en-GB"/>
        </w:rPr>
        <w:t xml:space="preserve">. </w:t>
      </w:r>
      <w:r w:rsidRPr="004E053C">
        <w:rPr>
          <w:rFonts w:eastAsia="Times New Roman" w:cstheme="majorHAnsi"/>
          <w:sz w:val="22"/>
          <w:szCs w:val="22"/>
          <w:lang w:val="en-GB"/>
        </w:rPr>
        <w:t xml:space="preserve">While a good proportion of people in </w:t>
      </w:r>
      <w:r w:rsidR="00B5602F" w:rsidRPr="004E053C">
        <w:rPr>
          <w:rFonts w:eastAsia="Times New Roman" w:cstheme="majorHAnsi"/>
          <w:sz w:val="22"/>
          <w:szCs w:val="22"/>
          <w:lang w:val="en-GB"/>
        </w:rPr>
        <w:t xml:space="preserve">the mining towns </w:t>
      </w:r>
      <w:r w:rsidRPr="004E053C">
        <w:rPr>
          <w:rFonts w:eastAsia="Times New Roman" w:cstheme="majorHAnsi"/>
          <w:sz w:val="22"/>
          <w:szCs w:val="22"/>
          <w:lang w:val="en-GB"/>
        </w:rPr>
        <w:t>remain fixed in place, many others manage their livelihood on a translocal basis. The links an individual miner creates with and between locations are strengthened depending on the frequency and pattern of migra</w:t>
      </w:r>
      <w:r w:rsidR="005D703E" w:rsidRPr="004E053C">
        <w:rPr>
          <w:rFonts w:eastAsia="Times New Roman" w:cstheme="majorHAnsi"/>
          <w:sz w:val="22"/>
          <w:szCs w:val="22"/>
          <w:lang w:val="en-GB"/>
        </w:rPr>
        <w:t xml:space="preserve">tion. </w:t>
      </w:r>
      <w:r w:rsidR="002221CE" w:rsidRPr="004E053C">
        <w:rPr>
          <w:rFonts w:eastAsia="Times New Roman" w:cstheme="majorHAnsi"/>
          <w:sz w:val="22"/>
          <w:szCs w:val="22"/>
          <w:lang w:val="en-GB"/>
        </w:rPr>
        <w:t>Ma</w:t>
      </w:r>
      <w:r w:rsidRPr="004E053C">
        <w:rPr>
          <w:rFonts w:eastAsia="Times New Roman" w:cstheme="majorHAnsi"/>
          <w:sz w:val="22"/>
          <w:szCs w:val="22"/>
          <w:lang w:val="en-GB"/>
        </w:rPr>
        <w:t xml:space="preserve">ny </w:t>
      </w:r>
      <w:r w:rsidR="00AF7E75" w:rsidRPr="004E053C">
        <w:rPr>
          <w:rFonts w:eastAsia="Times New Roman" w:cstheme="majorHAnsi"/>
          <w:sz w:val="22"/>
          <w:szCs w:val="22"/>
          <w:lang w:val="en-GB"/>
        </w:rPr>
        <w:t>temporary</w:t>
      </w:r>
      <w:r w:rsidRPr="004E053C">
        <w:rPr>
          <w:rFonts w:eastAsia="Times New Roman" w:cstheme="majorHAnsi"/>
          <w:sz w:val="22"/>
          <w:szCs w:val="22"/>
          <w:lang w:val="en-GB"/>
        </w:rPr>
        <w:t xml:space="preserve"> migrants in Laberinto migrate seasonally, with their engagement in ASM representing a livelihood diversification strategy. These migrants may choose to take up ASM activity when work opportunities in origin locations are low, staying for a couple of months at a time. Others may decide to migrate for a couple of years, sometimes taking their family, but with the knowledg</w:t>
      </w:r>
      <w:r w:rsidR="00AF7E75" w:rsidRPr="004E053C">
        <w:rPr>
          <w:rFonts w:eastAsia="Times New Roman" w:cstheme="majorHAnsi"/>
          <w:sz w:val="22"/>
          <w:szCs w:val="22"/>
          <w:lang w:val="en-GB"/>
        </w:rPr>
        <w:t xml:space="preserve">e that they will not settle in </w:t>
      </w:r>
      <w:r w:rsidR="00B5602F" w:rsidRPr="004E053C">
        <w:rPr>
          <w:rFonts w:eastAsia="Times New Roman" w:cstheme="majorHAnsi"/>
          <w:sz w:val="22"/>
          <w:szCs w:val="22"/>
          <w:lang w:val="en-GB"/>
        </w:rPr>
        <w:t xml:space="preserve">the mining town </w:t>
      </w:r>
      <w:r w:rsidR="005661FB" w:rsidRPr="004E053C">
        <w:rPr>
          <w:rFonts w:eastAsia="Times New Roman" w:cstheme="majorHAnsi"/>
          <w:sz w:val="22"/>
          <w:szCs w:val="22"/>
          <w:lang w:val="en-GB"/>
        </w:rPr>
        <w:t xml:space="preserve">long-term. </w:t>
      </w:r>
      <w:r w:rsidRPr="004E053C">
        <w:rPr>
          <w:rFonts w:eastAsia="Times New Roman" w:cstheme="majorHAnsi"/>
          <w:sz w:val="22"/>
          <w:szCs w:val="22"/>
          <w:lang w:val="en-GB"/>
        </w:rPr>
        <w:t xml:space="preserve">The key feature is that they only intend to stay in the community for a fixed </w:t>
      </w:r>
      <w:r w:rsidR="00AD0893" w:rsidRPr="004E053C">
        <w:rPr>
          <w:rFonts w:eastAsia="Times New Roman" w:cstheme="majorHAnsi"/>
          <w:sz w:val="22"/>
          <w:szCs w:val="22"/>
          <w:lang w:val="en-GB"/>
        </w:rPr>
        <w:t>period</w:t>
      </w:r>
      <w:r w:rsidRPr="004E053C">
        <w:rPr>
          <w:rFonts w:eastAsia="Times New Roman" w:cstheme="majorHAnsi"/>
          <w:sz w:val="22"/>
          <w:szCs w:val="22"/>
          <w:lang w:val="en-GB"/>
        </w:rPr>
        <w:t>, with some having calculated how m</w:t>
      </w:r>
      <w:r w:rsidR="00B5602F" w:rsidRPr="004E053C">
        <w:rPr>
          <w:rFonts w:eastAsia="Times New Roman" w:cstheme="majorHAnsi"/>
          <w:sz w:val="22"/>
          <w:szCs w:val="22"/>
          <w:lang w:val="en-GB"/>
        </w:rPr>
        <w:t>uch time they needed to spend working in</w:t>
      </w:r>
      <w:r w:rsidRPr="004E053C">
        <w:rPr>
          <w:rFonts w:eastAsia="Times New Roman" w:cstheme="majorHAnsi"/>
          <w:sz w:val="22"/>
          <w:szCs w:val="22"/>
          <w:lang w:val="en-GB"/>
        </w:rPr>
        <w:t xml:space="preserve"> ASM before th</w:t>
      </w:r>
      <w:r w:rsidR="005D703E" w:rsidRPr="004E053C">
        <w:rPr>
          <w:rFonts w:eastAsia="Times New Roman" w:cstheme="majorHAnsi"/>
          <w:sz w:val="22"/>
          <w:szCs w:val="22"/>
          <w:lang w:val="en-GB"/>
        </w:rPr>
        <w:t>ey would have save</w:t>
      </w:r>
      <w:r w:rsidR="00B5602F" w:rsidRPr="004E053C">
        <w:rPr>
          <w:rFonts w:eastAsia="Times New Roman" w:cstheme="majorHAnsi"/>
          <w:sz w:val="22"/>
          <w:szCs w:val="22"/>
          <w:lang w:val="en-GB"/>
        </w:rPr>
        <w:t>d</w:t>
      </w:r>
      <w:r w:rsidR="005D703E" w:rsidRPr="004E053C">
        <w:rPr>
          <w:rFonts w:eastAsia="Times New Roman" w:cstheme="majorHAnsi"/>
          <w:sz w:val="22"/>
          <w:szCs w:val="22"/>
          <w:lang w:val="en-GB"/>
        </w:rPr>
        <w:t xml:space="preserve"> enough money. </w:t>
      </w:r>
      <w:r w:rsidR="005661FB" w:rsidRPr="004E053C">
        <w:rPr>
          <w:rFonts w:eastAsia="Times New Roman" w:cstheme="majorHAnsi"/>
          <w:sz w:val="22"/>
          <w:szCs w:val="22"/>
          <w:lang w:val="en-GB"/>
        </w:rPr>
        <w:t>Women again make up a proportion of these temporary migrants, although are perhaps more likely to be static than seasonal, given the nature of the work</w:t>
      </w:r>
      <w:r w:rsidR="00923CFD" w:rsidRPr="004E053C">
        <w:rPr>
          <w:rFonts w:eastAsia="Times New Roman" w:cstheme="majorHAnsi"/>
          <w:sz w:val="22"/>
          <w:szCs w:val="22"/>
          <w:lang w:val="en-GB"/>
        </w:rPr>
        <w:t>.</w:t>
      </w:r>
    </w:p>
    <w:p w14:paraId="21947CDE" w14:textId="77777777" w:rsidR="005D703E" w:rsidRPr="004E053C" w:rsidRDefault="005D703E" w:rsidP="004E053C">
      <w:pPr>
        <w:spacing w:line="360" w:lineRule="auto"/>
        <w:jc w:val="both"/>
        <w:rPr>
          <w:rFonts w:eastAsia="Times New Roman" w:cstheme="majorHAnsi"/>
          <w:sz w:val="22"/>
          <w:szCs w:val="22"/>
          <w:lang w:val="en-GB"/>
        </w:rPr>
      </w:pPr>
    </w:p>
    <w:p w14:paraId="4529EA09" w14:textId="4AF8E945" w:rsidR="0091076C" w:rsidRPr="004E053C" w:rsidRDefault="0091076C" w:rsidP="004E053C">
      <w:pPr>
        <w:spacing w:line="360" w:lineRule="auto"/>
        <w:jc w:val="both"/>
        <w:rPr>
          <w:rFonts w:cstheme="majorHAnsi"/>
          <w:sz w:val="22"/>
          <w:szCs w:val="22"/>
          <w:lang w:val="en-GB"/>
        </w:rPr>
      </w:pPr>
      <w:r w:rsidRPr="004E053C">
        <w:rPr>
          <w:rFonts w:cstheme="majorHAnsi"/>
          <w:sz w:val="22"/>
          <w:szCs w:val="22"/>
          <w:lang w:val="en-GB"/>
        </w:rPr>
        <w:t xml:space="preserve">In Ocongate, every household that engaged in mining did so on a </w:t>
      </w:r>
      <w:r w:rsidR="00AF7E75" w:rsidRPr="004E053C">
        <w:rPr>
          <w:rFonts w:cstheme="majorHAnsi"/>
          <w:sz w:val="22"/>
          <w:szCs w:val="22"/>
          <w:lang w:val="en-GB"/>
        </w:rPr>
        <w:t>temporary</w:t>
      </w:r>
      <w:r w:rsidRPr="004E053C">
        <w:rPr>
          <w:rFonts w:cstheme="majorHAnsi"/>
          <w:sz w:val="22"/>
          <w:szCs w:val="22"/>
          <w:lang w:val="en-GB"/>
        </w:rPr>
        <w:t xml:space="preserve"> basis as a means to improve their life. Crucially, none of the households discussed any plans to move their family to the mining towns or to invest money there in building houses or businesses. In all cases, the husband migrated while his wife stayed at home. For five of the households, ASM was a seasonal occupation to boost income and </w:t>
      </w:r>
      <w:r w:rsidR="00833595" w:rsidRPr="004E053C">
        <w:rPr>
          <w:rFonts w:cstheme="majorHAnsi"/>
          <w:sz w:val="22"/>
          <w:szCs w:val="22"/>
          <w:lang w:val="en-GB"/>
        </w:rPr>
        <w:t>consumption throughout the year, w</w:t>
      </w:r>
      <w:r w:rsidR="00B5602F" w:rsidRPr="004E053C">
        <w:rPr>
          <w:rFonts w:cstheme="majorHAnsi"/>
          <w:sz w:val="22"/>
          <w:szCs w:val="22"/>
          <w:lang w:val="en-GB"/>
        </w:rPr>
        <w:t>ith the</w:t>
      </w:r>
      <w:r w:rsidR="00993225" w:rsidRPr="004E053C">
        <w:rPr>
          <w:rFonts w:cstheme="majorHAnsi"/>
          <w:sz w:val="22"/>
          <w:szCs w:val="22"/>
          <w:lang w:val="en-GB"/>
        </w:rPr>
        <w:t xml:space="preserve"> </w:t>
      </w:r>
      <w:r w:rsidR="00FD1963" w:rsidRPr="004E053C">
        <w:rPr>
          <w:rFonts w:cstheme="majorHAnsi"/>
          <w:sz w:val="22"/>
          <w:szCs w:val="22"/>
          <w:lang w:val="en-GB"/>
        </w:rPr>
        <w:t>majority</w:t>
      </w:r>
      <w:r w:rsidR="00993225" w:rsidRPr="004E053C">
        <w:rPr>
          <w:rFonts w:cstheme="majorHAnsi"/>
          <w:sz w:val="22"/>
          <w:szCs w:val="22"/>
          <w:lang w:val="en-GB"/>
        </w:rPr>
        <w:t xml:space="preserve"> of </w:t>
      </w:r>
      <w:r w:rsidR="00833595" w:rsidRPr="004E053C">
        <w:rPr>
          <w:rFonts w:cstheme="majorHAnsi"/>
          <w:sz w:val="22"/>
          <w:szCs w:val="22"/>
          <w:lang w:val="en-GB"/>
        </w:rPr>
        <w:t>yearly income coming from farming, small businesses or labo</w:t>
      </w:r>
      <w:r w:rsidR="00B5602F" w:rsidRPr="004E053C">
        <w:rPr>
          <w:rFonts w:cstheme="majorHAnsi"/>
          <w:sz w:val="22"/>
          <w:szCs w:val="22"/>
          <w:lang w:val="en-GB"/>
        </w:rPr>
        <w:t>u</w:t>
      </w:r>
      <w:r w:rsidR="00833595" w:rsidRPr="004E053C">
        <w:rPr>
          <w:rFonts w:cstheme="majorHAnsi"/>
          <w:sz w:val="22"/>
          <w:szCs w:val="22"/>
          <w:lang w:val="en-GB"/>
        </w:rPr>
        <w:t xml:space="preserve">ring. </w:t>
      </w:r>
      <w:r w:rsidRPr="004E053C">
        <w:rPr>
          <w:rFonts w:cstheme="majorHAnsi"/>
          <w:sz w:val="22"/>
          <w:szCs w:val="22"/>
          <w:lang w:val="en-GB"/>
        </w:rPr>
        <w:t xml:space="preserve">Meanwhile, in nine of </w:t>
      </w:r>
      <w:r w:rsidR="00923CFD" w:rsidRPr="004E053C">
        <w:rPr>
          <w:rFonts w:cstheme="majorHAnsi"/>
          <w:sz w:val="22"/>
          <w:szCs w:val="22"/>
          <w:lang w:val="en-GB"/>
        </w:rPr>
        <w:t xml:space="preserve">the </w:t>
      </w:r>
      <w:r w:rsidRPr="004E053C">
        <w:rPr>
          <w:rFonts w:cstheme="majorHAnsi"/>
          <w:sz w:val="22"/>
          <w:szCs w:val="22"/>
          <w:lang w:val="en-GB"/>
        </w:rPr>
        <w:t>households, the men worked in ASM on a year-round basis, but visited home with varying frequency a</w:t>
      </w:r>
      <w:r w:rsidR="005D703E" w:rsidRPr="004E053C">
        <w:rPr>
          <w:rFonts w:cstheme="majorHAnsi"/>
          <w:sz w:val="22"/>
          <w:szCs w:val="22"/>
          <w:lang w:val="en-GB"/>
        </w:rPr>
        <w:t>nd for varying lengths of time. For most of these miners</w:t>
      </w:r>
      <w:r w:rsidRPr="004E053C">
        <w:rPr>
          <w:rFonts w:cstheme="majorHAnsi"/>
          <w:sz w:val="22"/>
          <w:szCs w:val="22"/>
          <w:lang w:val="en-GB"/>
        </w:rPr>
        <w:t xml:space="preserve">, visits home were relatively infrequent, often for only 1-2 weeks every 2-4 months. </w:t>
      </w:r>
      <w:r w:rsidR="005D703E" w:rsidRPr="004E053C">
        <w:rPr>
          <w:rFonts w:cstheme="majorHAnsi"/>
          <w:sz w:val="22"/>
          <w:szCs w:val="22"/>
          <w:lang w:val="en-GB"/>
        </w:rPr>
        <w:t xml:space="preserve">A couple of the miners made the duration longer (at least a month) </w:t>
      </w:r>
      <w:r w:rsidR="00AF7E75" w:rsidRPr="004E053C">
        <w:rPr>
          <w:rFonts w:cstheme="majorHAnsi"/>
          <w:sz w:val="22"/>
          <w:szCs w:val="22"/>
          <w:lang w:val="en-GB"/>
        </w:rPr>
        <w:t>and/</w:t>
      </w:r>
      <w:r w:rsidR="005D703E" w:rsidRPr="004E053C">
        <w:rPr>
          <w:rFonts w:cstheme="majorHAnsi"/>
          <w:sz w:val="22"/>
          <w:szCs w:val="22"/>
          <w:lang w:val="en-GB"/>
        </w:rPr>
        <w:t xml:space="preserve">or returned home more frequently (every 2-4 weeks, but for less days). </w:t>
      </w:r>
      <w:r w:rsidRPr="004E053C">
        <w:rPr>
          <w:rFonts w:cstheme="majorHAnsi"/>
          <w:sz w:val="22"/>
          <w:szCs w:val="22"/>
          <w:lang w:val="en-GB"/>
        </w:rPr>
        <w:t xml:space="preserve">All but one of </w:t>
      </w:r>
      <w:r w:rsidR="00993225" w:rsidRPr="004E053C">
        <w:rPr>
          <w:rFonts w:cstheme="majorHAnsi"/>
          <w:sz w:val="22"/>
          <w:szCs w:val="22"/>
          <w:lang w:val="en-GB"/>
        </w:rPr>
        <w:t>sent money to their wife</w:t>
      </w:r>
      <w:r w:rsidRPr="004E053C">
        <w:rPr>
          <w:rFonts w:cstheme="majorHAnsi"/>
          <w:sz w:val="22"/>
          <w:szCs w:val="22"/>
          <w:lang w:val="en-GB"/>
        </w:rPr>
        <w:t xml:space="preserve"> whilst they were away. For</w:t>
      </w:r>
      <w:r w:rsidR="00993225" w:rsidRPr="004E053C">
        <w:rPr>
          <w:rFonts w:cstheme="majorHAnsi"/>
          <w:sz w:val="22"/>
          <w:szCs w:val="22"/>
          <w:lang w:val="en-GB"/>
        </w:rPr>
        <w:t xml:space="preserve"> these households, ASM was the</w:t>
      </w:r>
      <w:r w:rsidRPr="004E053C">
        <w:rPr>
          <w:rFonts w:cstheme="majorHAnsi"/>
          <w:sz w:val="22"/>
          <w:szCs w:val="22"/>
          <w:lang w:val="en-GB"/>
        </w:rPr>
        <w:t xml:space="preserve"> primary source of income, </w:t>
      </w:r>
      <w:r w:rsidRPr="004E053C">
        <w:rPr>
          <w:rFonts w:cstheme="majorHAnsi"/>
          <w:sz w:val="22"/>
          <w:szCs w:val="22"/>
          <w:lang w:val="en-GB"/>
        </w:rPr>
        <w:lastRenderedPageBreak/>
        <w:t xml:space="preserve">rather than a diversification strategy, but as will be shown later in this section, the savings that accrue from ASM give the potential for future livelihood diversification. </w:t>
      </w:r>
    </w:p>
    <w:p w14:paraId="6D63E04F" w14:textId="77777777" w:rsidR="005D703E" w:rsidRPr="004E053C" w:rsidRDefault="005D703E" w:rsidP="004E053C">
      <w:pPr>
        <w:spacing w:line="360" w:lineRule="auto"/>
        <w:jc w:val="both"/>
        <w:rPr>
          <w:rFonts w:eastAsia="Times New Roman" w:cstheme="majorHAnsi"/>
          <w:sz w:val="22"/>
          <w:szCs w:val="22"/>
          <w:lang w:val="en-GB"/>
        </w:rPr>
      </w:pPr>
    </w:p>
    <w:p w14:paraId="74043362" w14:textId="4A0BF88C"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In Laberinto, the interviewed households were engaged in ASM year-round. For example, </w:t>
      </w:r>
      <w:r w:rsidR="001B115B" w:rsidRPr="004E053C">
        <w:rPr>
          <w:rFonts w:eastAsia="Times New Roman" w:cstheme="majorHAnsi"/>
          <w:sz w:val="22"/>
          <w:szCs w:val="22"/>
          <w:lang w:val="en-GB"/>
        </w:rPr>
        <w:t>Yara</w:t>
      </w:r>
      <w:r w:rsidRPr="004E053C">
        <w:rPr>
          <w:rFonts w:eastAsia="Times New Roman" w:cstheme="majorHAnsi"/>
          <w:sz w:val="22"/>
          <w:szCs w:val="22"/>
          <w:lang w:val="en-GB"/>
        </w:rPr>
        <w:t xml:space="preserve"> had moved to Laberinto with her husband and child, but the plan had never been to stay long-term:</w:t>
      </w:r>
    </w:p>
    <w:p w14:paraId="603427D1" w14:textId="77777777" w:rsidR="0091076C" w:rsidRPr="004E053C" w:rsidRDefault="0091076C" w:rsidP="004E053C">
      <w:pPr>
        <w:spacing w:line="360" w:lineRule="auto"/>
        <w:jc w:val="both"/>
        <w:rPr>
          <w:rFonts w:eastAsia="Times New Roman" w:cstheme="majorHAnsi"/>
          <w:sz w:val="22"/>
          <w:szCs w:val="22"/>
          <w:lang w:val="en-GB"/>
        </w:rPr>
      </w:pPr>
    </w:p>
    <w:p w14:paraId="4BE86873" w14:textId="7E9DD2BA" w:rsidR="0091076C" w:rsidRPr="004E053C" w:rsidRDefault="00993225" w:rsidP="004E053C">
      <w:pPr>
        <w:ind w:left="720"/>
        <w:jc w:val="both"/>
        <w:rPr>
          <w:rFonts w:cstheme="majorHAnsi"/>
          <w:sz w:val="22"/>
          <w:szCs w:val="22"/>
          <w:lang w:val="en-GB"/>
        </w:rPr>
      </w:pPr>
      <w:r w:rsidRPr="004E053C">
        <w:rPr>
          <w:rFonts w:cstheme="majorHAnsi"/>
          <w:sz w:val="22"/>
          <w:szCs w:val="22"/>
          <w:lang w:val="en-GB"/>
        </w:rPr>
        <w:t>‘</w:t>
      </w:r>
      <w:r w:rsidR="0091076C" w:rsidRPr="004E053C">
        <w:rPr>
          <w:rFonts w:cstheme="majorHAnsi"/>
          <w:i/>
          <w:sz w:val="22"/>
          <w:szCs w:val="22"/>
          <w:lang w:val="en-GB"/>
        </w:rPr>
        <w:t>I’m not living in a nice place h</w:t>
      </w:r>
      <w:r w:rsidR="00833595" w:rsidRPr="004E053C">
        <w:rPr>
          <w:rFonts w:cstheme="majorHAnsi"/>
          <w:i/>
          <w:sz w:val="22"/>
          <w:szCs w:val="22"/>
          <w:lang w:val="en-GB"/>
        </w:rPr>
        <w:t>ere. I came here to work and I am</w:t>
      </w:r>
      <w:r w:rsidR="0091076C" w:rsidRPr="004E053C">
        <w:rPr>
          <w:rFonts w:cstheme="majorHAnsi"/>
          <w:i/>
          <w:sz w:val="22"/>
          <w:szCs w:val="22"/>
          <w:lang w:val="en-GB"/>
        </w:rPr>
        <w:t xml:space="preserve"> trying to save a lot of money. I have some land in Cusco and I want to build a house there, so we are saving. My husband is going to get his specialisation and then we can move there afterwards</w:t>
      </w:r>
      <w:r w:rsidRPr="004E053C">
        <w:rPr>
          <w:rFonts w:cstheme="majorHAnsi"/>
          <w:sz w:val="22"/>
          <w:szCs w:val="22"/>
          <w:lang w:val="en-GB"/>
        </w:rPr>
        <w:t>’</w:t>
      </w:r>
      <w:r w:rsidR="0091076C" w:rsidRPr="004E053C">
        <w:rPr>
          <w:rFonts w:cstheme="majorHAnsi"/>
          <w:sz w:val="22"/>
          <w:szCs w:val="22"/>
          <w:lang w:val="en-GB"/>
        </w:rPr>
        <w:t xml:space="preserve"> (</w:t>
      </w:r>
      <w:r w:rsidR="001B115B" w:rsidRPr="004E053C">
        <w:rPr>
          <w:rFonts w:cstheme="majorHAnsi"/>
          <w:sz w:val="22"/>
          <w:szCs w:val="22"/>
          <w:lang w:val="en-GB"/>
        </w:rPr>
        <w:t>Yara</w:t>
      </w:r>
      <w:r w:rsidR="0091076C" w:rsidRPr="004E053C">
        <w:rPr>
          <w:rFonts w:cstheme="majorHAnsi"/>
          <w:sz w:val="22"/>
          <w:szCs w:val="22"/>
          <w:lang w:val="en-GB"/>
        </w:rPr>
        <w:t>, market worker/wife of miner, Laberinto).</w:t>
      </w:r>
    </w:p>
    <w:p w14:paraId="2DFBD05B" w14:textId="77777777" w:rsidR="0091076C" w:rsidRPr="004E053C" w:rsidRDefault="0091076C" w:rsidP="004E053C">
      <w:pPr>
        <w:spacing w:line="360" w:lineRule="auto"/>
        <w:jc w:val="both"/>
        <w:rPr>
          <w:rFonts w:cstheme="majorHAnsi"/>
          <w:sz w:val="22"/>
          <w:szCs w:val="22"/>
          <w:lang w:val="en-GB"/>
        </w:rPr>
      </w:pPr>
    </w:p>
    <w:p w14:paraId="68E0D6F3" w14:textId="32A9CDC6" w:rsidR="00833595" w:rsidRPr="004E053C" w:rsidRDefault="001B115B"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Yara</w:t>
      </w:r>
      <w:r w:rsidR="0091076C" w:rsidRPr="004E053C">
        <w:rPr>
          <w:rFonts w:eastAsia="Times New Roman" w:cstheme="majorHAnsi"/>
          <w:sz w:val="22"/>
          <w:szCs w:val="22"/>
          <w:lang w:val="en-GB"/>
        </w:rPr>
        <w:t xml:space="preserve">’s example highlights how migrant households can actively refrain from adapting to life in Laberinto, as they had decided to rent cheap, poor-quality housing in order to save more money. Her story is typical of </w:t>
      </w:r>
      <w:r w:rsidR="00375E8B" w:rsidRPr="004E053C">
        <w:rPr>
          <w:rFonts w:eastAsia="Times New Roman" w:cstheme="majorHAnsi"/>
          <w:sz w:val="22"/>
          <w:szCs w:val="22"/>
          <w:lang w:val="en-GB"/>
        </w:rPr>
        <w:t>temporary</w:t>
      </w:r>
      <w:r w:rsidR="0091076C" w:rsidRPr="004E053C">
        <w:rPr>
          <w:rFonts w:eastAsia="Times New Roman" w:cstheme="majorHAnsi"/>
          <w:sz w:val="22"/>
          <w:szCs w:val="22"/>
          <w:lang w:val="en-GB"/>
        </w:rPr>
        <w:t xml:space="preserve"> </w:t>
      </w:r>
      <w:r w:rsidR="00375E8B" w:rsidRPr="004E053C">
        <w:rPr>
          <w:rFonts w:eastAsia="Times New Roman" w:cstheme="majorHAnsi"/>
          <w:sz w:val="22"/>
          <w:szCs w:val="22"/>
          <w:lang w:val="en-GB"/>
        </w:rPr>
        <w:t>miner</w:t>
      </w:r>
      <w:r w:rsidR="0091076C" w:rsidRPr="004E053C">
        <w:rPr>
          <w:rFonts w:eastAsia="Times New Roman" w:cstheme="majorHAnsi"/>
          <w:sz w:val="22"/>
          <w:szCs w:val="22"/>
          <w:lang w:val="en-GB"/>
        </w:rPr>
        <w:t xml:space="preserve">s </w:t>
      </w:r>
      <w:r w:rsidR="00375E8B" w:rsidRPr="004E053C">
        <w:rPr>
          <w:rFonts w:eastAsia="Times New Roman" w:cstheme="majorHAnsi"/>
          <w:sz w:val="22"/>
          <w:szCs w:val="22"/>
          <w:lang w:val="en-GB"/>
        </w:rPr>
        <w:t xml:space="preserve">and other residents </w:t>
      </w:r>
      <w:r w:rsidR="0091076C" w:rsidRPr="004E053C">
        <w:rPr>
          <w:rFonts w:eastAsia="Times New Roman" w:cstheme="majorHAnsi"/>
          <w:sz w:val="22"/>
          <w:szCs w:val="22"/>
          <w:lang w:val="en-GB"/>
        </w:rPr>
        <w:t xml:space="preserve">who migrate to benefit from the gold rush, but only see both ASM and the local community for their moneymaking potential. While some </w:t>
      </w:r>
      <w:r w:rsidR="0091076C" w:rsidRPr="004E053C">
        <w:rPr>
          <w:rFonts w:eastAsia="Times New Roman" w:cstheme="majorHAnsi"/>
          <w:i/>
          <w:iCs/>
          <w:sz w:val="22"/>
          <w:szCs w:val="22"/>
          <w:lang w:val="en-GB"/>
        </w:rPr>
        <w:t xml:space="preserve">duenos </w:t>
      </w:r>
      <w:r w:rsidR="0091076C" w:rsidRPr="004E053C">
        <w:rPr>
          <w:rFonts w:eastAsia="Times New Roman" w:cstheme="majorHAnsi"/>
          <w:sz w:val="22"/>
          <w:szCs w:val="22"/>
          <w:lang w:val="en-GB"/>
        </w:rPr>
        <w:t xml:space="preserve">may have invested money in their own mining equipment, this does not mean they plan to stay </w:t>
      </w:r>
      <w:r w:rsidR="00375E8B" w:rsidRPr="004E053C">
        <w:rPr>
          <w:rFonts w:eastAsia="Times New Roman" w:cstheme="majorHAnsi"/>
          <w:sz w:val="22"/>
          <w:szCs w:val="22"/>
          <w:lang w:val="en-GB"/>
        </w:rPr>
        <w:t>long-term</w:t>
      </w:r>
      <w:r w:rsidR="0091076C" w:rsidRPr="004E053C">
        <w:rPr>
          <w:rFonts w:eastAsia="Times New Roman" w:cstheme="majorHAnsi"/>
          <w:sz w:val="22"/>
          <w:szCs w:val="22"/>
          <w:lang w:val="en-GB"/>
        </w:rPr>
        <w:t xml:space="preserve">. </w:t>
      </w:r>
      <w:r w:rsidR="0091076C" w:rsidRPr="004E053C">
        <w:rPr>
          <w:rFonts w:cstheme="majorHAnsi"/>
          <w:sz w:val="22"/>
          <w:szCs w:val="22"/>
          <w:lang w:val="en-GB"/>
        </w:rPr>
        <w:t xml:space="preserve">For example, when </w:t>
      </w:r>
      <w:r w:rsidR="006F6757" w:rsidRPr="004E053C">
        <w:rPr>
          <w:rFonts w:cstheme="majorHAnsi"/>
          <w:sz w:val="22"/>
          <w:szCs w:val="22"/>
          <w:lang w:val="en-GB"/>
        </w:rPr>
        <w:t>Xavier</w:t>
      </w:r>
      <w:r w:rsidR="0091076C" w:rsidRPr="004E053C">
        <w:rPr>
          <w:rFonts w:cstheme="majorHAnsi"/>
          <w:sz w:val="22"/>
          <w:szCs w:val="22"/>
          <w:lang w:val="en-GB"/>
        </w:rPr>
        <w:t xml:space="preserve"> was suspended from his job as an electrician and came to Laberinto he was able to do well quite quickly, possibly because he had a bit of </w:t>
      </w:r>
      <w:r w:rsidR="005527DD" w:rsidRPr="004E053C">
        <w:rPr>
          <w:rFonts w:cstheme="majorHAnsi"/>
          <w:sz w:val="22"/>
          <w:szCs w:val="22"/>
          <w:lang w:val="en-GB"/>
        </w:rPr>
        <w:t>money that</w:t>
      </w:r>
      <w:r w:rsidR="0091076C" w:rsidRPr="004E053C">
        <w:rPr>
          <w:rFonts w:cstheme="majorHAnsi"/>
          <w:sz w:val="22"/>
          <w:szCs w:val="22"/>
          <w:lang w:val="en-GB"/>
        </w:rPr>
        <w:t xml:space="preserve"> he could immediately invest in his own mining equipment. </w:t>
      </w:r>
      <w:r w:rsidR="0091076C" w:rsidRPr="004E053C">
        <w:rPr>
          <w:rFonts w:eastAsia="Times New Roman" w:cstheme="majorHAnsi"/>
          <w:sz w:val="22"/>
          <w:szCs w:val="22"/>
          <w:lang w:val="en-GB"/>
        </w:rPr>
        <w:t xml:space="preserve">However, although </w:t>
      </w:r>
      <w:r w:rsidR="006F6757" w:rsidRPr="004E053C">
        <w:rPr>
          <w:rFonts w:eastAsia="Times New Roman" w:cstheme="majorHAnsi"/>
          <w:sz w:val="22"/>
          <w:szCs w:val="22"/>
          <w:lang w:val="en-GB"/>
        </w:rPr>
        <w:t>Xavier</w:t>
      </w:r>
      <w:r w:rsidR="0091076C" w:rsidRPr="004E053C">
        <w:rPr>
          <w:rFonts w:eastAsia="Times New Roman" w:cstheme="majorHAnsi"/>
          <w:sz w:val="22"/>
          <w:szCs w:val="22"/>
          <w:lang w:val="en-GB"/>
        </w:rPr>
        <w:t xml:space="preserve"> likes the income from ASM he does not intend to stay in Laberinto </w:t>
      </w:r>
      <w:r w:rsidR="00375E8B" w:rsidRPr="004E053C">
        <w:rPr>
          <w:rFonts w:eastAsia="Times New Roman" w:cstheme="majorHAnsi"/>
          <w:sz w:val="22"/>
          <w:szCs w:val="22"/>
          <w:lang w:val="en-GB"/>
        </w:rPr>
        <w:t>permanently</w:t>
      </w:r>
      <w:r w:rsidR="0091076C" w:rsidRPr="004E053C">
        <w:rPr>
          <w:rFonts w:eastAsia="Times New Roman" w:cstheme="majorHAnsi"/>
          <w:sz w:val="22"/>
          <w:szCs w:val="22"/>
          <w:lang w:val="en-GB"/>
        </w:rPr>
        <w:t xml:space="preserve"> – </w:t>
      </w:r>
      <w:r w:rsidR="00993225" w:rsidRPr="004E053C">
        <w:rPr>
          <w:rFonts w:eastAsia="Times New Roman" w:cstheme="majorHAnsi"/>
          <w:sz w:val="22"/>
          <w:szCs w:val="22"/>
          <w:lang w:val="en-GB"/>
        </w:rPr>
        <w:t>‘</w:t>
      </w:r>
      <w:r w:rsidR="0091076C" w:rsidRPr="004E053C">
        <w:rPr>
          <w:rFonts w:eastAsia="Times New Roman" w:cstheme="majorHAnsi"/>
          <w:i/>
          <w:sz w:val="22"/>
          <w:szCs w:val="22"/>
          <w:lang w:val="en-GB"/>
        </w:rPr>
        <w:t>There is nothing here, mining is the only good thing about here and nothing else, absolutely nothing else</w:t>
      </w:r>
      <w:r w:rsidR="00993225" w:rsidRPr="004E053C">
        <w:rPr>
          <w:rFonts w:eastAsia="Times New Roman" w:cstheme="majorHAnsi"/>
          <w:sz w:val="22"/>
          <w:szCs w:val="22"/>
          <w:lang w:val="en-GB"/>
        </w:rPr>
        <w:t>’</w:t>
      </w:r>
      <w:r w:rsidR="0091076C" w:rsidRPr="004E053C">
        <w:rPr>
          <w:rFonts w:eastAsia="Times New Roman" w:cstheme="majorHAnsi"/>
          <w:sz w:val="22"/>
          <w:szCs w:val="22"/>
          <w:lang w:val="en-GB"/>
        </w:rPr>
        <w:t xml:space="preserve"> (</w:t>
      </w:r>
      <w:r w:rsidR="006F6757" w:rsidRPr="004E053C">
        <w:rPr>
          <w:rFonts w:eastAsia="Times New Roman" w:cstheme="majorHAnsi"/>
          <w:sz w:val="22"/>
          <w:szCs w:val="22"/>
          <w:lang w:val="en-GB"/>
        </w:rPr>
        <w:t>Xavier</w:t>
      </w:r>
      <w:r w:rsidR="0091076C" w:rsidRPr="004E053C">
        <w:rPr>
          <w:rFonts w:eastAsia="Times New Roman" w:cstheme="majorHAnsi"/>
          <w:sz w:val="22"/>
          <w:szCs w:val="22"/>
          <w:lang w:val="en-GB"/>
        </w:rPr>
        <w:t xml:space="preserve">, ASM miner, Laberinto). Thus, while these individuals can engage in ASM either seasonally or on a </w:t>
      </w:r>
      <w:r w:rsidR="00375E8B" w:rsidRPr="004E053C">
        <w:rPr>
          <w:rFonts w:eastAsia="Times New Roman" w:cstheme="majorHAnsi"/>
          <w:sz w:val="22"/>
          <w:szCs w:val="22"/>
          <w:lang w:val="en-GB"/>
        </w:rPr>
        <w:t>year-round</w:t>
      </w:r>
      <w:r w:rsidR="0091076C" w:rsidRPr="004E053C">
        <w:rPr>
          <w:rFonts w:eastAsia="Times New Roman" w:cstheme="majorHAnsi"/>
          <w:sz w:val="22"/>
          <w:szCs w:val="22"/>
          <w:lang w:val="en-GB"/>
        </w:rPr>
        <w:t xml:space="preserve"> basis, the defining characteristic is the </w:t>
      </w:r>
      <w:r w:rsidR="00375E8B" w:rsidRPr="004E053C">
        <w:rPr>
          <w:rFonts w:eastAsia="Times New Roman" w:cstheme="majorHAnsi"/>
          <w:sz w:val="22"/>
          <w:szCs w:val="22"/>
          <w:lang w:val="en-GB"/>
        </w:rPr>
        <w:t>temporary</w:t>
      </w:r>
      <w:r w:rsidR="0091076C" w:rsidRPr="004E053C">
        <w:rPr>
          <w:rFonts w:eastAsia="Times New Roman" w:cstheme="majorHAnsi"/>
          <w:sz w:val="22"/>
          <w:szCs w:val="22"/>
          <w:lang w:val="en-GB"/>
        </w:rPr>
        <w:t xml:space="preserve"> nature of their engagement.</w:t>
      </w:r>
    </w:p>
    <w:p w14:paraId="1365FD49" w14:textId="77777777" w:rsidR="0091076C" w:rsidRPr="004E053C" w:rsidRDefault="0091076C" w:rsidP="004E053C">
      <w:pPr>
        <w:spacing w:line="360" w:lineRule="auto"/>
        <w:jc w:val="both"/>
        <w:rPr>
          <w:rFonts w:eastAsia="Times New Roman" w:cstheme="majorHAnsi"/>
          <w:sz w:val="22"/>
          <w:szCs w:val="22"/>
          <w:lang w:val="en-GB"/>
        </w:rPr>
      </w:pPr>
    </w:p>
    <w:p w14:paraId="4AB28BCC" w14:textId="77777777" w:rsidR="0091076C" w:rsidRPr="004E053C" w:rsidRDefault="0091076C" w:rsidP="004E053C">
      <w:pPr>
        <w:spacing w:line="360" w:lineRule="auto"/>
        <w:jc w:val="both"/>
        <w:rPr>
          <w:rFonts w:eastAsia="Times New Roman" w:cstheme="majorHAnsi"/>
          <w:bCs/>
          <w:sz w:val="22"/>
          <w:szCs w:val="22"/>
          <w:u w:val="single"/>
          <w:lang w:val="en-GB"/>
        </w:rPr>
      </w:pPr>
      <w:r w:rsidRPr="004E053C">
        <w:rPr>
          <w:rFonts w:eastAsia="Times New Roman" w:cstheme="majorHAnsi"/>
          <w:bCs/>
          <w:sz w:val="22"/>
          <w:szCs w:val="22"/>
          <w:u w:val="single"/>
          <w:lang w:val="en-GB"/>
        </w:rPr>
        <w:t xml:space="preserve">Trajectories and Investments </w:t>
      </w:r>
    </w:p>
    <w:p w14:paraId="3EA9E661" w14:textId="77777777" w:rsidR="0091076C" w:rsidRPr="004E053C" w:rsidRDefault="0091076C" w:rsidP="004E053C">
      <w:pPr>
        <w:spacing w:line="360" w:lineRule="auto"/>
        <w:jc w:val="both"/>
        <w:rPr>
          <w:rFonts w:eastAsia="Times New Roman" w:cstheme="majorHAnsi"/>
          <w:sz w:val="22"/>
          <w:szCs w:val="22"/>
          <w:u w:val="single"/>
          <w:lang w:val="en-GB"/>
        </w:rPr>
      </w:pPr>
    </w:p>
    <w:p w14:paraId="16F7E5D7" w14:textId="59837E77" w:rsidR="0091076C" w:rsidRPr="004E053C" w:rsidRDefault="0091076C" w:rsidP="004E053C">
      <w:pPr>
        <w:spacing w:line="360" w:lineRule="auto"/>
        <w:jc w:val="both"/>
        <w:rPr>
          <w:rFonts w:cstheme="majorHAnsi"/>
          <w:color w:val="FF0000"/>
          <w:sz w:val="22"/>
          <w:szCs w:val="22"/>
          <w:lang w:val="en-GB"/>
        </w:rPr>
      </w:pPr>
      <w:r w:rsidRPr="004E053C">
        <w:rPr>
          <w:rFonts w:cstheme="majorHAnsi"/>
          <w:sz w:val="22"/>
          <w:szCs w:val="22"/>
          <w:lang w:val="en-GB"/>
        </w:rPr>
        <w:t xml:space="preserve">One of the key features of </w:t>
      </w:r>
      <w:r w:rsidR="00375E8B" w:rsidRPr="004E053C">
        <w:rPr>
          <w:rFonts w:cstheme="majorHAnsi"/>
          <w:sz w:val="22"/>
          <w:szCs w:val="22"/>
          <w:lang w:val="en-GB"/>
        </w:rPr>
        <w:t>temporary</w:t>
      </w:r>
      <w:r w:rsidRPr="004E053C">
        <w:rPr>
          <w:rFonts w:cstheme="majorHAnsi"/>
          <w:sz w:val="22"/>
          <w:szCs w:val="22"/>
          <w:lang w:val="en-GB"/>
        </w:rPr>
        <w:t xml:space="preserve"> ASM livelihoods is the translocal nature of investments from mining income, which also contributes to the formation of a translocal community. These flows of remittances link locations, people and communities just as much as the flow of people, and several of the </w:t>
      </w:r>
      <w:r w:rsidR="00375E8B" w:rsidRPr="004E053C">
        <w:rPr>
          <w:rFonts w:cstheme="majorHAnsi"/>
          <w:sz w:val="22"/>
          <w:szCs w:val="22"/>
          <w:lang w:val="en-GB"/>
        </w:rPr>
        <w:t>permanent</w:t>
      </w:r>
      <w:r w:rsidRPr="004E053C">
        <w:rPr>
          <w:rFonts w:cstheme="majorHAnsi"/>
          <w:sz w:val="22"/>
          <w:szCs w:val="22"/>
          <w:lang w:val="en-GB"/>
        </w:rPr>
        <w:t xml:space="preserve"> miners mentioned the tendency for the </w:t>
      </w:r>
      <w:r w:rsidR="00375E8B" w:rsidRPr="004E053C">
        <w:rPr>
          <w:rFonts w:cstheme="majorHAnsi"/>
          <w:sz w:val="22"/>
          <w:szCs w:val="22"/>
          <w:lang w:val="en-GB"/>
        </w:rPr>
        <w:t>temporary</w:t>
      </w:r>
      <w:r w:rsidRPr="004E053C">
        <w:rPr>
          <w:rFonts w:cstheme="majorHAnsi"/>
          <w:sz w:val="22"/>
          <w:szCs w:val="22"/>
          <w:lang w:val="en-GB"/>
        </w:rPr>
        <w:t xml:space="preserve"> miners to take their money home when they went to visit their families and invest it there. In Ocongate</w:t>
      </w:r>
      <w:r w:rsidR="00375E8B" w:rsidRPr="004E053C">
        <w:rPr>
          <w:rFonts w:cstheme="majorHAnsi"/>
          <w:sz w:val="22"/>
          <w:szCs w:val="22"/>
          <w:lang w:val="en-GB"/>
        </w:rPr>
        <w:t>,</w:t>
      </w:r>
      <w:r w:rsidRPr="004E053C">
        <w:rPr>
          <w:rFonts w:cstheme="majorHAnsi"/>
          <w:sz w:val="22"/>
          <w:szCs w:val="22"/>
          <w:lang w:val="en-GB"/>
        </w:rPr>
        <w:t xml:space="preserve"> it was obvious that the money from ASM was being invested in various way</w:t>
      </w:r>
      <w:r w:rsidR="00993225" w:rsidRPr="004E053C">
        <w:rPr>
          <w:rFonts w:cstheme="majorHAnsi"/>
          <w:sz w:val="22"/>
          <w:szCs w:val="22"/>
          <w:lang w:val="en-GB"/>
        </w:rPr>
        <w:t>s</w:t>
      </w:r>
      <w:r w:rsidR="00AD0893" w:rsidRPr="004E053C">
        <w:rPr>
          <w:rFonts w:cstheme="majorHAnsi"/>
          <w:sz w:val="22"/>
          <w:szCs w:val="22"/>
          <w:lang w:val="en-GB"/>
        </w:rPr>
        <w:t>. The following table 6</w:t>
      </w:r>
      <w:r w:rsidRPr="004E053C">
        <w:rPr>
          <w:rFonts w:cstheme="majorHAnsi"/>
          <w:sz w:val="22"/>
          <w:szCs w:val="22"/>
          <w:lang w:val="en-GB"/>
        </w:rPr>
        <w:t xml:space="preserve">.4 shows where households in Ocongate invest money from ASM. </w:t>
      </w:r>
    </w:p>
    <w:p w14:paraId="3F393156" w14:textId="77777777" w:rsidR="0091076C" w:rsidRPr="004E053C" w:rsidRDefault="0091076C" w:rsidP="004E053C">
      <w:pPr>
        <w:spacing w:line="360" w:lineRule="auto"/>
        <w:jc w:val="both"/>
        <w:rPr>
          <w:rFonts w:eastAsia="Times New Roman" w:cstheme="majorHAnsi"/>
          <w:sz w:val="22"/>
          <w:szCs w:val="22"/>
          <w:highlight w:val="yellow"/>
          <w:lang w:val="en-GB"/>
        </w:rPr>
      </w:pPr>
    </w:p>
    <w:p w14:paraId="10268DFB" w14:textId="11F3931A" w:rsidR="0091076C" w:rsidRPr="004E053C" w:rsidRDefault="00AD0893" w:rsidP="004E053C">
      <w:pPr>
        <w:spacing w:line="360" w:lineRule="auto"/>
        <w:jc w:val="both"/>
        <w:rPr>
          <w:rFonts w:eastAsia="Times New Roman" w:cstheme="majorHAnsi"/>
          <w:b/>
          <w:bCs/>
          <w:sz w:val="22"/>
          <w:szCs w:val="22"/>
          <w:lang w:val="en-GB"/>
        </w:rPr>
      </w:pPr>
      <w:r w:rsidRPr="004E053C">
        <w:rPr>
          <w:rFonts w:eastAsia="Times New Roman" w:cstheme="majorHAnsi"/>
          <w:b/>
          <w:bCs/>
          <w:sz w:val="22"/>
          <w:szCs w:val="22"/>
          <w:lang w:val="en-GB"/>
        </w:rPr>
        <w:t>Table 6</w:t>
      </w:r>
      <w:r w:rsidR="0091076C" w:rsidRPr="004E053C">
        <w:rPr>
          <w:rFonts w:eastAsia="Times New Roman" w:cstheme="majorHAnsi"/>
          <w:b/>
          <w:bCs/>
          <w:sz w:val="22"/>
          <w:szCs w:val="22"/>
          <w:lang w:val="en-GB"/>
        </w:rPr>
        <w:t>.4: Investments of Mining Income</w:t>
      </w:r>
    </w:p>
    <w:p w14:paraId="32219294" w14:textId="77777777" w:rsidR="0091076C" w:rsidRPr="004E053C" w:rsidRDefault="0091076C" w:rsidP="004E053C">
      <w:pPr>
        <w:spacing w:line="360" w:lineRule="auto"/>
        <w:jc w:val="both"/>
        <w:rPr>
          <w:rFonts w:eastAsia="Times New Roman" w:cstheme="majorHAnsi"/>
          <w:b/>
          <w:bCs/>
          <w:sz w:val="22"/>
          <w:szCs w:val="22"/>
          <w:highlight w:val="yellow"/>
          <w:lang w:val="en-GB"/>
        </w:rPr>
      </w:pPr>
    </w:p>
    <w:tbl>
      <w:tblPr>
        <w:tblStyle w:val="TableGrid"/>
        <w:tblW w:w="0" w:type="auto"/>
        <w:tblLook w:val="04A0" w:firstRow="1" w:lastRow="0" w:firstColumn="1" w:lastColumn="0" w:noHBand="0" w:noVBand="1"/>
      </w:tblPr>
      <w:tblGrid>
        <w:gridCol w:w="5778"/>
        <w:gridCol w:w="2439"/>
      </w:tblGrid>
      <w:tr w:rsidR="0091076C" w:rsidRPr="004E053C" w14:paraId="6F253C07" w14:textId="77777777" w:rsidTr="00923CFD">
        <w:tc>
          <w:tcPr>
            <w:tcW w:w="5778" w:type="dxa"/>
          </w:tcPr>
          <w:p w14:paraId="4D00FAAD" w14:textId="77777777" w:rsidR="0091076C" w:rsidRPr="004E053C" w:rsidRDefault="0091076C" w:rsidP="004E053C">
            <w:pPr>
              <w:spacing w:line="360" w:lineRule="auto"/>
              <w:jc w:val="both"/>
              <w:rPr>
                <w:rFonts w:eastAsia="Times New Roman" w:cstheme="majorHAnsi"/>
                <w:b/>
                <w:bCs/>
                <w:sz w:val="22"/>
                <w:szCs w:val="22"/>
                <w:highlight w:val="yellow"/>
                <w:lang w:val="en-GB"/>
              </w:rPr>
            </w:pPr>
            <w:r w:rsidRPr="004E053C">
              <w:rPr>
                <w:rFonts w:eastAsia="Times New Roman" w:cstheme="majorHAnsi"/>
                <w:b/>
                <w:bCs/>
                <w:sz w:val="22"/>
                <w:szCs w:val="22"/>
                <w:lang w:val="en-GB"/>
              </w:rPr>
              <w:lastRenderedPageBreak/>
              <w:t>Investment</w:t>
            </w:r>
          </w:p>
        </w:tc>
        <w:tc>
          <w:tcPr>
            <w:tcW w:w="2439" w:type="dxa"/>
          </w:tcPr>
          <w:p w14:paraId="399DA08E" w14:textId="1D262FBE" w:rsidR="0091076C" w:rsidRPr="004E053C" w:rsidRDefault="00923CFD" w:rsidP="004E053C">
            <w:pPr>
              <w:spacing w:line="360" w:lineRule="auto"/>
              <w:jc w:val="both"/>
              <w:rPr>
                <w:rFonts w:eastAsia="Times New Roman" w:cstheme="majorHAnsi"/>
                <w:b/>
                <w:bCs/>
                <w:sz w:val="22"/>
                <w:szCs w:val="22"/>
                <w:lang w:val="en-GB"/>
              </w:rPr>
            </w:pPr>
            <w:r w:rsidRPr="004E053C">
              <w:rPr>
                <w:rFonts w:eastAsia="Times New Roman" w:cstheme="majorHAnsi"/>
                <w:b/>
                <w:bCs/>
                <w:sz w:val="22"/>
                <w:szCs w:val="22"/>
                <w:lang w:val="en-GB"/>
              </w:rPr>
              <w:t>Number of Households</w:t>
            </w:r>
          </w:p>
        </w:tc>
      </w:tr>
      <w:tr w:rsidR="0091076C" w:rsidRPr="004E053C" w14:paraId="386ADBE0" w14:textId="77777777" w:rsidTr="00923CFD">
        <w:tc>
          <w:tcPr>
            <w:tcW w:w="5778" w:type="dxa"/>
          </w:tcPr>
          <w:p w14:paraId="027CCD96"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New house/land in Ocongate</w:t>
            </w:r>
          </w:p>
        </w:tc>
        <w:tc>
          <w:tcPr>
            <w:tcW w:w="2439" w:type="dxa"/>
          </w:tcPr>
          <w:p w14:paraId="08E79C7B"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6</w:t>
            </w:r>
          </w:p>
        </w:tc>
      </w:tr>
      <w:tr w:rsidR="0091076C" w:rsidRPr="004E053C" w14:paraId="4552BAD4" w14:textId="77777777" w:rsidTr="00923CFD">
        <w:tc>
          <w:tcPr>
            <w:tcW w:w="5778" w:type="dxa"/>
          </w:tcPr>
          <w:p w14:paraId="7681EBE4"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Children’s education</w:t>
            </w:r>
          </w:p>
        </w:tc>
        <w:tc>
          <w:tcPr>
            <w:tcW w:w="2439" w:type="dxa"/>
          </w:tcPr>
          <w:p w14:paraId="71437E57"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5</w:t>
            </w:r>
          </w:p>
        </w:tc>
      </w:tr>
      <w:tr w:rsidR="0091076C" w:rsidRPr="004E053C" w14:paraId="3190B3C3" w14:textId="77777777" w:rsidTr="00923CFD">
        <w:tc>
          <w:tcPr>
            <w:tcW w:w="5778" w:type="dxa"/>
          </w:tcPr>
          <w:p w14:paraId="11D62E29"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Small shop</w:t>
            </w:r>
          </w:p>
        </w:tc>
        <w:tc>
          <w:tcPr>
            <w:tcW w:w="2439" w:type="dxa"/>
          </w:tcPr>
          <w:p w14:paraId="60B597E2"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4</w:t>
            </w:r>
          </w:p>
        </w:tc>
      </w:tr>
      <w:tr w:rsidR="0091076C" w:rsidRPr="004E053C" w14:paraId="4E009B1E" w14:textId="77777777" w:rsidTr="00923CFD">
        <w:tc>
          <w:tcPr>
            <w:tcW w:w="5778" w:type="dxa"/>
          </w:tcPr>
          <w:p w14:paraId="174D0095"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Improved current house</w:t>
            </w:r>
          </w:p>
        </w:tc>
        <w:tc>
          <w:tcPr>
            <w:tcW w:w="2439" w:type="dxa"/>
          </w:tcPr>
          <w:p w14:paraId="001C0536"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3</w:t>
            </w:r>
          </w:p>
        </w:tc>
      </w:tr>
      <w:tr w:rsidR="0091076C" w:rsidRPr="004E053C" w14:paraId="7532DC99" w14:textId="77777777" w:rsidTr="00923CFD">
        <w:tc>
          <w:tcPr>
            <w:tcW w:w="5778" w:type="dxa"/>
          </w:tcPr>
          <w:p w14:paraId="084BB814"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Artisanal crafts</w:t>
            </w:r>
          </w:p>
        </w:tc>
        <w:tc>
          <w:tcPr>
            <w:tcW w:w="2439" w:type="dxa"/>
          </w:tcPr>
          <w:p w14:paraId="5BE18186"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3</w:t>
            </w:r>
          </w:p>
        </w:tc>
      </w:tr>
      <w:tr w:rsidR="0091076C" w:rsidRPr="004E053C" w14:paraId="39C74B2C" w14:textId="77777777" w:rsidTr="00923CFD">
        <w:tc>
          <w:tcPr>
            <w:tcW w:w="5778" w:type="dxa"/>
          </w:tcPr>
          <w:p w14:paraId="3B45E181"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Transport based business – motorbike/car</w:t>
            </w:r>
          </w:p>
        </w:tc>
        <w:tc>
          <w:tcPr>
            <w:tcW w:w="2439" w:type="dxa"/>
          </w:tcPr>
          <w:p w14:paraId="02E8D886"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3</w:t>
            </w:r>
          </w:p>
        </w:tc>
      </w:tr>
      <w:tr w:rsidR="0091076C" w:rsidRPr="004E053C" w14:paraId="4A6D427C" w14:textId="77777777" w:rsidTr="00923CFD">
        <w:tc>
          <w:tcPr>
            <w:tcW w:w="5778" w:type="dxa"/>
          </w:tcPr>
          <w:p w14:paraId="2D9B9D32"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Livestock – alpacas and sheep</w:t>
            </w:r>
          </w:p>
        </w:tc>
        <w:tc>
          <w:tcPr>
            <w:tcW w:w="2439" w:type="dxa"/>
          </w:tcPr>
          <w:p w14:paraId="45EA5936"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2</w:t>
            </w:r>
          </w:p>
        </w:tc>
      </w:tr>
      <w:tr w:rsidR="0091076C" w:rsidRPr="004E053C" w14:paraId="08FD6924" w14:textId="77777777" w:rsidTr="00923CFD">
        <w:tc>
          <w:tcPr>
            <w:tcW w:w="5778" w:type="dxa"/>
          </w:tcPr>
          <w:p w14:paraId="5C9C6F07"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Future investment planned in Cusco – for school</w:t>
            </w:r>
          </w:p>
        </w:tc>
        <w:tc>
          <w:tcPr>
            <w:tcW w:w="2439" w:type="dxa"/>
          </w:tcPr>
          <w:p w14:paraId="785C5387"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2</w:t>
            </w:r>
          </w:p>
        </w:tc>
      </w:tr>
      <w:tr w:rsidR="0091076C" w:rsidRPr="004E053C" w14:paraId="03819B88" w14:textId="77777777" w:rsidTr="00923CFD">
        <w:tc>
          <w:tcPr>
            <w:tcW w:w="5778" w:type="dxa"/>
          </w:tcPr>
          <w:p w14:paraId="7CB750BB"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Future investment planned in Cusco – land/house</w:t>
            </w:r>
          </w:p>
        </w:tc>
        <w:tc>
          <w:tcPr>
            <w:tcW w:w="2439" w:type="dxa"/>
          </w:tcPr>
          <w:p w14:paraId="1FA12127"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w:t>
            </w:r>
          </w:p>
        </w:tc>
      </w:tr>
      <w:tr w:rsidR="0091076C" w:rsidRPr="004E053C" w14:paraId="3593C1EC" w14:textId="77777777" w:rsidTr="00923CFD">
        <w:tc>
          <w:tcPr>
            <w:tcW w:w="5778" w:type="dxa"/>
          </w:tcPr>
          <w:p w14:paraId="1E385307"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Future investment planned in Ocongate – small business</w:t>
            </w:r>
          </w:p>
        </w:tc>
        <w:tc>
          <w:tcPr>
            <w:tcW w:w="2439" w:type="dxa"/>
          </w:tcPr>
          <w:p w14:paraId="71D5E3DE"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w:t>
            </w:r>
          </w:p>
        </w:tc>
      </w:tr>
      <w:tr w:rsidR="0091076C" w:rsidRPr="004E053C" w14:paraId="64A59748" w14:textId="77777777" w:rsidTr="00923CFD">
        <w:tc>
          <w:tcPr>
            <w:tcW w:w="5778" w:type="dxa"/>
          </w:tcPr>
          <w:p w14:paraId="00834165"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Only sufficient money for food</w:t>
            </w:r>
          </w:p>
        </w:tc>
        <w:tc>
          <w:tcPr>
            <w:tcW w:w="2439" w:type="dxa"/>
          </w:tcPr>
          <w:p w14:paraId="46707E2E" w14:textId="77777777"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w:t>
            </w:r>
          </w:p>
        </w:tc>
      </w:tr>
    </w:tbl>
    <w:p w14:paraId="3FA99207" w14:textId="77777777" w:rsidR="0091076C" w:rsidRPr="004E053C" w:rsidRDefault="0091076C" w:rsidP="004E053C">
      <w:pPr>
        <w:spacing w:line="360" w:lineRule="auto"/>
        <w:jc w:val="both"/>
        <w:rPr>
          <w:rFonts w:eastAsia="Times New Roman" w:cstheme="majorHAnsi"/>
          <w:sz w:val="22"/>
          <w:szCs w:val="22"/>
          <w:lang w:val="en-GB"/>
        </w:rPr>
      </w:pPr>
    </w:p>
    <w:p w14:paraId="6753ED75" w14:textId="47181522"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 table shows that while the priority for most households was their children’s education, house construction/improvements or acquiring land, they used additional savings to either diversify or strengthen a previous livelihood. The table also highlights how these business investments </w:t>
      </w:r>
      <w:r w:rsidR="00E06A67" w:rsidRPr="004E053C">
        <w:rPr>
          <w:rFonts w:eastAsia="Times New Roman" w:cstheme="majorHAnsi"/>
          <w:sz w:val="22"/>
          <w:szCs w:val="22"/>
          <w:lang w:val="en-GB"/>
        </w:rPr>
        <w:t>were intende</w:t>
      </w:r>
      <w:r w:rsidRPr="004E053C">
        <w:rPr>
          <w:rFonts w:eastAsia="Times New Roman" w:cstheme="majorHAnsi"/>
          <w:sz w:val="22"/>
          <w:szCs w:val="22"/>
          <w:lang w:val="en-GB"/>
        </w:rPr>
        <w:t xml:space="preserve">d </w:t>
      </w:r>
      <w:r w:rsidR="00E06A67" w:rsidRPr="004E053C">
        <w:rPr>
          <w:rFonts w:eastAsia="Times New Roman" w:cstheme="majorHAnsi"/>
          <w:sz w:val="22"/>
          <w:szCs w:val="22"/>
          <w:lang w:val="en-GB"/>
        </w:rPr>
        <w:t>to facilitate</w:t>
      </w:r>
      <w:r w:rsidRPr="004E053C">
        <w:rPr>
          <w:rFonts w:eastAsia="Times New Roman" w:cstheme="majorHAnsi"/>
          <w:sz w:val="22"/>
          <w:szCs w:val="22"/>
          <w:lang w:val="en-GB"/>
        </w:rPr>
        <w:t xml:space="preserve"> a livelihood trajectory that resulted in a return to Ocongate, or one that led to a new life in a new location. This section will now discuss both of these scenarios in turn.</w:t>
      </w:r>
    </w:p>
    <w:p w14:paraId="3A86F1F7" w14:textId="77777777" w:rsidR="00843DED" w:rsidRPr="004E053C" w:rsidRDefault="00843DED" w:rsidP="004E053C">
      <w:pPr>
        <w:spacing w:line="360" w:lineRule="auto"/>
        <w:jc w:val="both"/>
        <w:rPr>
          <w:rFonts w:eastAsia="Times New Roman" w:cstheme="majorHAnsi"/>
          <w:sz w:val="22"/>
          <w:szCs w:val="22"/>
          <w:lang w:val="en-GB"/>
        </w:rPr>
      </w:pPr>
    </w:p>
    <w:p w14:paraId="19C99652" w14:textId="77777777" w:rsidR="0091076C" w:rsidRPr="004E053C" w:rsidRDefault="00906830" w:rsidP="004E053C">
      <w:pPr>
        <w:spacing w:line="360" w:lineRule="auto"/>
        <w:jc w:val="both"/>
        <w:rPr>
          <w:rFonts w:eastAsia="Times New Roman" w:cstheme="majorHAnsi"/>
          <w:bCs/>
          <w:sz w:val="22"/>
          <w:szCs w:val="22"/>
          <w:u w:val="single"/>
          <w:lang w:val="en-GB"/>
        </w:rPr>
      </w:pPr>
      <w:r w:rsidRPr="004E053C">
        <w:rPr>
          <w:rFonts w:eastAsia="Times New Roman" w:cstheme="majorHAnsi"/>
          <w:bCs/>
          <w:sz w:val="22"/>
          <w:szCs w:val="22"/>
          <w:u w:val="single"/>
          <w:lang w:val="en-GB"/>
        </w:rPr>
        <w:t xml:space="preserve">A. </w:t>
      </w:r>
      <w:r w:rsidR="0091076C" w:rsidRPr="004E053C">
        <w:rPr>
          <w:rFonts w:eastAsia="Times New Roman" w:cstheme="majorHAnsi"/>
          <w:bCs/>
          <w:sz w:val="22"/>
          <w:szCs w:val="22"/>
          <w:u w:val="single"/>
          <w:lang w:val="en-GB"/>
        </w:rPr>
        <w:t>Return to previous occupation/location</w:t>
      </w:r>
    </w:p>
    <w:p w14:paraId="65988215" w14:textId="77777777" w:rsidR="0091076C" w:rsidRPr="004E053C" w:rsidRDefault="0091076C" w:rsidP="004E053C">
      <w:pPr>
        <w:spacing w:line="360" w:lineRule="auto"/>
        <w:jc w:val="both"/>
        <w:rPr>
          <w:rFonts w:cstheme="majorHAnsi"/>
          <w:sz w:val="22"/>
          <w:szCs w:val="22"/>
          <w:lang w:val="en-GB"/>
        </w:rPr>
      </w:pPr>
    </w:p>
    <w:p w14:paraId="26C3459C" w14:textId="3E256D0C" w:rsidR="0091076C" w:rsidRPr="004E053C" w:rsidRDefault="00375E8B" w:rsidP="004E053C">
      <w:pPr>
        <w:spacing w:line="360" w:lineRule="auto"/>
        <w:jc w:val="both"/>
        <w:rPr>
          <w:rFonts w:cstheme="majorHAnsi"/>
          <w:sz w:val="22"/>
          <w:szCs w:val="22"/>
          <w:lang w:val="en-GB"/>
        </w:rPr>
      </w:pPr>
      <w:bookmarkStart w:id="77" w:name="_Hlk32744869"/>
      <w:r w:rsidRPr="004E053C">
        <w:rPr>
          <w:rFonts w:eastAsia="Times New Roman" w:cstheme="majorHAnsi"/>
          <w:sz w:val="22"/>
          <w:szCs w:val="22"/>
          <w:lang w:val="en-GB"/>
        </w:rPr>
        <w:t>F</w:t>
      </w:r>
      <w:r w:rsidR="0091076C" w:rsidRPr="004E053C">
        <w:rPr>
          <w:rFonts w:eastAsia="Times New Roman" w:cstheme="majorHAnsi"/>
          <w:sz w:val="22"/>
          <w:szCs w:val="22"/>
          <w:lang w:val="en-GB"/>
        </w:rPr>
        <w:t>or many households, ASM represents an opportunity</w:t>
      </w:r>
      <w:r w:rsidRPr="004E053C">
        <w:rPr>
          <w:rFonts w:eastAsia="Times New Roman" w:cstheme="majorHAnsi"/>
          <w:sz w:val="22"/>
          <w:szCs w:val="22"/>
          <w:lang w:val="en-GB"/>
        </w:rPr>
        <w:t xml:space="preserve"> for household diversification. </w:t>
      </w:r>
      <w:r w:rsidR="0091076C" w:rsidRPr="004E053C">
        <w:rPr>
          <w:rFonts w:eastAsia="Times New Roman" w:cstheme="majorHAnsi"/>
          <w:sz w:val="22"/>
          <w:szCs w:val="22"/>
          <w:lang w:val="en-GB"/>
        </w:rPr>
        <w:t xml:space="preserve">Farming households may for example, decide to supplement income in the low season by travelling to work in mining for a few months of the year. </w:t>
      </w:r>
      <w:r w:rsidR="00AD0893" w:rsidRPr="004E053C">
        <w:rPr>
          <w:rFonts w:eastAsia="Times New Roman" w:cstheme="majorHAnsi"/>
          <w:sz w:val="22"/>
          <w:szCs w:val="22"/>
          <w:lang w:val="en-GB"/>
        </w:rPr>
        <w:t>Examples from West Africa and the Philippines show that</w:t>
      </w:r>
      <w:r w:rsidR="001A7F8F" w:rsidRPr="004E053C">
        <w:rPr>
          <w:rFonts w:eastAsia="Times New Roman" w:cstheme="majorHAnsi"/>
          <w:sz w:val="22"/>
          <w:szCs w:val="22"/>
          <w:lang w:val="en-GB"/>
        </w:rPr>
        <w:t xml:space="preserve"> in some instances, if</w:t>
      </w:r>
      <w:r w:rsidR="0091076C" w:rsidRPr="004E053C">
        <w:rPr>
          <w:rFonts w:eastAsia="Times New Roman" w:cstheme="majorHAnsi"/>
          <w:sz w:val="22"/>
          <w:szCs w:val="22"/>
          <w:lang w:val="en-GB"/>
        </w:rPr>
        <w:t xml:space="preserve"> households </w:t>
      </w:r>
      <w:r w:rsidR="001A7F8F" w:rsidRPr="004E053C">
        <w:rPr>
          <w:rFonts w:eastAsia="Times New Roman" w:cstheme="majorHAnsi"/>
          <w:sz w:val="22"/>
          <w:szCs w:val="22"/>
          <w:lang w:val="en-GB"/>
        </w:rPr>
        <w:t xml:space="preserve">have surplus income </w:t>
      </w:r>
      <w:r w:rsidR="0091076C" w:rsidRPr="004E053C">
        <w:rPr>
          <w:rFonts w:eastAsia="Times New Roman" w:cstheme="majorHAnsi"/>
          <w:sz w:val="22"/>
          <w:szCs w:val="22"/>
          <w:lang w:val="en-GB"/>
        </w:rPr>
        <w:t xml:space="preserve">may reinvest a portion of </w:t>
      </w:r>
      <w:r w:rsidR="001A7F8F" w:rsidRPr="004E053C">
        <w:rPr>
          <w:rFonts w:eastAsia="Times New Roman" w:cstheme="majorHAnsi"/>
          <w:sz w:val="22"/>
          <w:szCs w:val="22"/>
          <w:lang w:val="en-GB"/>
        </w:rPr>
        <w:t xml:space="preserve">it </w:t>
      </w:r>
      <w:r w:rsidR="0091076C" w:rsidRPr="004E053C">
        <w:rPr>
          <w:rFonts w:eastAsia="Times New Roman" w:cstheme="majorHAnsi"/>
          <w:sz w:val="22"/>
          <w:szCs w:val="22"/>
          <w:lang w:val="en-GB"/>
        </w:rPr>
        <w:t xml:space="preserve">into other livelihood activities </w:t>
      </w:r>
      <w:r w:rsidR="00BB181E" w:rsidRPr="004E053C">
        <w:rPr>
          <w:rFonts w:eastAsia="Times New Roman" w:cstheme="majorHAnsi"/>
          <w:sz w:val="22"/>
          <w:szCs w:val="22"/>
          <w:lang w:val="en-GB"/>
        </w:rPr>
        <w:fldChar w:fldCharType="begin" w:fldLock="1"/>
      </w:r>
      <w:r w:rsidR="002F0CEA">
        <w:rPr>
          <w:rFonts w:eastAsia="Times New Roman" w:cstheme="majorHAnsi"/>
          <w:sz w:val="22"/>
          <w:szCs w:val="22"/>
          <w:lang w:val="en-GB"/>
        </w:rPr>
        <w:instrText>ADDIN CSL_CITATION {"citationItems":[{"id":"ITEM-1","itemData":{"abstract":"Sierra Leone is currently emerging from a brutal civil war that lasted most of the 1990s, and now has the dubious distinction of being ranked among the world's poorest countries. As thousands of displaced people move back to their villages, a large proportion of the predominantly farm-based rural population are growing food crops for the first time in a decade. Alluvial diamond mining makes an important contribution to the national economy, though some would argue that Sierra Leone's diamonds are a 'resource curse'. Drawing upon research undertaken in the 1970s and also in the post-conflict period, the paper provides a longitudinal perspective on the complex links between the farming and mining sectors. Recent field research in Sierra Leone's Eastern Province, indicates that many links between farming and diamond mining have actually been maintained despite severe dislocation. These links could play a key role in rejuvenating market-oriented food production, providing the much-needed impetus for post-war rural development. In charting a future development trajectory, the paper recognizes the urgent need for an effective management scheme for both mining and marketing diamonds, given the potentially destabilizing effect on the country of the uncontrolled exploitation of this valuable resource. In this context, a recent community-based. integrated management initiative adopted by one local NGO, the Peace Diamond Alliance, is examined. If meaningful rural development is to be achieved among desperately poor communities, development strategies must be based on a detailed understanding of the nature of inter-locking livelihoods in the agricultural and mining sectors.","author":[{"dropping-particle":"","family":"Maconachie","given":"Roy","non-dropping-particle":"","parse-names":false,"suffix":""},{"dropping-particle":"","family":"Binns","given":"Tony","non-dropping-particle":"","parse-names":false,"suffix":""}],"container-title":"Journal of Rural Studies","id":"ITEM-1","issue":"3","issued":{"date-parts":[["2007"]]},"page":"367-380.","title":"’Farming miners’ or ‘mining farmers’? diamond mining and rural development in post-conflict Sierra Leone","type":"article-journal","volume":"23"},"uris":["http://www.mendeley.com/documents/?uuid=b8a19ddb-3ae9-4cb8-93f9-ed515d59f23f"]},{"id":"ITEM-2","itemData":{"abstract":"This review reflects critically on why, despite its growing economic importance, artisanal and small-scale (ASM) - low-tech, labour-intensive mineral extraction and processing - occupies such a peripheral position on the economic development agenda of sub-Saharan Africa. A poor understanding of the sector's role in the region's liberalized economies has certainly contributed to this oversight; as has the strong influence, at the policymaking level, of unfounded ideas and generalizations about the sector's activities. After providing a brief overview of ASM in sub-Saharan Africa, the paper explores why the sector has yet to make a mark on the region's local economic development agenda and feature prominently in its poverty alleviation strategies. © 2014 Elsevier Ltd.","author":[{"dropping-particle":"","family":"Hilson","given":"G","non-dropping-particle":"","parse-names":false,"suffix":""},{"dropping-particle":"","family":"McQuilken","given":"James","non-dropping-particle":"","parse-names":false,"suffix":""}],"container-title":"Extractive Industries and Society","id":"ITEM-2","issue":"1","issued":{"date-parts":[["2014"]]},"page":"104-118","publisher":"Elsevier Ltd","title":"Four decades of support for artisanal and small-scale mining in sub-Saharan Africa: A critical review","type":"article-journal","volume":"1"},"uris":["http://www.mendeley.com/documents/?uuid=4f1e22db-6dff-45db-9d1f-97fdbb7e9487"]},{"id":"ITEM-3","itemData":{"abstract":"Combining secondary evidence from a growing body of literature on artisanal and small-scale mining (ASM) with primary oral history evidence from the Southern Philippines, this article zooms in on the relationship between ASM-expansion and wider processes of rural transformation. It is argued that a future research agenda should devote more critical attention to documenting and analyzing (1) the complexity and heterogeneity of the ASM-phenomenon; (2) the role and anatomy of (informal) labour markets in the sector; (3) the ways in which the ASM-sector becomes embedded in rural sociopolitical structures, and how this affects who benefits from ASM-expansion.","author":[{"dropping-particle":"","family":"Verbrugge","given":"Boris","non-dropping-particle":"","parse-names":false,"suffix":""}],"container-title":"Journal of Rural Studies","id":"ITEM-3","issue":"Part A","issued":{"date-parts":[["2016"]]},"page":"108-116","publisher":"Elsevier Ltd","title":"Voices from below: Artisanal- and small-scale mining as a product and catalyst of rural transformation","type":"article-journal","volume":"47"},"uris":["http://www.mendeley.com/documents/?uuid=fb82d0a5-64cc-4673-b8d8-4ea22e3fb839"]}],"mendeley":{"formattedCitation":"(G Hilson &amp; McQuilken, 2014; Maconachie &amp; Binns, 2007; Verbrugge, 2016)","manualFormatting":"(Hilson &amp; McQuilken, 2014; Maconachie &amp; Binns, 2007; Verbrugge, 2016)","plainTextFormattedCitation":"(G Hilson &amp; McQuilken, 2014; Maconachie &amp; Binns, 2007; Verbrugge, 2016)","previouslyFormattedCitation":"(G Hilson &amp; McQuilken, 2014; Maconachie &amp; Binns, 2007; Verbrugge, 2016)"},"properties":{"noteIndex":0},"schema":"https://github.com/citation-style-language/schema/raw/master/csl-citation.json"}</w:instrText>
      </w:r>
      <w:r w:rsidR="00BB181E" w:rsidRPr="004E053C">
        <w:rPr>
          <w:rFonts w:eastAsia="Times New Roman" w:cstheme="majorHAnsi"/>
          <w:sz w:val="22"/>
          <w:szCs w:val="22"/>
          <w:lang w:val="en-GB"/>
        </w:rPr>
        <w:fldChar w:fldCharType="separate"/>
      </w:r>
      <w:r w:rsidR="00830084" w:rsidRPr="004E053C">
        <w:rPr>
          <w:rFonts w:eastAsia="Times New Roman" w:cstheme="majorHAnsi"/>
          <w:noProof/>
          <w:sz w:val="22"/>
          <w:szCs w:val="22"/>
          <w:lang w:val="en-GB"/>
        </w:rPr>
        <w:t>(</w:t>
      </w:r>
      <w:r w:rsidR="00BB181E" w:rsidRPr="004E053C">
        <w:rPr>
          <w:rFonts w:eastAsia="Times New Roman" w:cstheme="majorHAnsi"/>
          <w:noProof/>
          <w:sz w:val="22"/>
          <w:szCs w:val="22"/>
          <w:lang w:val="en-GB"/>
        </w:rPr>
        <w:t>Hilson &amp; McQuilken, 2014; Maconachie &amp; Binns, 2007; Verbrugge, 2016)</w:t>
      </w:r>
      <w:r w:rsidR="00BB181E" w:rsidRPr="004E053C">
        <w:rPr>
          <w:rFonts w:eastAsia="Times New Roman" w:cstheme="majorHAnsi"/>
          <w:sz w:val="22"/>
          <w:szCs w:val="22"/>
          <w:lang w:val="en-GB"/>
        </w:rPr>
        <w:fldChar w:fldCharType="end"/>
      </w:r>
      <w:r w:rsidR="001A7F8F" w:rsidRPr="004E053C">
        <w:rPr>
          <w:rFonts w:eastAsia="Times New Roman" w:cstheme="majorHAnsi"/>
          <w:sz w:val="22"/>
          <w:szCs w:val="22"/>
          <w:lang w:val="en-GB"/>
        </w:rPr>
        <w:t xml:space="preserve">. </w:t>
      </w:r>
      <w:bookmarkEnd w:id="77"/>
      <w:r w:rsidR="00AD0893" w:rsidRPr="004E053C">
        <w:rPr>
          <w:rFonts w:eastAsia="Times New Roman" w:cstheme="majorHAnsi"/>
          <w:sz w:val="22"/>
          <w:szCs w:val="22"/>
          <w:lang w:val="en-GB"/>
        </w:rPr>
        <w:t>Similar o</w:t>
      </w:r>
      <w:r w:rsidR="00BD3790" w:rsidRPr="004E053C">
        <w:rPr>
          <w:rFonts w:eastAsia="Times New Roman" w:cstheme="majorHAnsi"/>
          <w:sz w:val="22"/>
          <w:szCs w:val="22"/>
          <w:lang w:val="en-GB"/>
        </w:rPr>
        <w:t xml:space="preserve">bservations have been made of Brazilian miners in Suriname, who send money home when possible </w:t>
      </w:r>
      <w:r w:rsidR="00BD3790" w:rsidRPr="004E053C">
        <w:rPr>
          <w:rFonts w:eastAsia="Times New Roman" w:cstheme="majorHAnsi"/>
          <w:sz w:val="22"/>
          <w:szCs w:val="22"/>
          <w:lang w:val="en-GB"/>
        </w:rPr>
        <w:fldChar w:fldCharType="begin" w:fldLock="1"/>
      </w:r>
      <w:r w:rsidR="007A757C" w:rsidRPr="004E053C">
        <w:rPr>
          <w:rFonts w:eastAsia="Times New Roman" w:cstheme="majorHAnsi"/>
          <w:sz w:val="22"/>
          <w:szCs w:val="22"/>
          <w:lang w:val="en-GB"/>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2009)","plainTextFormattedCitation":"(De Theije &amp; Heemskerk, 2009)","previouslyFormattedCitation":"(De Theije &amp; Heemskerk, 2009)"},"properties":{"noteIndex":0},"schema":"https://github.com/citation-style-language/schema/raw/master/csl-citation.json"}</w:instrText>
      </w:r>
      <w:r w:rsidR="00BD3790" w:rsidRPr="004E053C">
        <w:rPr>
          <w:rFonts w:eastAsia="Times New Roman" w:cstheme="majorHAnsi"/>
          <w:sz w:val="22"/>
          <w:szCs w:val="22"/>
          <w:lang w:val="en-GB"/>
        </w:rPr>
        <w:fldChar w:fldCharType="separate"/>
      </w:r>
      <w:r w:rsidR="00BD3790" w:rsidRPr="004E053C">
        <w:rPr>
          <w:rFonts w:eastAsia="Times New Roman" w:cstheme="majorHAnsi"/>
          <w:noProof/>
          <w:sz w:val="22"/>
          <w:szCs w:val="22"/>
          <w:lang w:val="en-GB"/>
        </w:rPr>
        <w:t>(De Theije &amp; Heemskerk, 2009)</w:t>
      </w:r>
      <w:r w:rsidR="00BD3790" w:rsidRPr="004E053C">
        <w:rPr>
          <w:rFonts w:eastAsia="Times New Roman" w:cstheme="majorHAnsi"/>
          <w:sz w:val="22"/>
          <w:szCs w:val="22"/>
          <w:lang w:val="en-GB"/>
        </w:rPr>
        <w:fldChar w:fldCharType="end"/>
      </w:r>
      <w:r w:rsidR="00AD0893" w:rsidRPr="004E053C">
        <w:rPr>
          <w:rFonts w:eastAsia="Times New Roman" w:cstheme="majorHAnsi"/>
          <w:sz w:val="22"/>
          <w:szCs w:val="22"/>
          <w:lang w:val="en-GB"/>
        </w:rPr>
        <w:t xml:space="preserve">. </w:t>
      </w:r>
      <w:r w:rsidR="001A7F8F" w:rsidRPr="004E053C">
        <w:rPr>
          <w:rFonts w:eastAsia="Times New Roman" w:cstheme="majorHAnsi"/>
          <w:sz w:val="22"/>
          <w:szCs w:val="22"/>
          <w:lang w:val="en-GB"/>
        </w:rPr>
        <w:t>T</w:t>
      </w:r>
      <w:r w:rsidR="0091076C" w:rsidRPr="004E053C">
        <w:rPr>
          <w:rFonts w:eastAsia="Times New Roman" w:cstheme="majorHAnsi"/>
          <w:sz w:val="22"/>
          <w:szCs w:val="22"/>
          <w:lang w:val="en-GB"/>
        </w:rPr>
        <w:t>wo of the interview respondents mentioned that they had bought more alpacas and sheep for this reason. However, many of the households in Ocongate were investing in new businesses, highlighting how ASM creates opportunities for further diversification. For many of these households, the long-term goal was to get into a position where it was no long</w:t>
      </w:r>
      <w:r w:rsidRPr="004E053C">
        <w:rPr>
          <w:rFonts w:eastAsia="Times New Roman" w:cstheme="majorHAnsi"/>
          <w:sz w:val="22"/>
          <w:szCs w:val="22"/>
          <w:lang w:val="en-GB"/>
        </w:rPr>
        <w:t>er necessary to work in mining.</w:t>
      </w:r>
      <w:r w:rsidR="0091076C" w:rsidRPr="004E053C">
        <w:rPr>
          <w:rFonts w:cstheme="majorHAnsi"/>
          <w:sz w:val="22"/>
          <w:szCs w:val="22"/>
          <w:lang w:val="en-GB"/>
        </w:rPr>
        <w:t xml:space="preserve"> The construction of the Transoceanic Highway has provided a great opportunity for residents of this previously isolated community to set up small businesses along the roadside if they have the necessary capital. As a result, a few of the respondents claimed that </w:t>
      </w:r>
      <w:r w:rsidR="0091076C" w:rsidRPr="004E053C">
        <w:rPr>
          <w:rFonts w:cstheme="majorHAnsi"/>
          <w:sz w:val="22"/>
          <w:szCs w:val="22"/>
          <w:lang w:val="en-GB"/>
        </w:rPr>
        <w:lastRenderedPageBreak/>
        <w:t>migration to work in ASM had reduced in the last couple of years, but notably most of the new businesses had been initiated with money from ASM. Four of the interviewed households had established shops (three grocery stores and one clothes shop) while three</w:t>
      </w:r>
      <w:r w:rsidR="0091076C" w:rsidRPr="004E053C">
        <w:rPr>
          <w:rFonts w:eastAsia="Times New Roman" w:cstheme="majorHAnsi"/>
          <w:sz w:val="22"/>
          <w:szCs w:val="22"/>
          <w:lang w:val="en-GB"/>
        </w:rPr>
        <w:t xml:space="preserve"> had used the money to buy motorbikes that would enable them to provide transportation services</w:t>
      </w:r>
      <w:r w:rsidR="0091076C" w:rsidRPr="004E053C">
        <w:rPr>
          <w:rFonts w:cstheme="majorHAnsi"/>
          <w:sz w:val="22"/>
          <w:szCs w:val="22"/>
          <w:lang w:val="en-GB"/>
        </w:rPr>
        <w:t xml:space="preserve">. Some of the male business owners had been able to give up mining completely, while in other households, the woman managed the business and the man continued to mine, at least for part of the year. The livelihood </w:t>
      </w:r>
      <w:r w:rsidR="005527DD" w:rsidRPr="004E053C">
        <w:rPr>
          <w:rFonts w:cstheme="majorHAnsi"/>
          <w:sz w:val="22"/>
          <w:szCs w:val="22"/>
          <w:lang w:val="en-GB"/>
        </w:rPr>
        <w:t xml:space="preserve">trajectories of these </w:t>
      </w:r>
      <w:r w:rsidR="00CE6678" w:rsidRPr="004E053C">
        <w:rPr>
          <w:rFonts w:cstheme="majorHAnsi"/>
          <w:sz w:val="22"/>
          <w:szCs w:val="22"/>
          <w:lang w:val="en-GB"/>
        </w:rPr>
        <w:t>temporary</w:t>
      </w:r>
      <w:r w:rsidR="005527DD" w:rsidRPr="004E053C">
        <w:rPr>
          <w:rFonts w:cstheme="majorHAnsi"/>
          <w:sz w:val="22"/>
          <w:szCs w:val="22"/>
          <w:lang w:val="en-GB"/>
        </w:rPr>
        <w:t xml:space="preserve"> miners have</w:t>
      </w:r>
      <w:r w:rsidR="0091076C" w:rsidRPr="004E053C">
        <w:rPr>
          <w:rFonts w:cstheme="majorHAnsi"/>
          <w:sz w:val="22"/>
          <w:szCs w:val="22"/>
          <w:lang w:val="en-GB"/>
        </w:rPr>
        <w:t xml:space="preserve"> therefore been to invest in a business </w:t>
      </w:r>
      <w:r w:rsidR="00CE6678" w:rsidRPr="004E053C">
        <w:rPr>
          <w:rFonts w:cstheme="majorHAnsi"/>
          <w:sz w:val="22"/>
          <w:szCs w:val="22"/>
          <w:lang w:val="en-GB"/>
        </w:rPr>
        <w:t>that</w:t>
      </w:r>
      <w:r w:rsidR="0091076C" w:rsidRPr="004E053C">
        <w:rPr>
          <w:rFonts w:cstheme="majorHAnsi"/>
          <w:sz w:val="22"/>
          <w:szCs w:val="22"/>
          <w:lang w:val="en-GB"/>
        </w:rPr>
        <w:t xml:space="preserve"> enables them to reduce the time spent in mining or stop mining altogether. </w:t>
      </w:r>
    </w:p>
    <w:p w14:paraId="65FD658C" w14:textId="77777777" w:rsidR="00843DED" w:rsidRPr="004E053C" w:rsidRDefault="00843DED" w:rsidP="004E053C">
      <w:pPr>
        <w:spacing w:line="360" w:lineRule="auto"/>
        <w:jc w:val="both"/>
        <w:rPr>
          <w:rFonts w:eastAsia="Times New Roman" w:cstheme="majorHAnsi"/>
          <w:sz w:val="22"/>
          <w:szCs w:val="22"/>
          <w:lang w:val="en-GB"/>
        </w:rPr>
      </w:pPr>
    </w:p>
    <w:p w14:paraId="2C522D51" w14:textId="5C5107EA" w:rsidR="0091076C" w:rsidRPr="004E053C" w:rsidRDefault="00AD0893" w:rsidP="004E053C">
      <w:pPr>
        <w:spacing w:line="360" w:lineRule="auto"/>
        <w:jc w:val="both"/>
        <w:rPr>
          <w:rFonts w:cstheme="majorHAnsi"/>
          <w:sz w:val="22"/>
          <w:szCs w:val="22"/>
          <w:lang w:val="en-GB"/>
        </w:rPr>
      </w:pPr>
      <w:r w:rsidRPr="004E053C">
        <w:rPr>
          <w:rFonts w:eastAsia="Times New Roman" w:cstheme="majorHAnsi"/>
          <w:sz w:val="22"/>
          <w:szCs w:val="22"/>
          <w:lang w:val="en-GB"/>
        </w:rPr>
        <w:t>Section 6</w:t>
      </w:r>
      <w:r w:rsidR="0091076C" w:rsidRPr="004E053C">
        <w:rPr>
          <w:rFonts w:eastAsia="Times New Roman" w:cstheme="majorHAnsi"/>
          <w:sz w:val="22"/>
          <w:szCs w:val="22"/>
          <w:lang w:val="en-GB"/>
        </w:rPr>
        <w:t xml:space="preserve">.1 above showed that some people turn to ASM because they have lost their job and need to find a quick solution. These individuals are likely to express a desire to return to their previous occupation if possible. For example, </w:t>
      </w:r>
      <w:r w:rsidR="006F6757" w:rsidRPr="004E053C">
        <w:rPr>
          <w:rFonts w:eastAsia="Times New Roman" w:cstheme="majorHAnsi"/>
          <w:sz w:val="22"/>
          <w:szCs w:val="22"/>
          <w:lang w:val="en-GB"/>
        </w:rPr>
        <w:t>Xavier</w:t>
      </w:r>
      <w:r w:rsidR="0091076C" w:rsidRPr="004E053C">
        <w:rPr>
          <w:rFonts w:eastAsia="Times New Roman" w:cstheme="majorHAnsi"/>
          <w:sz w:val="22"/>
          <w:szCs w:val="22"/>
          <w:lang w:val="en-GB"/>
        </w:rPr>
        <w:t xml:space="preserve">, had lost his engineer license for a two-year period, but intended to return to his old engineering job in Lima as soon as he recovered this license. It seems likely that if the government clamp down continues, more of those working in ASM will decide to go back to their previous occupations. However, these miners do not </w:t>
      </w:r>
      <w:r w:rsidR="0091076C" w:rsidRPr="004E053C">
        <w:rPr>
          <w:rFonts w:cstheme="majorHAnsi"/>
          <w:sz w:val="22"/>
          <w:szCs w:val="22"/>
          <w:lang w:val="en-GB"/>
        </w:rPr>
        <w:t xml:space="preserve">face the same level of destitution or lack of alternative opportunity as those who continue to mine. </w:t>
      </w:r>
      <w:r w:rsidR="0091076C" w:rsidRPr="004E053C">
        <w:rPr>
          <w:rFonts w:eastAsia="Times New Roman" w:cstheme="majorHAnsi"/>
          <w:sz w:val="22"/>
          <w:szCs w:val="22"/>
          <w:lang w:val="en-GB"/>
        </w:rPr>
        <w:t>During interview, an</w:t>
      </w:r>
      <w:r w:rsidR="0091076C" w:rsidRPr="004E053C">
        <w:rPr>
          <w:rFonts w:cstheme="majorHAnsi"/>
          <w:sz w:val="22"/>
          <w:szCs w:val="22"/>
          <w:lang w:val="en-GB"/>
        </w:rPr>
        <w:t xml:space="preserve"> NGO representative neatly summari</w:t>
      </w:r>
      <w:r w:rsidR="00475547" w:rsidRPr="004E053C">
        <w:rPr>
          <w:rFonts w:cstheme="majorHAnsi"/>
          <w:sz w:val="22"/>
          <w:szCs w:val="22"/>
          <w:lang w:val="en-GB"/>
        </w:rPr>
        <w:t>s</w:t>
      </w:r>
      <w:r w:rsidR="0091076C" w:rsidRPr="004E053C">
        <w:rPr>
          <w:rFonts w:cstheme="majorHAnsi"/>
          <w:sz w:val="22"/>
          <w:szCs w:val="22"/>
          <w:lang w:val="en-GB"/>
        </w:rPr>
        <w:t xml:space="preserve">ed the problem faced by these poverty-driven migrants – </w:t>
      </w:r>
      <w:r w:rsidR="00114517" w:rsidRPr="004E053C">
        <w:rPr>
          <w:rFonts w:cstheme="majorHAnsi"/>
          <w:sz w:val="22"/>
          <w:szCs w:val="22"/>
          <w:lang w:val="en-GB"/>
        </w:rPr>
        <w:t>‘</w:t>
      </w:r>
      <w:r w:rsidR="0091076C" w:rsidRPr="004E053C">
        <w:rPr>
          <w:rFonts w:cstheme="majorHAnsi"/>
          <w:i/>
          <w:sz w:val="22"/>
          <w:szCs w:val="22"/>
          <w:lang w:val="en-GB"/>
        </w:rPr>
        <w:t>The kind of insecurity here, with the government and the criminals, it is nothing in the face of starvation, so they will still continue to come here</w:t>
      </w:r>
      <w:r w:rsidR="00114517" w:rsidRPr="004E053C">
        <w:rPr>
          <w:rFonts w:cstheme="majorHAnsi"/>
          <w:sz w:val="22"/>
          <w:szCs w:val="22"/>
          <w:lang w:val="en-GB"/>
        </w:rPr>
        <w:t>’</w:t>
      </w:r>
      <w:r w:rsidR="0091076C" w:rsidRPr="004E053C">
        <w:rPr>
          <w:rFonts w:cstheme="majorHAnsi"/>
          <w:sz w:val="22"/>
          <w:szCs w:val="22"/>
          <w:lang w:val="en-GB"/>
        </w:rPr>
        <w:t xml:space="preserve"> (NGO Chairman, Puerto Maldonado). </w:t>
      </w:r>
    </w:p>
    <w:p w14:paraId="67A14661" w14:textId="77777777" w:rsidR="0091076C" w:rsidRPr="004E053C" w:rsidRDefault="0091076C" w:rsidP="004E053C">
      <w:pPr>
        <w:spacing w:line="360" w:lineRule="auto"/>
        <w:jc w:val="both"/>
        <w:rPr>
          <w:rFonts w:cstheme="majorHAnsi"/>
          <w:sz w:val="22"/>
          <w:szCs w:val="22"/>
          <w:lang w:val="en-GB"/>
        </w:rPr>
      </w:pPr>
    </w:p>
    <w:p w14:paraId="3115DBCB" w14:textId="0E1C32B0" w:rsidR="0091076C" w:rsidRPr="004E053C" w:rsidRDefault="0091076C" w:rsidP="004E053C">
      <w:pPr>
        <w:spacing w:line="360" w:lineRule="auto"/>
        <w:jc w:val="both"/>
        <w:rPr>
          <w:rFonts w:eastAsia="Times New Roman" w:cstheme="majorHAnsi"/>
          <w:color w:val="FF0000"/>
          <w:sz w:val="22"/>
          <w:szCs w:val="22"/>
          <w:lang w:val="en-GB"/>
        </w:rPr>
      </w:pPr>
      <w:r w:rsidRPr="004E053C">
        <w:rPr>
          <w:rFonts w:cstheme="majorHAnsi"/>
          <w:sz w:val="22"/>
          <w:szCs w:val="22"/>
          <w:lang w:val="en-GB"/>
        </w:rPr>
        <w:t xml:space="preserve">An important aspect to note here is that planned livelihood trajectories are subject to change. One miner in Laberinto noted that although Andean migrants returned home to invest their money, they often returned when the money ran out, highlighting the difficulties in resisting a high-paying job in ASM when there are limited alternatives. Many of the </w:t>
      </w:r>
      <w:r w:rsidR="00CE6678" w:rsidRPr="004E053C">
        <w:rPr>
          <w:rFonts w:cstheme="majorHAnsi"/>
          <w:sz w:val="22"/>
          <w:szCs w:val="22"/>
          <w:lang w:val="en-GB"/>
        </w:rPr>
        <w:t>permanent</w:t>
      </w:r>
      <w:r w:rsidRPr="004E053C">
        <w:rPr>
          <w:rFonts w:cstheme="majorHAnsi"/>
          <w:sz w:val="22"/>
          <w:szCs w:val="22"/>
          <w:lang w:val="en-GB"/>
        </w:rPr>
        <w:t xml:space="preserve"> miners in Laberinto</w:t>
      </w:r>
      <w:r w:rsidRPr="004E053C">
        <w:rPr>
          <w:rFonts w:eastAsia="Times New Roman" w:cstheme="majorHAnsi"/>
          <w:sz w:val="22"/>
          <w:szCs w:val="22"/>
          <w:lang w:val="en-GB"/>
        </w:rPr>
        <w:t xml:space="preserve"> initially planned to stay short-term, but decided to stay for a variety of reasons, such as earning more than anticipated or marrying someone in the community. This fluctuating livelihood trajectory also affects investments, as investing time and money in a community makes little sense up until one decides to remain there long-term. For example, when </w:t>
      </w:r>
      <w:r w:rsidR="00EA7F80" w:rsidRPr="004E053C">
        <w:rPr>
          <w:rFonts w:eastAsia="Times New Roman" w:cstheme="majorHAnsi"/>
          <w:sz w:val="22"/>
          <w:szCs w:val="22"/>
          <w:lang w:val="en-GB"/>
        </w:rPr>
        <w:t>David</w:t>
      </w:r>
      <w:r w:rsidRPr="004E053C">
        <w:rPr>
          <w:rFonts w:eastAsia="Times New Roman" w:cstheme="majorHAnsi"/>
          <w:sz w:val="22"/>
          <w:szCs w:val="22"/>
          <w:lang w:val="en-GB"/>
        </w:rPr>
        <w:t xml:space="preserve"> arrived in Laberinto in the 1970’s he was offered a house with some land for 150 soles, but turned it down due to his dislike of the area and his desire to return home. Now, 45 or so years later, </w:t>
      </w:r>
      <w:r w:rsidR="00EA7F80" w:rsidRPr="004E053C">
        <w:rPr>
          <w:rFonts w:eastAsia="Times New Roman" w:cstheme="majorHAnsi"/>
          <w:sz w:val="22"/>
          <w:szCs w:val="22"/>
          <w:lang w:val="en-GB"/>
        </w:rPr>
        <w:t>David</w:t>
      </w:r>
      <w:r w:rsidRPr="004E053C">
        <w:rPr>
          <w:rFonts w:eastAsia="Times New Roman" w:cstheme="majorHAnsi"/>
          <w:sz w:val="22"/>
          <w:szCs w:val="22"/>
          <w:lang w:val="en-GB"/>
        </w:rPr>
        <w:t xml:space="preserve"> says that had he known how much the town would grow, he would have invested all he could in a house. Thus, while miners may plan to invest in origin communities, sometimes circumstances </w:t>
      </w:r>
      <w:r w:rsidR="005527DD" w:rsidRPr="004E053C">
        <w:rPr>
          <w:rFonts w:eastAsia="Times New Roman" w:cstheme="majorHAnsi"/>
          <w:sz w:val="22"/>
          <w:szCs w:val="22"/>
          <w:lang w:val="en-GB"/>
        </w:rPr>
        <w:t>change that</w:t>
      </w:r>
      <w:r w:rsidRPr="004E053C">
        <w:rPr>
          <w:rFonts w:eastAsia="Times New Roman" w:cstheme="majorHAnsi"/>
          <w:sz w:val="22"/>
          <w:szCs w:val="22"/>
          <w:lang w:val="en-GB"/>
        </w:rPr>
        <w:t xml:space="preserve"> makes them redirect their investments. </w:t>
      </w:r>
    </w:p>
    <w:p w14:paraId="2E9DCB72" w14:textId="77777777" w:rsidR="0091076C" w:rsidRPr="004E053C" w:rsidRDefault="0091076C" w:rsidP="004E053C">
      <w:pPr>
        <w:spacing w:line="360" w:lineRule="auto"/>
        <w:jc w:val="both"/>
        <w:rPr>
          <w:rFonts w:eastAsia="Times New Roman" w:cstheme="majorHAnsi"/>
          <w:b/>
          <w:sz w:val="22"/>
          <w:szCs w:val="22"/>
          <w:lang w:val="en-GB"/>
        </w:rPr>
      </w:pPr>
    </w:p>
    <w:p w14:paraId="76929FF0" w14:textId="77777777" w:rsidR="0091076C" w:rsidRPr="004E053C" w:rsidRDefault="00906830" w:rsidP="004E053C">
      <w:pPr>
        <w:spacing w:line="360" w:lineRule="auto"/>
        <w:jc w:val="both"/>
        <w:rPr>
          <w:rFonts w:eastAsia="Times New Roman" w:cstheme="majorHAnsi"/>
          <w:bCs/>
          <w:sz w:val="22"/>
          <w:szCs w:val="22"/>
          <w:u w:val="single"/>
          <w:lang w:val="en-GB"/>
        </w:rPr>
      </w:pPr>
      <w:r w:rsidRPr="004E053C">
        <w:rPr>
          <w:rFonts w:eastAsia="Times New Roman" w:cstheme="majorHAnsi"/>
          <w:bCs/>
          <w:sz w:val="22"/>
          <w:szCs w:val="22"/>
          <w:u w:val="single"/>
          <w:lang w:val="en-GB"/>
        </w:rPr>
        <w:t xml:space="preserve">B. </w:t>
      </w:r>
      <w:r w:rsidR="0091076C" w:rsidRPr="004E053C">
        <w:rPr>
          <w:rFonts w:eastAsia="Times New Roman" w:cstheme="majorHAnsi"/>
          <w:bCs/>
          <w:sz w:val="22"/>
          <w:szCs w:val="22"/>
          <w:u w:val="single"/>
          <w:lang w:val="en-GB"/>
        </w:rPr>
        <w:t>Investment in new business in new city</w:t>
      </w:r>
    </w:p>
    <w:p w14:paraId="720EBDFC" w14:textId="77777777" w:rsidR="0091076C" w:rsidRPr="004E053C" w:rsidRDefault="0091076C" w:rsidP="004E053C">
      <w:pPr>
        <w:spacing w:line="360" w:lineRule="auto"/>
        <w:jc w:val="both"/>
        <w:rPr>
          <w:rFonts w:eastAsia="Times New Roman" w:cstheme="majorHAnsi"/>
          <w:sz w:val="22"/>
          <w:szCs w:val="22"/>
          <w:lang w:val="en-GB"/>
        </w:rPr>
      </w:pPr>
    </w:p>
    <w:p w14:paraId="3A9B59DE" w14:textId="270B8C8E"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Not all the </w:t>
      </w:r>
      <w:r w:rsidR="00CE6678" w:rsidRPr="004E053C">
        <w:rPr>
          <w:rFonts w:eastAsia="Times New Roman" w:cstheme="majorHAnsi"/>
          <w:sz w:val="22"/>
          <w:szCs w:val="22"/>
          <w:lang w:val="en-GB"/>
        </w:rPr>
        <w:t>temporary</w:t>
      </w:r>
      <w:r w:rsidRPr="004E053C">
        <w:rPr>
          <w:rFonts w:eastAsia="Times New Roman" w:cstheme="majorHAnsi"/>
          <w:sz w:val="22"/>
          <w:szCs w:val="22"/>
          <w:lang w:val="en-GB"/>
        </w:rPr>
        <w:t xml:space="preserve"> migrants intend to return to their village, and instead plan to use the money saved from ASM to start a new </w:t>
      </w:r>
      <w:r w:rsidR="00E06A67" w:rsidRPr="004E053C">
        <w:rPr>
          <w:rFonts w:eastAsia="Times New Roman" w:cstheme="majorHAnsi"/>
          <w:sz w:val="22"/>
          <w:szCs w:val="22"/>
          <w:lang w:val="en-GB"/>
        </w:rPr>
        <w:t xml:space="preserve">life elsewhere. As explained </w:t>
      </w:r>
      <w:r w:rsidRPr="004E053C">
        <w:rPr>
          <w:rFonts w:eastAsia="Times New Roman" w:cstheme="majorHAnsi"/>
          <w:sz w:val="22"/>
          <w:szCs w:val="22"/>
          <w:lang w:val="en-GB"/>
        </w:rPr>
        <w:t xml:space="preserve">earlier in the chapter, forging a new life in an unfamiliar city can be difficult for poor Andean migrants due to the discrimination faced by indigenous people, particularly within the labour market </w:t>
      </w:r>
      <w:r w:rsidRPr="004E053C">
        <w:rPr>
          <w:rFonts w:eastAsia="Times New Roman" w:cstheme="majorHAnsi"/>
          <w:sz w:val="22"/>
          <w:szCs w:val="22"/>
          <w:lang w:val="en-GB"/>
        </w:rPr>
        <w:fldChar w:fldCharType="begin" w:fldLock="1"/>
      </w:r>
      <w:r w:rsidR="00A446DD" w:rsidRPr="004E053C">
        <w:rPr>
          <w:rFonts w:eastAsia="Times New Roman" w:cstheme="majorHAnsi"/>
          <w:sz w:val="22"/>
          <w:szCs w:val="22"/>
          <w:lang w:val="en-GB"/>
        </w:rPr>
        <w:instrText>ADDIN CSL_CITATION {"citationItems":[{"id":"ITEM-1","itemData":{"abstract":"We analyze labor discrimination in Peru, a fast-growing country where much anecdotal evidence suggests the presence of discriminatory practices in everyday life. Using surnames (indigenous/white) as a proxy for race, we sent 4820 fictitious CVs in response to 1205 real job vacancies for professional, technical, and unskilled jobs in Lima. Overall, whites receive more callbacks than indigenous applicants, and beautiful applicants receive more callbacks than homely-looking ones. The magnitude and significance of the racial and beauty gaps in callbacks substantially vary by job category. In particular, better looks only seem to matter in getting more callbacks for professional jobs. © 2014 Elsevier Ltd.","author":[{"dropping-particle":"","family":"Galarza","given":"Francisco B.","non-dropping-particle":"","parse-names":false,"suffix":""},{"dropping-particle":"","family":"Yamada","given":"Gustavo","non-dropping-particle":"","parse-names":false,"suffix":""}],"container-title":"World Development","id":"ITEM-1","issued":{"date-parts":[["2014"]]},"page":"83-94","publisher":"Elsevier Ltd","title":"Labor market discrimination in Lima, Peru: evidence from a field experiment","type":"article-journal","volume":"58"},"uris":["http://www.mendeley.com/documents/?uuid=264626d1-a6e4-4783-897e-518b02a36ac2"]}],"mendeley":{"formattedCitation":"(F. B. Galarza &amp; Yamada, 2014)","manualFormatting":"(Galarza &amp; Yamada, 2014)","plainTextFormattedCitation":"(F. B. Galarza &amp; Yamada, 2014)","previouslyFormattedCitation":"(F. B. Galarza &amp; Yamada, 2014)"},"properties":{"noteIndex":0},"schema":"https://github.com/citation-style-language/schema/raw/master/csl-citation.json"}</w:instrText>
      </w:r>
      <w:r w:rsidRPr="004E053C">
        <w:rPr>
          <w:rFonts w:eastAsia="Times New Roman" w:cstheme="majorHAnsi"/>
          <w:sz w:val="22"/>
          <w:szCs w:val="22"/>
          <w:lang w:val="en-GB"/>
        </w:rPr>
        <w:fldChar w:fldCharType="separate"/>
      </w:r>
      <w:r w:rsidR="00BD3790" w:rsidRPr="004E053C">
        <w:rPr>
          <w:rFonts w:eastAsia="Times New Roman" w:cstheme="majorHAnsi"/>
          <w:noProof/>
          <w:sz w:val="22"/>
          <w:szCs w:val="22"/>
          <w:lang w:val="en-GB"/>
        </w:rPr>
        <w:t>(</w:t>
      </w:r>
      <w:r w:rsidR="00134FB0" w:rsidRPr="004E053C">
        <w:rPr>
          <w:rFonts w:eastAsia="Times New Roman" w:cstheme="majorHAnsi"/>
          <w:noProof/>
          <w:sz w:val="22"/>
          <w:szCs w:val="22"/>
          <w:lang w:val="en-GB"/>
        </w:rPr>
        <w:t>Galarza &amp; Yamada, 2014)</w:t>
      </w:r>
      <w:r w:rsidRPr="004E053C">
        <w:rPr>
          <w:rFonts w:eastAsia="Times New Roman" w:cstheme="majorHAnsi"/>
          <w:sz w:val="22"/>
          <w:szCs w:val="22"/>
          <w:lang w:val="en-GB"/>
        </w:rPr>
        <w:fldChar w:fldCharType="end"/>
      </w:r>
      <w:r w:rsidRPr="004E053C">
        <w:rPr>
          <w:rFonts w:eastAsia="Times New Roman" w:cstheme="majorHAnsi"/>
          <w:sz w:val="22"/>
          <w:szCs w:val="22"/>
          <w:lang w:val="en-GB"/>
        </w:rPr>
        <w:t>. Many migrants are therefore working in ASM to as a means to save the capital necessary for a successful future migration to an urban centre, rather than adopting ASM as a new life-long career.</w:t>
      </w:r>
    </w:p>
    <w:p w14:paraId="74D37416" w14:textId="77777777" w:rsidR="0091076C" w:rsidRPr="004E053C" w:rsidRDefault="0091076C" w:rsidP="004E053C">
      <w:pPr>
        <w:spacing w:line="360" w:lineRule="auto"/>
        <w:jc w:val="both"/>
        <w:rPr>
          <w:rFonts w:eastAsia="Times New Roman" w:cstheme="majorHAnsi"/>
          <w:sz w:val="22"/>
          <w:szCs w:val="22"/>
          <w:lang w:val="en-GB"/>
        </w:rPr>
      </w:pPr>
    </w:p>
    <w:p w14:paraId="6F19530B" w14:textId="69B6608B"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Several respondents discussed a livelihood trajectory in which they planned to use the savings from ASM to start a new life in a new city, often after previously experiencing a migration failure. </w:t>
      </w:r>
      <w:r w:rsidR="001B115B" w:rsidRPr="004E053C">
        <w:rPr>
          <w:rFonts w:eastAsia="Times New Roman" w:cstheme="majorHAnsi"/>
          <w:sz w:val="22"/>
          <w:szCs w:val="22"/>
          <w:lang w:val="en-GB"/>
        </w:rPr>
        <w:t>Yara</w:t>
      </w:r>
      <w:r w:rsidRPr="004E053C">
        <w:rPr>
          <w:rFonts w:eastAsia="Times New Roman" w:cstheme="majorHAnsi"/>
          <w:sz w:val="22"/>
          <w:szCs w:val="22"/>
          <w:lang w:val="en-GB"/>
        </w:rPr>
        <w:t xml:space="preserve"> and her husband initially migrated to Cusco city from a nearby province, but moved to Laberinto after struggling to make ends meet. They were both working all the time and living in a very basic room in the hope that within three years they would have saved enough to build a house in Cusco city and invest in a small business there. Similarly, </w:t>
      </w:r>
      <w:r w:rsidR="00EA7F80" w:rsidRPr="004E053C">
        <w:rPr>
          <w:rFonts w:eastAsia="Times New Roman" w:cstheme="majorHAnsi"/>
          <w:sz w:val="22"/>
          <w:szCs w:val="22"/>
          <w:lang w:val="en-GB"/>
        </w:rPr>
        <w:t>Carlos</w:t>
      </w:r>
      <w:r w:rsidRPr="004E053C">
        <w:rPr>
          <w:rFonts w:eastAsia="Times New Roman" w:cstheme="majorHAnsi"/>
          <w:sz w:val="22"/>
          <w:szCs w:val="22"/>
          <w:lang w:val="en-GB"/>
        </w:rPr>
        <w:t xml:space="preserve"> and his wife, </w:t>
      </w:r>
      <w:r w:rsidR="00B21FFD" w:rsidRPr="004E053C">
        <w:rPr>
          <w:rFonts w:eastAsia="Times New Roman" w:cstheme="majorHAnsi"/>
          <w:sz w:val="22"/>
          <w:szCs w:val="22"/>
          <w:lang w:val="en-GB"/>
        </w:rPr>
        <w:t>Rosaria</w:t>
      </w:r>
      <w:r w:rsidRPr="004E053C">
        <w:rPr>
          <w:rFonts w:eastAsia="Times New Roman" w:cstheme="majorHAnsi"/>
          <w:sz w:val="22"/>
          <w:szCs w:val="22"/>
          <w:lang w:val="en-GB"/>
        </w:rPr>
        <w:t>, had failed to earn a sufficient or consistent amount after moving to Lima. After moving to La Pampa</w:t>
      </w:r>
      <w:r w:rsidR="00CE6678" w:rsidRPr="004E053C">
        <w:rPr>
          <w:rFonts w:eastAsia="Times New Roman" w:cstheme="majorHAnsi"/>
          <w:sz w:val="22"/>
          <w:szCs w:val="22"/>
          <w:lang w:val="en-GB"/>
        </w:rPr>
        <w:t>,</w:t>
      </w:r>
      <w:r w:rsidRPr="004E053C">
        <w:rPr>
          <w:rFonts w:eastAsia="Times New Roman" w:cstheme="majorHAnsi"/>
          <w:sz w:val="22"/>
          <w:szCs w:val="22"/>
          <w:lang w:val="en-GB"/>
        </w:rPr>
        <w:t xml:space="preserve"> they had earned enough money to enable them to invest in a hotel in the nearby city of Puerto Maldonado </w:t>
      </w:r>
      <w:r w:rsidR="00A70DD0"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A70DD0" w:rsidRPr="004E053C">
        <w:rPr>
          <w:rFonts w:eastAsia="Times New Roman" w:cstheme="majorHAnsi"/>
          <w:sz w:val="22"/>
          <w:szCs w:val="22"/>
          <w:lang w:val="en-GB"/>
        </w:rPr>
        <w:t>‘</w:t>
      </w:r>
      <w:r w:rsidRPr="004E053C">
        <w:rPr>
          <w:rFonts w:eastAsia="Times New Roman" w:cstheme="majorHAnsi"/>
          <w:i/>
          <w:sz w:val="22"/>
          <w:szCs w:val="22"/>
          <w:lang w:val="en-GB"/>
        </w:rPr>
        <w:t>This hotel is from the money from KM108</w:t>
      </w:r>
      <w:r w:rsidR="00A70DD0"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Carlos</w:t>
      </w:r>
      <w:r w:rsidRPr="004E053C">
        <w:rPr>
          <w:rFonts w:eastAsia="Times New Roman" w:cstheme="majorHAnsi"/>
          <w:sz w:val="22"/>
          <w:szCs w:val="22"/>
          <w:lang w:val="en-GB"/>
        </w:rPr>
        <w:t>, ex-miner, Puerto Maldonado). For these households, mining is not a life-long career but opens up future opportunities</w:t>
      </w:r>
      <w:r w:rsidRPr="004E053C">
        <w:rPr>
          <w:rFonts w:cstheme="majorHAnsi"/>
          <w:sz w:val="22"/>
          <w:szCs w:val="22"/>
          <w:lang w:val="en-GB"/>
        </w:rPr>
        <w:t xml:space="preserve"> for success </w:t>
      </w:r>
      <w:r w:rsidRPr="004E053C">
        <w:rPr>
          <w:rFonts w:eastAsia="Times New Roman" w:cstheme="majorHAnsi"/>
          <w:sz w:val="22"/>
          <w:szCs w:val="22"/>
          <w:lang w:val="en-GB"/>
        </w:rPr>
        <w:t xml:space="preserve">in previously inaccessible sectors.  </w:t>
      </w:r>
    </w:p>
    <w:p w14:paraId="3993D24B" w14:textId="77777777" w:rsidR="0091076C" w:rsidRPr="004E053C" w:rsidRDefault="0091076C" w:rsidP="004E053C">
      <w:pPr>
        <w:spacing w:line="360" w:lineRule="auto"/>
        <w:jc w:val="both"/>
        <w:rPr>
          <w:rFonts w:eastAsia="Times New Roman" w:cstheme="majorHAnsi"/>
          <w:sz w:val="22"/>
          <w:szCs w:val="22"/>
          <w:lang w:val="en-GB"/>
        </w:rPr>
      </w:pPr>
    </w:p>
    <w:p w14:paraId="76F7667A" w14:textId="4D17EEB6"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There are two key differences between these migrants and the </w:t>
      </w:r>
      <w:r w:rsidR="00CE6678" w:rsidRPr="004E053C">
        <w:rPr>
          <w:rFonts w:eastAsia="Times New Roman" w:cstheme="majorHAnsi"/>
          <w:sz w:val="22"/>
          <w:szCs w:val="22"/>
          <w:lang w:val="en-GB"/>
        </w:rPr>
        <w:t>permanent</w:t>
      </w:r>
      <w:r w:rsidRPr="004E053C">
        <w:rPr>
          <w:rFonts w:eastAsia="Times New Roman" w:cstheme="majorHAnsi"/>
          <w:sz w:val="22"/>
          <w:szCs w:val="22"/>
          <w:lang w:val="en-GB"/>
        </w:rPr>
        <w:t xml:space="preserve"> miners discussed above, who tend to experience more difficulty leaving the sector. Firstly, the </w:t>
      </w:r>
      <w:r w:rsidR="00CE6678" w:rsidRPr="004E053C">
        <w:rPr>
          <w:rFonts w:eastAsia="Times New Roman" w:cstheme="majorHAnsi"/>
          <w:sz w:val="22"/>
          <w:szCs w:val="22"/>
          <w:lang w:val="en-GB"/>
        </w:rPr>
        <w:t xml:space="preserve">temporary </w:t>
      </w:r>
      <w:r w:rsidRPr="004E053C">
        <w:rPr>
          <w:rFonts w:eastAsia="Times New Roman" w:cstheme="majorHAnsi"/>
          <w:sz w:val="22"/>
          <w:szCs w:val="22"/>
          <w:lang w:val="en-GB"/>
        </w:rPr>
        <w:t>migrants have a plan for future investment, often based on alternative livelihoods they were doing before engagement in ASM. They therefore often have a broader range of skills or at least more awareness of other options, and perhaps therefore have a capa</w:t>
      </w:r>
      <w:r w:rsidR="00BB181E" w:rsidRPr="004E053C">
        <w:rPr>
          <w:rFonts w:eastAsia="Times New Roman" w:cstheme="majorHAnsi"/>
          <w:sz w:val="22"/>
          <w:szCs w:val="22"/>
          <w:lang w:val="en-GB"/>
        </w:rPr>
        <w:t xml:space="preserve">city to aspire </w:t>
      </w:r>
      <w:r w:rsidR="00BB181E"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{"citationItems":[{"id":"ITEM-1","itemData":{"author":[{"dropping-particle":"","family":"Appadurai","given":"Arjun","non-dropping-particle":"","parse-names":false,"suffix":""}],"chapter-number":"3","container-title":"Culture and Public Action","editor":[{"dropping-particle":"","family":"Rao","given":"Vijayendra","non-dropping-particle":"","parse-names":false,"suffix":""},{"dropping-particle":"","family":"Walton","given":"Michael","non-dropping-particle":"","parse-names":false,"suffix":""}],"id":"ITEM-1","issued":{"date-parts":[["2004"]]},"page":"59-84","publisher":"Stanford University Press","publisher-place":"Stanford, CA","title":"The capacity to aspire: culture and the terms of recognition","type":"chapter"},"uris":["http://www.mendeley.com/documents/?uuid=424daebd-d64b-4871-aa1d-62c85d45c26b"]}],"mendeley":{"formattedCitation":"(Appadurai, 2004)","plainTextFormattedCitation":"(Appadurai, 2004)","previouslyFormattedCitation":"(Appadurai, 2004)"},"properties":{"noteIndex":0},"schema":"https://github.com/citation-style-language/schema/raw/master/csl-citation.json"}</w:instrText>
      </w:r>
      <w:r w:rsidR="00BB181E" w:rsidRPr="004E053C">
        <w:rPr>
          <w:rFonts w:eastAsia="Times New Roman" w:cstheme="majorHAnsi"/>
          <w:sz w:val="22"/>
          <w:szCs w:val="22"/>
          <w:lang w:val="en-GB"/>
        </w:rPr>
        <w:fldChar w:fldCharType="separate"/>
      </w:r>
      <w:r w:rsidR="00BB181E" w:rsidRPr="004E053C">
        <w:rPr>
          <w:rFonts w:eastAsia="Times New Roman" w:cstheme="majorHAnsi"/>
          <w:noProof/>
          <w:sz w:val="22"/>
          <w:szCs w:val="22"/>
          <w:lang w:val="en-GB"/>
        </w:rPr>
        <w:t>(Appadurai, 2004)</w:t>
      </w:r>
      <w:r w:rsidR="00BB181E"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Secondly, as they </w:t>
      </w:r>
      <w:r w:rsidR="00CE6678" w:rsidRPr="004E053C">
        <w:rPr>
          <w:rFonts w:eastAsia="Times New Roman" w:cstheme="majorHAnsi"/>
          <w:sz w:val="22"/>
          <w:szCs w:val="22"/>
          <w:lang w:val="en-GB"/>
        </w:rPr>
        <w:t xml:space="preserve">themselves are more translocal, </w:t>
      </w:r>
      <w:r w:rsidRPr="004E053C">
        <w:rPr>
          <w:rFonts w:eastAsia="Times New Roman" w:cstheme="majorHAnsi"/>
          <w:sz w:val="22"/>
          <w:szCs w:val="22"/>
          <w:lang w:val="en-GB"/>
        </w:rPr>
        <w:t xml:space="preserve">they are not rooted to a particular place. This gives them more possibilities than the </w:t>
      </w:r>
      <w:r w:rsidR="00CE6678" w:rsidRPr="004E053C">
        <w:rPr>
          <w:rFonts w:eastAsia="Times New Roman" w:cstheme="majorHAnsi"/>
          <w:sz w:val="22"/>
          <w:szCs w:val="22"/>
          <w:lang w:val="en-GB"/>
        </w:rPr>
        <w:t>permanent</w:t>
      </w:r>
      <w:r w:rsidRPr="004E053C">
        <w:rPr>
          <w:rFonts w:eastAsia="Times New Roman" w:cstheme="majorHAnsi"/>
          <w:sz w:val="22"/>
          <w:szCs w:val="22"/>
          <w:lang w:val="en-GB"/>
        </w:rPr>
        <w:t xml:space="preserve"> residents of Laberinto, who are looking for alternative livelihoods within their mining community in the Amazon, where mining and many other livelihood activities, such as logging and agriculture, are restricted.</w:t>
      </w:r>
      <w:r w:rsidR="00906830" w:rsidRPr="004E053C">
        <w:rPr>
          <w:rFonts w:eastAsia="Times New Roman" w:cstheme="majorHAnsi"/>
          <w:sz w:val="22"/>
          <w:szCs w:val="22"/>
          <w:lang w:val="en-GB"/>
        </w:rPr>
        <w:t xml:space="preserve">  </w:t>
      </w:r>
    </w:p>
    <w:p w14:paraId="774B821C" w14:textId="73ED4262" w:rsidR="005D703E" w:rsidRPr="004E053C" w:rsidRDefault="005D703E" w:rsidP="004E053C">
      <w:pPr>
        <w:spacing w:line="360" w:lineRule="auto"/>
        <w:jc w:val="both"/>
        <w:rPr>
          <w:rFonts w:eastAsia="Times New Roman" w:cstheme="majorHAnsi"/>
          <w:sz w:val="22"/>
          <w:szCs w:val="22"/>
          <w:lang w:val="en-GB"/>
        </w:rPr>
      </w:pPr>
    </w:p>
    <w:p w14:paraId="04F3343E" w14:textId="59117A85" w:rsidR="00833595" w:rsidRPr="004E053C" w:rsidRDefault="00B5602F"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As highlighted at the start of the section, the key feature </w:t>
      </w:r>
      <w:r w:rsidR="007E020D" w:rsidRPr="004E053C">
        <w:rPr>
          <w:rFonts w:eastAsia="Times New Roman" w:cstheme="majorHAnsi"/>
          <w:sz w:val="22"/>
          <w:szCs w:val="22"/>
          <w:lang w:val="en-GB"/>
        </w:rPr>
        <w:t>of temporary migrants</w:t>
      </w:r>
      <w:r w:rsidRPr="004E053C">
        <w:rPr>
          <w:rFonts w:eastAsia="Times New Roman" w:cstheme="majorHAnsi"/>
          <w:sz w:val="22"/>
          <w:szCs w:val="22"/>
          <w:lang w:val="en-GB"/>
        </w:rPr>
        <w:t xml:space="preserve"> is that these individuals only intend to stay in the community for a fixed period</w:t>
      </w:r>
      <w:r w:rsidR="007E020D" w:rsidRPr="004E053C">
        <w:rPr>
          <w:rFonts w:eastAsia="Times New Roman" w:cstheme="majorHAnsi"/>
          <w:sz w:val="22"/>
          <w:szCs w:val="22"/>
          <w:lang w:val="en-GB"/>
        </w:rPr>
        <w:t xml:space="preserve"> or on a seasonal basis, and have no long-term interest in the community itself. However, for the static migrants in particular, such long-term plans may be subject to change, and thus to some extent the typology may reflect the </w:t>
      </w:r>
      <w:r w:rsidR="007E020D" w:rsidRPr="004E053C">
        <w:rPr>
          <w:rFonts w:eastAsia="Times New Roman" w:cstheme="majorHAnsi"/>
          <w:sz w:val="22"/>
          <w:szCs w:val="22"/>
          <w:lang w:val="en-GB"/>
        </w:rPr>
        <w:lastRenderedPageBreak/>
        <w:t xml:space="preserve">stage of life the migrant is at. This brings us neatly to the issue of temporality, which is an issue that has been somewhat overlooked in the translocal livelihoods literature. </w:t>
      </w:r>
      <w:r w:rsidR="004A3120" w:rsidRPr="004E053C">
        <w:rPr>
          <w:rFonts w:eastAsia="Times New Roman" w:cstheme="majorHAnsi"/>
          <w:sz w:val="22"/>
          <w:szCs w:val="22"/>
          <w:lang w:val="en-GB"/>
        </w:rPr>
        <w:t>The existence of temporary migrants within the social field of ASM is likely to have implications for mining comm</w:t>
      </w:r>
      <w:r w:rsidR="006B12E4" w:rsidRPr="004E053C">
        <w:rPr>
          <w:rFonts w:eastAsia="Times New Roman" w:cstheme="majorHAnsi"/>
          <w:sz w:val="22"/>
          <w:szCs w:val="22"/>
          <w:lang w:val="en-GB"/>
        </w:rPr>
        <w:t>unities, yet as hig</w:t>
      </w:r>
      <w:r w:rsidR="00923CFD" w:rsidRPr="004E053C">
        <w:rPr>
          <w:rFonts w:eastAsia="Times New Roman" w:cstheme="majorHAnsi"/>
          <w:sz w:val="22"/>
          <w:szCs w:val="22"/>
          <w:lang w:val="en-GB"/>
        </w:rPr>
        <w:t>hlighted in the chapter 4</w:t>
      </w:r>
      <w:r w:rsidR="006B12E4" w:rsidRPr="004E053C">
        <w:rPr>
          <w:rFonts w:eastAsia="Times New Roman" w:cstheme="majorHAnsi"/>
          <w:sz w:val="22"/>
          <w:szCs w:val="22"/>
          <w:lang w:val="en-GB"/>
        </w:rPr>
        <w:t>, the temporal dynamics</w:t>
      </w:r>
      <w:r w:rsidR="004A3120" w:rsidRPr="004E053C">
        <w:rPr>
          <w:rFonts w:eastAsia="Times New Roman" w:cstheme="majorHAnsi"/>
          <w:sz w:val="22"/>
          <w:szCs w:val="22"/>
          <w:lang w:val="en-GB"/>
        </w:rPr>
        <w:t xml:space="preserve"> of livelihoods is rarely considered</w:t>
      </w:r>
      <w:r w:rsidR="00BB181E" w:rsidRPr="004E053C">
        <w:rPr>
          <w:rFonts w:eastAsia="Times New Roman" w:cstheme="majorHAnsi"/>
          <w:sz w:val="22"/>
          <w:szCs w:val="22"/>
          <w:lang w:val="en-GB"/>
        </w:rPr>
        <w:t xml:space="preserve"> </w:t>
      </w:r>
      <w:r w:rsidR="00BB181E" w:rsidRPr="004E053C">
        <w:rPr>
          <w:rFonts w:eastAsia="Times New Roman" w:cstheme="majorHAnsi"/>
          <w:sz w:val="22"/>
          <w:szCs w:val="22"/>
          <w:lang w:val="en-GB"/>
        </w:rPr>
        <w:fldChar w:fldCharType="begin" w:fldLock="1"/>
      </w:r>
      <w:r w:rsidR="007F27D0" w:rsidRPr="004E053C">
        <w:rPr>
          <w:rFonts w:eastAsia="Times New Roman" w:cstheme="majorHAnsi"/>
          <w:sz w:val="22"/>
          <w:szCs w:val="22"/>
          <w:lang w:val="en-GB"/>
        </w:rPr>
        <w:instrText>ADDIN CSL_CITATION {"citationItems":[{"id":"ITEM-1","itemData":{"abstract":"Abstract Climate change and migration are drawing increasing interest from researchers and policy makers as well as from the general public. While in the beginning a simplistic and geo-deterministic comprehension of the environmental impact on human mobility had dominated the discussion, the framing of the relationship has recently become more differentiated. Vast empirical evidence derived from rural livelihoods research clearly shows that migration is an important strategy of households when dealing with multiple risks, including environmental stress. This has led to the growing acknowledgement of the idea of “migration as adaptation” in migration-environment research. We con- sider this conceptual development an important step for a better understanding of this nexus. Nonetheless, migra- tion as adaptation has several shortcomings. Firstly, it is narrowly focused on migration as an adaptive response to environmental risks and neglects the significant impact of other forms of migration. Secondly, it does not cover other dimensions of how people, communities and societies deal with environmental change: a blind eye is all too often turned to processes of resilience building. Thirdly, migration as adaptation has been found to be interpreted in a way which justifies migration policies with neo-liberal tendencies. In order to overcome such drawbacks, we propose an approach that integrates translocality and social resilience. In this paper we thus introduce the concept of translocal social resilience and reflect on its conceptual implications. We will thereby show how this approach can improve the understanding of the migration-environment nexus, and how it can also shape the concept of migration as adapta- tion, allowing for nuanced and critical views on the dynamics in the migration-environment context.","author":[{"dropping-particle":"","family":"Sakdapolrak","given":"Patrick","non-dropping-particle":"","parse-names":false,"suffix":""},{"dropping-particle":"","family":"Naruchaikusol","given":"Sopon","non-dropping-particle":"","parse-names":false,"suffix":""},{"dropping-particle":"","family":"Ober","given":"Kayly","non-dropping-particle":"","parse-names":false,"suffix":""},{"dropping-particle":"","family":"Peth","given":"Simon","non-dropping-particle":"","parse-names":false,"suffix":""},{"dropping-particle":"","family":"Porst","given":"Luise","non-dropping-particle":"","parse-names":false,"suffix":""},{"dropping-particle":"","family":"Rockenbauch","given":"Till","non-dropping-particle":"","parse-names":false,"suffix":""},{"dropping-particle":"","family":"Tolo","given":"Vera","non-dropping-particle":"","parse-names":false,"suffix":""}],"container-title":"Die Erde","id":"ITEM-1","issue":"2","issued":{"date-parts":[["2016"]]},"page":"81-94","publisher":"Gesellschaft fur Erdkunde zu Berlin","title":"Migration in a changing climate. Towards a translocal social resilience approach","type":"article-journal","volume":"147"},"uris":["http://www.mendeley.com/documents/?uuid=adc41989-e531-3dab-9eeb-5e3f068eae4f"]}],"mendeley":{"formattedCitation":"(Patrick Sakdapolrak et al., 2016)","manualFormatting":"(Sakdapolrak et al., 2016)","plainTextFormattedCitation":"(Patrick Sakdapolrak et al., 2016)","previouslyFormattedCitation":"(Patrick Sakdapolrak et al., 2016)"},"properties":{"noteIndex":0},"schema":"https://github.com/citation-style-language/schema/raw/master/csl-citation.json"}</w:instrText>
      </w:r>
      <w:r w:rsidR="00BB181E" w:rsidRPr="004E053C">
        <w:rPr>
          <w:rFonts w:eastAsia="Times New Roman" w:cstheme="majorHAnsi"/>
          <w:sz w:val="22"/>
          <w:szCs w:val="22"/>
          <w:lang w:val="en-GB"/>
        </w:rPr>
        <w:fldChar w:fldCharType="separate"/>
      </w:r>
      <w:r w:rsidR="008A1E6F" w:rsidRPr="004E053C">
        <w:rPr>
          <w:rFonts w:eastAsia="Times New Roman" w:cstheme="majorHAnsi"/>
          <w:noProof/>
          <w:sz w:val="22"/>
          <w:szCs w:val="22"/>
          <w:lang w:val="en-GB"/>
        </w:rPr>
        <w:t>(</w:t>
      </w:r>
      <w:r w:rsidR="00E308C9" w:rsidRPr="004E053C">
        <w:rPr>
          <w:rFonts w:eastAsia="Times New Roman" w:cstheme="majorHAnsi"/>
          <w:noProof/>
          <w:sz w:val="22"/>
          <w:szCs w:val="22"/>
          <w:lang w:val="en-GB"/>
        </w:rPr>
        <w:t>Sakdapolrak et al., 2016)</w:t>
      </w:r>
      <w:r w:rsidR="00BB181E" w:rsidRPr="004E053C">
        <w:rPr>
          <w:rFonts w:eastAsia="Times New Roman" w:cstheme="majorHAnsi"/>
          <w:sz w:val="22"/>
          <w:szCs w:val="22"/>
          <w:lang w:val="en-GB"/>
        </w:rPr>
        <w:fldChar w:fldCharType="end"/>
      </w:r>
      <w:r w:rsidR="004A3120" w:rsidRPr="004E053C">
        <w:rPr>
          <w:rFonts w:eastAsia="Times New Roman" w:cstheme="majorHAnsi"/>
          <w:sz w:val="22"/>
          <w:szCs w:val="22"/>
          <w:lang w:val="en-GB"/>
        </w:rPr>
        <w:t xml:space="preserve">. </w:t>
      </w:r>
      <w:r w:rsidR="00FD39CF" w:rsidRPr="004E053C">
        <w:rPr>
          <w:rFonts w:eastAsia="Times New Roman" w:cstheme="majorHAnsi"/>
          <w:sz w:val="22"/>
          <w:szCs w:val="22"/>
          <w:lang w:val="en-GB"/>
        </w:rPr>
        <w:t xml:space="preserve">This is </w:t>
      </w:r>
      <w:r w:rsidR="00FD1963" w:rsidRPr="004E053C">
        <w:rPr>
          <w:rFonts w:eastAsia="Times New Roman" w:cstheme="majorHAnsi"/>
          <w:sz w:val="22"/>
          <w:szCs w:val="22"/>
          <w:lang w:val="en-GB"/>
        </w:rPr>
        <w:t>clearly</w:t>
      </w:r>
      <w:r w:rsidR="00FD39CF" w:rsidRPr="004E053C">
        <w:rPr>
          <w:rFonts w:eastAsia="Times New Roman" w:cstheme="majorHAnsi"/>
          <w:sz w:val="22"/>
          <w:szCs w:val="22"/>
          <w:lang w:val="en-GB"/>
        </w:rPr>
        <w:t xml:space="preserve"> an oversight, and in Bourdieusian analysis it is considered important to understand the temporal dimension of agents’ movements between their various positions </w:t>
      </w:r>
      <w:r w:rsidR="00BB181E"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2016)","plainTextFormattedCitation":"(Shammus &amp; Sandberg, 2016)","previouslyFormattedCitation":"(Shammus &amp; Sandberg, 2016)"},"properties":{"noteIndex":0},"schema":"https://github.com/citation-style-language/schema/raw/master/csl-citation.json"}</w:instrText>
      </w:r>
      <w:r w:rsidR="00BB181E" w:rsidRPr="004E053C">
        <w:rPr>
          <w:rFonts w:eastAsia="Times New Roman" w:cstheme="majorHAnsi"/>
          <w:sz w:val="22"/>
          <w:szCs w:val="22"/>
          <w:lang w:val="en-GB"/>
        </w:rPr>
        <w:fldChar w:fldCharType="separate"/>
      </w:r>
      <w:r w:rsidR="00BB181E" w:rsidRPr="004E053C">
        <w:rPr>
          <w:rFonts w:eastAsia="Times New Roman" w:cstheme="majorHAnsi"/>
          <w:noProof/>
          <w:sz w:val="22"/>
          <w:szCs w:val="22"/>
          <w:lang w:val="en-GB"/>
        </w:rPr>
        <w:t>(Shammus &amp; Sandberg, 2016)</w:t>
      </w:r>
      <w:r w:rsidR="00BB181E" w:rsidRPr="004E053C">
        <w:rPr>
          <w:rFonts w:eastAsia="Times New Roman" w:cstheme="majorHAnsi"/>
          <w:sz w:val="22"/>
          <w:szCs w:val="22"/>
          <w:lang w:val="en-GB"/>
        </w:rPr>
        <w:fldChar w:fldCharType="end"/>
      </w:r>
      <w:r w:rsidR="00BB181E" w:rsidRPr="004E053C">
        <w:rPr>
          <w:rFonts w:eastAsia="Times New Roman" w:cstheme="majorHAnsi"/>
          <w:sz w:val="22"/>
          <w:szCs w:val="22"/>
          <w:lang w:val="en-GB"/>
        </w:rPr>
        <w:t>.</w:t>
      </w:r>
      <w:r w:rsidR="00FD39CF" w:rsidRPr="004E053C">
        <w:rPr>
          <w:rFonts w:eastAsia="Times New Roman" w:cstheme="majorHAnsi"/>
          <w:sz w:val="22"/>
          <w:szCs w:val="22"/>
          <w:lang w:val="en-GB"/>
        </w:rPr>
        <w:t xml:space="preserve"> </w:t>
      </w:r>
      <w:r w:rsidR="006B12E4" w:rsidRPr="004E053C">
        <w:rPr>
          <w:rFonts w:eastAsia="Times New Roman" w:cstheme="majorHAnsi"/>
          <w:sz w:val="22"/>
          <w:szCs w:val="22"/>
          <w:lang w:val="en-GB"/>
        </w:rPr>
        <w:t>As shown here, the translocality of ones livelihood is not necessarily permanent, and this may either be because one chooses to settle permanently in a destination community or returns back to their village. Not only does this</w:t>
      </w:r>
      <w:r w:rsidR="004A3120" w:rsidRPr="004E053C">
        <w:rPr>
          <w:rFonts w:eastAsia="Times New Roman" w:cstheme="majorHAnsi"/>
          <w:sz w:val="22"/>
          <w:szCs w:val="22"/>
          <w:lang w:val="en-GB"/>
        </w:rPr>
        <w:t xml:space="preserve"> </w:t>
      </w:r>
      <w:r w:rsidR="006B12E4" w:rsidRPr="004E053C">
        <w:rPr>
          <w:rFonts w:eastAsia="Times New Roman" w:cstheme="majorHAnsi"/>
          <w:sz w:val="22"/>
          <w:szCs w:val="22"/>
          <w:lang w:val="en-GB"/>
        </w:rPr>
        <w:t xml:space="preserve">reinforce the fact that </w:t>
      </w:r>
      <w:r w:rsidR="00D17B22" w:rsidRPr="004E053C">
        <w:rPr>
          <w:rFonts w:eastAsia="Times New Roman" w:cstheme="majorHAnsi"/>
          <w:sz w:val="22"/>
          <w:szCs w:val="22"/>
          <w:lang w:val="en-GB"/>
        </w:rPr>
        <w:t xml:space="preserve">the relative levels of embeddedness in host and </w:t>
      </w:r>
      <w:r w:rsidR="00FD1963" w:rsidRPr="004E053C">
        <w:rPr>
          <w:rFonts w:eastAsia="Times New Roman" w:cstheme="majorHAnsi"/>
          <w:sz w:val="22"/>
          <w:szCs w:val="22"/>
          <w:lang w:val="en-GB"/>
        </w:rPr>
        <w:t>origin</w:t>
      </w:r>
      <w:r w:rsidR="00D17B22" w:rsidRPr="004E053C">
        <w:rPr>
          <w:rFonts w:eastAsia="Times New Roman" w:cstheme="majorHAnsi"/>
          <w:sz w:val="22"/>
          <w:szCs w:val="22"/>
          <w:lang w:val="en-GB"/>
        </w:rPr>
        <w:t xml:space="preserve"> community will vary greatly between individuals </w:t>
      </w:r>
      <w:r w:rsidR="00BB181E" w:rsidRPr="004E053C">
        <w:rPr>
          <w:rFonts w:eastAsia="Times New Roman" w:cstheme="majorHAnsi"/>
          <w:sz w:val="22"/>
          <w:szCs w:val="22"/>
          <w:lang w:val="en-GB"/>
        </w:rPr>
        <w:fldChar w:fldCharType="begin" w:fldLock="1"/>
      </w:r>
      <w:r w:rsidR="00680892" w:rsidRPr="004E053C">
        <w:rPr>
          <w:rFonts w:eastAsia="Times New Roman" w:cstheme="majorHAnsi"/>
          <w:sz w:val="22"/>
          <w:szCs w:val="22"/>
          <w:lang w:val="en-GB"/>
        </w:rPr>
        <w:instrText>ADDIN CSL_CITATION {"citationItems":[{"id":"ITEM-1","itemData":{"author":[{"dropping-particle":"","family":"Levitt","given":"Peggy","non-dropping-particle":"","parse-names":false,"suffix":""},{"dropping-particle":"","family":"Jaworsky","given":"B Nadya","non-dropping-particle":"","parse-names":false,"suffix":""}],"container-title":"Annual Review of Sociology","id":"ITEM-1","issued":{"date-parts":[["2007"]]},"page":"129 – 156","title":"Transnational migration studies: past developments and future trends","type":"article-journal","volume":"33"},"uris":["http://www.mendeley.com/documents/?uuid=f19605fe-557e-4067-b027-1e83b31a9583"]},{"id":"ITEM-2","itemData":{"author":[{"dropping-particle":"","family":"Carling","given":"Jorgen","non-dropping-particle":"","parse-names":false,"suffix":""}],"container-title":"Ethnic and Racial Studies","id":"ITEM-2","issue":"8","issued":{"date-parts":[["2008"]]},"page":"1452-1477","title":"The human dynamics of transnationalism","type":"article-journal","volume":"31"},"uris":["http://www.mendeley.com/documents/?uuid=4e9502bd-03d1-49f4-adda-36bcff515ccc"]}],"mendeley":{"formattedCitation":"(Carling, 2008; Levitt &amp; Jaworsky, 2007)","plainTextFormattedCitation":"(Carling, 2008; Levitt &amp; Jaworsky, 2007)","previouslyFormattedCitation":"(Carling, 2008; Levitt &amp; Jaworsky, 2007)"},"properties":{"noteIndex":0},"schema":"https://github.com/citation-style-language/schema/raw/master/csl-citation.json"}</w:instrText>
      </w:r>
      <w:r w:rsidR="00BB181E" w:rsidRPr="004E053C">
        <w:rPr>
          <w:rFonts w:eastAsia="Times New Roman" w:cstheme="majorHAnsi"/>
          <w:sz w:val="22"/>
          <w:szCs w:val="22"/>
          <w:lang w:val="en-GB"/>
        </w:rPr>
        <w:fldChar w:fldCharType="separate"/>
      </w:r>
      <w:r w:rsidR="00680892" w:rsidRPr="004E053C">
        <w:rPr>
          <w:rFonts w:eastAsia="Times New Roman" w:cstheme="majorHAnsi"/>
          <w:noProof/>
          <w:sz w:val="22"/>
          <w:szCs w:val="22"/>
          <w:lang w:val="en-GB"/>
        </w:rPr>
        <w:t>(Carling, 2008; Levitt &amp; Jaworsky, 2007)</w:t>
      </w:r>
      <w:r w:rsidR="00BB181E" w:rsidRPr="004E053C">
        <w:rPr>
          <w:rFonts w:eastAsia="Times New Roman" w:cstheme="majorHAnsi"/>
          <w:sz w:val="22"/>
          <w:szCs w:val="22"/>
          <w:lang w:val="en-GB"/>
        </w:rPr>
        <w:fldChar w:fldCharType="end"/>
      </w:r>
      <w:r w:rsidR="00D17B22" w:rsidRPr="004E053C">
        <w:rPr>
          <w:rFonts w:eastAsia="Times New Roman" w:cstheme="majorHAnsi"/>
          <w:sz w:val="22"/>
          <w:szCs w:val="22"/>
          <w:lang w:val="en-GB"/>
        </w:rPr>
        <w:t>, but</w:t>
      </w:r>
      <w:r w:rsidR="00FD39CF" w:rsidRPr="004E053C">
        <w:rPr>
          <w:rFonts w:eastAsia="Times New Roman" w:cstheme="majorHAnsi"/>
          <w:sz w:val="22"/>
          <w:szCs w:val="22"/>
          <w:lang w:val="en-GB"/>
        </w:rPr>
        <w:t xml:space="preserve"> it</w:t>
      </w:r>
      <w:r w:rsidR="00D17B22" w:rsidRPr="004E053C">
        <w:rPr>
          <w:rFonts w:eastAsia="Times New Roman" w:cstheme="majorHAnsi"/>
          <w:sz w:val="22"/>
          <w:szCs w:val="22"/>
          <w:lang w:val="en-GB"/>
        </w:rPr>
        <w:t xml:space="preserve"> also highlights how this relative </w:t>
      </w:r>
      <w:r w:rsidR="00114517" w:rsidRPr="004E053C">
        <w:rPr>
          <w:rFonts w:eastAsia="Times New Roman" w:cstheme="majorHAnsi"/>
          <w:sz w:val="22"/>
          <w:szCs w:val="22"/>
          <w:lang w:val="en-GB"/>
        </w:rPr>
        <w:t>‘</w:t>
      </w:r>
      <w:r w:rsidR="00D17B22" w:rsidRPr="004E053C">
        <w:rPr>
          <w:rFonts w:eastAsia="Times New Roman" w:cstheme="majorHAnsi"/>
          <w:sz w:val="22"/>
          <w:szCs w:val="22"/>
          <w:lang w:val="en-GB"/>
        </w:rPr>
        <w:t>embedded</w:t>
      </w:r>
      <w:r w:rsidR="00114517" w:rsidRPr="004E053C">
        <w:rPr>
          <w:rFonts w:eastAsia="Times New Roman" w:cstheme="majorHAnsi"/>
          <w:sz w:val="22"/>
          <w:szCs w:val="22"/>
          <w:lang w:val="en-GB"/>
        </w:rPr>
        <w:t>ness’</w:t>
      </w:r>
      <w:r w:rsidR="004A3120" w:rsidRPr="004E053C">
        <w:rPr>
          <w:rFonts w:eastAsia="Times New Roman" w:cstheme="majorHAnsi"/>
          <w:sz w:val="22"/>
          <w:szCs w:val="22"/>
          <w:lang w:val="en-GB"/>
        </w:rPr>
        <w:t xml:space="preserve"> </w:t>
      </w:r>
      <w:r w:rsidR="00D17B22" w:rsidRPr="004E053C">
        <w:rPr>
          <w:rFonts w:eastAsia="Times New Roman" w:cstheme="majorHAnsi"/>
          <w:sz w:val="22"/>
          <w:szCs w:val="22"/>
          <w:lang w:val="en-GB"/>
        </w:rPr>
        <w:t>changes</w:t>
      </w:r>
      <w:r w:rsidR="004A3120" w:rsidRPr="004E053C">
        <w:rPr>
          <w:rFonts w:eastAsia="Times New Roman" w:cstheme="majorHAnsi"/>
          <w:sz w:val="22"/>
          <w:szCs w:val="22"/>
          <w:lang w:val="en-GB"/>
        </w:rPr>
        <w:t xml:space="preserve"> over time. </w:t>
      </w:r>
      <w:r w:rsidR="00D17B22" w:rsidRPr="004E053C">
        <w:rPr>
          <w:rFonts w:eastAsia="Times New Roman" w:cstheme="majorHAnsi"/>
          <w:sz w:val="22"/>
          <w:szCs w:val="22"/>
          <w:lang w:val="en-GB"/>
        </w:rPr>
        <w:t>A</w:t>
      </w:r>
      <w:r w:rsidR="00B320E2" w:rsidRPr="004E053C">
        <w:rPr>
          <w:rFonts w:eastAsia="Times New Roman" w:cstheme="majorHAnsi"/>
          <w:sz w:val="22"/>
          <w:szCs w:val="22"/>
          <w:lang w:val="en-GB"/>
        </w:rPr>
        <w:t>s</w:t>
      </w:r>
      <w:r w:rsidR="00D17B22" w:rsidRPr="004E053C">
        <w:rPr>
          <w:rFonts w:eastAsia="Times New Roman" w:cstheme="majorHAnsi"/>
          <w:sz w:val="22"/>
          <w:szCs w:val="22"/>
          <w:lang w:val="en-GB"/>
        </w:rPr>
        <w:t xml:space="preserve"> livelihoods</w:t>
      </w:r>
      <w:r w:rsidR="00FD39CF" w:rsidRPr="004E053C">
        <w:rPr>
          <w:rFonts w:eastAsia="Times New Roman" w:cstheme="majorHAnsi"/>
          <w:sz w:val="22"/>
          <w:szCs w:val="22"/>
          <w:lang w:val="en-GB"/>
        </w:rPr>
        <w:t xml:space="preserve"> diverge</w:t>
      </w:r>
      <w:r w:rsidR="00B320E2" w:rsidRPr="004E053C">
        <w:rPr>
          <w:rFonts w:eastAsia="Times New Roman" w:cstheme="majorHAnsi"/>
          <w:sz w:val="22"/>
          <w:szCs w:val="22"/>
          <w:lang w:val="en-GB"/>
        </w:rPr>
        <w:t xml:space="preserve">, </w:t>
      </w:r>
      <w:r w:rsidR="00D17B22" w:rsidRPr="004E053C">
        <w:rPr>
          <w:rFonts w:eastAsia="Times New Roman" w:cstheme="majorHAnsi"/>
          <w:sz w:val="22"/>
          <w:szCs w:val="22"/>
          <w:lang w:val="en-GB"/>
        </w:rPr>
        <w:t xml:space="preserve">this </w:t>
      </w:r>
      <w:r w:rsidR="00114517" w:rsidRPr="004E053C">
        <w:rPr>
          <w:rFonts w:eastAsia="Times New Roman" w:cstheme="majorHAnsi"/>
          <w:sz w:val="22"/>
          <w:szCs w:val="22"/>
          <w:lang w:val="en-GB"/>
        </w:rPr>
        <w:t xml:space="preserve">may </w:t>
      </w:r>
      <w:r w:rsidR="00D17B22" w:rsidRPr="004E053C">
        <w:rPr>
          <w:rFonts w:eastAsia="Times New Roman" w:cstheme="majorHAnsi"/>
          <w:sz w:val="22"/>
          <w:szCs w:val="22"/>
          <w:lang w:val="en-GB"/>
        </w:rPr>
        <w:t xml:space="preserve">change the </w:t>
      </w:r>
      <w:r w:rsidR="00FD39CF" w:rsidRPr="004E053C">
        <w:rPr>
          <w:rFonts w:eastAsia="Times New Roman" w:cstheme="majorHAnsi"/>
          <w:sz w:val="22"/>
          <w:szCs w:val="22"/>
          <w:lang w:val="en-GB"/>
        </w:rPr>
        <w:t xml:space="preserve">relative </w:t>
      </w:r>
      <w:r w:rsidR="00D17B22" w:rsidRPr="004E053C">
        <w:rPr>
          <w:rFonts w:eastAsia="Times New Roman" w:cstheme="majorHAnsi"/>
          <w:sz w:val="22"/>
          <w:szCs w:val="22"/>
          <w:lang w:val="en-GB"/>
        </w:rPr>
        <w:t xml:space="preserve">position </w:t>
      </w:r>
      <w:r w:rsidR="00FD39CF" w:rsidRPr="004E053C">
        <w:rPr>
          <w:rFonts w:eastAsia="Times New Roman" w:cstheme="majorHAnsi"/>
          <w:sz w:val="22"/>
          <w:szCs w:val="22"/>
          <w:lang w:val="en-GB"/>
        </w:rPr>
        <w:t xml:space="preserve">of </w:t>
      </w:r>
      <w:r w:rsidR="00D17B22" w:rsidRPr="004E053C">
        <w:rPr>
          <w:rFonts w:eastAsia="Times New Roman" w:cstheme="majorHAnsi"/>
          <w:sz w:val="22"/>
          <w:szCs w:val="22"/>
          <w:lang w:val="en-GB"/>
        </w:rPr>
        <w:t xml:space="preserve">actors </w:t>
      </w:r>
      <w:r w:rsidR="00FD39CF" w:rsidRPr="004E053C">
        <w:rPr>
          <w:rFonts w:eastAsia="Times New Roman" w:cstheme="majorHAnsi"/>
          <w:sz w:val="22"/>
          <w:szCs w:val="22"/>
          <w:lang w:val="en-GB"/>
        </w:rPr>
        <w:t>within</w:t>
      </w:r>
      <w:r w:rsidR="00D17B22" w:rsidRPr="004E053C">
        <w:rPr>
          <w:rFonts w:eastAsia="Times New Roman" w:cstheme="majorHAnsi"/>
          <w:sz w:val="22"/>
          <w:szCs w:val="22"/>
          <w:lang w:val="en-GB"/>
        </w:rPr>
        <w:t xml:space="preserve"> the social field</w:t>
      </w:r>
      <w:r w:rsidR="00FD39CF" w:rsidRPr="004E053C">
        <w:rPr>
          <w:rFonts w:eastAsia="Times New Roman" w:cstheme="majorHAnsi"/>
          <w:sz w:val="22"/>
          <w:szCs w:val="22"/>
          <w:lang w:val="en-GB"/>
        </w:rPr>
        <w:t xml:space="preserve"> and </w:t>
      </w:r>
      <w:r w:rsidR="00D17B22" w:rsidRPr="004E053C">
        <w:rPr>
          <w:rFonts w:eastAsia="Times New Roman" w:cstheme="majorHAnsi"/>
          <w:sz w:val="22"/>
          <w:szCs w:val="22"/>
          <w:lang w:val="en-GB"/>
        </w:rPr>
        <w:t>lead to contestations</w:t>
      </w:r>
      <w:r w:rsidR="00DC3DAA" w:rsidRPr="004E053C">
        <w:rPr>
          <w:rFonts w:eastAsia="Times New Roman" w:cstheme="majorHAnsi"/>
          <w:sz w:val="22"/>
          <w:szCs w:val="22"/>
          <w:lang w:val="en-GB"/>
        </w:rPr>
        <w:t xml:space="preserve">, particularly </w:t>
      </w:r>
      <w:r w:rsidR="00FD39CF" w:rsidRPr="004E053C">
        <w:rPr>
          <w:rFonts w:eastAsia="Times New Roman" w:cstheme="majorHAnsi"/>
          <w:sz w:val="22"/>
          <w:szCs w:val="22"/>
          <w:lang w:val="en-GB"/>
        </w:rPr>
        <w:t>through the affect on the relationships between those actors</w:t>
      </w:r>
      <w:r w:rsidR="00D17B22" w:rsidRPr="004E053C">
        <w:rPr>
          <w:rFonts w:eastAsia="Times New Roman" w:cstheme="majorHAnsi"/>
          <w:sz w:val="22"/>
          <w:szCs w:val="22"/>
          <w:lang w:val="en-GB"/>
        </w:rPr>
        <w:t>. I will elaborate on t</w:t>
      </w:r>
      <w:r w:rsidR="00F16371" w:rsidRPr="004E053C">
        <w:rPr>
          <w:rFonts w:eastAsia="Times New Roman" w:cstheme="majorHAnsi"/>
          <w:sz w:val="22"/>
          <w:szCs w:val="22"/>
          <w:lang w:val="en-GB"/>
        </w:rPr>
        <w:t>his in more detail in chapters 8 and 9</w:t>
      </w:r>
      <w:r w:rsidR="00D17B22" w:rsidRPr="004E053C">
        <w:rPr>
          <w:rFonts w:eastAsia="Times New Roman" w:cstheme="majorHAnsi"/>
          <w:sz w:val="22"/>
          <w:szCs w:val="22"/>
          <w:lang w:val="en-GB"/>
        </w:rPr>
        <w:t xml:space="preserve">. </w:t>
      </w:r>
    </w:p>
    <w:p w14:paraId="6493503F" w14:textId="77777777" w:rsidR="00E06A67" w:rsidRPr="004E053C" w:rsidRDefault="00E06A67" w:rsidP="004E053C">
      <w:pPr>
        <w:spacing w:line="360" w:lineRule="auto"/>
        <w:jc w:val="both"/>
        <w:rPr>
          <w:rFonts w:eastAsia="Times New Roman" w:cstheme="majorHAnsi"/>
          <w:sz w:val="22"/>
          <w:szCs w:val="22"/>
          <w:lang w:val="en-GB"/>
        </w:rPr>
      </w:pPr>
    </w:p>
    <w:p w14:paraId="0C23515B" w14:textId="7E3655D0" w:rsidR="0091076C"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.4</w:t>
      </w:r>
      <w:r w:rsidR="00FE44D6" w:rsidRPr="004E053C">
        <w:rPr>
          <w:rFonts w:asciiTheme="minorHAnsi" w:hAnsiTheme="minorHAnsi"/>
        </w:rPr>
        <w:t>.3. Floating Migrants</w:t>
      </w:r>
    </w:p>
    <w:p w14:paraId="62366775" w14:textId="77777777" w:rsidR="004A3EF1" w:rsidRPr="004E053C" w:rsidRDefault="004A3EF1" w:rsidP="004E053C">
      <w:pPr>
        <w:spacing w:line="360" w:lineRule="auto"/>
        <w:jc w:val="both"/>
        <w:rPr>
          <w:rFonts w:cstheme="majorHAnsi"/>
          <w:lang w:val="en-GB"/>
        </w:rPr>
      </w:pPr>
    </w:p>
    <w:p w14:paraId="41F4CD6D" w14:textId="74FE7306" w:rsidR="0091076C" w:rsidRPr="004E053C" w:rsidRDefault="00923CFD" w:rsidP="004E053C">
      <w:pPr>
        <w:spacing w:line="360" w:lineRule="auto"/>
        <w:jc w:val="both"/>
        <w:rPr>
          <w:rFonts w:eastAsia="Times New Roman" w:cstheme="majorHAnsi"/>
          <w:sz w:val="22"/>
          <w:szCs w:val="22"/>
          <w:lang w:val="en-GB"/>
        </w:rPr>
      </w:pPr>
      <w:r w:rsidRPr="004E053C">
        <w:rPr>
          <w:rFonts w:cstheme="majorHAnsi"/>
          <w:sz w:val="22"/>
          <w:szCs w:val="22"/>
          <w:lang w:val="en-GB"/>
        </w:rPr>
        <w:t>There is</w:t>
      </w:r>
      <w:r w:rsidR="0091076C" w:rsidRPr="004E053C">
        <w:rPr>
          <w:rFonts w:cstheme="majorHAnsi"/>
          <w:sz w:val="22"/>
          <w:szCs w:val="22"/>
          <w:lang w:val="en-GB"/>
        </w:rPr>
        <w:t xml:space="preserve"> another group of miners who do not have families in the Andes, yet are also not rooted in a specific location within Madre de Dios. Despite working in ASM year-round, these miners have usually not invested in any mining equipment and are </w:t>
      </w:r>
      <w:r w:rsidR="00A70DD0" w:rsidRPr="004E053C">
        <w:rPr>
          <w:rFonts w:cstheme="majorHAnsi"/>
          <w:sz w:val="22"/>
          <w:szCs w:val="22"/>
          <w:lang w:val="en-GB"/>
        </w:rPr>
        <w:t>‘free’</w:t>
      </w:r>
      <w:r w:rsidR="0091076C" w:rsidRPr="004E053C">
        <w:rPr>
          <w:rFonts w:cstheme="majorHAnsi"/>
          <w:sz w:val="22"/>
          <w:szCs w:val="22"/>
          <w:lang w:val="en-GB"/>
        </w:rPr>
        <w:t xml:space="preserve"> to move to wherever there are jobs are available. In doing so, they add an additional layer of fluidity to the translocal ASM community which connects the various mining sites. The </w:t>
      </w:r>
      <w:r w:rsidR="005527DD" w:rsidRPr="004E053C">
        <w:rPr>
          <w:rFonts w:cstheme="majorHAnsi"/>
          <w:sz w:val="22"/>
          <w:szCs w:val="22"/>
          <w:lang w:val="en-GB"/>
        </w:rPr>
        <w:t>community in Laberinto refers</w:t>
      </w:r>
      <w:r w:rsidR="0091076C" w:rsidRPr="004E053C">
        <w:rPr>
          <w:rFonts w:cstheme="majorHAnsi"/>
          <w:sz w:val="22"/>
          <w:szCs w:val="22"/>
          <w:lang w:val="en-GB"/>
        </w:rPr>
        <w:t xml:space="preserve"> to them as </w:t>
      </w:r>
      <w:r w:rsidRPr="004E053C">
        <w:rPr>
          <w:rFonts w:cstheme="majorHAnsi"/>
          <w:i/>
          <w:sz w:val="22"/>
          <w:szCs w:val="22"/>
          <w:lang w:val="en-GB"/>
        </w:rPr>
        <w:t>flo</w:t>
      </w:r>
      <w:r w:rsidR="0091076C" w:rsidRPr="004E053C">
        <w:rPr>
          <w:rFonts w:cstheme="majorHAnsi"/>
          <w:i/>
          <w:sz w:val="22"/>
          <w:szCs w:val="22"/>
          <w:lang w:val="en-GB"/>
        </w:rPr>
        <w:t xml:space="preserve">tantes, </w:t>
      </w:r>
      <w:r w:rsidR="0091076C" w:rsidRPr="004E053C">
        <w:rPr>
          <w:rFonts w:cstheme="majorHAnsi"/>
          <w:iCs/>
          <w:sz w:val="22"/>
          <w:szCs w:val="22"/>
          <w:lang w:val="en-GB"/>
        </w:rPr>
        <w:t xml:space="preserve">or floating miners. </w:t>
      </w:r>
      <w:r w:rsidR="007D1DF3" w:rsidRPr="004E053C">
        <w:rPr>
          <w:rFonts w:cstheme="majorHAnsi"/>
          <w:iCs/>
          <w:sz w:val="22"/>
          <w:szCs w:val="22"/>
          <w:lang w:val="en-GB"/>
        </w:rPr>
        <w:t xml:space="preserve">These miners are often </w:t>
      </w:r>
      <w:r w:rsidR="00CE6678" w:rsidRPr="004E053C">
        <w:rPr>
          <w:rFonts w:cstheme="majorHAnsi"/>
          <w:iCs/>
          <w:sz w:val="22"/>
          <w:szCs w:val="22"/>
          <w:lang w:val="en-GB"/>
        </w:rPr>
        <w:t>young men who are unmarried and therefore have few responsibilities. Although to some extent this category may therefore represent a particular stage of life, I have</w:t>
      </w:r>
      <w:r w:rsidRPr="004E053C">
        <w:rPr>
          <w:rFonts w:cstheme="majorHAnsi"/>
          <w:iCs/>
          <w:sz w:val="22"/>
          <w:szCs w:val="22"/>
          <w:lang w:val="en-GB"/>
        </w:rPr>
        <w:t xml:space="preserve"> included it as its own category</w:t>
      </w:r>
      <w:r w:rsidR="00CE6678" w:rsidRPr="004E053C">
        <w:rPr>
          <w:rFonts w:cstheme="majorHAnsi"/>
          <w:iCs/>
          <w:sz w:val="22"/>
          <w:szCs w:val="22"/>
          <w:lang w:val="en-GB"/>
        </w:rPr>
        <w:t xml:space="preserve"> for two reasons. Firstly, these miners exhibit distinct patterns of </w:t>
      </w:r>
      <w:r w:rsidR="00D3785B" w:rsidRPr="004E053C">
        <w:rPr>
          <w:rFonts w:cstheme="majorHAnsi"/>
          <w:iCs/>
          <w:sz w:val="22"/>
          <w:szCs w:val="22"/>
          <w:lang w:val="en-GB"/>
        </w:rPr>
        <w:t>behaviour</w:t>
      </w:r>
      <w:r w:rsidR="00CE6678" w:rsidRPr="004E053C">
        <w:rPr>
          <w:rFonts w:cstheme="majorHAnsi"/>
          <w:iCs/>
          <w:sz w:val="22"/>
          <w:szCs w:val="22"/>
          <w:lang w:val="en-GB"/>
        </w:rPr>
        <w:t xml:space="preserve">, and secondly, at any given time there are floating miners acting within the social field. I therefore consider the category important for an overall understanding of the translocal ASM community. </w:t>
      </w:r>
    </w:p>
    <w:p w14:paraId="67799F5E" w14:textId="77777777" w:rsidR="0091076C" w:rsidRPr="004E053C" w:rsidRDefault="0091076C" w:rsidP="004E053C">
      <w:pPr>
        <w:spacing w:line="360" w:lineRule="auto"/>
        <w:jc w:val="both"/>
        <w:rPr>
          <w:rFonts w:eastAsia="Times New Roman" w:cstheme="majorHAnsi"/>
          <w:sz w:val="22"/>
          <w:szCs w:val="22"/>
          <w:lang w:val="en-GB"/>
        </w:rPr>
      </w:pPr>
    </w:p>
    <w:p w14:paraId="3FE3D202" w14:textId="003DF9E8"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Four key features of the ASM econo</w:t>
      </w:r>
      <w:r w:rsidR="00923CFD" w:rsidRPr="004E053C">
        <w:rPr>
          <w:rFonts w:eastAsia="Times New Roman" w:cstheme="majorHAnsi"/>
          <w:sz w:val="22"/>
          <w:szCs w:val="22"/>
          <w:lang w:val="en-GB"/>
        </w:rPr>
        <w:t xml:space="preserve">my encourage high </w:t>
      </w:r>
      <w:r w:rsidRPr="004E053C">
        <w:rPr>
          <w:rFonts w:eastAsia="Times New Roman" w:cstheme="majorHAnsi"/>
          <w:sz w:val="22"/>
          <w:szCs w:val="22"/>
          <w:lang w:val="en-GB"/>
        </w:rPr>
        <w:t xml:space="preserve">levels of mobility. Firstly, ASM pays daily, which makes it unusual in a local economy where the alternatives are agriculture and logging. The feature of daily wages means that there are usually no contracts, and workers are able to come and go as they please. Not all </w:t>
      </w:r>
      <w:r w:rsidRPr="004E053C">
        <w:rPr>
          <w:rFonts w:eastAsia="Times New Roman" w:cstheme="majorHAnsi"/>
          <w:i/>
          <w:sz w:val="22"/>
          <w:szCs w:val="22"/>
          <w:lang w:val="en-GB"/>
        </w:rPr>
        <w:t>obreros</w:t>
      </w:r>
      <w:r w:rsidRPr="004E053C">
        <w:rPr>
          <w:rFonts w:eastAsia="Times New Roman" w:cstheme="majorHAnsi"/>
          <w:sz w:val="22"/>
          <w:szCs w:val="22"/>
          <w:lang w:val="en-GB"/>
        </w:rPr>
        <w:t xml:space="preserve"> are </w:t>
      </w:r>
      <w:r w:rsidR="00923CFD" w:rsidRPr="004E053C">
        <w:rPr>
          <w:rFonts w:eastAsia="Times New Roman" w:cstheme="majorHAnsi"/>
          <w:i/>
          <w:sz w:val="22"/>
          <w:szCs w:val="22"/>
          <w:lang w:val="en-GB"/>
        </w:rPr>
        <w:t>flo</w:t>
      </w:r>
      <w:r w:rsidRPr="004E053C">
        <w:rPr>
          <w:rFonts w:eastAsia="Times New Roman" w:cstheme="majorHAnsi"/>
          <w:i/>
          <w:sz w:val="22"/>
          <w:szCs w:val="22"/>
          <w:lang w:val="en-GB"/>
        </w:rPr>
        <w:t xml:space="preserve">tantes </w:t>
      </w:r>
      <w:r w:rsidRPr="004E053C">
        <w:rPr>
          <w:rFonts w:eastAsia="Times New Roman" w:cstheme="majorHAnsi"/>
          <w:sz w:val="22"/>
          <w:szCs w:val="22"/>
          <w:lang w:val="en-GB"/>
        </w:rPr>
        <w:t>however, and those</w:t>
      </w:r>
      <w:r w:rsidRPr="004E053C">
        <w:rPr>
          <w:rFonts w:eastAsia="Times New Roman" w:cstheme="majorHAnsi"/>
          <w:i/>
          <w:sz w:val="22"/>
          <w:szCs w:val="22"/>
          <w:lang w:val="en-GB"/>
        </w:rPr>
        <w:t xml:space="preserve"> </w:t>
      </w:r>
      <w:r w:rsidRPr="004E053C">
        <w:rPr>
          <w:rFonts w:eastAsia="Times New Roman" w:cstheme="majorHAnsi"/>
          <w:sz w:val="22"/>
          <w:szCs w:val="22"/>
          <w:lang w:val="en-GB"/>
        </w:rPr>
        <w:t xml:space="preserve">that are more likely to settle are ones that have contracts with a particular </w:t>
      </w:r>
      <w:r w:rsidRPr="004E053C">
        <w:rPr>
          <w:rFonts w:eastAsia="Times New Roman" w:cstheme="majorHAnsi"/>
          <w:i/>
          <w:iCs/>
          <w:sz w:val="22"/>
          <w:szCs w:val="22"/>
          <w:lang w:val="en-GB"/>
        </w:rPr>
        <w:t>dueno</w:t>
      </w:r>
      <w:r w:rsidRPr="004E053C">
        <w:rPr>
          <w:rFonts w:eastAsia="Times New Roman" w:cstheme="majorHAnsi"/>
          <w:sz w:val="22"/>
          <w:szCs w:val="22"/>
          <w:lang w:val="en-GB"/>
        </w:rPr>
        <w:t xml:space="preserve"> or </w:t>
      </w:r>
      <w:r w:rsidRPr="004E053C">
        <w:rPr>
          <w:rFonts w:eastAsia="Times New Roman" w:cstheme="majorHAnsi"/>
          <w:i/>
          <w:iCs/>
          <w:sz w:val="22"/>
          <w:szCs w:val="22"/>
          <w:lang w:val="en-GB"/>
        </w:rPr>
        <w:t>concessionario</w:t>
      </w:r>
      <w:r w:rsidRPr="004E053C">
        <w:rPr>
          <w:rFonts w:eastAsia="Times New Roman" w:cstheme="majorHAnsi"/>
          <w:sz w:val="22"/>
          <w:szCs w:val="22"/>
          <w:lang w:val="en-GB"/>
        </w:rPr>
        <w:t xml:space="preserve">, and are therefore paid monthly. </w:t>
      </w:r>
      <w:r w:rsidRPr="004E053C">
        <w:rPr>
          <w:rFonts w:eastAsia="Times New Roman" w:cstheme="majorHAnsi"/>
          <w:sz w:val="22"/>
          <w:szCs w:val="22"/>
          <w:lang w:val="en-GB"/>
        </w:rPr>
        <w:lastRenderedPageBreak/>
        <w:t xml:space="preserve">Others may work at a particular mine for some days or weeks and then go somewhere else. Secondly, rates of pay are variable, and as the </w:t>
      </w:r>
      <w:r w:rsidRPr="004E053C">
        <w:rPr>
          <w:rFonts w:eastAsia="Times New Roman" w:cstheme="majorHAnsi"/>
          <w:i/>
          <w:sz w:val="22"/>
          <w:szCs w:val="22"/>
          <w:lang w:val="en-GB"/>
        </w:rPr>
        <w:t xml:space="preserve">obreros </w:t>
      </w:r>
      <w:r w:rsidRPr="004E053C">
        <w:rPr>
          <w:rFonts w:eastAsia="Times New Roman" w:cstheme="majorHAnsi"/>
          <w:sz w:val="22"/>
          <w:szCs w:val="22"/>
          <w:lang w:val="en-GB"/>
        </w:rPr>
        <w:t xml:space="preserve">are free, they are attracted to wherever is paying the highest rate per gram. With no roots, it is easier to remain mobile and </w:t>
      </w:r>
      <w:r w:rsidR="007D1DF3" w:rsidRPr="004E053C">
        <w:rPr>
          <w:rFonts w:eastAsia="Times New Roman" w:cstheme="majorHAnsi"/>
          <w:sz w:val="22"/>
          <w:szCs w:val="22"/>
          <w:lang w:val="en-GB"/>
        </w:rPr>
        <w:t>claim the highest price for one’s</w:t>
      </w:r>
      <w:r w:rsidRPr="004E053C">
        <w:rPr>
          <w:rFonts w:eastAsia="Times New Roman" w:cstheme="majorHAnsi"/>
          <w:sz w:val="22"/>
          <w:szCs w:val="22"/>
          <w:lang w:val="en-GB"/>
        </w:rPr>
        <w:t xml:space="preserve"> labour. Several of the miners described the </w:t>
      </w:r>
      <w:r w:rsidRPr="004E053C">
        <w:rPr>
          <w:rFonts w:eastAsia="Times New Roman" w:cstheme="majorHAnsi"/>
          <w:i/>
          <w:iCs/>
          <w:sz w:val="22"/>
          <w:szCs w:val="22"/>
          <w:lang w:val="en-GB"/>
        </w:rPr>
        <w:t>floatantes</w:t>
      </w:r>
      <w:r w:rsidR="007D1DF3" w:rsidRPr="004E053C">
        <w:rPr>
          <w:rFonts w:eastAsia="Times New Roman" w:cstheme="majorHAnsi"/>
          <w:sz w:val="22"/>
          <w:szCs w:val="22"/>
          <w:lang w:val="en-GB"/>
        </w:rPr>
        <w:t xml:space="preserve"> as being ‘free’</w:t>
      </w:r>
      <w:r w:rsidRPr="004E053C">
        <w:rPr>
          <w:rFonts w:eastAsia="Times New Roman" w:cstheme="majorHAnsi"/>
          <w:sz w:val="22"/>
          <w:szCs w:val="22"/>
          <w:lang w:val="en-GB"/>
        </w:rPr>
        <w:t xml:space="preserve">, meaning that they could work wherever they wanted from day-to-day. </w:t>
      </w:r>
      <w:r w:rsidR="00EA7F80" w:rsidRPr="004E053C">
        <w:rPr>
          <w:rFonts w:eastAsia="Times New Roman" w:cstheme="majorHAnsi"/>
          <w:sz w:val="22"/>
          <w:szCs w:val="22"/>
          <w:lang w:val="en-GB"/>
        </w:rPr>
        <w:t>Willan</w:t>
      </w:r>
      <w:r w:rsidRPr="004E053C">
        <w:rPr>
          <w:rFonts w:eastAsia="Times New Roman" w:cstheme="majorHAnsi"/>
          <w:sz w:val="22"/>
          <w:szCs w:val="22"/>
          <w:lang w:val="en-GB"/>
        </w:rPr>
        <w:t xml:space="preserve"> explained how this played out in his mine:</w:t>
      </w:r>
    </w:p>
    <w:p w14:paraId="21FC700B" w14:textId="77777777" w:rsidR="0091076C" w:rsidRPr="004E053C" w:rsidRDefault="0091076C" w:rsidP="004E053C">
      <w:pPr>
        <w:spacing w:line="360" w:lineRule="auto"/>
        <w:jc w:val="both"/>
        <w:rPr>
          <w:rFonts w:eastAsia="Times New Roman" w:cstheme="majorHAnsi"/>
          <w:sz w:val="22"/>
          <w:szCs w:val="22"/>
          <w:lang w:val="en-GB"/>
        </w:rPr>
      </w:pPr>
    </w:p>
    <w:p w14:paraId="6C631D40" w14:textId="58275802" w:rsidR="0091076C" w:rsidRPr="004E053C" w:rsidRDefault="007D1DF3"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0091076C" w:rsidRPr="004E053C">
        <w:rPr>
          <w:rFonts w:eastAsia="Times New Roman" w:cstheme="majorHAnsi"/>
          <w:i/>
          <w:sz w:val="22"/>
          <w:szCs w:val="22"/>
          <w:lang w:val="en-GB"/>
        </w:rPr>
        <w:t>Those who do not have a contract do not stay. If the production today has not been good enough, they will say: “Mister, I will go today”, and we pay them and they leave</w:t>
      </w:r>
      <w:r w:rsidRPr="004E053C">
        <w:rPr>
          <w:rFonts w:eastAsia="Times New Roman" w:cstheme="majorHAnsi"/>
          <w:sz w:val="22"/>
          <w:szCs w:val="22"/>
          <w:lang w:val="en-GB"/>
        </w:rPr>
        <w:t>’</w:t>
      </w:r>
      <w:r w:rsidR="0091076C"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Willan</w:t>
      </w:r>
      <w:r w:rsidR="0091076C" w:rsidRPr="004E053C">
        <w:rPr>
          <w:rFonts w:eastAsia="Times New Roman" w:cstheme="majorHAnsi"/>
          <w:sz w:val="22"/>
          <w:szCs w:val="22"/>
          <w:lang w:val="en-GB"/>
        </w:rPr>
        <w:t>, ASM miner, Laberinto).</w:t>
      </w:r>
    </w:p>
    <w:p w14:paraId="3166167D" w14:textId="77777777" w:rsidR="0091076C" w:rsidRPr="004E053C" w:rsidRDefault="0091076C" w:rsidP="004E053C">
      <w:pPr>
        <w:spacing w:line="360" w:lineRule="auto"/>
        <w:jc w:val="both"/>
        <w:rPr>
          <w:rFonts w:eastAsia="Times New Roman" w:cstheme="majorHAnsi"/>
          <w:sz w:val="22"/>
          <w:szCs w:val="22"/>
          <w:lang w:val="en-GB"/>
        </w:rPr>
      </w:pPr>
    </w:p>
    <w:p w14:paraId="3479852A" w14:textId="56525900" w:rsidR="0091076C" w:rsidRPr="004E053C" w:rsidRDefault="0091076C" w:rsidP="004E053C">
      <w:pPr>
        <w:spacing w:line="360" w:lineRule="auto"/>
        <w:jc w:val="both"/>
        <w:rPr>
          <w:rFonts w:cstheme="majorHAnsi"/>
          <w:iCs/>
          <w:sz w:val="22"/>
          <w:szCs w:val="22"/>
          <w:lang w:val="en-GB"/>
        </w:rPr>
      </w:pPr>
      <w:r w:rsidRPr="004E053C">
        <w:rPr>
          <w:rFonts w:eastAsia="Times New Roman" w:cstheme="majorHAnsi"/>
          <w:sz w:val="22"/>
          <w:szCs w:val="22"/>
          <w:lang w:val="en-GB"/>
        </w:rPr>
        <w:t xml:space="preserve">Thirdly, due to the high demand for </w:t>
      </w:r>
      <w:r w:rsidRPr="004E053C">
        <w:rPr>
          <w:rFonts w:eastAsia="Times New Roman" w:cstheme="majorHAnsi"/>
          <w:i/>
          <w:sz w:val="22"/>
          <w:szCs w:val="22"/>
          <w:lang w:val="en-GB"/>
        </w:rPr>
        <w:t>obreros</w:t>
      </w:r>
      <w:r w:rsidRPr="004E053C">
        <w:rPr>
          <w:rFonts w:eastAsia="Times New Roman" w:cstheme="majorHAnsi"/>
          <w:sz w:val="22"/>
          <w:szCs w:val="22"/>
          <w:lang w:val="en-GB"/>
        </w:rPr>
        <w:t xml:space="preserve">, they know that it will be easy for them to find work with someone else – particularly if they look for work in La Pampa. One miner in particular discussed how in La Pampa there was a lot of work and therefore </w:t>
      </w:r>
      <w:r w:rsidR="00934C03" w:rsidRPr="004E053C">
        <w:rPr>
          <w:rFonts w:eastAsia="Times New Roman" w:cstheme="majorHAnsi"/>
          <w:sz w:val="22"/>
          <w:szCs w:val="22"/>
          <w:lang w:val="en-GB"/>
        </w:rPr>
        <w:t>many</w:t>
      </w:r>
      <w:r w:rsidRPr="004E053C">
        <w:rPr>
          <w:rFonts w:eastAsia="Times New Roman" w:cstheme="majorHAnsi"/>
          <w:sz w:val="22"/>
          <w:szCs w:val="22"/>
          <w:lang w:val="en-GB"/>
        </w:rPr>
        <w:t xml:space="preserve"> options –</w:t>
      </w:r>
      <w:r w:rsidRPr="004E053C">
        <w:rPr>
          <w:rFonts w:eastAsia="Times New Roman" w:cstheme="majorHAnsi"/>
          <w:b/>
          <w:sz w:val="22"/>
          <w:szCs w:val="22"/>
          <w:lang w:val="en-GB"/>
        </w:rPr>
        <w:t xml:space="preserve"> </w:t>
      </w:r>
      <w:r w:rsidR="007D1DF3" w:rsidRPr="004E053C">
        <w:rPr>
          <w:rFonts w:eastAsia="Times New Roman" w:cstheme="majorHAnsi"/>
          <w:i/>
          <w:sz w:val="22"/>
          <w:szCs w:val="22"/>
          <w:lang w:val="en-GB"/>
        </w:rPr>
        <w:t>‘</w:t>
      </w:r>
      <w:r w:rsidRPr="004E053C">
        <w:rPr>
          <w:rFonts w:eastAsia="Times New Roman" w:cstheme="majorHAnsi"/>
          <w:i/>
          <w:sz w:val="22"/>
          <w:szCs w:val="22"/>
          <w:lang w:val="en-GB"/>
        </w:rPr>
        <w:t>If you don’t like your boss, you can change. If you don’t like your mine, you can change</w:t>
      </w:r>
      <w:r w:rsidR="007D1DF3" w:rsidRPr="004E053C">
        <w:rPr>
          <w:rFonts w:eastAsia="Times New Roman" w:cstheme="majorHAnsi"/>
          <w: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Alejandro</w:t>
      </w:r>
      <w:r w:rsidRPr="004E053C">
        <w:rPr>
          <w:rFonts w:eastAsia="Times New Roman" w:cstheme="majorHAnsi"/>
          <w:sz w:val="22"/>
          <w:szCs w:val="22"/>
          <w:lang w:val="en-GB"/>
        </w:rPr>
        <w:t>, ASM miner, Laberinto).</w:t>
      </w:r>
      <w:r w:rsidRPr="004E053C">
        <w:rPr>
          <w:rFonts w:cstheme="majorHAnsi"/>
          <w:iCs/>
          <w:sz w:val="22"/>
          <w:szCs w:val="22"/>
          <w:lang w:val="en-GB"/>
        </w:rPr>
        <w:t xml:space="preserve"> For many </w:t>
      </w:r>
      <w:r w:rsidRPr="004E053C">
        <w:rPr>
          <w:rFonts w:cstheme="majorHAnsi"/>
          <w:i/>
          <w:sz w:val="22"/>
          <w:szCs w:val="22"/>
          <w:lang w:val="en-GB"/>
        </w:rPr>
        <w:t>obreros</w:t>
      </w:r>
      <w:r w:rsidRPr="004E053C">
        <w:rPr>
          <w:rFonts w:cstheme="majorHAnsi"/>
          <w:iCs/>
          <w:sz w:val="22"/>
          <w:szCs w:val="22"/>
          <w:lang w:val="en-GB"/>
        </w:rPr>
        <w:t xml:space="preserve"> then, it makes sense to remain translocal and not root oneself to any particular mine site or community. </w:t>
      </w:r>
      <w:r w:rsidR="00EA7F80" w:rsidRPr="004E053C">
        <w:rPr>
          <w:rFonts w:cstheme="majorHAnsi"/>
          <w:iCs/>
          <w:sz w:val="22"/>
          <w:szCs w:val="22"/>
          <w:lang w:val="en-GB"/>
        </w:rPr>
        <w:t>Christian</w:t>
      </w:r>
      <w:r w:rsidRPr="004E053C">
        <w:rPr>
          <w:rFonts w:cstheme="majorHAnsi"/>
          <w:iCs/>
          <w:sz w:val="22"/>
          <w:szCs w:val="22"/>
          <w:lang w:val="en-GB"/>
        </w:rPr>
        <w:t>, who had been working in ASM in this way for some years, explained the benefits of this approach:</w:t>
      </w:r>
    </w:p>
    <w:p w14:paraId="34F6683C" w14:textId="77777777" w:rsidR="0091076C" w:rsidRPr="004E053C" w:rsidRDefault="0091076C" w:rsidP="004E053C">
      <w:pPr>
        <w:spacing w:line="360" w:lineRule="auto"/>
        <w:jc w:val="both"/>
        <w:rPr>
          <w:rFonts w:cstheme="majorHAnsi"/>
          <w:iCs/>
          <w:sz w:val="22"/>
          <w:szCs w:val="22"/>
          <w:lang w:val="en-GB"/>
        </w:rPr>
      </w:pPr>
    </w:p>
    <w:p w14:paraId="6C09A6AD" w14:textId="4FCCA6E4" w:rsidR="0091076C" w:rsidRPr="004E053C" w:rsidRDefault="007D1DF3"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0091076C" w:rsidRPr="004E053C">
        <w:rPr>
          <w:rFonts w:eastAsia="Times New Roman" w:cstheme="majorHAnsi"/>
          <w:i/>
          <w:sz w:val="22"/>
          <w:szCs w:val="22"/>
          <w:lang w:val="en-GB"/>
        </w:rPr>
        <w:t>To become a complete miner requires being more stable, but if you stay being an obrero you are free. You get money but you can be independent. If something is wrong, you go to a different place</w:t>
      </w:r>
      <w:r w:rsidR="0091076C" w:rsidRPr="004E053C">
        <w:rPr>
          <w:rFonts w:eastAsia="Times New Roman" w:cstheme="majorHAnsi"/>
          <w:sz w:val="22"/>
          <w:szCs w:val="22"/>
          <w:lang w:val="en-GB"/>
        </w:rPr>
        <w:t>…(</w:t>
      </w:r>
      <w:r w:rsidR="0091076C" w:rsidRPr="004E053C">
        <w:rPr>
          <w:rFonts w:eastAsia="Times New Roman" w:cstheme="majorHAnsi"/>
          <w:i/>
          <w:sz w:val="22"/>
          <w:szCs w:val="22"/>
          <w:lang w:val="en-GB"/>
        </w:rPr>
        <w:t>I moved because</w:t>
      </w:r>
      <w:r w:rsidR="0091076C" w:rsidRPr="004E053C">
        <w:rPr>
          <w:rFonts w:eastAsia="Times New Roman" w:cstheme="majorHAnsi"/>
          <w:sz w:val="22"/>
          <w:szCs w:val="22"/>
          <w:lang w:val="en-GB"/>
        </w:rPr>
        <w:t>)…</w:t>
      </w:r>
      <w:r w:rsidR="0091076C" w:rsidRPr="004E053C">
        <w:rPr>
          <w:rFonts w:eastAsia="Times New Roman" w:cstheme="majorHAnsi"/>
          <w:i/>
          <w:sz w:val="22"/>
          <w:szCs w:val="22"/>
          <w:lang w:val="en-GB"/>
        </w:rPr>
        <w:t xml:space="preserve">the bosses weren’t giving us enough work or paying us enough, or because the machines were broken and we couldn’t work, or even sometimes because there wasn’t much gold in that area </w:t>
      </w:r>
      <w:r w:rsidRPr="004E053C">
        <w:rPr>
          <w:rFonts w:eastAsia="Times New Roman" w:cstheme="majorHAnsi"/>
          <w:i/>
          <w:sz w:val="22"/>
          <w:szCs w:val="22"/>
          <w:lang w:val="en-GB"/>
        </w:rPr>
        <w:t>and so I wanted to go elsewhere’</w:t>
      </w:r>
      <w:r w:rsidR="0091076C" w:rsidRPr="004E053C">
        <w:rPr>
          <w:rFonts w:eastAsia="Times New Roman" w:cstheme="majorHAnsi"/>
          <w:i/>
          <w:sz w:val="22"/>
          <w:szCs w:val="22"/>
          <w:lang w:val="en-GB"/>
        </w:rPr>
        <w:t xml:space="preserve"> </w:t>
      </w:r>
      <w:r w:rsidR="0091076C" w:rsidRPr="004E053C">
        <w:rPr>
          <w:rFonts w:eastAsia="Times New Roman" w:cstheme="majorHAnsi"/>
          <w:sz w:val="22"/>
          <w:szCs w:val="22"/>
          <w:lang w:val="en-GB"/>
        </w:rPr>
        <w:t>(</w:t>
      </w:r>
      <w:r w:rsidR="00EA7F80" w:rsidRPr="004E053C">
        <w:rPr>
          <w:rFonts w:eastAsia="Times New Roman" w:cstheme="majorHAnsi"/>
          <w:sz w:val="22"/>
          <w:szCs w:val="22"/>
          <w:lang w:val="en-GB"/>
        </w:rPr>
        <w:t>Christian</w:t>
      </w:r>
      <w:r w:rsidR="0091076C" w:rsidRPr="004E053C">
        <w:rPr>
          <w:rFonts w:eastAsia="Times New Roman" w:cstheme="majorHAnsi"/>
          <w:sz w:val="22"/>
          <w:szCs w:val="22"/>
          <w:lang w:val="en-GB"/>
        </w:rPr>
        <w:t>, ASM miner, near Laberinto).</w:t>
      </w:r>
    </w:p>
    <w:p w14:paraId="494C35BB" w14:textId="77777777" w:rsidR="0091076C" w:rsidRPr="004E053C" w:rsidRDefault="0091076C" w:rsidP="004E053C">
      <w:pPr>
        <w:spacing w:line="360" w:lineRule="auto"/>
        <w:jc w:val="both"/>
        <w:rPr>
          <w:rFonts w:eastAsia="Times New Roman" w:cstheme="majorHAnsi"/>
          <w:b/>
          <w:sz w:val="22"/>
          <w:szCs w:val="22"/>
          <w:lang w:val="en-GB"/>
        </w:rPr>
      </w:pPr>
    </w:p>
    <w:p w14:paraId="0BB61C95" w14:textId="78FD0CE3"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Fourthly, as the government and military were sometimes blowing up machinery close to Laberinto, this provides disi</w:t>
      </w:r>
      <w:r w:rsidR="00923CFD" w:rsidRPr="004E053C">
        <w:rPr>
          <w:rFonts w:eastAsia="Times New Roman" w:cstheme="majorHAnsi"/>
          <w:sz w:val="22"/>
          <w:szCs w:val="22"/>
          <w:lang w:val="en-GB"/>
        </w:rPr>
        <w:t>ncentives for investing in one’s</w:t>
      </w:r>
      <w:r w:rsidRPr="004E053C">
        <w:rPr>
          <w:rFonts w:eastAsia="Times New Roman" w:cstheme="majorHAnsi"/>
          <w:sz w:val="22"/>
          <w:szCs w:val="22"/>
          <w:lang w:val="en-GB"/>
        </w:rPr>
        <w:t xml:space="preserve"> own equipment and encourages miners to remain mobile and work deep in the jungle away from the communities. These observations are similar to arguments made by Walsh </w:t>
      </w:r>
      <w:r w:rsidR="00BB181E" w:rsidRPr="004E053C">
        <w:rPr>
          <w:rFonts w:eastAsia="Times New Roman" w:cstheme="majorHAnsi"/>
          <w:sz w:val="22"/>
          <w:szCs w:val="22"/>
          <w:lang w:val="en-GB"/>
        </w:rPr>
        <w:fldChar w:fldCharType="begin" w:fldLock="1"/>
      </w:r>
      <w:r w:rsidR="00BB181E" w:rsidRPr="004E053C">
        <w:rPr>
          <w:rFonts w:eastAsia="Times New Roman" w:cstheme="majorHAnsi"/>
          <w:sz w:val="22"/>
          <w:szCs w:val="22"/>
          <w:lang w:val="en-GB"/>
        </w:rPr>
        <w:instrText>ADDIN CSL_CITATION {"citationItems":[{"id":"ITEM-1","itemData":{"abstract":"In the once booming, but now slumping, northern Malagasy sapphire mining town of Ambondromifehy, people make do in the face of uncertainty. As a place of internal migrants organized around the mining and trade of a commodity destined for complex and fickle foreign markets, this town features a wide range of distinctive arrangements and compromises. Of special concern here are the arrangements through which people strive to live responsibly – in accordance with traditional Malagasy norms of sociality – while still managing to make a living through work that can lead them astray. I argue that such distinctive arrangements owe a great deal to the particular articulations of place and mobility one finds problematized in a context like this one. The first articulation is well encapsulated in the experience of what Malagasy people term being very or ‘‘lost’’, a condition of mobile people who either don’t know or have no hope of returning to the places from which they have come. The second articulation is apparent in the experi- ence of being tavela or ‘‘left behind’’, the condition of people who find themselves staying put while the things, people and possibilities they value flow away from them. For the many people in Ambondromifehy who are managing either or both of these conditions and the circumstances that come with them, idealized systems of social and moral exchange – systems of responsibility – are inevitably forums for compromise.","author":[{"dropping-particle":"","family":"Walsh","given":"Andrew","non-dropping-particle":"","parse-names":false,"suffix":""}],"container-title":"Critique of Anthropology","id":"ITEM-1","issue":"2","issued":{"date-parts":[["2015"]]},"page":"235-251","title":"Lost and/or left behind in a Malagasy outpost of the “underworld of gemstones”","type":"article-journal","volume":"82"},"uris":["http://www.mendeley.com/documents/?uuid=45b8a6cb-89e3-448b-a578-9f6946f0e876"]}],"mendeley":{"formattedCitation":"(Walsh, 2015)","manualFormatting":"(2015)","plainTextFormattedCitation":"(Walsh, 2015)","previouslyFormattedCitation":"(Walsh, 2015)"},"properties":{"noteIndex":0},"schema":"https://github.com/citation-style-language/schema/raw/master/csl-citation.json"}</w:instrText>
      </w:r>
      <w:r w:rsidR="00BB181E" w:rsidRPr="004E053C">
        <w:rPr>
          <w:rFonts w:eastAsia="Times New Roman" w:cstheme="majorHAnsi"/>
          <w:sz w:val="22"/>
          <w:szCs w:val="22"/>
          <w:lang w:val="en-GB"/>
        </w:rPr>
        <w:fldChar w:fldCharType="separate"/>
      </w:r>
      <w:r w:rsidR="00BB181E" w:rsidRPr="004E053C">
        <w:rPr>
          <w:rFonts w:eastAsia="Times New Roman" w:cstheme="majorHAnsi"/>
          <w:noProof/>
          <w:sz w:val="22"/>
          <w:szCs w:val="22"/>
          <w:lang w:val="en-GB"/>
        </w:rPr>
        <w:t>(2015)</w:t>
      </w:r>
      <w:r w:rsidR="00BB181E"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who argued that for many young sapphire miners</w:t>
      </w:r>
      <w:r w:rsidR="0041449D">
        <w:rPr>
          <w:rFonts w:eastAsia="Times New Roman" w:cstheme="majorHAnsi"/>
          <w:sz w:val="22"/>
          <w:szCs w:val="22"/>
          <w:lang w:val="en-GB"/>
        </w:rPr>
        <w:t xml:space="preserve"> in Madagascar</w:t>
      </w:r>
      <w:r w:rsidRPr="004E053C">
        <w:rPr>
          <w:rFonts w:eastAsia="Times New Roman" w:cstheme="majorHAnsi"/>
          <w:sz w:val="22"/>
          <w:szCs w:val="22"/>
          <w:lang w:val="en-GB"/>
        </w:rPr>
        <w:t xml:space="preserve">, becoming rooted in a particular place was not in their self-interest, as it placed additional obligations on them which may restrict their mobility and therefore their ability to earn. </w:t>
      </w:r>
    </w:p>
    <w:p w14:paraId="647324D8" w14:textId="77777777" w:rsidR="0091076C" w:rsidRPr="004E053C" w:rsidRDefault="0091076C" w:rsidP="004E053C">
      <w:pPr>
        <w:spacing w:line="360" w:lineRule="auto"/>
        <w:jc w:val="both"/>
        <w:rPr>
          <w:rFonts w:eastAsia="Times New Roman" w:cstheme="majorHAnsi"/>
          <w:sz w:val="22"/>
          <w:szCs w:val="22"/>
          <w:lang w:val="en-GB"/>
        </w:rPr>
      </w:pPr>
    </w:p>
    <w:p w14:paraId="30594C75" w14:textId="12E9AC29"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Another reason for</w:t>
      </w:r>
      <w:r w:rsidRPr="004E053C">
        <w:rPr>
          <w:rFonts w:eastAsia="Times New Roman" w:cstheme="majorHAnsi"/>
          <w:i/>
          <w:iCs/>
          <w:sz w:val="22"/>
          <w:szCs w:val="22"/>
          <w:lang w:val="en-GB"/>
        </w:rPr>
        <w:t xml:space="preserve"> floatantes</w:t>
      </w:r>
      <w:r w:rsidRPr="004E053C">
        <w:rPr>
          <w:rFonts w:eastAsia="Times New Roman" w:cstheme="majorHAnsi"/>
          <w:sz w:val="22"/>
          <w:szCs w:val="22"/>
          <w:lang w:val="en-GB"/>
        </w:rPr>
        <w:t xml:space="preserve"> to move around is that they enjoy the lifestyle. Many of these miners are very young, and do not have families or any responsibility to root them in a location. One </w:t>
      </w:r>
      <w:r w:rsidR="000B0219" w:rsidRPr="004E053C">
        <w:rPr>
          <w:rFonts w:eastAsia="Times New Roman" w:cstheme="majorHAnsi"/>
          <w:sz w:val="22"/>
          <w:szCs w:val="22"/>
          <w:lang w:val="en-GB"/>
        </w:rPr>
        <w:t>temporary</w:t>
      </w:r>
      <w:r w:rsidRPr="004E053C">
        <w:rPr>
          <w:rFonts w:eastAsia="Times New Roman" w:cstheme="majorHAnsi"/>
          <w:sz w:val="22"/>
          <w:szCs w:val="22"/>
          <w:lang w:val="en-GB"/>
        </w:rPr>
        <w:t xml:space="preserve"> miner offered some additional insight into the reasons why one of his friends chose to </w:t>
      </w:r>
      <w:r w:rsidRPr="004E053C">
        <w:rPr>
          <w:rFonts w:eastAsia="Times New Roman" w:cstheme="majorHAnsi"/>
          <w:sz w:val="22"/>
          <w:szCs w:val="22"/>
          <w:lang w:val="en-GB"/>
        </w:rPr>
        <w:lastRenderedPageBreak/>
        <w:t>maintain this floating, transi</w:t>
      </w:r>
      <w:r w:rsidR="00923CFD" w:rsidRPr="004E053C">
        <w:rPr>
          <w:rFonts w:eastAsia="Times New Roman" w:cstheme="majorHAnsi"/>
          <w:sz w:val="22"/>
          <w:szCs w:val="22"/>
          <w:lang w:val="en-GB"/>
        </w:rPr>
        <w:t xml:space="preserve">ent lifestyle, despite the high </w:t>
      </w:r>
      <w:r w:rsidRPr="004E053C">
        <w:rPr>
          <w:rFonts w:eastAsia="Times New Roman" w:cstheme="majorHAnsi"/>
          <w:sz w:val="22"/>
          <w:szCs w:val="22"/>
          <w:lang w:val="en-GB"/>
        </w:rPr>
        <w:t>levels of violence in La Pampa where he often worked:</w:t>
      </w:r>
    </w:p>
    <w:p w14:paraId="6CD7041C" w14:textId="77777777" w:rsidR="0091076C" w:rsidRPr="004E053C" w:rsidRDefault="0091076C" w:rsidP="004E053C">
      <w:pPr>
        <w:spacing w:line="360" w:lineRule="auto"/>
        <w:jc w:val="both"/>
        <w:rPr>
          <w:rFonts w:eastAsia="Times New Roman" w:cstheme="majorHAnsi"/>
          <w:sz w:val="22"/>
          <w:szCs w:val="22"/>
          <w:lang w:val="en-GB"/>
        </w:rPr>
      </w:pPr>
    </w:p>
    <w:p w14:paraId="0FC59DB0" w14:textId="64F2E16F" w:rsidR="0091076C" w:rsidRPr="004E053C" w:rsidRDefault="00A70DD0" w:rsidP="004E053C">
      <w:pPr>
        <w:ind w:left="720"/>
        <w:jc w:val="both"/>
        <w:rPr>
          <w:rFonts w:eastAsia="Times New Roman" w:cstheme="majorHAnsi"/>
          <w:i/>
          <w:sz w:val="22"/>
          <w:szCs w:val="22"/>
          <w:lang w:val="en-GB"/>
        </w:rPr>
      </w:pPr>
      <w:r w:rsidRPr="004E053C">
        <w:rPr>
          <w:rFonts w:eastAsia="Times New Roman" w:cstheme="majorHAnsi"/>
          <w:i/>
          <w:sz w:val="22"/>
          <w:szCs w:val="22"/>
          <w:lang w:val="en-GB"/>
        </w:rPr>
        <w:t>‘</w:t>
      </w:r>
      <w:r w:rsidR="0091076C" w:rsidRPr="004E053C">
        <w:rPr>
          <w:rFonts w:eastAsia="Times New Roman" w:cstheme="majorHAnsi"/>
          <w:i/>
          <w:sz w:val="22"/>
          <w:szCs w:val="22"/>
          <w:lang w:val="en-GB"/>
        </w:rPr>
        <w:t xml:space="preserve">I have a friend that works in La Pampa for 2-3 weeks at a time, and then comes to work here for a bit, and then returns to La Pampa. I warned him, that sometime he will not come back. He’s crazy. He goes to La Pampa, Delta 1, Huaypethue – everywhere. He lives for the moment, and spends all his money on the party and clothes and doesn’t think about having a family or building a house. He’s only 21. I don’t know where he is now, he’s all over the place and he changes his number all the time. Last time he called me he just announced he was here and invited me to go and party with him, but </w:t>
      </w:r>
      <w:r w:rsidR="00475547" w:rsidRPr="004E053C">
        <w:rPr>
          <w:rFonts w:eastAsia="Times New Roman" w:cstheme="majorHAnsi"/>
          <w:i/>
          <w:sz w:val="22"/>
          <w:szCs w:val="22"/>
          <w:lang w:val="en-GB"/>
        </w:rPr>
        <w:t>there is no way to localis</w:t>
      </w:r>
      <w:r w:rsidRPr="004E053C">
        <w:rPr>
          <w:rFonts w:eastAsia="Times New Roman" w:cstheme="majorHAnsi"/>
          <w:i/>
          <w:sz w:val="22"/>
          <w:szCs w:val="22"/>
          <w:lang w:val="en-GB"/>
        </w:rPr>
        <w:t>e him’</w:t>
      </w:r>
      <w:r w:rsidR="0091076C" w:rsidRPr="004E053C">
        <w:rPr>
          <w:rFonts w:eastAsia="Times New Roman" w:cstheme="majorHAnsi"/>
          <w:i/>
          <w:sz w:val="22"/>
          <w:szCs w:val="22"/>
          <w:lang w:val="en-GB"/>
        </w:rPr>
        <w:t xml:space="preserve"> </w:t>
      </w:r>
      <w:r w:rsidR="0091076C" w:rsidRPr="004E053C">
        <w:rPr>
          <w:rFonts w:eastAsia="Times New Roman" w:cstheme="majorHAnsi"/>
          <w:sz w:val="22"/>
          <w:szCs w:val="22"/>
          <w:lang w:val="en-GB"/>
        </w:rPr>
        <w:t>(</w:t>
      </w:r>
      <w:r w:rsidR="00EA7F80" w:rsidRPr="004E053C">
        <w:rPr>
          <w:rFonts w:eastAsia="Times New Roman" w:cstheme="majorHAnsi"/>
          <w:sz w:val="22"/>
          <w:szCs w:val="22"/>
          <w:lang w:val="en-GB"/>
        </w:rPr>
        <w:t>Rodrigo</w:t>
      </w:r>
      <w:r w:rsidR="0091076C" w:rsidRPr="004E053C">
        <w:rPr>
          <w:rFonts w:eastAsia="Times New Roman" w:cstheme="majorHAnsi"/>
          <w:sz w:val="22"/>
          <w:szCs w:val="22"/>
          <w:lang w:val="en-GB"/>
        </w:rPr>
        <w:t>, ASM miner, Laberinto)</w:t>
      </w:r>
      <w:r w:rsidR="0091076C" w:rsidRPr="004E053C">
        <w:rPr>
          <w:rFonts w:eastAsia="Times New Roman" w:cstheme="majorHAnsi"/>
          <w:i/>
          <w:sz w:val="22"/>
          <w:szCs w:val="22"/>
          <w:lang w:val="en-GB"/>
        </w:rPr>
        <w:t>.</w:t>
      </w:r>
    </w:p>
    <w:p w14:paraId="2B3F11A0" w14:textId="77777777" w:rsidR="0091076C" w:rsidRPr="004E053C" w:rsidRDefault="0091076C" w:rsidP="004E053C">
      <w:pPr>
        <w:spacing w:line="360" w:lineRule="auto"/>
        <w:jc w:val="both"/>
        <w:rPr>
          <w:rFonts w:eastAsia="Times New Roman" w:cstheme="majorHAnsi"/>
          <w:i/>
          <w:sz w:val="22"/>
          <w:szCs w:val="22"/>
          <w:lang w:val="en-GB"/>
        </w:rPr>
      </w:pPr>
    </w:p>
    <w:p w14:paraId="2D93F2CE" w14:textId="42C2CAD2" w:rsidR="0091076C"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Rodrigo</w:t>
      </w:r>
      <w:r w:rsidR="0091076C" w:rsidRPr="004E053C">
        <w:rPr>
          <w:rFonts w:eastAsia="Times New Roman" w:cstheme="majorHAnsi"/>
          <w:sz w:val="22"/>
          <w:szCs w:val="22"/>
          <w:lang w:val="en-GB"/>
        </w:rPr>
        <w:t xml:space="preserve">’s friend appears to have a quite </w:t>
      </w:r>
      <w:r w:rsidR="00D3785B" w:rsidRPr="004E053C">
        <w:rPr>
          <w:rFonts w:eastAsia="Times New Roman" w:cstheme="majorHAnsi"/>
          <w:sz w:val="22"/>
          <w:szCs w:val="22"/>
          <w:lang w:val="en-GB"/>
        </w:rPr>
        <w:t>short-sighted</w:t>
      </w:r>
      <w:r w:rsidR="0091076C" w:rsidRPr="004E053C">
        <w:rPr>
          <w:rFonts w:eastAsia="Times New Roman" w:cstheme="majorHAnsi"/>
          <w:sz w:val="22"/>
          <w:szCs w:val="22"/>
          <w:lang w:val="en-GB"/>
        </w:rPr>
        <w:t xml:space="preserve"> approach to his livelihood, which is reminiscent </w:t>
      </w:r>
      <w:r w:rsidR="00BB181E" w:rsidRPr="004E053C">
        <w:rPr>
          <w:rFonts w:eastAsia="Times New Roman" w:cstheme="majorHAnsi"/>
          <w:sz w:val="22"/>
          <w:szCs w:val="22"/>
          <w:lang w:val="en-GB"/>
        </w:rPr>
        <w:t xml:space="preserve">of the work done by Walsh </w:t>
      </w:r>
      <w:r w:rsidR="00BB181E" w:rsidRPr="004E053C">
        <w:rPr>
          <w:rFonts w:eastAsia="Times New Roman" w:cstheme="majorHAnsi"/>
          <w:sz w:val="22"/>
          <w:szCs w:val="22"/>
          <w:lang w:val="en-GB"/>
        </w:rPr>
        <w:fldChar w:fldCharType="begin" w:fldLock="1"/>
      </w:r>
      <w:r w:rsidR="00BC1DB4" w:rsidRPr="004E053C">
        <w:rPr>
          <w:rFonts w:eastAsia="Times New Roman"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town","type":"article-journal","volume":"30"},"uris":["http://www.mendeley.com/documents/?uuid=e221bdbc-373c-4a27-aef2-b563e761557e"]}],"mendeley":{"formattedCitation":"(Walsh, 2003)","manualFormatting":"(2003)","plainTextFormattedCitation":"(Walsh, 2003)","previouslyFormattedCitation":"(Walsh, 2003)"},"properties":{"noteIndex":0},"schema":"https://github.com/citation-style-language/schema/raw/master/csl-citation.json"}</w:instrText>
      </w:r>
      <w:r w:rsidR="00BB181E" w:rsidRPr="004E053C">
        <w:rPr>
          <w:rFonts w:eastAsia="Times New Roman" w:cstheme="majorHAnsi"/>
          <w:sz w:val="22"/>
          <w:szCs w:val="22"/>
          <w:lang w:val="en-GB"/>
        </w:rPr>
        <w:fldChar w:fldCharType="separate"/>
      </w:r>
      <w:r w:rsidR="00BB181E" w:rsidRPr="004E053C">
        <w:rPr>
          <w:rFonts w:eastAsia="Times New Roman" w:cstheme="majorHAnsi"/>
          <w:noProof/>
          <w:sz w:val="22"/>
          <w:szCs w:val="22"/>
          <w:lang w:val="en-GB"/>
        </w:rPr>
        <w:t>(2003)</w:t>
      </w:r>
      <w:r w:rsidR="00BB181E" w:rsidRPr="004E053C">
        <w:rPr>
          <w:rFonts w:eastAsia="Times New Roman" w:cstheme="majorHAnsi"/>
          <w:sz w:val="22"/>
          <w:szCs w:val="22"/>
          <w:lang w:val="en-GB"/>
        </w:rPr>
        <w:fldChar w:fldCharType="end"/>
      </w:r>
      <w:r w:rsidR="0091076C" w:rsidRPr="004E053C">
        <w:rPr>
          <w:rFonts w:eastAsia="Times New Roman" w:cstheme="majorHAnsi"/>
          <w:sz w:val="22"/>
          <w:szCs w:val="22"/>
          <w:lang w:val="en-GB"/>
        </w:rPr>
        <w:t xml:space="preserve"> an</w:t>
      </w:r>
      <w:r w:rsidR="00A70DD0" w:rsidRPr="004E053C">
        <w:rPr>
          <w:rFonts w:eastAsia="Times New Roman" w:cstheme="majorHAnsi"/>
          <w:sz w:val="22"/>
          <w:szCs w:val="22"/>
          <w:lang w:val="en-GB"/>
        </w:rPr>
        <w:t>d the young miners handling of ‘hot money’</w:t>
      </w:r>
      <w:r w:rsidR="0091076C" w:rsidRPr="004E053C">
        <w:rPr>
          <w:rFonts w:eastAsia="Times New Roman" w:cstheme="majorHAnsi"/>
          <w:sz w:val="22"/>
          <w:szCs w:val="22"/>
          <w:lang w:val="en-GB"/>
        </w:rPr>
        <w:t xml:space="preserve"> and daring consumption in the African context. </w:t>
      </w:r>
    </w:p>
    <w:p w14:paraId="1FD68DD9" w14:textId="77777777" w:rsidR="0091076C" w:rsidRPr="004E053C" w:rsidRDefault="0091076C" w:rsidP="004E053C">
      <w:pPr>
        <w:spacing w:line="360" w:lineRule="auto"/>
        <w:jc w:val="both"/>
        <w:rPr>
          <w:rFonts w:eastAsia="Times New Roman" w:cstheme="majorHAnsi"/>
          <w:sz w:val="22"/>
          <w:szCs w:val="22"/>
          <w:lang w:val="en-GB"/>
        </w:rPr>
      </w:pPr>
    </w:p>
    <w:p w14:paraId="050C7C7A" w14:textId="297E5D5D"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However, although the </w:t>
      </w:r>
      <w:r w:rsidRPr="004E053C">
        <w:rPr>
          <w:rFonts w:eastAsia="Times New Roman" w:cstheme="majorHAnsi"/>
          <w:i/>
          <w:iCs/>
          <w:sz w:val="22"/>
          <w:szCs w:val="22"/>
          <w:lang w:val="en-GB"/>
        </w:rPr>
        <w:t xml:space="preserve">floatantes </w:t>
      </w:r>
      <w:r w:rsidRPr="004E053C">
        <w:rPr>
          <w:rFonts w:eastAsia="Times New Roman" w:cstheme="majorHAnsi"/>
          <w:sz w:val="22"/>
          <w:szCs w:val="22"/>
          <w:lang w:val="en-GB"/>
        </w:rPr>
        <w:t xml:space="preserve">do not have the same aspirations </w:t>
      </w:r>
      <w:r w:rsidR="000B0219" w:rsidRPr="004E053C">
        <w:rPr>
          <w:rFonts w:eastAsia="Times New Roman" w:cstheme="majorHAnsi"/>
          <w:sz w:val="22"/>
          <w:szCs w:val="22"/>
          <w:lang w:val="en-GB"/>
        </w:rPr>
        <w:t xml:space="preserve">to leave ASM as their </w:t>
      </w:r>
      <w:r w:rsidR="00C21441" w:rsidRPr="004E053C">
        <w:rPr>
          <w:rFonts w:eastAsia="Times New Roman" w:cstheme="majorHAnsi"/>
          <w:sz w:val="22"/>
          <w:szCs w:val="22"/>
          <w:lang w:val="en-GB"/>
        </w:rPr>
        <w:t>temporary</w:t>
      </w:r>
      <w:r w:rsidRPr="004E053C">
        <w:rPr>
          <w:rFonts w:eastAsia="Times New Roman" w:cstheme="majorHAnsi"/>
          <w:sz w:val="22"/>
          <w:szCs w:val="22"/>
          <w:lang w:val="en-GB"/>
        </w:rPr>
        <w:t xml:space="preserve"> colleagues, they may decide to do so later. This may be because they become tired of the mining lifestyle, </w:t>
      </w:r>
      <w:r w:rsidR="00D5386D" w:rsidRPr="004E053C">
        <w:rPr>
          <w:rFonts w:eastAsia="Times New Roman" w:cstheme="majorHAnsi"/>
          <w:sz w:val="22"/>
          <w:szCs w:val="22"/>
          <w:lang w:val="en-GB"/>
        </w:rPr>
        <w:t xml:space="preserve">and particularly the desire to avoid spending on the sort of extravagant consumption that exists in mining settlements </w:t>
      </w:r>
      <w:r w:rsidR="00BC1DB4" w:rsidRPr="004E053C">
        <w:rPr>
          <w:rFonts w:eastAsia="Times New Roman" w:cstheme="majorHAnsi"/>
          <w:sz w:val="22"/>
          <w:szCs w:val="22"/>
          <w:lang w:val="en-GB"/>
        </w:rPr>
        <w:fldChar w:fldCharType="begin" w:fldLock="1"/>
      </w:r>
      <w:r w:rsidR="008317C7" w:rsidRPr="004E053C">
        <w:rPr>
          <w:rFonts w:eastAsia="Times New Roman" w:cstheme="majorHAnsi"/>
          <w:sz w:val="22"/>
          <w:szCs w:val="22"/>
          <w:lang w:val="en-GB"/>
        </w:rPr>
        <w:instrText>ADDIN CSL_CITATION {"citationItems":[{"id":"ITEM-1","itemData":{"author":[{"dropping-particle":"","family":"Grätz","given":"Tilo","non-dropping-particle":"","parse-names":false,"suffix":""}],"container-title":"Africa: Journal of the International African Institute","id":"ITEM-1","issue":"2","issued":{"date-parts":[["2004"]]},"page":"146-172","title":"Gold Trading Networks and the Creation of Trust: A Case Study from Northern Benin","type":"article-journal","volume":"74"},"uris":["http://www.mendeley.com/documents/?uuid=d39d6dd5-3b2d-4d7c-8419-5ff8daa54c5d"]},{"id":"ITEM-2","itemData":{"abstract":"In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Ethnologist","id":"ITEM-2","issue":"2","issued":{"date-parts":[["2003"]]},"page":"290-305","title":"\"Hot money” and daring consumption in a northern Malagasy mining town","type":"article-journal","volume":"30"},"uris":["http://www.mendeley.com/documents/?uuid=e221bdbc-373c-4a27-aef2-b563e761557e"]}],"mendeley":{"formattedCitation":"(Grätz, 2004b; Walsh, 2003)","plainTextFormattedCitation":"(Grätz, 2004b; Walsh, 2003)","previouslyFormattedCitation":"(Grätz, 2004b; Walsh, 2003)"},"properties":{"noteIndex":0},"schema":"https://github.com/citation-style-language/schema/raw/master/csl-citation.json"}</w:instrText>
      </w:r>
      <w:r w:rsidR="00BC1DB4" w:rsidRPr="004E053C">
        <w:rPr>
          <w:rFonts w:eastAsia="Times New Roman" w:cstheme="majorHAnsi"/>
          <w:sz w:val="22"/>
          <w:szCs w:val="22"/>
          <w:lang w:val="en-GB"/>
        </w:rPr>
        <w:fldChar w:fldCharType="separate"/>
      </w:r>
      <w:r w:rsidR="008317C7" w:rsidRPr="004E053C">
        <w:rPr>
          <w:rFonts w:eastAsia="Times New Roman" w:cstheme="majorHAnsi"/>
          <w:noProof/>
          <w:sz w:val="22"/>
          <w:szCs w:val="22"/>
          <w:lang w:val="en-GB"/>
        </w:rPr>
        <w:t>(Grät</w:t>
      </w:r>
      <w:r w:rsidR="00475547" w:rsidRPr="004E053C">
        <w:rPr>
          <w:rFonts w:eastAsia="Times New Roman" w:cstheme="majorHAnsi"/>
          <w:noProof/>
          <w:sz w:val="22"/>
          <w:szCs w:val="22"/>
          <w:lang w:val="en-GB"/>
        </w:rPr>
        <w:t>z</w:t>
      </w:r>
      <w:r w:rsidR="008317C7" w:rsidRPr="004E053C">
        <w:rPr>
          <w:rFonts w:eastAsia="Times New Roman" w:cstheme="majorHAnsi"/>
          <w:noProof/>
          <w:sz w:val="22"/>
          <w:szCs w:val="22"/>
          <w:lang w:val="en-GB"/>
        </w:rPr>
        <w:t>, 2004b; Walsh, 2003)</w:t>
      </w:r>
      <w:r w:rsidR="00BC1DB4" w:rsidRPr="004E053C">
        <w:rPr>
          <w:rFonts w:eastAsia="Times New Roman" w:cstheme="majorHAnsi"/>
          <w:sz w:val="22"/>
          <w:szCs w:val="22"/>
          <w:lang w:val="en-GB"/>
        </w:rPr>
        <w:fldChar w:fldCharType="end"/>
      </w:r>
      <w:r w:rsidR="00D5386D" w:rsidRPr="004E053C">
        <w:rPr>
          <w:rFonts w:eastAsia="Times New Roman" w:cstheme="majorHAnsi"/>
          <w:sz w:val="22"/>
          <w:szCs w:val="22"/>
          <w:lang w:val="en-GB"/>
        </w:rPr>
        <w:t xml:space="preserve">. For others, the choice may be linked to </w:t>
      </w:r>
      <w:r w:rsidRPr="004E053C">
        <w:rPr>
          <w:rFonts w:eastAsia="Times New Roman" w:cstheme="majorHAnsi"/>
          <w:sz w:val="22"/>
          <w:szCs w:val="22"/>
          <w:lang w:val="en-GB"/>
        </w:rPr>
        <w:t xml:space="preserve">depletion of gold and profits, or because of increasing insecurity in the face of crime, violence and government restrictions. Others may have a change in their livelihood situation, become married and have children, which changes their outlook on life. </w:t>
      </w:r>
      <w:r w:rsidR="00EA7F80" w:rsidRPr="004E053C">
        <w:rPr>
          <w:rFonts w:eastAsia="Times New Roman" w:cstheme="majorHAnsi"/>
          <w:sz w:val="22"/>
          <w:szCs w:val="22"/>
          <w:lang w:val="en-GB"/>
        </w:rPr>
        <w:t>Christian</w:t>
      </w:r>
      <w:r w:rsidRPr="004E053C">
        <w:rPr>
          <w:rFonts w:eastAsia="Times New Roman" w:cstheme="majorHAnsi"/>
          <w:sz w:val="22"/>
          <w:szCs w:val="22"/>
          <w:lang w:val="en-GB"/>
        </w:rPr>
        <w:t xml:space="preserve"> discussed his desire to stop working in ASM:</w:t>
      </w:r>
    </w:p>
    <w:p w14:paraId="4B10021A" w14:textId="77777777" w:rsidR="0091076C" w:rsidRPr="004E053C" w:rsidRDefault="0091076C" w:rsidP="004E053C">
      <w:pPr>
        <w:spacing w:line="360" w:lineRule="auto"/>
        <w:jc w:val="both"/>
        <w:rPr>
          <w:rFonts w:eastAsia="Times New Roman" w:cstheme="majorHAnsi"/>
          <w:sz w:val="22"/>
          <w:szCs w:val="22"/>
          <w:lang w:val="en-GB"/>
        </w:rPr>
      </w:pPr>
    </w:p>
    <w:p w14:paraId="402D789C" w14:textId="04C2B611" w:rsidR="0091076C" w:rsidRPr="004E053C" w:rsidRDefault="00A70DD0"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w:t>
      </w:r>
      <w:r w:rsidR="0091076C" w:rsidRPr="004E053C">
        <w:rPr>
          <w:rFonts w:eastAsia="Times New Roman" w:cstheme="majorHAnsi"/>
          <w:i/>
          <w:sz w:val="22"/>
          <w:szCs w:val="22"/>
          <w:lang w:val="en-GB"/>
        </w:rPr>
        <w:t>I want to leave mining, hopefully this is the last year. It is not a good idea to work in mining any more, we are not earning as much as before. My wife is working in tourism in Cusco, and so my plan would be to change the activity to tourism also. I also want to move away from Puerto Maldonado</w:t>
      </w:r>
      <w:r w:rsidRPr="004E053C">
        <w:rPr>
          <w:rFonts w:eastAsia="Times New Roman" w:cstheme="majorHAnsi"/>
          <w:i/>
          <w:sz w:val="22"/>
          <w:szCs w:val="22"/>
          <w:lang w:val="en-GB"/>
        </w:rPr>
        <w:t>’</w:t>
      </w:r>
      <w:r w:rsidR="0091076C"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Christian</w:t>
      </w:r>
      <w:r w:rsidR="0091076C" w:rsidRPr="004E053C">
        <w:rPr>
          <w:rFonts w:eastAsia="Times New Roman" w:cstheme="majorHAnsi"/>
          <w:sz w:val="22"/>
          <w:szCs w:val="22"/>
          <w:lang w:val="en-GB"/>
        </w:rPr>
        <w:t>, ASM miner, Laberinto).</w:t>
      </w:r>
    </w:p>
    <w:p w14:paraId="2B78D85B" w14:textId="77777777" w:rsidR="0091076C" w:rsidRPr="004E053C" w:rsidRDefault="0091076C" w:rsidP="004E053C">
      <w:pPr>
        <w:spacing w:line="360" w:lineRule="auto"/>
        <w:jc w:val="both"/>
        <w:rPr>
          <w:rFonts w:eastAsia="Times New Roman" w:cstheme="majorHAnsi"/>
          <w:sz w:val="22"/>
          <w:szCs w:val="22"/>
          <w:lang w:val="en-GB"/>
        </w:rPr>
      </w:pPr>
    </w:p>
    <w:p w14:paraId="32E7E393" w14:textId="2215E890" w:rsidR="004A3EF1"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Interestingly, some other individuals may decide to settle down but </w:t>
      </w:r>
      <w:r w:rsidRPr="004E053C">
        <w:rPr>
          <w:rFonts w:eastAsia="Times New Roman" w:cstheme="majorHAnsi"/>
          <w:i/>
          <w:iCs/>
          <w:sz w:val="22"/>
          <w:szCs w:val="22"/>
          <w:lang w:val="en-GB"/>
        </w:rPr>
        <w:t xml:space="preserve">within </w:t>
      </w:r>
      <w:r w:rsidRPr="004E053C">
        <w:rPr>
          <w:rFonts w:eastAsia="Times New Roman" w:cstheme="majorHAnsi"/>
          <w:sz w:val="22"/>
          <w:szCs w:val="22"/>
          <w:lang w:val="en-GB"/>
        </w:rPr>
        <w:t xml:space="preserve">a mining community. For example, </w:t>
      </w:r>
      <w:r w:rsidR="00EA7F80" w:rsidRPr="004E053C">
        <w:rPr>
          <w:rFonts w:eastAsia="Times New Roman" w:cstheme="majorHAnsi"/>
          <w:sz w:val="22"/>
          <w:szCs w:val="22"/>
          <w:lang w:val="en-GB"/>
        </w:rPr>
        <w:t>Jorge</w:t>
      </w:r>
      <w:r w:rsidRPr="004E053C">
        <w:rPr>
          <w:rFonts w:eastAsia="Times New Roman" w:cstheme="majorHAnsi"/>
          <w:sz w:val="22"/>
          <w:szCs w:val="22"/>
          <w:lang w:val="en-GB"/>
        </w:rPr>
        <w:t xml:space="preserve"> had been working in La Pampa at various mine sites, but returned to Laberinto due to his </w:t>
      </w:r>
      <w:r w:rsidR="00A70DD0" w:rsidRPr="004E053C">
        <w:rPr>
          <w:rFonts w:eastAsia="Times New Roman" w:cstheme="majorHAnsi"/>
          <w:sz w:val="22"/>
          <w:szCs w:val="22"/>
          <w:lang w:val="en-GB"/>
        </w:rPr>
        <w:t>‘bad habits’</w:t>
      </w:r>
      <w:r w:rsidRPr="004E053C">
        <w:rPr>
          <w:rFonts w:eastAsia="Times New Roman" w:cstheme="majorHAnsi"/>
          <w:sz w:val="22"/>
          <w:szCs w:val="22"/>
          <w:lang w:val="en-GB"/>
        </w:rPr>
        <w:t xml:space="preserve">, such as prostitution and drinking, which prevented him from saving money. In doing so, he decided to </w:t>
      </w:r>
      <w:r w:rsidR="0085421D" w:rsidRPr="004E053C">
        <w:rPr>
          <w:rFonts w:eastAsia="Times New Roman" w:cstheme="majorHAnsi"/>
          <w:sz w:val="22"/>
          <w:szCs w:val="22"/>
          <w:lang w:val="en-GB"/>
        </w:rPr>
        <w:t xml:space="preserve">root himself in one location and switched from floating </w:t>
      </w:r>
      <w:r w:rsidR="007D1DF3" w:rsidRPr="004E053C">
        <w:rPr>
          <w:rFonts w:eastAsia="Times New Roman" w:cstheme="majorHAnsi"/>
          <w:sz w:val="22"/>
          <w:szCs w:val="22"/>
          <w:lang w:val="en-GB"/>
        </w:rPr>
        <w:t>to being</w:t>
      </w:r>
      <w:r w:rsidR="0085421D" w:rsidRPr="004E053C">
        <w:rPr>
          <w:rFonts w:eastAsia="Times New Roman" w:cstheme="majorHAnsi"/>
          <w:sz w:val="22"/>
          <w:szCs w:val="22"/>
          <w:lang w:val="en-GB"/>
        </w:rPr>
        <w:t xml:space="preserve"> permanent, thereby reducing the</w:t>
      </w:r>
      <w:r w:rsidRPr="004E053C">
        <w:rPr>
          <w:rFonts w:eastAsia="Times New Roman" w:cstheme="majorHAnsi"/>
          <w:sz w:val="22"/>
          <w:szCs w:val="22"/>
          <w:lang w:val="en-GB"/>
        </w:rPr>
        <w:t xml:space="preserve"> translocality</w:t>
      </w:r>
      <w:r w:rsidR="0085421D" w:rsidRPr="004E053C">
        <w:rPr>
          <w:rFonts w:eastAsia="Times New Roman" w:cstheme="majorHAnsi"/>
          <w:sz w:val="22"/>
          <w:szCs w:val="22"/>
          <w:lang w:val="en-GB"/>
        </w:rPr>
        <w:t xml:space="preserve"> of his livelihood</w:t>
      </w:r>
      <w:r w:rsidRPr="004E053C">
        <w:rPr>
          <w:rFonts w:eastAsia="Times New Roman" w:cstheme="majorHAnsi"/>
          <w:sz w:val="22"/>
          <w:szCs w:val="22"/>
          <w:lang w:val="en-GB"/>
        </w:rPr>
        <w:t xml:space="preserve">. However, for most miners, given the current insecurity, it is becoming increasingly common to migrate away from Madre de Dios and pursue a new livelihood, with small businesses being popular livelihood choices among the respondents. However, while many miners and </w:t>
      </w:r>
      <w:r w:rsidRPr="004E053C">
        <w:rPr>
          <w:rFonts w:eastAsia="Times New Roman" w:cstheme="majorHAnsi"/>
          <w:i/>
          <w:sz w:val="22"/>
          <w:szCs w:val="22"/>
          <w:lang w:val="en-GB"/>
        </w:rPr>
        <w:t>obreros</w:t>
      </w:r>
      <w:r w:rsidRPr="004E053C">
        <w:rPr>
          <w:rFonts w:eastAsia="Times New Roman" w:cstheme="majorHAnsi"/>
          <w:sz w:val="22"/>
          <w:szCs w:val="22"/>
          <w:lang w:val="en-GB"/>
        </w:rPr>
        <w:t xml:space="preserve"> talk about the desire to </w:t>
      </w:r>
      <w:r w:rsidR="007D1DF3" w:rsidRPr="004E053C">
        <w:rPr>
          <w:rFonts w:eastAsia="Times New Roman" w:cstheme="majorHAnsi"/>
          <w:sz w:val="22"/>
          <w:szCs w:val="22"/>
          <w:lang w:val="en-GB"/>
        </w:rPr>
        <w:t xml:space="preserve">eventually </w:t>
      </w:r>
      <w:r w:rsidRPr="004E053C">
        <w:rPr>
          <w:rFonts w:eastAsia="Times New Roman" w:cstheme="majorHAnsi"/>
          <w:sz w:val="22"/>
          <w:szCs w:val="22"/>
          <w:lang w:val="en-GB"/>
        </w:rPr>
        <w:t>build a house and start</w:t>
      </w:r>
      <w:r w:rsidR="007D1DF3" w:rsidRPr="004E053C">
        <w:rPr>
          <w:rFonts w:eastAsia="Times New Roman" w:cstheme="majorHAnsi"/>
          <w:sz w:val="22"/>
          <w:szCs w:val="22"/>
          <w:lang w:val="en-GB"/>
        </w:rPr>
        <w:t xml:space="preserve"> </w:t>
      </w:r>
      <w:r w:rsidR="007D1DF3" w:rsidRPr="004E053C">
        <w:rPr>
          <w:rFonts w:eastAsia="Times New Roman" w:cstheme="majorHAnsi"/>
          <w:sz w:val="22"/>
          <w:szCs w:val="22"/>
          <w:lang w:val="en-GB"/>
        </w:rPr>
        <w:lastRenderedPageBreak/>
        <w:t>a business elsewhere</w:t>
      </w:r>
      <w:r w:rsidRPr="004E053C">
        <w:rPr>
          <w:rFonts w:eastAsia="Times New Roman" w:cstheme="majorHAnsi"/>
          <w:sz w:val="22"/>
          <w:szCs w:val="22"/>
          <w:lang w:val="en-GB"/>
        </w:rPr>
        <w:t>, there is a clear distinction between the ones that already have land and are constructing their houses, and those who have not yet saved e</w:t>
      </w:r>
      <w:r w:rsidR="00906830" w:rsidRPr="004E053C">
        <w:rPr>
          <w:rFonts w:eastAsia="Times New Roman" w:cstheme="majorHAnsi"/>
          <w:sz w:val="22"/>
          <w:szCs w:val="22"/>
          <w:lang w:val="en-GB"/>
        </w:rPr>
        <w:t>nough to enable them to do so.</w:t>
      </w:r>
    </w:p>
    <w:p w14:paraId="6F81D764" w14:textId="0512479C" w:rsidR="004A3EF1" w:rsidRPr="004E053C" w:rsidRDefault="0090683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 </w:t>
      </w:r>
    </w:p>
    <w:p w14:paraId="634DD033" w14:textId="56A8FBA2" w:rsidR="0091076C" w:rsidRPr="004E053C" w:rsidRDefault="00EA7F83" w:rsidP="004E053C">
      <w:pPr>
        <w:pStyle w:val="Heading3"/>
        <w:rPr>
          <w:rFonts w:asciiTheme="minorHAnsi" w:hAnsiTheme="minorHAnsi"/>
        </w:rPr>
      </w:pPr>
      <w:r w:rsidRPr="004E053C">
        <w:rPr>
          <w:rFonts w:asciiTheme="minorHAnsi" w:hAnsiTheme="minorHAnsi"/>
        </w:rPr>
        <w:t>6</w:t>
      </w:r>
      <w:r w:rsidR="00F32A9B" w:rsidRPr="004E053C">
        <w:rPr>
          <w:rFonts w:asciiTheme="minorHAnsi" w:hAnsiTheme="minorHAnsi"/>
        </w:rPr>
        <w:t>.4</w:t>
      </w:r>
      <w:r w:rsidR="0091076C" w:rsidRPr="004E053C">
        <w:rPr>
          <w:rFonts w:asciiTheme="minorHAnsi" w:hAnsiTheme="minorHAnsi"/>
        </w:rPr>
        <w:t>.4. Non-migrants</w:t>
      </w:r>
    </w:p>
    <w:p w14:paraId="6330F8A8" w14:textId="77777777" w:rsidR="004A3EF1" w:rsidRPr="004E053C" w:rsidRDefault="004A3EF1" w:rsidP="004E053C">
      <w:pPr>
        <w:spacing w:line="360" w:lineRule="auto"/>
        <w:jc w:val="both"/>
        <w:rPr>
          <w:rFonts w:cstheme="majorHAnsi"/>
          <w:lang w:val="en-GB"/>
        </w:rPr>
      </w:pPr>
    </w:p>
    <w:p w14:paraId="3B391FFA" w14:textId="71B336E5"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 non-migrants </w:t>
      </w:r>
      <w:r w:rsidR="0085421D" w:rsidRPr="004E053C">
        <w:rPr>
          <w:rFonts w:eastAsia="Times New Roman" w:cstheme="majorHAnsi"/>
          <w:sz w:val="22"/>
          <w:szCs w:val="22"/>
          <w:lang w:val="en-GB"/>
        </w:rPr>
        <w:t xml:space="preserve">in mining towns such as Laberinto </w:t>
      </w:r>
      <w:r w:rsidRPr="004E053C">
        <w:rPr>
          <w:rFonts w:eastAsia="Times New Roman" w:cstheme="majorHAnsi"/>
          <w:sz w:val="22"/>
          <w:szCs w:val="22"/>
          <w:lang w:val="en-GB"/>
        </w:rPr>
        <w:t>represent an impor</w:t>
      </w:r>
      <w:r w:rsidR="0085421D" w:rsidRPr="004E053C">
        <w:rPr>
          <w:rFonts w:eastAsia="Times New Roman" w:cstheme="majorHAnsi"/>
          <w:sz w:val="22"/>
          <w:szCs w:val="22"/>
          <w:lang w:val="en-GB"/>
        </w:rPr>
        <w:t>tant segment of the population</w:t>
      </w:r>
      <w:r w:rsidR="00460CF8" w:rsidRPr="004E053C">
        <w:rPr>
          <w:rFonts w:eastAsia="Times New Roman" w:cstheme="majorHAnsi"/>
          <w:sz w:val="22"/>
          <w:szCs w:val="22"/>
          <w:lang w:val="en-GB"/>
        </w:rPr>
        <w:t>, and are</w:t>
      </w:r>
      <w:r w:rsidR="0085421D" w:rsidRPr="004E053C">
        <w:rPr>
          <w:rFonts w:eastAsia="Times New Roman" w:cstheme="majorHAnsi"/>
          <w:sz w:val="22"/>
          <w:szCs w:val="22"/>
          <w:lang w:val="en-GB"/>
        </w:rPr>
        <w:t xml:space="preserve"> </w:t>
      </w:r>
      <w:r w:rsidR="00460CF8" w:rsidRPr="004E053C">
        <w:rPr>
          <w:rFonts w:eastAsia="Times New Roman" w:cstheme="majorHAnsi"/>
          <w:sz w:val="22"/>
          <w:szCs w:val="22"/>
          <w:lang w:val="en-GB"/>
        </w:rPr>
        <w:t>included within</w:t>
      </w:r>
      <w:r w:rsidR="0085421D" w:rsidRPr="004E053C">
        <w:rPr>
          <w:rFonts w:eastAsia="Times New Roman" w:cstheme="majorHAnsi"/>
          <w:sz w:val="22"/>
          <w:szCs w:val="22"/>
          <w:lang w:val="en-GB"/>
        </w:rPr>
        <w:t xml:space="preserve"> the </w:t>
      </w:r>
      <w:r w:rsidR="00460CF8" w:rsidRPr="004E053C">
        <w:rPr>
          <w:rFonts w:eastAsia="Times New Roman" w:cstheme="majorHAnsi"/>
          <w:sz w:val="22"/>
          <w:szCs w:val="22"/>
          <w:lang w:val="en-GB"/>
        </w:rPr>
        <w:t xml:space="preserve">translocal social field. This is because, like the permanently settled migrants, they continue to be connected to the translocal social field through their interconnections with others migrant miners that they interact with </w:t>
      </w:r>
      <w:r w:rsidR="00BC1DB4" w:rsidRPr="004E053C">
        <w:rPr>
          <w:rFonts w:eastAsia="Times New Roman" w:cstheme="majorHAnsi"/>
          <w:sz w:val="22"/>
          <w:szCs w:val="22"/>
          <w:lang w:val="en-GB"/>
        </w:rPr>
        <w:fldChar w:fldCharType="begin" w:fldLock="1"/>
      </w:r>
      <w:r w:rsidR="00680892" w:rsidRPr="004E053C">
        <w:rPr>
          <w:rFonts w:eastAsia="Times New Roman" w:cstheme="majorHAnsi"/>
          <w:sz w:val="22"/>
          <w:szCs w:val="22"/>
          <w:lang w:val="en-GB"/>
        </w:rPr>
        <w:instrText>ADDIN CSL_CITATION {"citationItems":[{"id":"ITEM-1","itemData":{"author":[{"dropping-particle":"","family":"Carling","given":"Jorgen","non-dropping-particle":"","parse-names":false,"suffix":""}],"container-title":"Ethnic and Racial Studies","id":"ITEM-1","issue":"8","issued":{"date-parts":[["2008"]]},"page":"1452-1477","title":"The human dynamics of transnationalism","type":"article-journal","volume":"31"},"uris":["http://www.mendeley.com/documents/?uuid=4e9502bd-03d1-49f4-adda-36bcff515ccc"]},{"id":"ITEM-2","itemData":{"author":[{"dropping-particle":"","family":"Levitt","given":"Peggy","non-dropping-particle":"","parse-names":false,"suffix":""},{"dropping-particle":"","family":"Glick Schiller","given":"Nina","non-dropping-particle":"","parse-names":false,"suffix":""}],"container-title":"International Migration Review","id":"ITEM-2","issue":"3","issued":{"date-parts":[["2004"]]},"page":"1002-1039","title":"Conceptualizing Simultaneity: A Transnational Social Field Perspective on Society","type":"article-journal","volume":"38"},"uris":["http://www.mendeley.com/documents/?uuid=0fba9d75-8d2a-4773-971d-1b23f9a6edea"]}],"mendeley":{"formattedCitation":"(Carling, 2008; Levitt &amp; Glick Schiller, 2004)","plainTextFormattedCitation":"(Carling, 2008; Levitt &amp; Glick Schiller, 2004)","previouslyFormattedCitation":"(Carling, 2008; Levitt &amp; Glick Schiller, 2004)"},"properties":{"noteIndex":0},"schema":"https://github.com/citation-style-language/schema/raw/master/csl-citation.json"}</w:instrText>
      </w:r>
      <w:r w:rsidR="00BC1DB4" w:rsidRPr="004E053C">
        <w:rPr>
          <w:rFonts w:eastAsia="Times New Roman" w:cstheme="majorHAnsi"/>
          <w:sz w:val="22"/>
          <w:szCs w:val="22"/>
          <w:lang w:val="en-GB"/>
        </w:rPr>
        <w:fldChar w:fldCharType="separate"/>
      </w:r>
      <w:r w:rsidR="00680892" w:rsidRPr="004E053C">
        <w:rPr>
          <w:rFonts w:eastAsia="Times New Roman" w:cstheme="majorHAnsi"/>
          <w:noProof/>
          <w:sz w:val="22"/>
          <w:szCs w:val="22"/>
          <w:lang w:val="en-GB"/>
        </w:rPr>
        <w:t>(Carling, 2008; Levitt &amp; Glick Schiller, 2004)</w:t>
      </w:r>
      <w:r w:rsidR="00BC1DB4" w:rsidRPr="004E053C">
        <w:rPr>
          <w:rFonts w:eastAsia="Times New Roman" w:cstheme="majorHAnsi"/>
          <w:sz w:val="22"/>
          <w:szCs w:val="22"/>
          <w:lang w:val="en-GB"/>
        </w:rPr>
        <w:fldChar w:fldCharType="end"/>
      </w:r>
      <w:r w:rsidR="00460CF8" w:rsidRPr="004E053C">
        <w:rPr>
          <w:rFonts w:eastAsia="Times New Roman" w:cstheme="majorHAnsi"/>
          <w:sz w:val="22"/>
          <w:szCs w:val="22"/>
          <w:lang w:val="en-GB"/>
        </w:rPr>
        <w:t xml:space="preserve">. While the social field of ASM is inherently translocal, it encapsulates both mobile and non-mobile miners alike. </w:t>
      </w:r>
      <w:r w:rsidRPr="004E053C">
        <w:rPr>
          <w:rFonts w:eastAsia="Times New Roman" w:cstheme="majorHAnsi"/>
          <w:sz w:val="22"/>
          <w:szCs w:val="22"/>
          <w:lang w:val="en-GB"/>
        </w:rPr>
        <w:t xml:space="preserve">Several of the miners I interviewed in Laberinto were children of miners who had migrated to the region in the 70s, 80s and 90s and had been living there their whole lives. One LGA representative said that for many of these young people, they did not know how to do anything else but mine, and so moving into another sector was hard. As discussed earlier, the older miners attach a lot of importance to educating their children to enable them to get a better job outside of mining, but the experiences of many of their children highlight the difficulties in escaping ASM: </w:t>
      </w:r>
    </w:p>
    <w:p w14:paraId="198C7F6E" w14:textId="77777777" w:rsidR="0091076C" w:rsidRPr="004E053C" w:rsidRDefault="0091076C" w:rsidP="004E053C">
      <w:pPr>
        <w:spacing w:line="360" w:lineRule="auto"/>
        <w:jc w:val="both"/>
        <w:rPr>
          <w:rFonts w:eastAsia="Times New Roman" w:cstheme="majorHAnsi"/>
          <w:i/>
          <w:sz w:val="22"/>
          <w:szCs w:val="22"/>
          <w:lang w:val="en-GB"/>
        </w:rPr>
      </w:pPr>
    </w:p>
    <w:p w14:paraId="3E016EFC" w14:textId="18B49B3E" w:rsidR="0091076C" w:rsidRPr="004E053C" w:rsidRDefault="007D1DF3" w:rsidP="004E053C">
      <w:pPr>
        <w:ind w:left="720"/>
        <w:jc w:val="both"/>
        <w:rPr>
          <w:rFonts w:eastAsia="Times New Roman" w:cstheme="majorHAnsi"/>
          <w:i/>
          <w:sz w:val="22"/>
          <w:szCs w:val="22"/>
          <w:lang w:val="en-GB"/>
        </w:rPr>
      </w:pPr>
      <w:r w:rsidRPr="004E053C">
        <w:rPr>
          <w:rFonts w:eastAsia="Times New Roman" w:cstheme="majorHAnsi"/>
          <w:i/>
          <w:sz w:val="22"/>
          <w:szCs w:val="22"/>
          <w:lang w:val="en-GB"/>
        </w:rPr>
        <w:t>‘</w:t>
      </w:r>
      <w:r w:rsidR="0091076C" w:rsidRPr="004E053C">
        <w:rPr>
          <w:rFonts w:eastAsia="Times New Roman" w:cstheme="majorHAnsi"/>
          <w:i/>
          <w:sz w:val="22"/>
          <w:szCs w:val="22"/>
          <w:lang w:val="en-GB"/>
        </w:rPr>
        <w:t>I went to Lima after secondary school to study electronic engineering, but then I came back here. I went for just one year and then I had to return, because due to the problems with the police my parents had less money and couldn’t afford to pay for my studies, an</w:t>
      </w:r>
      <w:r w:rsidRPr="004E053C">
        <w:rPr>
          <w:rFonts w:eastAsia="Times New Roman" w:cstheme="majorHAnsi"/>
          <w:i/>
          <w:sz w:val="22"/>
          <w:szCs w:val="22"/>
          <w:lang w:val="en-GB"/>
        </w:rPr>
        <w:t>d its expensive to live in Lima’</w:t>
      </w:r>
      <w:r w:rsidR="0091076C" w:rsidRPr="004E053C">
        <w:rPr>
          <w:rFonts w:eastAsia="Times New Roman" w:cstheme="majorHAnsi"/>
          <w:i/>
          <w:sz w:val="22"/>
          <w:szCs w:val="22"/>
          <w:lang w:val="en-GB"/>
        </w:rPr>
        <w:t xml:space="preserve"> </w:t>
      </w:r>
      <w:r w:rsidR="0091076C" w:rsidRPr="004E053C">
        <w:rPr>
          <w:rFonts w:eastAsia="Times New Roman" w:cstheme="majorHAnsi"/>
          <w:sz w:val="22"/>
          <w:szCs w:val="22"/>
          <w:lang w:val="en-GB"/>
        </w:rPr>
        <w:t>(</w:t>
      </w:r>
      <w:r w:rsidR="00EA7F80" w:rsidRPr="004E053C">
        <w:rPr>
          <w:rFonts w:eastAsia="Times New Roman" w:cstheme="majorHAnsi"/>
          <w:sz w:val="22"/>
          <w:szCs w:val="22"/>
          <w:lang w:val="en-GB"/>
        </w:rPr>
        <w:t>Jorge</w:t>
      </w:r>
      <w:r w:rsidR="0091076C" w:rsidRPr="004E053C">
        <w:rPr>
          <w:rFonts w:eastAsia="Times New Roman" w:cstheme="majorHAnsi"/>
          <w:sz w:val="22"/>
          <w:szCs w:val="22"/>
          <w:lang w:val="en-GB"/>
        </w:rPr>
        <w:t>, ASM miner, Laberinto).</w:t>
      </w:r>
    </w:p>
    <w:p w14:paraId="580B9316" w14:textId="77777777" w:rsidR="0091076C" w:rsidRPr="004E053C" w:rsidRDefault="0091076C" w:rsidP="004E053C">
      <w:pPr>
        <w:jc w:val="both"/>
        <w:rPr>
          <w:rFonts w:eastAsia="Times New Roman" w:cstheme="majorHAnsi"/>
          <w:i/>
          <w:sz w:val="22"/>
          <w:szCs w:val="22"/>
          <w:lang w:val="en-GB"/>
        </w:rPr>
      </w:pPr>
    </w:p>
    <w:p w14:paraId="4F168F27" w14:textId="2D6DE771" w:rsidR="0091076C" w:rsidRPr="004E053C" w:rsidRDefault="007D1DF3" w:rsidP="004E053C">
      <w:pPr>
        <w:ind w:left="720"/>
        <w:jc w:val="both"/>
        <w:rPr>
          <w:rFonts w:eastAsia="Times New Roman" w:cstheme="majorHAnsi"/>
          <w:i/>
          <w:sz w:val="22"/>
          <w:szCs w:val="22"/>
          <w:lang w:val="en-GB"/>
        </w:rPr>
      </w:pPr>
      <w:r w:rsidRPr="004E053C">
        <w:rPr>
          <w:rFonts w:eastAsia="Times New Roman" w:cstheme="majorHAnsi"/>
          <w:i/>
          <w:sz w:val="22"/>
          <w:szCs w:val="22"/>
          <w:lang w:val="en-GB"/>
        </w:rPr>
        <w:t>‘</w:t>
      </w:r>
      <w:r w:rsidR="0091076C" w:rsidRPr="004E053C">
        <w:rPr>
          <w:rFonts w:eastAsia="Times New Roman" w:cstheme="majorHAnsi"/>
          <w:i/>
          <w:sz w:val="22"/>
          <w:szCs w:val="22"/>
          <w:lang w:val="en-GB"/>
        </w:rPr>
        <w:t>I had a problem with the ID, my father’s name was wrong and so my ID was wrong. To change that when I was 17 was a long and difficult process and it took me two years…I wanted to go to Cusco to study industrial engineering, but I couldn’t without the ID. By the time the ID process was finished I was 19 and by that time I was already working for two years and I decided not to</w:t>
      </w:r>
      <w:r w:rsidRPr="004E053C">
        <w:rPr>
          <w:rFonts w:eastAsia="Times New Roman" w:cstheme="majorHAnsi"/>
          <w:i/>
          <w:sz w:val="22"/>
          <w:szCs w:val="22"/>
          <w:lang w:val="en-GB"/>
        </w:rPr>
        <w:t xml:space="preserve"> study anymore and to stay here’</w:t>
      </w:r>
      <w:r w:rsidR="0091076C" w:rsidRPr="004E053C">
        <w:rPr>
          <w:rFonts w:eastAsia="Times New Roman" w:cstheme="majorHAnsi"/>
          <w:i/>
          <w:sz w:val="22"/>
          <w:szCs w:val="22"/>
          <w:lang w:val="en-GB"/>
        </w:rPr>
        <w:t xml:space="preserve"> </w:t>
      </w:r>
      <w:r w:rsidR="0091076C" w:rsidRPr="004E053C">
        <w:rPr>
          <w:rFonts w:eastAsia="Times New Roman" w:cstheme="majorHAnsi"/>
          <w:sz w:val="22"/>
          <w:szCs w:val="22"/>
          <w:lang w:val="en-GB"/>
        </w:rPr>
        <w:t>(</w:t>
      </w:r>
      <w:r w:rsidR="00EA7F80" w:rsidRPr="004E053C">
        <w:rPr>
          <w:rFonts w:eastAsia="Times New Roman" w:cstheme="majorHAnsi"/>
          <w:sz w:val="22"/>
          <w:szCs w:val="22"/>
          <w:lang w:val="en-GB"/>
        </w:rPr>
        <w:t>Alejandro</w:t>
      </w:r>
      <w:r w:rsidR="0091076C" w:rsidRPr="004E053C">
        <w:rPr>
          <w:rFonts w:eastAsia="Times New Roman" w:cstheme="majorHAnsi"/>
          <w:sz w:val="22"/>
          <w:szCs w:val="22"/>
          <w:lang w:val="en-GB"/>
        </w:rPr>
        <w:t>, ASM miner, Laberinto).</w:t>
      </w:r>
    </w:p>
    <w:p w14:paraId="2F7EB50B" w14:textId="77777777" w:rsidR="0091076C" w:rsidRPr="004E053C" w:rsidRDefault="0091076C" w:rsidP="004E053C">
      <w:pPr>
        <w:spacing w:line="360" w:lineRule="auto"/>
        <w:jc w:val="both"/>
        <w:rPr>
          <w:rFonts w:eastAsia="Times New Roman" w:cstheme="majorHAnsi"/>
          <w:i/>
          <w:sz w:val="22"/>
          <w:szCs w:val="22"/>
          <w:lang w:val="en-GB"/>
        </w:rPr>
      </w:pPr>
    </w:p>
    <w:p w14:paraId="2AF433B9" w14:textId="072FF2E5" w:rsidR="0091076C"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Jorge</w:t>
      </w:r>
      <w:r w:rsidR="0091076C" w:rsidRPr="004E053C">
        <w:rPr>
          <w:rFonts w:eastAsia="Times New Roman" w:cstheme="majorHAnsi"/>
          <w:sz w:val="22"/>
          <w:szCs w:val="22"/>
          <w:lang w:val="en-GB"/>
        </w:rPr>
        <w:t xml:space="preserve">’s example clearly highlights some of the risks inherent in moving to a more expensive city, while </w:t>
      </w:r>
      <w:r w:rsidRPr="004E053C">
        <w:rPr>
          <w:rFonts w:eastAsia="Times New Roman" w:cstheme="majorHAnsi"/>
          <w:sz w:val="22"/>
          <w:szCs w:val="22"/>
          <w:lang w:val="en-GB"/>
        </w:rPr>
        <w:t>Alejandro</w:t>
      </w:r>
      <w:r w:rsidR="0091076C" w:rsidRPr="004E053C">
        <w:rPr>
          <w:rFonts w:eastAsia="Times New Roman" w:cstheme="majorHAnsi"/>
          <w:sz w:val="22"/>
          <w:szCs w:val="22"/>
          <w:lang w:val="en-GB"/>
        </w:rPr>
        <w:t xml:space="preserve">’s reflects bureaucratic problems that can prevent access to education. There was also the case of </w:t>
      </w:r>
      <w:r w:rsidRPr="004E053C">
        <w:rPr>
          <w:rFonts w:eastAsia="Times New Roman" w:cstheme="majorHAnsi"/>
          <w:sz w:val="22"/>
          <w:szCs w:val="22"/>
          <w:lang w:val="en-GB"/>
        </w:rPr>
        <w:t>Justiniano</w:t>
      </w:r>
      <w:r w:rsidR="0091076C" w:rsidRPr="004E053C">
        <w:rPr>
          <w:rFonts w:eastAsia="Times New Roman" w:cstheme="majorHAnsi"/>
          <w:sz w:val="22"/>
          <w:szCs w:val="22"/>
          <w:lang w:val="en-GB"/>
        </w:rPr>
        <w:t xml:space="preserve"> who had gone to university to do mechanics, but quit to be in a band. However, due to the pressures of his lifestyle and the fact that his school friends were now all working in mining, he eventually left the band and bought his own motor in Laberinto. </w:t>
      </w:r>
      <w:r w:rsidR="002A3BD2" w:rsidRPr="004E053C">
        <w:rPr>
          <w:rFonts w:eastAsia="Times New Roman" w:cstheme="majorHAnsi"/>
          <w:sz w:val="22"/>
          <w:szCs w:val="22"/>
          <w:lang w:val="en-GB"/>
        </w:rPr>
        <w:t xml:space="preserve">While women who are adult children of miners are less likely to be involved directly in ASM, they still face the same obstacles and may therefore remain in the mining town. </w:t>
      </w:r>
    </w:p>
    <w:p w14:paraId="75711A0B" w14:textId="77777777" w:rsidR="0091076C" w:rsidRPr="004E053C" w:rsidRDefault="0091076C" w:rsidP="004E053C">
      <w:pPr>
        <w:spacing w:line="360" w:lineRule="auto"/>
        <w:jc w:val="both"/>
        <w:rPr>
          <w:rFonts w:eastAsia="Times New Roman" w:cstheme="majorHAnsi"/>
          <w:sz w:val="22"/>
          <w:szCs w:val="22"/>
          <w:lang w:val="en-GB"/>
        </w:rPr>
      </w:pPr>
    </w:p>
    <w:p w14:paraId="0F011009" w14:textId="7EB96931" w:rsidR="0091076C" w:rsidRPr="004E053C" w:rsidRDefault="0091076C"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lastRenderedPageBreak/>
        <w:t>Although I interviewed two men who had grown up in mining towns in Madre de Dios but were now working in professional jobs outside of ASM, they both acknowledged that they had been lucky. For most of their friends from the mining community, aspirations for a ‘better life’ faded or were unobtainable, even with a degree</w:t>
      </w:r>
      <w:r w:rsidRPr="004E053C">
        <w:rPr>
          <w:rFonts w:cstheme="majorHAnsi"/>
          <w:sz w:val="22"/>
          <w:szCs w:val="22"/>
          <w:lang w:val="en-GB"/>
        </w:rPr>
        <w:t xml:space="preserve">. Well-paid jobs in Madre de Dios are hard to find, and moving to Lima or Cusco is expensive and carries risk. </w:t>
      </w:r>
      <w:r w:rsidRPr="004E053C">
        <w:rPr>
          <w:rFonts w:eastAsia="Times New Roman" w:cstheme="majorHAnsi"/>
          <w:sz w:val="22"/>
          <w:szCs w:val="22"/>
          <w:lang w:val="en-GB"/>
        </w:rPr>
        <w:t xml:space="preserve">The ease of finding </w:t>
      </w:r>
      <w:r w:rsidR="00FD1963" w:rsidRPr="004E053C">
        <w:rPr>
          <w:rFonts w:eastAsia="Times New Roman" w:cstheme="majorHAnsi"/>
          <w:sz w:val="22"/>
          <w:szCs w:val="22"/>
          <w:lang w:val="en-GB"/>
        </w:rPr>
        <w:t>well paid</w:t>
      </w:r>
      <w:r w:rsidRPr="004E053C">
        <w:rPr>
          <w:rFonts w:eastAsia="Times New Roman" w:cstheme="majorHAnsi"/>
          <w:sz w:val="22"/>
          <w:szCs w:val="22"/>
          <w:lang w:val="en-GB"/>
        </w:rPr>
        <w:t xml:space="preserve"> work in </w:t>
      </w:r>
      <w:r w:rsidR="002A3BD2" w:rsidRPr="004E053C">
        <w:rPr>
          <w:rFonts w:eastAsia="Times New Roman" w:cstheme="majorHAnsi"/>
          <w:sz w:val="22"/>
          <w:szCs w:val="22"/>
          <w:lang w:val="en-GB"/>
        </w:rPr>
        <w:t xml:space="preserve">the ASM sector, </w:t>
      </w:r>
      <w:r w:rsidRPr="004E053C">
        <w:rPr>
          <w:rFonts w:eastAsia="Times New Roman" w:cstheme="majorHAnsi"/>
          <w:sz w:val="22"/>
          <w:szCs w:val="22"/>
          <w:lang w:val="en-GB"/>
        </w:rPr>
        <w:t xml:space="preserve">coupled with the strong miner identity in ASM communities, means that for many young </w:t>
      </w:r>
      <w:r w:rsidR="002A3BD2" w:rsidRPr="004E053C">
        <w:rPr>
          <w:rFonts w:eastAsia="Times New Roman" w:cstheme="majorHAnsi"/>
          <w:sz w:val="22"/>
          <w:szCs w:val="22"/>
          <w:lang w:val="en-GB"/>
        </w:rPr>
        <w:t>men and women</w:t>
      </w:r>
      <w:r w:rsidRPr="004E053C">
        <w:rPr>
          <w:rFonts w:eastAsia="Times New Roman" w:cstheme="majorHAnsi"/>
          <w:sz w:val="22"/>
          <w:szCs w:val="22"/>
          <w:lang w:val="en-GB"/>
        </w:rPr>
        <w:t xml:space="preserve"> born in Laberinto, t</w:t>
      </w:r>
      <w:r w:rsidR="00BD2D2F" w:rsidRPr="004E053C">
        <w:rPr>
          <w:rFonts w:eastAsia="Times New Roman" w:cstheme="majorHAnsi"/>
          <w:sz w:val="22"/>
          <w:szCs w:val="22"/>
          <w:lang w:val="en-GB"/>
        </w:rPr>
        <w:t>heir dreams to leave</w:t>
      </w:r>
      <w:r w:rsidRPr="004E053C">
        <w:rPr>
          <w:rFonts w:eastAsia="Times New Roman" w:cstheme="majorHAnsi"/>
          <w:sz w:val="22"/>
          <w:szCs w:val="22"/>
          <w:lang w:val="en-GB"/>
        </w:rPr>
        <w:t xml:space="preserve"> mining can be unobtainable. </w:t>
      </w:r>
    </w:p>
    <w:p w14:paraId="36D0DC72" w14:textId="77777777" w:rsidR="0091076C" w:rsidRPr="004E053C" w:rsidRDefault="0091076C" w:rsidP="004E053C">
      <w:pPr>
        <w:spacing w:line="360" w:lineRule="auto"/>
        <w:jc w:val="both"/>
        <w:rPr>
          <w:rFonts w:eastAsia="Times New Roman" w:cstheme="majorHAnsi"/>
          <w:sz w:val="22"/>
          <w:szCs w:val="22"/>
          <w:lang w:val="en-GB"/>
        </w:rPr>
      </w:pPr>
    </w:p>
    <w:p w14:paraId="05A5DD94" w14:textId="015998D6" w:rsidR="0091076C" w:rsidRPr="004E053C" w:rsidRDefault="00EA7F83" w:rsidP="004E053C">
      <w:pPr>
        <w:pStyle w:val="Heading2"/>
        <w:spacing w:before="0" w:line="360" w:lineRule="auto"/>
        <w:jc w:val="both"/>
        <w:rPr>
          <w:rFonts w:cstheme="majorHAnsi"/>
          <w:lang w:val="en-GB"/>
        </w:rPr>
      </w:pPr>
      <w:bookmarkStart w:id="78" w:name="_Toc33293113"/>
      <w:r w:rsidRPr="004E053C">
        <w:rPr>
          <w:rFonts w:cstheme="majorHAnsi"/>
          <w:lang w:val="en-GB"/>
        </w:rPr>
        <w:t>6</w:t>
      </w:r>
      <w:r w:rsidR="00F32A9B" w:rsidRPr="004E053C">
        <w:rPr>
          <w:rFonts w:cstheme="majorHAnsi"/>
          <w:lang w:val="en-GB"/>
        </w:rPr>
        <w:t>.5</w:t>
      </w:r>
      <w:r w:rsidR="0091076C" w:rsidRPr="004E053C">
        <w:rPr>
          <w:rFonts w:cstheme="majorHAnsi"/>
          <w:lang w:val="en-GB"/>
        </w:rPr>
        <w:t>.</w:t>
      </w:r>
      <w:r w:rsidR="00F444F5" w:rsidRPr="004E053C">
        <w:rPr>
          <w:rFonts w:cstheme="majorHAnsi"/>
          <w:lang w:val="en-GB"/>
        </w:rPr>
        <w:t xml:space="preserve"> Summary</w:t>
      </w:r>
      <w:bookmarkEnd w:id="78"/>
    </w:p>
    <w:p w14:paraId="47323A47" w14:textId="77777777" w:rsidR="0091076C" w:rsidRPr="004E053C" w:rsidRDefault="0091076C" w:rsidP="004E053C">
      <w:pPr>
        <w:spacing w:line="360" w:lineRule="auto"/>
        <w:jc w:val="both"/>
        <w:rPr>
          <w:rFonts w:eastAsia="Times New Roman" w:cstheme="majorHAnsi"/>
          <w:b/>
          <w:bCs/>
          <w:sz w:val="22"/>
          <w:szCs w:val="22"/>
          <w:lang w:val="en-GB"/>
        </w:rPr>
      </w:pPr>
    </w:p>
    <w:p w14:paraId="6CF28284" w14:textId="25681063" w:rsidR="00F27FE4" w:rsidRPr="004E053C" w:rsidRDefault="00F27FE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The main contribution of this chapter has been to </w:t>
      </w:r>
      <w:r w:rsidR="004A3EFE" w:rsidRPr="004E053C">
        <w:rPr>
          <w:rFonts w:cstheme="majorHAnsi"/>
          <w:sz w:val="22"/>
          <w:szCs w:val="22"/>
          <w:lang w:val="en-GB" w:eastAsia="zh-CN"/>
        </w:rPr>
        <w:t xml:space="preserve">demonstrate </w:t>
      </w:r>
      <w:r w:rsidRPr="004E053C">
        <w:rPr>
          <w:rFonts w:cstheme="majorHAnsi"/>
          <w:sz w:val="22"/>
          <w:szCs w:val="22"/>
          <w:lang w:val="en-GB" w:eastAsia="zh-CN"/>
        </w:rPr>
        <w:t>the divergent livelihood trajectories of people residing within the translocal ASM community, which begins to highlight the need for an understanding of translocality that accounts for both spatial and temporal distinctions. The first part of the chapter explored the various re</w:t>
      </w:r>
      <w:r w:rsidR="00AD0893" w:rsidRPr="004E053C">
        <w:rPr>
          <w:rFonts w:cstheme="majorHAnsi"/>
          <w:sz w:val="22"/>
          <w:szCs w:val="22"/>
          <w:lang w:val="en-GB" w:eastAsia="zh-CN"/>
        </w:rPr>
        <w:t>asons why people engage in ASM, which provided important insights into the</w:t>
      </w:r>
      <w:r w:rsidR="00FD1963" w:rsidRPr="004E053C">
        <w:rPr>
          <w:rFonts w:cstheme="majorHAnsi"/>
          <w:sz w:val="22"/>
          <w:szCs w:val="22"/>
          <w:lang w:val="en-GB" w:eastAsia="zh-CN"/>
        </w:rPr>
        <w:t xml:space="preserve"> start</w:t>
      </w:r>
      <w:r w:rsidR="00AD0893" w:rsidRPr="004E053C">
        <w:rPr>
          <w:rFonts w:cstheme="majorHAnsi"/>
          <w:sz w:val="22"/>
          <w:szCs w:val="22"/>
          <w:lang w:val="en-GB" w:eastAsia="zh-CN"/>
        </w:rPr>
        <w:t>ing points of</w:t>
      </w:r>
      <w:r w:rsidR="00FD1963" w:rsidRPr="004E053C">
        <w:rPr>
          <w:rFonts w:cstheme="majorHAnsi"/>
          <w:sz w:val="22"/>
          <w:szCs w:val="22"/>
          <w:lang w:val="en-GB" w:eastAsia="zh-CN"/>
        </w:rPr>
        <w:t xml:space="preserve"> the resulting livelihood trajectories. </w:t>
      </w:r>
      <w:r w:rsidRPr="004E053C">
        <w:rPr>
          <w:rFonts w:cstheme="majorHAnsi"/>
          <w:sz w:val="22"/>
          <w:szCs w:val="22"/>
          <w:lang w:val="en-GB" w:eastAsia="zh-CN"/>
        </w:rPr>
        <w:t xml:space="preserve">In doing so, I have been able to show that livelihoods are dynamic and subject to change – while some people may intend to only engage in the sector for a few months following a crisis, circumstances can later change. However, one important </w:t>
      </w:r>
      <w:r w:rsidR="00AD0893" w:rsidRPr="004E053C">
        <w:rPr>
          <w:rFonts w:cstheme="majorHAnsi"/>
          <w:sz w:val="22"/>
          <w:szCs w:val="22"/>
          <w:lang w:val="en-GB" w:eastAsia="zh-CN"/>
        </w:rPr>
        <w:t>observation is that</w:t>
      </w:r>
      <w:r w:rsidRPr="004E053C">
        <w:rPr>
          <w:rFonts w:cstheme="majorHAnsi"/>
          <w:sz w:val="22"/>
          <w:szCs w:val="22"/>
          <w:lang w:val="en-GB" w:eastAsia="zh-CN"/>
        </w:rPr>
        <w:t xml:space="preserve"> some engage in ASM to recover from a previous failed migration. To my knowledge, this has not been discussed elsewhere, and is particularly important in the context of Peru, where structural inequalities mean that Andean immigrants can find life in the city particularly challenging. Another important point is that the multi-sited approach allowed for a broader understanding of the poverty in the Andes that resulted in migration to mining sites. </w:t>
      </w:r>
      <w:r w:rsidR="00AD0893" w:rsidRPr="004E053C">
        <w:rPr>
          <w:rFonts w:cstheme="majorHAnsi"/>
          <w:sz w:val="22"/>
          <w:szCs w:val="22"/>
          <w:lang w:val="en-GB" w:eastAsia="zh-CN"/>
        </w:rPr>
        <w:t>The</w:t>
      </w:r>
      <w:r w:rsidRPr="004E053C">
        <w:rPr>
          <w:rFonts w:cstheme="majorHAnsi"/>
          <w:sz w:val="22"/>
          <w:szCs w:val="22"/>
          <w:lang w:val="en-GB" w:eastAsia="zh-CN"/>
        </w:rPr>
        <w:t xml:space="preserve"> fact that some individuals already residing in Madre de Dios become engaged in mining due to the pressure from social norms </w:t>
      </w:r>
      <w:r w:rsidR="00AD0893" w:rsidRPr="004E053C">
        <w:rPr>
          <w:rFonts w:cstheme="majorHAnsi"/>
          <w:sz w:val="22"/>
          <w:szCs w:val="22"/>
          <w:lang w:val="en-GB" w:eastAsia="zh-CN"/>
        </w:rPr>
        <w:t>hints at the</w:t>
      </w:r>
      <w:r w:rsidRPr="004E053C">
        <w:rPr>
          <w:rFonts w:cstheme="majorHAnsi"/>
          <w:sz w:val="22"/>
          <w:szCs w:val="22"/>
          <w:lang w:val="en-GB" w:eastAsia="zh-CN"/>
        </w:rPr>
        <w:t xml:space="preserve"> importance of ASM to the local community’s identity.</w:t>
      </w:r>
    </w:p>
    <w:p w14:paraId="03117628" w14:textId="77777777" w:rsidR="00843DED" w:rsidRPr="004E053C" w:rsidRDefault="00843DED" w:rsidP="004E053C">
      <w:pPr>
        <w:spacing w:line="360" w:lineRule="auto"/>
        <w:jc w:val="both"/>
        <w:rPr>
          <w:rFonts w:cstheme="majorHAnsi"/>
          <w:sz w:val="22"/>
          <w:szCs w:val="22"/>
          <w:lang w:val="en-GB" w:eastAsia="zh-CN"/>
        </w:rPr>
      </w:pPr>
    </w:p>
    <w:p w14:paraId="2E860228" w14:textId="6EDA9757" w:rsidR="00F27FE4" w:rsidRPr="004E053C" w:rsidRDefault="00F27FE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The chapter then went on to provide evidence of the various ways in which individuals find work in mining towns and settlements in Madre de Dios, reinforcing findings elsewhere in the literature that have highlighted the importance of social networks. While this is nothing new in the global ASM context, I felt it important to emphasise the role of social networks here too, as it lays an empirical base for the discussions regarding the impact of translocality on social relationships that will come later in the thesis. The final section has introduced one of the key arguments of this thesis; that within the translocal mining community, individuals and households are following different livelihood trajectories and this has implications for their long-term interests. Most significantly, I distinguished between </w:t>
      </w:r>
      <w:r w:rsidR="000B0219" w:rsidRPr="004E053C">
        <w:rPr>
          <w:rFonts w:cstheme="majorHAnsi"/>
          <w:sz w:val="22"/>
          <w:szCs w:val="22"/>
          <w:lang w:val="en-GB" w:eastAsia="zh-CN"/>
        </w:rPr>
        <w:t>permanent,</w:t>
      </w:r>
      <w:r w:rsidRPr="004E053C">
        <w:rPr>
          <w:rFonts w:cstheme="majorHAnsi"/>
          <w:sz w:val="22"/>
          <w:szCs w:val="22"/>
          <w:lang w:val="en-GB" w:eastAsia="zh-CN"/>
        </w:rPr>
        <w:t xml:space="preserve"> </w:t>
      </w:r>
      <w:r w:rsidR="000B0219" w:rsidRPr="004E053C">
        <w:rPr>
          <w:rFonts w:cstheme="majorHAnsi"/>
          <w:sz w:val="22"/>
          <w:szCs w:val="22"/>
          <w:lang w:val="en-GB" w:eastAsia="zh-CN"/>
        </w:rPr>
        <w:t>temporary</w:t>
      </w:r>
      <w:r w:rsidRPr="004E053C">
        <w:rPr>
          <w:rFonts w:cstheme="majorHAnsi"/>
          <w:sz w:val="22"/>
          <w:szCs w:val="22"/>
          <w:lang w:val="en-GB" w:eastAsia="zh-CN"/>
        </w:rPr>
        <w:t>,</w:t>
      </w:r>
      <w:r w:rsidR="000B0219" w:rsidRPr="004E053C">
        <w:rPr>
          <w:rFonts w:cstheme="majorHAnsi"/>
          <w:sz w:val="22"/>
          <w:szCs w:val="22"/>
          <w:lang w:val="en-GB" w:eastAsia="zh-CN"/>
        </w:rPr>
        <w:t xml:space="preserve"> floating</w:t>
      </w:r>
      <w:r w:rsidRPr="004E053C">
        <w:rPr>
          <w:rFonts w:cstheme="majorHAnsi"/>
          <w:sz w:val="22"/>
          <w:szCs w:val="22"/>
          <w:lang w:val="en-GB" w:eastAsia="zh-CN"/>
        </w:rPr>
        <w:t xml:space="preserve"> and non-migrants, but also explained that </w:t>
      </w:r>
      <w:r w:rsidR="000B0219" w:rsidRPr="004E053C">
        <w:rPr>
          <w:rFonts w:cstheme="majorHAnsi"/>
          <w:sz w:val="22"/>
          <w:szCs w:val="22"/>
          <w:lang w:val="en-GB" w:eastAsia="zh-CN"/>
        </w:rPr>
        <w:lastRenderedPageBreak/>
        <w:t>temporary</w:t>
      </w:r>
      <w:r w:rsidRPr="004E053C">
        <w:rPr>
          <w:rFonts w:cstheme="majorHAnsi"/>
          <w:sz w:val="22"/>
          <w:szCs w:val="22"/>
          <w:lang w:val="en-GB" w:eastAsia="zh-CN"/>
        </w:rPr>
        <w:t xml:space="preserve"> miners may be either considered to be </w:t>
      </w:r>
      <w:r w:rsidR="000B0219" w:rsidRPr="004E053C">
        <w:rPr>
          <w:rFonts w:cstheme="majorHAnsi"/>
          <w:sz w:val="22"/>
          <w:szCs w:val="22"/>
          <w:lang w:val="en-GB" w:eastAsia="zh-CN"/>
        </w:rPr>
        <w:t>static or seasonal</w:t>
      </w:r>
      <w:r w:rsidRPr="004E053C">
        <w:rPr>
          <w:rFonts w:cstheme="majorHAnsi"/>
          <w:sz w:val="22"/>
          <w:szCs w:val="22"/>
          <w:lang w:val="en-GB" w:eastAsia="zh-CN"/>
        </w:rPr>
        <w:t xml:space="preserve">. What is key to recognise here is that </w:t>
      </w:r>
      <w:r w:rsidR="005F67D3" w:rsidRPr="004E053C">
        <w:rPr>
          <w:rFonts w:cstheme="majorHAnsi"/>
          <w:sz w:val="22"/>
          <w:szCs w:val="22"/>
          <w:lang w:val="en-GB" w:eastAsia="zh-CN"/>
        </w:rPr>
        <w:t>the</w:t>
      </w:r>
      <w:r w:rsidRPr="004E053C">
        <w:rPr>
          <w:rFonts w:cstheme="majorHAnsi"/>
          <w:sz w:val="22"/>
          <w:szCs w:val="22"/>
          <w:lang w:val="en-GB" w:eastAsia="zh-CN"/>
        </w:rPr>
        <w:t xml:space="preserve"> miners</w:t>
      </w:r>
      <w:r w:rsidR="005F67D3" w:rsidRPr="004E053C">
        <w:rPr>
          <w:rFonts w:cstheme="majorHAnsi"/>
          <w:sz w:val="22"/>
          <w:szCs w:val="22"/>
          <w:lang w:val="en-GB" w:eastAsia="zh-CN"/>
        </w:rPr>
        <w:t>’</w:t>
      </w:r>
      <w:r w:rsidRPr="004E053C">
        <w:rPr>
          <w:rFonts w:cstheme="majorHAnsi"/>
          <w:sz w:val="22"/>
          <w:szCs w:val="22"/>
          <w:lang w:val="en-GB" w:eastAsia="zh-CN"/>
        </w:rPr>
        <w:t xml:space="preserve"> </w:t>
      </w:r>
      <w:r w:rsidR="005F67D3" w:rsidRPr="004E053C">
        <w:rPr>
          <w:rFonts w:cstheme="majorHAnsi"/>
          <w:sz w:val="22"/>
          <w:szCs w:val="22"/>
          <w:lang w:val="en-GB" w:eastAsia="zh-CN"/>
        </w:rPr>
        <w:t>households and livelihoods all have</w:t>
      </w:r>
      <w:r w:rsidRPr="004E053C">
        <w:rPr>
          <w:rFonts w:cstheme="majorHAnsi"/>
          <w:sz w:val="22"/>
          <w:szCs w:val="22"/>
          <w:lang w:val="en-GB" w:eastAsia="zh-CN"/>
        </w:rPr>
        <w:t xml:space="preserve"> different degree of translocality, yet at the same time </w:t>
      </w:r>
      <w:r w:rsidR="005F67D3" w:rsidRPr="004E053C">
        <w:rPr>
          <w:rFonts w:cstheme="majorHAnsi"/>
          <w:sz w:val="22"/>
          <w:szCs w:val="22"/>
          <w:lang w:val="en-GB" w:eastAsia="zh-CN"/>
        </w:rPr>
        <w:t xml:space="preserve">they </w:t>
      </w:r>
      <w:r w:rsidRPr="004E053C">
        <w:rPr>
          <w:rFonts w:cstheme="majorHAnsi"/>
          <w:sz w:val="22"/>
          <w:szCs w:val="22"/>
          <w:lang w:val="en-GB" w:eastAsia="zh-CN"/>
        </w:rPr>
        <w:t>are all linked toge</w:t>
      </w:r>
      <w:r w:rsidR="005F67D3" w:rsidRPr="004E053C">
        <w:rPr>
          <w:rFonts w:cstheme="majorHAnsi"/>
          <w:sz w:val="22"/>
          <w:szCs w:val="22"/>
          <w:lang w:val="en-GB" w:eastAsia="zh-CN"/>
        </w:rPr>
        <w:t>ther within the translocal social field</w:t>
      </w:r>
      <w:r w:rsidRPr="004E053C">
        <w:rPr>
          <w:rFonts w:cstheme="majorHAnsi"/>
          <w:sz w:val="22"/>
          <w:szCs w:val="22"/>
          <w:lang w:val="en-GB" w:eastAsia="zh-CN"/>
        </w:rPr>
        <w:t xml:space="preserve"> created by ASM.</w:t>
      </w:r>
    </w:p>
    <w:p w14:paraId="4FEE818C" w14:textId="77777777" w:rsidR="00843DED" w:rsidRPr="004E053C" w:rsidRDefault="00843DED" w:rsidP="004E053C">
      <w:pPr>
        <w:spacing w:line="360" w:lineRule="auto"/>
        <w:jc w:val="both"/>
        <w:rPr>
          <w:rFonts w:cstheme="majorHAnsi"/>
          <w:sz w:val="22"/>
          <w:szCs w:val="22"/>
          <w:lang w:val="en-GB" w:eastAsia="zh-CN"/>
        </w:rPr>
      </w:pPr>
    </w:p>
    <w:p w14:paraId="660D8A47" w14:textId="4784B46C" w:rsidR="00F27FE4" w:rsidRPr="004E053C" w:rsidRDefault="00F27FE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I consider </w:t>
      </w:r>
      <w:r w:rsidR="005F67D3" w:rsidRPr="004E053C">
        <w:rPr>
          <w:rFonts w:cstheme="majorHAnsi"/>
          <w:sz w:val="22"/>
          <w:szCs w:val="22"/>
          <w:lang w:val="en-GB" w:eastAsia="zh-CN"/>
        </w:rPr>
        <w:t>the</w:t>
      </w:r>
      <w:r w:rsidRPr="004E053C">
        <w:rPr>
          <w:rFonts w:cstheme="majorHAnsi"/>
          <w:sz w:val="22"/>
          <w:szCs w:val="22"/>
          <w:lang w:val="en-GB" w:eastAsia="zh-CN"/>
        </w:rPr>
        <w:t xml:space="preserve"> translocality </w:t>
      </w:r>
      <w:r w:rsidR="005F67D3" w:rsidRPr="004E053C">
        <w:rPr>
          <w:rFonts w:cstheme="majorHAnsi"/>
          <w:sz w:val="22"/>
          <w:szCs w:val="22"/>
          <w:lang w:val="en-GB" w:eastAsia="zh-CN"/>
        </w:rPr>
        <w:t xml:space="preserve">of an individual or household’s livelihood </w:t>
      </w:r>
      <w:r w:rsidRPr="004E053C">
        <w:rPr>
          <w:rFonts w:cstheme="majorHAnsi"/>
          <w:sz w:val="22"/>
          <w:szCs w:val="22"/>
          <w:lang w:val="en-GB" w:eastAsia="zh-CN"/>
        </w:rPr>
        <w:t xml:space="preserve">to be inherently spatial, and determined by the frequency with which </w:t>
      </w:r>
      <w:r w:rsidR="005F67D3" w:rsidRPr="004E053C">
        <w:rPr>
          <w:rFonts w:cstheme="majorHAnsi"/>
          <w:sz w:val="22"/>
          <w:szCs w:val="22"/>
          <w:lang w:val="en-GB" w:eastAsia="zh-CN"/>
        </w:rPr>
        <w:t>the concerned parties move</w:t>
      </w:r>
      <w:r w:rsidRPr="004E053C">
        <w:rPr>
          <w:rFonts w:cstheme="majorHAnsi"/>
          <w:sz w:val="22"/>
          <w:szCs w:val="22"/>
          <w:lang w:val="en-GB" w:eastAsia="zh-CN"/>
        </w:rPr>
        <w:t xml:space="preserve"> around between locations rather than </w:t>
      </w:r>
      <w:r w:rsidR="005F67D3" w:rsidRPr="004E053C">
        <w:rPr>
          <w:rFonts w:cstheme="majorHAnsi"/>
          <w:sz w:val="22"/>
          <w:szCs w:val="22"/>
          <w:lang w:val="en-GB" w:eastAsia="zh-CN"/>
        </w:rPr>
        <w:t xml:space="preserve">remaining </w:t>
      </w:r>
      <w:r w:rsidRPr="004E053C">
        <w:rPr>
          <w:rFonts w:cstheme="majorHAnsi"/>
          <w:sz w:val="22"/>
          <w:szCs w:val="22"/>
          <w:lang w:val="en-GB" w:eastAsia="zh-CN"/>
        </w:rPr>
        <w:t xml:space="preserve">fixed in one place. This is consistent with other theories of translocality that emphasise the tendency for migrants to be embedded in multiple localities </w:t>
      </w:r>
      <w:r w:rsidR="00BC1DB4" w:rsidRPr="004E053C">
        <w:rPr>
          <w:rFonts w:cstheme="majorHAnsi"/>
          <w:sz w:val="22"/>
          <w:szCs w:val="22"/>
          <w:lang w:val="en-GB" w:eastAsia="zh-CN"/>
        </w:rPr>
        <w:fldChar w:fldCharType="begin" w:fldLock="1"/>
      </w:r>
      <w:r w:rsidR="00BC1DB4" w:rsidRPr="004E053C">
        <w:rPr>
          <w:rFonts w:cstheme="majorHAnsi"/>
          <w:sz w:val="22"/>
          <w:szCs w:val="22"/>
          <w:lang w:val="en-GB" w:eastAsia="zh-CN"/>
        </w:rPr>
        <w:instrText>ADDIN CSL_CITATION {"citationItems":[{"id":"ITEM-1","itemData":{"author":[{"dropping-particle":"","family":"Smith","given":"M.P","non-dropping-particle":"","parse-names":false,"suffix":""}],"chapter-number":"11","container-title":"Translocal Geographies: Spaces, Places, Connections","editor":[{"dropping-particle":"","family":"Brickell","given":"K","non-dropping-particle":"","parse-names":false,"suffix":""},{"dropping-particle":"","family":"Datta","given":"A","non-dropping-particle":"","parse-names":false,"suffix":""}],"id":"ITEM-1","issued":{"date-parts":[["2011"]]},"page":"181-198","publisher":"Ashgate Publishing Limited","publisher-place":"Farnham, UK","title":"Translocality: A critical reflection","type":"chapter"},"uris":["http://www.mendeley.com/documents/?uuid=a5d20b9a-a51c-4496-b138-83bc2d16c4c1"]}],"mendeley":{"formattedCitation":"(M. . Smith, 2011)","manualFormatting":"(Smith, 2011)","plainTextFormattedCitation":"(M. . Smith, 2011)","previouslyFormattedCitation":"(M. . Smith, 2011)"},"properties":{"noteIndex":0},"schema":"https://github.com/citation-style-language/schema/raw/master/csl-citation.json"}</w:instrText>
      </w:r>
      <w:r w:rsidR="00BC1DB4" w:rsidRPr="004E053C">
        <w:rPr>
          <w:rFonts w:cstheme="majorHAnsi"/>
          <w:sz w:val="22"/>
          <w:szCs w:val="22"/>
          <w:lang w:val="en-GB" w:eastAsia="zh-CN"/>
        </w:rPr>
        <w:fldChar w:fldCharType="separate"/>
      </w:r>
      <w:r w:rsidR="00BC1DB4" w:rsidRPr="004E053C">
        <w:rPr>
          <w:rFonts w:cstheme="majorHAnsi"/>
          <w:noProof/>
          <w:sz w:val="22"/>
          <w:szCs w:val="22"/>
          <w:lang w:val="en-GB" w:eastAsia="zh-CN"/>
        </w:rPr>
        <w:t>(Smith, 2011)</w:t>
      </w:r>
      <w:r w:rsidR="00BC1DB4" w:rsidRPr="004E053C">
        <w:rPr>
          <w:rFonts w:cstheme="majorHAnsi"/>
          <w:sz w:val="22"/>
          <w:szCs w:val="22"/>
          <w:lang w:val="en-GB" w:eastAsia="zh-CN"/>
        </w:rPr>
        <w:fldChar w:fldCharType="end"/>
      </w:r>
      <w:r w:rsidRPr="004E053C">
        <w:rPr>
          <w:rFonts w:cstheme="majorHAnsi"/>
          <w:sz w:val="22"/>
          <w:szCs w:val="22"/>
          <w:lang w:val="en-GB" w:eastAsia="zh-CN"/>
        </w:rPr>
        <w:t xml:space="preserve">. </w:t>
      </w:r>
      <w:r w:rsidR="007C3996" w:rsidRPr="004E053C">
        <w:rPr>
          <w:rFonts w:cstheme="majorHAnsi"/>
          <w:sz w:val="22"/>
          <w:szCs w:val="22"/>
          <w:lang w:val="en-GB" w:eastAsia="zh-CN"/>
        </w:rPr>
        <w:t xml:space="preserve">In the narrow sense of the term translocal community, one that connects two locations through A-B migration, this indicates a strengthening of those links. </w:t>
      </w:r>
      <w:r w:rsidRPr="004E053C">
        <w:rPr>
          <w:rFonts w:cstheme="majorHAnsi"/>
          <w:sz w:val="22"/>
          <w:szCs w:val="22"/>
          <w:lang w:val="en-GB" w:eastAsia="zh-CN"/>
        </w:rPr>
        <w:t xml:space="preserve">At the same time however, the evidence of </w:t>
      </w:r>
      <w:r w:rsidR="007C3996" w:rsidRPr="004E053C">
        <w:rPr>
          <w:rFonts w:cstheme="majorHAnsi"/>
          <w:sz w:val="22"/>
          <w:szCs w:val="22"/>
          <w:lang w:val="en-GB" w:eastAsia="zh-CN"/>
        </w:rPr>
        <w:t xml:space="preserve">ASM </w:t>
      </w:r>
      <w:r w:rsidRPr="004E053C">
        <w:rPr>
          <w:rFonts w:cstheme="majorHAnsi"/>
          <w:sz w:val="22"/>
          <w:szCs w:val="22"/>
          <w:lang w:val="en-GB" w:eastAsia="zh-CN"/>
        </w:rPr>
        <w:t xml:space="preserve">livelihood trajectories shows that </w:t>
      </w:r>
      <w:r w:rsidR="007C3996" w:rsidRPr="004E053C">
        <w:rPr>
          <w:rFonts w:cstheme="majorHAnsi"/>
          <w:sz w:val="22"/>
          <w:szCs w:val="22"/>
          <w:lang w:val="en-GB" w:eastAsia="zh-CN"/>
        </w:rPr>
        <w:t xml:space="preserve">permanent migrants can </w:t>
      </w:r>
      <w:r w:rsidRPr="004E053C">
        <w:rPr>
          <w:rFonts w:cstheme="majorHAnsi"/>
          <w:sz w:val="22"/>
          <w:szCs w:val="22"/>
          <w:lang w:val="en-GB" w:eastAsia="zh-CN"/>
        </w:rPr>
        <w:t>become almost fully embedded in the new location and thus their actions</w:t>
      </w:r>
      <w:r w:rsidR="00BD2D2F" w:rsidRPr="004E053C">
        <w:rPr>
          <w:rFonts w:cstheme="majorHAnsi"/>
          <w:sz w:val="22"/>
          <w:szCs w:val="22"/>
          <w:lang w:val="en-GB" w:eastAsia="zh-CN"/>
        </w:rPr>
        <w:t xml:space="preserve"> become orientated to that new locations</w:t>
      </w:r>
      <w:r w:rsidRPr="004E053C">
        <w:rPr>
          <w:rFonts w:cstheme="majorHAnsi"/>
          <w:sz w:val="22"/>
          <w:szCs w:val="22"/>
          <w:lang w:val="en-GB" w:eastAsia="zh-CN"/>
        </w:rPr>
        <w:t xml:space="preserve"> rather than </w:t>
      </w:r>
      <w:r w:rsidR="00BD2D2F" w:rsidRPr="004E053C">
        <w:rPr>
          <w:rFonts w:cstheme="majorHAnsi"/>
          <w:sz w:val="22"/>
          <w:szCs w:val="22"/>
          <w:lang w:val="en-GB" w:eastAsia="zh-CN"/>
        </w:rPr>
        <w:t>their place of origin</w:t>
      </w:r>
      <w:r w:rsidRPr="004E053C">
        <w:rPr>
          <w:rFonts w:cstheme="majorHAnsi"/>
          <w:sz w:val="22"/>
          <w:szCs w:val="22"/>
          <w:lang w:val="en-GB" w:eastAsia="zh-CN"/>
        </w:rPr>
        <w:t xml:space="preserve">. In line with other theorisations on translocal livelihoods, we can conceptualise these comparatively more </w:t>
      </w:r>
      <w:r w:rsidR="00A70DD0" w:rsidRPr="004E053C">
        <w:rPr>
          <w:rFonts w:cstheme="majorHAnsi"/>
          <w:sz w:val="22"/>
          <w:szCs w:val="22"/>
          <w:lang w:val="en-GB" w:eastAsia="zh-CN"/>
        </w:rPr>
        <w:t>‘rooted’</w:t>
      </w:r>
      <w:r w:rsidRPr="004E053C">
        <w:rPr>
          <w:rFonts w:cstheme="majorHAnsi"/>
          <w:sz w:val="22"/>
          <w:szCs w:val="22"/>
          <w:lang w:val="en-GB" w:eastAsia="zh-CN"/>
        </w:rPr>
        <w:t xml:space="preserve"> migrants as having</w:t>
      </w:r>
      <w:r w:rsidRPr="004E053C">
        <w:rPr>
          <w:rFonts w:cstheme="majorHAnsi"/>
          <w:i/>
          <w:iCs/>
          <w:sz w:val="22"/>
          <w:szCs w:val="22"/>
          <w:lang w:val="en-GB" w:eastAsia="zh-CN"/>
        </w:rPr>
        <w:t xml:space="preserve"> less </w:t>
      </w:r>
      <w:r w:rsidRPr="004E053C">
        <w:rPr>
          <w:rFonts w:cstheme="majorHAnsi"/>
          <w:sz w:val="22"/>
          <w:szCs w:val="22"/>
          <w:lang w:val="en-GB" w:eastAsia="zh-CN"/>
        </w:rPr>
        <w:t xml:space="preserve">translocality, which has generally occurred over time. </w:t>
      </w:r>
      <w:r w:rsidR="007C3996" w:rsidRPr="004E053C">
        <w:rPr>
          <w:rFonts w:cstheme="majorHAnsi"/>
          <w:sz w:val="22"/>
          <w:szCs w:val="22"/>
          <w:lang w:val="en-GB" w:eastAsia="zh-CN"/>
        </w:rPr>
        <w:t xml:space="preserve">While this may indicate a weakening of their own ties with the </w:t>
      </w:r>
      <w:r w:rsidR="00BD2D2F" w:rsidRPr="004E053C">
        <w:rPr>
          <w:rFonts w:cstheme="majorHAnsi"/>
          <w:sz w:val="22"/>
          <w:szCs w:val="22"/>
          <w:lang w:val="en-GB" w:eastAsia="zh-CN"/>
        </w:rPr>
        <w:t>place of</w:t>
      </w:r>
      <w:r w:rsidR="007C3996" w:rsidRPr="004E053C">
        <w:rPr>
          <w:rFonts w:cstheme="majorHAnsi"/>
          <w:sz w:val="22"/>
          <w:szCs w:val="22"/>
          <w:lang w:val="en-GB" w:eastAsia="zh-CN"/>
        </w:rPr>
        <w:t xml:space="preserve"> origin, the overall weakening of the ties between the two locations will depend on the number of other migrants involved in migration. The now relatively immobile individual/household does however remain an important part of the translocal social field, even as their own translocality is diminished.</w:t>
      </w:r>
      <w:r w:rsidR="00611BA2" w:rsidRPr="004E053C">
        <w:rPr>
          <w:rFonts w:cstheme="majorHAnsi"/>
          <w:sz w:val="22"/>
          <w:szCs w:val="22"/>
          <w:lang w:val="en-GB" w:eastAsia="zh-CN"/>
        </w:rPr>
        <w:t xml:space="preserve"> </w:t>
      </w:r>
      <w:r w:rsidR="00FD1963" w:rsidRPr="004E053C">
        <w:rPr>
          <w:rFonts w:cstheme="majorHAnsi"/>
          <w:sz w:val="22"/>
          <w:szCs w:val="22"/>
          <w:lang w:val="en-GB" w:eastAsia="zh-CN"/>
        </w:rPr>
        <w:t xml:space="preserve">At the same time, within the translocal social field there are also temporary migrants that only work in ASM for a fixed period. </w:t>
      </w:r>
      <w:r w:rsidR="00611BA2" w:rsidRPr="004E053C">
        <w:rPr>
          <w:rFonts w:cstheme="majorHAnsi"/>
          <w:sz w:val="22"/>
          <w:szCs w:val="22"/>
          <w:lang w:val="en-GB" w:eastAsia="zh-CN"/>
        </w:rPr>
        <w:t>Unlike permanent migrants, t</w:t>
      </w:r>
      <w:r w:rsidRPr="004E053C">
        <w:rPr>
          <w:rFonts w:cstheme="majorHAnsi"/>
          <w:sz w:val="22"/>
          <w:szCs w:val="22"/>
          <w:lang w:val="en-GB" w:eastAsia="zh-CN"/>
        </w:rPr>
        <w:t xml:space="preserve">hese miners </w:t>
      </w:r>
      <w:r w:rsidR="00611BA2" w:rsidRPr="004E053C">
        <w:rPr>
          <w:rFonts w:cstheme="majorHAnsi"/>
          <w:sz w:val="22"/>
          <w:szCs w:val="22"/>
          <w:lang w:val="en-GB" w:eastAsia="zh-CN"/>
        </w:rPr>
        <w:t>usually maintain an</w:t>
      </w:r>
      <w:r w:rsidRPr="004E053C">
        <w:rPr>
          <w:rFonts w:cstheme="majorHAnsi"/>
          <w:sz w:val="22"/>
          <w:szCs w:val="22"/>
          <w:lang w:val="en-GB" w:eastAsia="zh-CN"/>
        </w:rPr>
        <w:t xml:space="preserve"> active orientation towards home </w:t>
      </w:r>
      <w:r w:rsidR="00BC1DB4" w:rsidRPr="004E053C">
        <w:rPr>
          <w:rFonts w:cstheme="majorHAnsi"/>
          <w:sz w:val="22"/>
          <w:szCs w:val="22"/>
          <w:lang w:val="en-GB" w:eastAsia="zh-CN"/>
        </w:rPr>
        <w:fldChar w:fldCharType="begin" w:fldLock="1"/>
      </w:r>
      <w:r w:rsidR="005D0B08">
        <w:rPr>
          <w:rFonts w:cstheme="majorHAnsi"/>
          <w:sz w:val="22"/>
          <w:szCs w:val="22"/>
          <w:lang w:val="en-GB" w:eastAsia="zh-CN"/>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context","type":"article-journal","volume":"87"},"uris":["http://www.mendeley.com/documents/?uuid=7cce9b74-a4c7-4bac-9677-fb4af5167fab"]}],"mendeley":{"formattedCitation":"(B Lohnert &amp; Steinbrink, 2005)","manualFormatting":"(Lohnert &amp; Steinbrink, 2005)","plainTextFormattedCitation":"(B Lohnert &amp; Steinbrink, 2005)","previouslyFormattedCitation":"(B Lohnert &amp; Steinbrink, 2005)"},"properties":{"noteIndex":0},"schema":"https://github.com/citation-style-language/schema/raw/master/csl-citation.json"}</w:instrText>
      </w:r>
      <w:r w:rsidR="00BC1DB4" w:rsidRPr="004E053C">
        <w:rPr>
          <w:rFonts w:cstheme="majorHAnsi"/>
          <w:sz w:val="22"/>
          <w:szCs w:val="22"/>
          <w:lang w:val="en-GB" w:eastAsia="zh-CN"/>
        </w:rPr>
        <w:fldChar w:fldCharType="separate"/>
      </w:r>
      <w:r w:rsidR="00AD0893" w:rsidRPr="004E053C">
        <w:rPr>
          <w:rFonts w:cstheme="majorHAnsi"/>
          <w:noProof/>
          <w:sz w:val="22"/>
          <w:szCs w:val="22"/>
          <w:lang w:val="en-GB" w:eastAsia="zh-CN"/>
        </w:rPr>
        <w:t>(</w:t>
      </w:r>
      <w:r w:rsidR="00C6316A" w:rsidRPr="004E053C">
        <w:rPr>
          <w:rFonts w:cstheme="majorHAnsi"/>
          <w:noProof/>
          <w:sz w:val="22"/>
          <w:szCs w:val="22"/>
          <w:lang w:val="en-GB" w:eastAsia="zh-CN"/>
        </w:rPr>
        <w:t>Lohnert &amp; Steinbrink, 2005)</w:t>
      </w:r>
      <w:r w:rsidR="00BC1DB4" w:rsidRPr="004E053C">
        <w:rPr>
          <w:rFonts w:cstheme="majorHAnsi"/>
          <w:sz w:val="22"/>
          <w:szCs w:val="22"/>
          <w:lang w:val="en-GB" w:eastAsia="zh-CN"/>
        </w:rPr>
        <w:fldChar w:fldCharType="end"/>
      </w:r>
      <w:r w:rsidR="00611BA2" w:rsidRPr="004E053C">
        <w:rPr>
          <w:rFonts w:cstheme="majorHAnsi"/>
          <w:sz w:val="22"/>
          <w:szCs w:val="22"/>
          <w:lang w:val="en-GB" w:eastAsia="zh-CN"/>
        </w:rPr>
        <w:t xml:space="preserve">, and this is characterised </w:t>
      </w:r>
      <w:r w:rsidRPr="004E053C">
        <w:rPr>
          <w:rFonts w:cstheme="majorHAnsi"/>
          <w:sz w:val="22"/>
          <w:szCs w:val="22"/>
          <w:lang w:val="en-GB" w:eastAsia="zh-CN"/>
        </w:rPr>
        <w:t>by a greater intensity</w:t>
      </w:r>
      <w:r w:rsidR="00CB769D" w:rsidRPr="004E053C">
        <w:rPr>
          <w:rFonts w:cstheme="majorHAnsi"/>
          <w:sz w:val="22"/>
          <w:szCs w:val="22"/>
          <w:lang w:val="en-GB" w:eastAsia="zh-CN"/>
        </w:rPr>
        <w:t xml:space="preserve"> of movement between locations. This movement results in a relative strengthening of the narrow translocal community that exists between the two locations. Over</w:t>
      </w:r>
      <w:r w:rsidR="00923CFD" w:rsidRPr="004E053C">
        <w:rPr>
          <w:rFonts w:cstheme="majorHAnsi"/>
          <w:sz w:val="22"/>
          <w:szCs w:val="22"/>
          <w:lang w:val="en-GB" w:eastAsia="zh-CN"/>
        </w:rPr>
        <w:t xml:space="preserve"> </w:t>
      </w:r>
      <w:r w:rsidR="00CB769D" w:rsidRPr="004E053C">
        <w:rPr>
          <w:rFonts w:cstheme="majorHAnsi"/>
          <w:sz w:val="22"/>
          <w:szCs w:val="22"/>
          <w:lang w:val="en-GB" w:eastAsia="zh-CN"/>
        </w:rPr>
        <w:t>time however, mig</w:t>
      </w:r>
      <w:r w:rsidR="00BD2D2F" w:rsidRPr="004E053C">
        <w:rPr>
          <w:rFonts w:cstheme="majorHAnsi"/>
          <w:sz w:val="22"/>
          <w:szCs w:val="22"/>
          <w:lang w:val="en-GB" w:eastAsia="zh-CN"/>
        </w:rPr>
        <w:t>rants may return to their place of origin</w:t>
      </w:r>
      <w:r w:rsidR="00CB769D" w:rsidRPr="004E053C">
        <w:rPr>
          <w:rFonts w:cstheme="majorHAnsi"/>
          <w:sz w:val="22"/>
          <w:szCs w:val="22"/>
          <w:lang w:val="en-GB" w:eastAsia="zh-CN"/>
        </w:rPr>
        <w:t xml:space="preserve"> or move on to somewhere new, at which point they </w:t>
      </w:r>
      <w:r w:rsidRPr="004E053C">
        <w:rPr>
          <w:rFonts w:cstheme="majorHAnsi"/>
          <w:sz w:val="22"/>
          <w:szCs w:val="22"/>
          <w:lang w:val="en-GB" w:eastAsia="zh-CN"/>
        </w:rPr>
        <w:t xml:space="preserve">de-embed themselves from Laberinto. Over the following chapters, I will argue that these temporal divergences </w:t>
      </w:r>
      <w:r w:rsidR="00CB769D" w:rsidRPr="004E053C">
        <w:rPr>
          <w:rFonts w:cstheme="majorHAnsi"/>
          <w:sz w:val="22"/>
          <w:szCs w:val="22"/>
          <w:lang w:val="en-GB" w:eastAsia="zh-CN"/>
        </w:rPr>
        <w:t xml:space="preserve">have implications for community dynamics and can lead to </w:t>
      </w:r>
      <w:r w:rsidR="00653891" w:rsidRPr="004E053C">
        <w:rPr>
          <w:rFonts w:cstheme="majorHAnsi"/>
          <w:sz w:val="22"/>
          <w:szCs w:val="22"/>
          <w:lang w:val="en-GB" w:eastAsia="zh-CN"/>
        </w:rPr>
        <w:t>specific types of contestation</w:t>
      </w:r>
      <w:r w:rsidR="00CB769D" w:rsidRPr="004E053C">
        <w:rPr>
          <w:rFonts w:cstheme="majorHAnsi"/>
          <w:sz w:val="22"/>
          <w:szCs w:val="22"/>
          <w:lang w:val="en-GB" w:eastAsia="zh-CN"/>
        </w:rPr>
        <w:t xml:space="preserve"> with the social field</w:t>
      </w:r>
      <w:r w:rsidR="00653891" w:rsidRPr="004E053C">
        <w:rPr>
          <w:rFonts w:cstheme="majorHAnsi"/>
          <w:sz w:val="22"/>
          <w:szCs w:val="22"/>
          <w:lang w:val="en-GB" w:eastAsia="zh-CN"/>
        </w:rPr>
        <w:t>, which I refer to as temporal frictions</w:t>
      </w:r>
      <w:r w:rsidRPr="004E053C">
        <w:rPr>
          <w:rFonts w:cstheme="majorHAnsi"/>
          <w:sz w:val="22"/>
          <w:szCs w:val="22"/>
          <w:lang w:val="en-GB" w:eastAsia="zh-CN"/>
        </w:rPr>
        <w:t xml:space="preserve">.  </w:t>
      </w:r>
    </w:p>
    <w:p w14:paraId="307EA627" w14:textId="77777777" w:rsidR="0091076C" w:rsidRPr="004E053C" w:rsidRDefault="0091076C" w:rsidP="004E053C">
      <w:pPr>
        <w:spacing w:line="360" w:lineRule="auto"/>
        <w:jc w:val="both"/>
        <w:rPr>
          <w:rFonts w:eastAsia="Times New Roman" w:cstheme="majorHAnsi"/>
          <w:sz w:val="22"/>
          <w:szCs w:val="22"/>
          <w:lang w:val="en-GB"/>
        </w:rPr>
      </w:pPr>
    </w:p>
    <w:p w14:paraId="05B8F047" w14:textId="77777777" w:rsidR="0091076C" w:rsidRPr="004E053C" w:rsidRDefault="0091076C" w:rsidP="004E053C">
      <w:pPr>
        <w:spacing w:line="360" w:lineRule="auto"/>
        <w:jc w:val="both"/>
        <w:rPr>
          <w:rFonts w:eastAsia="Times New Roman" w:cstheme="majorHAnsi"/>
          <w:sz w:val="22"/>
          <w:szCs w:val="22"/>
          <w:lang w:val="en-GB"/>
        </w:rPr>
      </w:pPr>
    </w:p>
    <w:p w14:paraId="22E6798F" w14:textId="77777777" w:rsidR="0091076C" w:rsidRPr="004E053C" w:rsidRDefault="0091076C" w:rsidP="004E053C">
      <w:pPr>
        <w:spacing w:after="200" w:line="360" w:lineRule="auto"/>
        <w:jc w:val="both"/>
        <w:rPr>
          <w:rFonts w:cstheme="majorHAnsi"/>
          <w:sz w:val="22"/>
          <w:szCs w:val="22"/>
          <w:lang w:val="en-GB"/>
        </w:rPr>
      </w:pPr>
    </w:p>
    <w:p w14:paraId="7ED22B67" w14:textId="77777777" w:rsidR="0091076C" w:rsidRPr="004E053C" w:rsidRDefault="0091076C" w:rsidP="004E053C">
      <w:pPr>
        <w:spacing w:line="360" w:lineRule="auto"/>
        <w:jc w:val="both"/>
        <w:rPr>
          <w:rFonts w:cstheme="majorHAnsi"/>
          <w:b/>
          <w:sz w:val="22"/>
          <w:szCs w:val="22"/>
          <w:lang w:val="en-GB"/>
        </w:rPr>
        <w:sectPr w:rsidR="0091076C" w:rsidRPr="004E053C">
          <w:pgSz w:w="11906" w:h="16838"/>
          <w:pgMar w:top="1440" w:right="1440" w:bottom="1440" w:left="1440" w:header="708" w:footer="708" w:gutter="0"/>
          <w:cols w:space="708"/>
          <w:docGrid w:linePitch="360"/>
        </w:sectPr>
      </w:pPr>
    </w:p>
    <w:p w14:paraId="5FD8010F" w14:textId="2B59BB29" w:rsidR="003E574E" w:rsidRPr="004E053C" w:rsidRDefault="00EA7F83" w:rsidP="004E053C">
      <w:pPr>
        <w:pStyle w:val="Heading1"/>
        <w:spacing w:line="360" w:lineRule="auto"/>
        <w:jc w:val="both"/>
        <w:rPr>
          <w:rFonts w:asciiTheme="minorHAnsi" w:hAnsiTheme="minorHAnsi" w:cstheme="majorHAnsi"/>
          <w:b w:val="0"/>
          <w:lang w:val="en-GB"/>
        </w:rPr>
      </w:pPr>
      <w:bookmarkStart w:id="79" w:name="_Toc33293114"/>
      <w:r w:rsidRPr="004E053C">
        <w:rPr>
          <w:rFonts w:asciiTheme="minorHAnsi" w:hAnsiTheme="minorHAnsi" w:cstheme="majorHAnsi"/>
          <w:b w:val="0"/>
          <w:lang w:val="en-GB"/>
        </w:rPr>
        <w:lastRenderedPageBreak/>
        <w:t>7</w:t>
      </w:r>
      <w:r w:rsidR="00220995" w:rsidRPr="004E053C">
        <w:rPr>
          <w:rFonts w:asciiTheme="minorHAnsi" w:hAnsiTheme="minorHAnsi" w:cstheme="majorHAnsi"/>
          <w:b w:val="0"/>
          <w:lang w:val="en-GB"/>
        </w:rPr>
        <w:t xml:space="preserve">. </w:t>
      </w:r>
      <w:r w:rsidR="00E727B5" w:rsidRPr="004E053C">
        <w:rPr>
          <w:rFonts w:asciiTheme="minorHAnsi" w:hAnsiTheme="minorHAnsi" w:cstheme="majorHAnsi"/>
          <w:b w:val="0"/>
          <w:lang w:val="en-GB"/>
        </w:rPr>
        <w:t>Women in the Translocal</w:t>
      </w:r>
      <w:r w:rsidR="003E574E" w:rsidRPr="004E053C">
        <w:rPr>
          <w:rFonts w:asciiTheme="minorHAnsi" w:hAnsiTheme="minorHAnsi" w:cstheme="majorHAnsi"/>
          <w:b w:val="0"/>
          <w:lang w:val="en-GB"/>
        </w:rPr>
        <w:t xml:space="preserve"> ASM community</w:t>
      </w:r>
      <w:bookmarkEnd w:id="79"/>
    </w:p>
    <w:p w14:paraId="7CAD72FD" w14:textId="77777777" w:rsidR="003E574E" w:rsidRPr="004E053C" w:rsidRDefault="003E574E" w:rsidP="004E053C">
      <w:pPr>
        <w:spacing w:line="360" w:lineRule="auto"/>
        <w:jc w:val="both"/>
        <w:rPr>
          <w:rFonts w:cstheme="majorHAnsi"/>
          <w:b/>
          <w:sz w:val="22"/>
          <w:szCs w:val="22"/>
          <w:lang w:val="en-GB"/>
        </w:rPr>
      </w:pPr>
    </w:p>
    <w:p w14:paraId="25214C3F" w14:textId="4A5F933A" w:rsidR="003E574E" w:rsidRPr="004E053C" w:rsidRDefault="00EA7F83" w:rsidP="004E053C">
      <w:pPr>
        <w:pStyle w:val="Heading2"/>
        <w:spacing w:before="0" w:line="360" w:lineRule="auto"/>
        <w:jc w:val="both"/>
        <w:rPr>
          <w:rFonts w:cstheme="majorHAnsi"/>
          <w:lang w:val="en-GB"/>
        </w:rPr>
      </w:pPr>
      <w:bookmarkStart w:id="80" w:name="_Toc33293115"/>
      <w:r w:rsidRPr="004E053C">
        <w:rPr>
          <w:rFonts w:cstheme="majorHAnsi"/>
          <w:lang w:val="en-GB"/>
        </w:rPr>
        <w:t>7</w:t>
      </w:r>
      <w:r w:rsidR="00F32A9B" w:rsidRPr="004E053C">
        <w:rPr>
          <w:rFonts w:cstheme="majorHAnsi"/>
          <w:lang w:val="en-GB"/>
        </w:rPr>
        <w:t>.</w:t>
      </w:r>
      <w:r w:rsidR="003E574E" w:rsidRPr="004E053C">
        <w:rPr>
          <w:rFonts w:cstheme="majorHAnsi"/>
          <w:lang w:val="en-GB"/>
        </w:rPr>
        <w:t>1. Introduction</w:t>
      </w:r>
      <w:bookmarkEnd w:id="80"/>
    </w:p>
    <w:p w14:paraId="0976DBF1" w14:textId="77777777" w:rsidR="003E574E" w:rsidRPr="004E053C" w:rsidRDefault="003E574E" w:rsidP="004E053C">
      <w:pPr>
        <w:spacing w:line="360" w:lineRule="auto"/>
        <w:jc w:val="both"/>
        <w:rPr>
          <w:rFonts w:cstheme="majorHAnsi"/>
          <w:b/>
          <w:sz w:val="22"/>
          <w:szCs w:val="22"/>
          <w:lang w:val="en-GB"/>
        </w:rPr>
      </w:pPr>
    </w:p>
    <w:p w14:paraId="2FE051DE" w14:textId="4E3129F3" w:rsidR="003E574E" w:rsidRPr="004E053C" w:rsidRDefault="003E574E" w:rsidP="004E053C">
      <w:pPr>
        <w:spacing w:line="360" w:lineRule="auto"/>
        <w:jc w:val="both"/>
        <w:rPr>
          <w:rFonts w:eastAsia="Times New Roman" w:cstheme="majorHAnsi"/>
          <w:color w:val="1C1D1E"/>
          <w:sz w:val="22"/>
          <w:szCs w:val="22"/>
          <w:lang w:val="en-GB"/>
        </w:rPr>
      </w:pPr>
      <w:r w:rsidRPr="004E053C">
        <w:rPr>
          <w:rFonts w:cstheme="majorHAnsi"/>
          <w:sz w:val="22"/>
          <w:szCs w:val="22"/>
          <w:lang w:val="en-GB"/>
        </w:rPr>
        <w:t>The h</w:t>
      </w:r>
      <w:r w:rsidR="00E727B5" w:rsidRPr="004E053C">
        <w:rPr>
          <w:rFonts w:cstheme="majorHAnsi"/>
          <w:sz w:val="22"/>
          <w:szCs w:val="22"/>
          <w:lang w:val="en-GB"/>
        </w:rPr>
        <w:t>etero</w:t>
      </w:r>
      <w:r w:rsidRPr="004E053C">
        <w:rPr>
          <w:rFonts w:cstheme="majorHAnsi"/>
          <w:sz w:val="22"/>
          <w:szCs w:val="22"/>
          <w:lang w:val="en-GB"/>
        </w:rPr>
        <w:t xml:space="preserve">geneity of miners within mining sites has now been illustrated, with an emphasis on the fact that there are certain populations within mining towns such as Laberinto </w:t>
      </w:r>
      <w:r w:rsidR="000D0425" w:rsidRPr="004E053C">
        <w:rPr>
          <w:rFonts w:cstheme="majorHAnsi"/>
          <w:sz w:val="22"/>
          <w:szCs w:val="22"/>
          <w:lang w:val="en-GB"/>
        </w:rPr>
        <w:t>that</w:t>
      </w:r>
      <w:r w:rsidR="00BD2D2F" w:rsidRPr="004E053C">
        <w:rPr>
          <w:rFonts w:cstheme="majorHAnsi"/>
          <w:sz w:val="22"/>
          <w:szCs w:val="22"/>
          <w:lang w:val="en-GB"/>
        </w:rPr>
        <w:t xml:space="preserve"> can be considered ‘immobile’</w:t>
      </w:r>
      <w:r w:rsidRPr="004E053C">
        <w:rPr>
          <w:rFonts w:cstheme="majorHAnsi"/>
          <w:sz w:val="22"/>
          <w:szCs w:val="22"/>
          <w:lang w:val="en-GB"/>
        </w:rPr>
        <w:t xml:space="preserve"> to some extent, </w:t>
      </w:r>
      <w:r w:rsidR="000D0425" w:rsidRPr="004E053C">
        <w:rPr>
          <w:rFonts w:cstheme="majorHAnsi"/>
          <w:sz w:val="22"/>
          <w:szCs w:val="22"/>
          <w:lang w:val="en-GB"/>
        </w:rPr>
        <w:t>as they have permanently settled. In some respects, these immobile popula</w:t>
      </w:r>
      <w:r w:rsidR="00BD2D2F" w:rsidRPr="004E053C">
        <w:rPr>
          <w:rFonts w:cstheme="majorHAnsi"/>
          <w:sz w:val="22"/>
          <w:szCs w:val="22"/>
          <w:lang w:val="en-GB"/>
        </w:rPr>
        <w:t>tions</w:t>
      </w:r>
      <w:r w:rsidR="00130A52">
        <w:rPr>
          <w:rFonts w:cstheme="majorHAnsi"/>
          <w:sz w:val="22"/>
          <w:szCs w:val="22"/>
          <w:lang w:val="en-GB"/>
        </w:rPr>
        <w:t xml:space="preserve"> may also find themselves ‘left </w:t>
      </w:r>
      <w:r w:rsidR="00BD2D2F" w:rsidRPr="004E053C">
        <w:rPr>
          <w:rFonts w:cstheme="majorHAnsi"/>
          <w:sz w:val="22"/>
          <w:szCs w:val="22"/>
          <w:lang w:val="en-GB"/>
        </w:rPr>
        <w:t>behind’</w:t>
      </w:r>
      <w:r w:rsidR="000D0425" w:rsidRPr="004E053C">
        <w:rPr>
          <w:rFonts w:cstheme="majorHAnsi"/>
          <w:sz w:val="22"/>
          <w:szCs w:val="22"/>
          <w:lang w:val="en-GB"/>
        </w:rPr>
        <w:t xml:space="preserve"> as the gold rush ends and the temporary miners move on or return home </w:t>
      </w:r>
      <w:r w:rsidR="00B87A59" w:rsidRPr="004E053C">
        <w:rPr>
          <w:rFonts w:cstheme="majorHAnsi"/>
          <w:sz w:val="22"/>
          <w:szCs w:val="22"/>
          <w:lang w:val="en-GB"/>
        </w:rPr>
        <w:fldChar w:fldCharType="begin" w:fldLock="1"/>
      </w:r>
      <w:r w:rsidR="00B87A59" w:rsidRPr="004E053C">
        <w:rPr>
          <w:rFonts w:cstheme="majorHAnsi"/>
          <w:sz w:val="22"/>
          <w:szCs w:val="22"/>
          <w:lang w:val="en-GB"/>
        </w:rPr>
        <w:instrText>ADDIN CSL_CITATION {"citationItems":[{"id":"ITEM-1","itemData":{"abstract":"In the once booming, but now slumping, northern Malagasy sapphire mining town of Ambondromifehy, people make do in the face of uncertainty. As a place of internal migrants organized around the mining and trade of a commodity destined for complex and fickle foreign markets, this town features a wide range of distinctive arrangements and compromises. Of special concern here are the arrangements through which people strive to live responsibly – in accordance with traditional Malagasy norms of sociality – while still managing to make a living through work that can lead them astray. I argue that such distinctive arrangements owe a great deal to the particular articulations of place and mobility one finds problematized in a context like this one. The first articulation is well encapsulated in the experience of what Malagasy people term being very or ‘‘lost’’, a condition of mobile people who either don’t know or have no hope of returning to the places from which they have come. The second articulation is apparent in the experi- ence of being tavela or ‘‘left behind’’, the condition of people who find themselves staying put while the things, people and possibilities they value flow away from them. For the many people in Ambondromifehy who are managing either or both of these conditions and the circumstances that come with them, idealized systems of social and moral exchange – systems of responsibility – are inevitably forums for compromise.","author":[{"dropping-particle":"","family":"Walsh","given":"Andrew","non-dropping-particle":"","parse-names":false,"suffix":""}],"container-title":"Critique of Anthropology","id":"ITEM-1","issue":"2","issued":{"date-parts":[["2015"]]},"page":"235-251","title":"Lost and/or left behind in a Malagasy outpost of the “underworld of gemstones”","type":"article-journal","volume":"82"},"uris":["http://www.mendeley.com/documents/?uuid=45b8a6cb-89e3-448b-a578-9f6946f0e876"]}],"mendeley":{"formattedCitation":"(Walsh, 2015)","plainTextFormattedCitation":"(Walsh, 2015)","previouslyFormattedCitation":"(Walsh, 2015)"},"properties":{"noteIndex":0},"schema":"https://github.com/citation-style-language/schema/raw/master/csl-citation.json"}</w:instrText>
      </w:r>
      <w:r w:rsidR="00B87A59" w:rsidRPr="004E053C">
        <w:rPr>
          <w:rFonts w:cstheme="majorHAnsi"/>
          <w:sz w:val="22"/>
          <w:szCs w:val="22"/>
          <w:lang w:val="en-GB"/>
        </w:rPr>
        <w:fldChar w:fldCharType="separate"/>
      </w:r>
      <w:r w:rsidR="00B87A59" w:rsidRPr="004E053C">
        <w:rPr>
          <w:rFonts w:cstheme="majorHAnsi"/>
          <w:noProof/>
          <w:sz w:val="22"/>
          <w:szCs w:val="22"/>
          <w:lang w:val="en-GB"/>
        </w:rPr>
        <w:t>(Walsh, 2015)</w:t>
      </w:r>
      <w:r w:rsidR="00B87A59" w:rsidRPr="004E053C">
        <w:rPr>
          <w:rFonts w:cstheme="majorHAnsi"/>
          <w:sz w:val="22"/>
          <w:szCs w:val="22"/>
          <w:lang w:val="en-GB"/>
        </w:rPr>
        <w:fldChar w:fldCharType="end"/>
      </w:r>
      <w:r w:rsidRPr="004E053C">
        <w:rPr>
          <w:rFonts w:cstheme="majorHAnsi"/>
          <w:sz w:val="22"/>
          <w:szCs w:val="22"/>
          <w:lang w:val="en-GB"/>
        </w:rPr>
        <w:t xml:space="preserve">. </w:t>
      </w:r>
      <w:r w:rsidR="000D0425" w:rsidRPr="004E053C">
        <w:rPr>
          <w:rFonts w:cstheme="majorHAnsi"/>
          <w:sz w:val="22"/>
          <w:szCs w:val="22"/>
          <w:lang w:val="en-GB"/>
        </w:rPr>
        <w:t xml:space="preserve">This usage of the term hinges on an understanding of </w:t>
      </w:r>
      <w:r w:rsidR="00FD1963" w:rsidRPr="004E053C">
        <w:rPr>
          <w:rFonts w:cstheme="majorHAnsi"/>
          <w:sz w:val="22"/>
          <w:szCs w:val="22"/>
          <w:lang w:val="en-GB"/>
        </w:rPr>
        <w:t>translocality</w:t>
      </w:r>
      <w:r w:rsidR="000D0425" w:rsidRPr="004E053C">
        <w:rPr>
          <w:rFonts w:cstheme="majorHAnsi"/>
          <w:sz w:val="22"/>
          <w:szCs w:val="22"/>
          <w:lang w:val="en-GB"/>
        </w:rPr>
        <w:t xml:space="preserve"> as temporal, which has so far been under-theorised in the literature. Therefore, more often in</w:t>
      </w:r>
      <w:r w:rsidRPr="004E053C">
        <w:rPr>
          <w:rFonts w:cstheme="majorHAnsi"/>
          <w:sz w:val="22"/>
          <w:szCs w:val="22"/>
          <w:lang w:val="en-GB"/>
        </w:rPr>
        <w:t xml:space="preserve"> migration studies</w:t>
      </w:r>
      <w:r w:rsidR="000D0425" w:rsidRPr="004E053C">
        <w:rPr>
          <w:rFonts w:cstheme="majorHAnsi"/>
          <w:sz w:val="22"/>
          <w:szCs w:val="22"/>
          <w:lang w:val="en-GB"/>
        </w:rPr>
        <w:t>,</w:t>
      </w:r>
      <w:r w:rsidR="00BC3ADA" w:rsidRPr="004E053C">
        <w:rPr>
          <w:rFonts w:cstheme="majorHAnsi"/>
          <w:sz w:val="22"/>
          <w:szCs w:val="22"/>
          <w:lang w:val="en-GB"/>
        </w:rPr>
        <w:t xml:space="preserve"> the left-behind</w:t>
      </w:r>
      <w:r w:rsidRPr="004E053C">
        <w:rPr>
          <w:rFonts w:cstheme="majorHAnsi"/>
          <w:sz w:val="22"/>
          <w:szCs w:val="22"/>
          <w:lang w:val="en-GB"/>
        </w:rPr>
        <w:t xml:space="preserve"> populations are considered </w:t>
      </w:r>
      <w:r w:rsidR="000D0425" w:rsidRPr="004E053C">
        <w:rPr>
          <w:rFonts w:cstheme="majorHAnsi"/>
          <w:sz w:val="22"/>
          <w:szCs w:val="22"/>
          <w:lang w:val="en-GB"/>
        </w:rPr>
        <w:t>to be the immobile populations that remain</w:t>
      </w:r>
      <w:r w:rsidRPr="004E053C">
        <w:rPr>
          <w:rFonts w:cstheme="majorHAnsi"/>
          <w:sz w:val="22"/>
          <w:szCs w:val="22"/>
          <w:lang w:val="en-GB"/>
        </w:rPr>
        <w:t xml:space="preserve"> in </w:t>
      </w:r>
      <w:r w:rsidR="00BC6BBF" w:rsidRPr="004E053C">
        <w:rPr>
          <w:rFonts w:cstheme="majorHAnsi"/>
          <w:sz w:val="22"/>
          <w:szCs w:val="22"/>
          <w:lang w:val="en-GB"/>
        </w:rPr>
        <w:t>localities of origin</w:t>
      </w:r>
      <w:r w:rsidRPr="004E053C">
        <w:rPr>
          <w:rFonts w:cstheme="majorHAnsi"/>
          <w:sz w:val="22"/>
          <w:szCs w:val="22"/>
          <w:lang w:val="en-GB"/>
        </w:rPr>
        <w:t>. The application of a translocal livelihoods approach to ASM not only allows for reflections on</w:t>
      </w:r>
      <w:r w:rsidR="008E7FCE" w:rsidRPr="004E053C">
        <w:rPr>
          <w:rFonts w:cstheme="majorHAnsi"/>
          <w:sz w:val="22"/>
          <w:szCs w:val="22"/>
          <w:lang w:val="en-GB"/>
        </w:rPr>
        <w:t xml:space="preserve"> the interactions between </w:t>
      </w:r>
      <w:r w:rsidRPr="004E053C">
        <w:rPr>
          <w:rFonts w:cstheme="majorHAnsi"/>
          <w:sz w:val="22"/>
          <w:szCs w:val="22"/>
          <w:lang w:val="en-GB"/>
        </w:rPr>
        <w:t>mobile a</w:t>
      </w:r>
      <w:r w:rsidR="008E7FCE" w:rsidRPr="004E053C">
        <w:rPr>
          <w:rFonts w:cstheme="majorHAnsi"/>
          <w:sz w:val="22"/>
          <w:szCs w:val="22"/>
          <w:lang w:val="en-GB"/>
        </w:rPr>
        <w:t xml:space="preserve">nd immobile miners, but also </w:t>
      </w:r>
      <w:r w:rsidRPr="004E053C">
        <w:rPr>
          <w:rFonts w:cstheme="majorHAnsi"/>
          <w:sz w:val="22"/>
          <w:szCs w:val="22"/>
          <w:lang w:val="en-GB"/>
        </w:rPr>
        <w:t>reaches out further, to the</w:t>
      </w:r>
      <w:r w:rsidR="008E7FCE" w:rsidRPr="004E053C">
        <w:rPr>
          <w:rFonts w:cstheme="majorHAnsi"/>
          <w:sz w:val="22"/>
          <w:szCs w:val="22"/>
          <w:lang w:val="en-GB"/>
        </w:rPr>
        <w:t>ir</w:t>
      </w:r>
      <w:r w:rsidRPr="004E053C">
        <w:rPr>
          <w:rFonts w:cstheme="majorHAnsi"/>
          <w:sz w:val="22"/>
          <w:szCs w:val="22"/>
          <w:lang w:val="en-GB"/>
        </w:rPr>
        <w:t xml:space="preserve"> </w:t>
      </w:r>
      <w:r w:rsidR="008E7FCE" w:rsidRPr="004E053C">
        <w:rPr>
          <w:rFonts w:cstheme="majorHAnsi"/>
          <w:sz w:val="22"/>
          <w:szCs w:val="22"/>
          <w:lang w:val="en-GB"/>
        </w:rPr>
        <w:t xml:space="preserve">translocal </w:t>
      </w:r>
      <w:r w:rsidRPr="004E053C">
        <w:rPr>
          <w:rFonts w:cstheme="majorHAnsi"/>
          <w:sz w:val="22"/>
          <w:szCs w:val="22"/>
          <w:lang w:val="en-GB"/>
        </w:rPr>
        <w:t xml:space="preserve">interactions </w:t>
      </w:r>
      <w:r w:rsidR="008E7FCE" w:rsidRPr="004E053C">
        <w:rPr>
          <w:rFonts w:cstheme="majorHAnsi"/>
          <w:sz w:val="22"/>
          <w:szCs w:val="22"/>
          <w:lang w:val="en-GB"/>
        </w:rPr>
        <w:t xml:space="preserve">with </w:t>
      </w:r>
      <w:r w:rsidRPr="004E053C">
        <w:rPr>
          <w:rFonts w:cstheme="majorHAnsi"/>
          <w:sz w:val="22"/>
          <w:szCs w:val="22"/>
          <w:lang w:val="en-GB"/>
        </w:rPr>
        <w:t xml:space="preserve">immobile populations in </w:t>
      </w:r>
      <w:r w:rsidR="00BC3ADA" w:rsidRPr="004E053C">
        <w:rPr>
          <w:rFonts w:cstheme="majorHAnsi"/>
          <w:sz w:val="22"/>
          <w:szCs w:val="22"/>
          <w:lang w:val="en-GB"/>
        </w:rPr>
        <w:t xml:space="preserve">places of </w:t>
      </w:r>
      <w:r w:rsidRPr="004E053C">
        <w:rPr>
          <w:rFonts w:cstheme="majorHAnsi"/>
          <w:sz w:val="22"/>
          <w:szCs w:val="22"/>
          <w:lang w:val="en-GB"/>
        </w:rPr>
        <w:t>origin. This is important because the interconnections between mobile and immobile populat</w:t>
      </w:r>
      <w:r w:rsidR="00C60A10" w:rsidRPr="004E053C">
        <w:rPr>
          <w:rFonts w:cstheme="majorHAnsi"/>
          <w:sz w:val="22"/>
          <w:szCs w:val="22"/>
          <w:lang w:val="en-GB"/>
        </w:rPr>
        <w:t>ions create the translocal community</w:t>
      </w:r>
      <w:r w:rsidRPr="004E053C">
        <w:rPr>
          <w:rFonts w:cstheme="majorHAnsi"/>
          <w:sz w:val="22"/>
          <w:szCs w:val="22"/>
          <w:lang w:val="en-GB"/>
        </w:rPr>
        <w:t xml:space="preserve"> </w:t>
      </w:r>
      <w:r w:rsidR="00B87A59"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{"citationItems":[{"id":"ITEM-1","itemData":{"author":[{"dropping-particle":"","family":"Wiesner-Hanks","given":"M E","non-dropping-particle":"","parse-names":false,"suffix":""}],"container-title":"Journal of Global History","id":"ITEM-1","issue":"3","issued":{"date-parts":[["2011"]]},"page":"357-379","title":"Crossing borders in transnational gender history","type":"article-journal","volume":"6"},"uris":["http://www.mendeley.com/documents/?uuid=53e123e8-a373-459b-bce6-9416ba98e26b"]},{"id":"ITEM-2","itemData":{"abstract":"The employment of translocality as a research perspective is currently gaining momentum. A growing number of scholars from different research traditions concerned with the dynamics of mobility, migration and socio‐spatial interconnectedness have developed conceptual approaches to the term. They usually build on insights from transnationalism while attempting to overcome some of the limitations of this long‐established research perspective. As such, translocality is used to describe socio‐spatial dynamics and processes of simultaneity and identity formation that transcend boundaries—including, but also extending beyond, those of nation states. In this review, we trace the emergence of the idea of translocality and summarise the characteristics that different authors associate with the term. We elucidate the underlying notions of mobility and place and sketch out fields of research where the concept has been employed. On the basis of our findings, we conclude by proposing key areas where a translocal approach has the potential to generate fruitful insights.","author":[{"dropping-particle":"","family":"Greiner","given":"Clemens","non-dropping-particle":"","parse-names":false,"suffix":""},{"dropping-particle":"","family":"Sakdapolrak","given":"Patrick","non-dropping-particle":"","parse-names":false,"suffix":""}],"container-title":"Geography Compass","id":"ITEM-2","issue":"5","issued":{"date-parts":[["2013"]]},"page":"373-384","title":"Translocality: concepts, applications and emerging research perspectives","type":"article-journal","volume":"7"},"uris":["http://www.mendeley.com/documents/?uuid=87fa7547-a7f4-4a66-b3e4-7fbc7d5cfe7c"]},{"id":"ITEM-3","itemData":{"author":[{"dropping-particle":"","family":"Glick Schiller","given":"Nina","non-dropping-particle":"","parse-names":false,"suffix":""},{"dropping-particle":"","family":"Salazar","given":"Noel B","non-dropping-particle":"","parse-names":false,"suffix":""}],"container-title":"Journal of Ethnic and Migration Studies","id":"ITEM-3","issue":"2","issued":{"date-parts":[["2013"]]},"page":"183-200","title":"Regimes of mobility: imaginaries and relationalities of power","type":"article-journal","volume":"39"},"uris":["http://www.mendeley.com/documents/?uuid=066677e2-5388-48ce-bec0-8502b1e8b5c7"]}],"mendeley":{"formattedCitation":"(Glick Schiller &amp; Salazar, 2013; Greiner &amp; Sakdapolrak, 2013; Wiesner-Hanks, 2011)","plainTextFormattedCitation":"(Glick Schiller &amp; Salazar, 2013; Greiner &amp; Sakdapolrak, 2013; Wiesner-Hanks, 2011)","previouslyFormattedCitation":"(Glick Schiller &amp; Salazar, 2013; Greiner &amp; Sakdapolrak, 2013; Wiesner-Hanks, 2011)"},"properties":{"noteIndex":0},"schema":"https://github.com/citation-style-language/schema/raw/master/csl-citation.json"}</w:instrText>
      </w:r>
      <w:r w:rsidR="00B87A59" w:rsidRPr="004E053C">
        <w:rPr>
          <w:rFonts w:cstheme="majorHAnsi"/>
          <w:sz w:val="22"/>
          <w:szCs w:val="22"/>
          <w:lang w:val="en-GB"/>
        </w:rPr>
        <w:fldChar w:fldCharType="separate"/>
      </w:r>
      <w:r w:rsidR="00B87A59" w:rsidRPr="004E053C">
        <w:rPr>
          <w:rFonts w:cstheme="majorHAnsi"/>
          <w:noProof/>
          <w:sz w:val="22"/>
          <w:szCs w:val="22"/>
          <w:lang w:val="en-GB"/>
        </w:rPr>
        <w:t>(Glick Schiller &amp; Salazar, 2013; Greiner &amp; Sakdapolrak, 2013; Wiesner-Hanks, 2011)</w:t>
      </w:r>
      <w:r w:rsidR="00B87A59" w:rsidRPr="004E053C">
        <w:rPr>
          <w:rFonts w:cstheme="majorHAnsi"/>
          <w:sz w:val="22"/>
          <w:szCs w:val="22"/>
          <w:lang w:val="en-GB"/>
        </w:rPr>
        <w:fldChar w:fldCharType="end"/>
      </w:r>
      <w:r w:rsidRPr="004E053C">
        <w:rPr>
          <w:rFonts w:cstheme="majorHAnsi"/>
          <w:sz w:val="22"/>
          <w:szCs w:val="22"/>
          <w:lang w:val="en-GB"/>
        </w:rPr>
        <w:t xml:space="preserve">. This chapter focuses on </w:t>
      </w:r>
      <w:r w:rsidR="00C60A10" w:rsidRPr="004E053C">
        <w:rPr>
          <w:rFonts w:cstheme="majorHAnsi"/>
          <w:sz w:val="22"/>
          <w:szCs w:val="22"/>
          <w:lang w:val="en-GB"/>
        </w:rPr>
        <w:t>women in the creation of this community</w:t>
      </w:r>
      <w:r w:rsidRPr="004E053C">
        <w:rPr>
          <w:rFonts w:cstheme="majorHAnsi"/>
          <w:sz w:val="22"/>
          <w:szCs w:val="22"/>
          <w:lang w:val="en-GB"/>
        </w:rPr>
        <w:t>, and uncovers two key issues; that women in Peru do engage in migration and ASM, and</w:t>
      </w:r>
      <w:r w:rsidR="00BC3ADA" w:rsidRPr="004E053C">
        <w:rPr>
          <w:rFonts w:cstheme="majorHAnsi"/>
          <w:sz w:val="22"/>
          <w:szCs w:val="22"/>
          <w:lang w:val="en-GB"/>
        </w:rPr>
        <w:t xml:space="preserve"> seco</w:t>
      </w:r>
      <w:r w:rsidR="00130A52">
        <w:rPr>
          <w:rFonts w:cstheme="majorHAnsi"/>
          <w:sz w:val="22"/>
          <w:szCs w:val="22"/>
          <w:lang w:val="en-GB"/>
        </w:rPr>
        <w:t xml:space="preserve">ndly, that when women are ‘left </w:t>
      </w:r>
      <w:r w:rsidR="00BC3ADA" w:rsidRPr="004E053C">
        <w:rPr>
          <w:rFonts w:cstheme="majorHAnsi"/>
          <w:sz w:val="22"/>
          <w:szCs w:val="22"/>
          <w:lang w:val="en-GB"/>
        </w:rPr>
        <w:t>behind’</w:t>
      </w:r>
      <w:r w:rsidRPr="004E053C">
        <w:rPr>
          <w:rFonts w:cstheme="majorHAnsi"/>
          <w:sz w:val="22"/>
          <w:szCs w:val="22"/>
          <w:lang w:val="en-GB"/>
        </w:rPr>
        <w:t xml:space="preserve"> in </w:t>
      </w:r>
      <w:r w:rsidR="00BC3ADA" w:rsidRPr="004E053C">
        <w:rPr>
          <w:rFonts w:cstheme="majorHAnsi"/>
          <w:sz w:val="22"/>
          <w:szCs w:val="22"/>
          <w:lang w:val="en-GB"/>
        </w:rPr>
        <w:t xml:space="preserve">places of </w:t>
      </w:r>
      <w:r w:rsidRPr="004E053C">
        <w:rPr>
          <w:rFonts w:cstheme="majorHAnsi"/>
          <w:sz w:val="22"/>
          <w:szCs w:val="22"/>
          <w:lang w:val="en-GB"/>
        </w:rPr>
        <w:t>origin they still represent a crucial part of the translocal AS</w:t>
      </w:r>
      <w:r w:rsidR="00475547" w:rsidRPr="004E053C">
        <w:rPr>
          <w:rFonts w:cstheme="majorHAnsi"/>
          <w:sz w:val="22"/>
          <w:szCs w:val="22"/>
          <w:lang w:val="en-GB"/>
        </w:rPr>
        <w:t>M community. As well as recognis</w:t>
      </w:r>
      <w:r w:rsidRPr="004E053C">
        <w:rPr>
          <w:rFonts w:cstheme="majorHAnsi"/>
          <w:sz w:val="22"/>
          <w:szCs w:val="22"/>
          <w:lang w:val="en-GB"/>
        </w:rPr>
        <w:t xml:space="preserve">ing </w:t>
      </w:r>
      <w:r w:rsidRPr="004E053C">
        <w:rPr>
          <w:rFonts w:eastAsia="Times New Roman" w:cstheme="majorHAnsi"/>
          <w:color w:val="1C1D1E"/>
          <w:sz w:val="22"/>
          <w:szCs w:val="22"/>
          <w:lang w:val="en-GB"/>
        </w:rPr>
        <w:t xml:space="preserve">the importance of women’s roles in family management and labour within mining </w:t>
      </w:r>
      <w:r w:rsidR="00BC6BBF" w:rsidRPr="004E053C">
        <w:rPr>
          <w:rFonts w:eastAsia="Times New Roman" w:cstheme="majorHAnsi"/>
          <w:color w:val="1C1D1E"/>
          <w:sz w:val="22"/>
          <w:szCs w:val="22"/>
          <w:lang w:val="en-GB"/>
        </w:rPr>
        <w:t>settlement</w:t>
      </w:r>
      <w:r w:rsidRPr="004E053C">
        <w:rPr>
          <w:rFonts w:eastAsia="Times New Roman" w:cstheme="majorHAnsi"/>
          <w:color w:val="1C1D1E"/>
          <w:sz w:val="22"/>
          <w:szCs w:val="22"/>
          <w:lang w:val="en-GB"/>
        </w:rPr>
        <w:t xml:space="preserve">s </w:t>
      </w:r>
      <w:r w:rsidRPr="004E053C">
        <w:rPr>
          <w:rFonts w:eastAsia="Times New Roman" w:cstheme="majorHAnsi"/>
          <w:color w:val="1C1D1E"/>
          <w:sz w:val="22"/>
          <w:szCs w:val="22"/>
          <w:lang w:val="en-GB"/>
        </w:rPr>
        <w:fldChar w:fldCharType="begin" w:fldLock="1"/>
      </w:r>
      <w:r w:rsidR="00B87A59" w:rsidRPr="004E053C">
        <w:rPr>
          <w:rFonts w:eastAsia="Times New Roman" w:cstheme="majorHAnsi"/>
          <w:color w:val="1C1D1E"/>
          <w:sz w:val="22"/>
          <w:szCs w:val="22"/>
          <w:lang w:val="en-GB"/>
        </w:rPr>
        <w:instrText>ADDIN CSL_CITATION {"citationItems":[{"id":"ITEM-1","itemData":{"author":[{"dropping-particle":"","family":"Lahiri-Dutt","given":"K","non-dropping-particle":"","parse-names":false,"suffix":""}],"container-title":"Geography Compass","id":"ITEM-1","issue":"9","issued":{"date-parts":[["2015"]]},"page":"523-541","title":"The feminization of mining","type":"article-journal","volume":"9"},"uris":["http://www.mendeley.com/documents/?uuid=a121d563-b344-42a8-ae53-d7ed3c92962a"]}],"mendeley":{"formattedCitation":"(K Lahiri-Dutt, 2015)","manualFormatting":"(Lahiri-Dutt, 2015)","plainTextFormattedCitation":"(K Lahiri-Dutt, 2015)","previouslyFormattedCitation":"(K Lahiri-Dutt, 2015)"},"properties":{"noteIndex":0},"schema":"https://github.com/citation-style-language/schema/raw/master/csl-citation.json"}</w:instrText>
      </w:r>
      <w:r w:rsidRPr="004E053C">
        <w:rPr>
          <w:rFonts w:eastAsia="Times New Roman" w:cstheme="majorHAnsi"/>
          <w:color w:val="1C1D1E"/>
          <w:sz w:val="22"/>
          <w:szCs w:val="22"/>
          <w:lang w:val="en-GB"/>
        </w:rPr>
        <w:fldChar w:fldCharType="separate"/>
      </w:r>
      <w:r w:rsidR="00B87A59" w:rsidRPr="004E053C">
        <w:rPr>
          <w:rFonts w:eastAsia="Times New Roman" w:cstheme="majorHAnsi"/>
          <w:noProof/>
          <w:color w:val="1C1D1E"/>
          <w:sz w:val="22"/>
          <w:szCs w:val="22"/>
          <w:lang w:val="en-GB"/>
        </w:rPr>
        <w:t>(</w:t>
      </w:r>
      <w:r w:rsidR="00F570FC" w:rsidRPr="004E053C">
        <w:rPr>
          <w:rFonts w:eastAsia="Times New Roman" w:cstheme="majorHAnsi"/>
          <w:noProof/>
          <w:color w:val="1C1D1E"/>
          <w:sz w:val="22"/>
          <w:szCs w:val="22"/>
          <w:lang w:val="en-GB"/>
        </w:rPr>
        <w:t>Lahiri-Dutt, 2015)</w:t>
      </w:r>
      <w:r w:rsidRPr="004E053C">
        <w:rPr>
          <w:rFonts w:eastAsia="Times New Roman" w:cstheme="majorHAnsi"/>
          <w:color w:val="1C1D1E"/>
          <w:sz w:val="22"/>
          <w:szCs w:val="22"/>
          <w:lang w:val="en-GB"/>
        </w:rPr>
        <w:fldChar w:fldCharType="end"/>
      </w:r>
      <w:r w:rsidRPr="004E053C">
        <w:rPr>
          <w:rFonts w:eastAsia="Times New Roman" w:cstheme="majorHAnsi"/>
          <w:color w:val="1C1D1E"/>
          <w:sz w:val="22"/>
          <w:szCs w:val="22"/>
          <w:lang w:val="en-GB"/>
        </w:rPr>
        <w:t xml:space="preserve">, it is necessary to understand how these contributions work at the translocal level because ASM is inherently a translocal affair. </w:t>
      </w:r>
    </w:p>
    <w:p w14:paraId="4BB176A8" w14:textId="77777777" w:rsidR="003E574E" w:rsidRPr="004E053C" w:rsidRDefault="003E574E" w:rsidP="004E053C">
      <w:pPr>
        <w:spacing w:line="360" w:lineRule="auto"/>
        <w:jc w:val="both"/>
        <w:rPr>
          <w:rFonts w:cstheme="majorHAnsi"/>
          <w:sz w:val="22"/>
          <w:szCs w:val="22"/>
          <w:lang w:val="en-GB"/>
        </w:rPr>
      </w:pPr>
    </w:p>
    <w:p w14:paraId="7221F008" w14:textId="21A406FC" w:rsidR="003E574E" w:rsidRPr="004E053C" w:rsidRDefault="00950471" w:rsidP="004E053C">
      <w:pPr>
        <w:spacing w:line="360" w:lineRule="auto"/>
        <w:jc w:val="both"/>
        <w:rPr>
          <w:rFonts w:cstheme="majorHAnsi"/>
          <w:sz w:val="22"/>
          <w:szCs w:val="22"/>
          <w:lang w:val="en-GB"/>
        </w:rPr>
      </w:pPr>
      <w:r w:rsidRPr="004E053C">
        <w:rPr>
          <w:rFonts w:cstheme="majorHAnsi"/>
          <w:sz w:val="22"/>
          <w:szCs w:val="22"/>
          <w:lang w:val="en-GB"/>
        </w:rPr>
        <w:t xml:space="preserve">For many years, women were largely ignored in the ASM literature, </w:t>
      </w:r>
      <w:r w:rsidR="003E38C7" w:rsidRPr="004E053C">
        <w:rPr>
          <w:rFonts w:cstheme="majorHAnsi"/>
          <w:sz w:val="22"/>
          <w:szCs w:val="22"/>
          <w:lang w:val="en-GB"/>
        </w:rPr>
        <w:t xml:space="preserve">but now this has </w:t>
      </w:r>
      <w:r w:rsidRPr="004E053C">
        <w:rPr>
          <w:rFonts w:cstheme="majorHAnsi"/>
          <w:sz w:val="22"/>
          <w:szCs w:val="22"/>
          <w:lang w:val="en-GB"/>
        </w:rPr>
        <w:t xml:space="preserve">started to change. Recent work by Buss et al </w:t>
      </w:r>
      <w:r w:rsidR="00702B6D"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Buss","given":"D","non-dropping-particle":"","parse-names":false,"suffix":""},{"dropping-particle":"","family":"Rutherford","given":"B","non-dropping-particle":"","parse-names":false,"suffix":""},{"dropping-particle":"","family":"Hinton","given":"J","non-dropping-particle":"","parse-names":false,"suffix":""},{"dropping-particle":"","family":"Stewart","given":"J","non-dropping-particle":"","parse-names":false,"suffix":""},{"dropping-particle":"","family":"Lebert","given":"J","non-dropping-particle":"","parse-names":false,"suffix":""},{"dropping-particle":"","family":"Cote","given":"G.E","non-dropping-particle":"","parse-names":false,"suffix":""},{"dropping-particle":"","family":"Sebina-Zziwa","given":"A","non-dropping-particle":"","parse-names":false,"suffix":""},{"dropping-particle":"","family":"Kibombo","given":"R","non-dropping-particle":"","parse-names":false,"suffix":""},{"dropping-particle":"","family":"Kisekka","given":"F.","non-dropping-particle":"","parse-names":false,"suffix":""}],"id":"ITEM-1","issued":{"date-parts":[["2017"]]},"number":"Working Paper GWP-2017-2","publisher-place":"Ottawa","title":"Gender and artisanal and small-scale mining in Central and East Africa: barriers and benefits","type":"report"},"uris":["http://www.mendeley.com/documents/?uuid=fc2c33b3-ea68-425b-97cc-ad7705b6f1ae"]}],"mendeley":{"formattedCitation":"(Buss et al., 2017)","manualFormatting":"(2017)","plainTextFormattedCitation":"(Buss et al., 2017)","previouslyFormattedCitation":"(Buss et al., 2017)"},"properties":{"noteIndex":0},"schema":"https://github.com/citation-style-language/schema/raw/master/csl-citation.json"}</w:instrText>
      </w:r>
      <w:r w:rsidR="00702B6D" w:rsidRPr="004E053C">
        <w:rPr>
          <w:rFonts w:cstheme="majorHAnsi"/>
          <w:sz w:val="22"/>
          <w:szCs w:val="22"/>
          <w:lang w:val="en-GB"/>
        </w:rPr>
        <w:fldChar w:fldCharType="separate"/>
      </w:r>
      <w:r w:rsidR="00702B6D" w:rsidRPr="004E053C">
        <w:rPr>
          <w:rFonts w:cstheme="majorHAnsi"/>
          <w:noProof/>
          <w:sz w:val="22"/>
          <w:szCs w:val="22"/>
          <w:lang w:val="en-GB"/>
        </w:rPr>
        <w:t>(2017)</w:t>
      </w:r>
      <w:r w:rsidR="00702B6D" w:rsidRPr="004E053C">
        <w:rPr>
          <w:rFonts w:cstheme="majorHAnsi"/>
          <w:sz w:val="22"/>
          <w:szCs w:val="22"/>
          <w:lang w:val="en-GB"/>
        </w:rPr>
        <w:fldChar w:fldCharType="end"/>
      </w:r>
      <w:r w:rsidRPr="004E053C">
        <w:rPr>
          <w:rFonts w:cstheme="majorHAnsi"/>
          <w:sz w:val="22"/>
          <w:szCs w:val="22"/>
          <w:lang w:val="en-GB"/>
        </w:rPr>
        <w:t xml:space="preserve"> and Huggins </w:t>
      </w:r>
      <w:r w:rsidR="0054500A">
        <w:rPr>
          <w:rFonts w:cstheme="majorHAnsi"/>
          <w:sz w:val="22"/>
          <w:szCs w:val="22"/>
          <w:lang w:val="en-GB"/>
        </w:rPr>
        <w:t>et al</w:t>
      </w:r>
      <w:r w:rsidRPr="004E053C">
        <w:rPr>
          <w:rFonts w:cstheme="majorHAnsi"/>
          <w:sz w:val="22"/>
          <w:szCs w:val="22"/>
          <w:lang w:val="en-GB"/>
        </w:rPr>
        <w:t xml:space="preserve"> </w:t>
      </w:r>
      <w:r w:rsidR="00702B6D" w:rsidRPr="004E053C">
        <w:rPr>
          <w:rFonts w:cstheme="majorHAnsi"/>
          <w:sz w:val="22"/>
          <w:szCs w:val="22"/>
          <w:lang w:val="en-GB"/>
        </w:rPr>
        <w:fldChar w:fldCharType="begin" w:fldLock="1"/>
      </w:r>
      <w:r w:rsidR="00A14051">
        <w:rPr>
          <w:rFonts w:cstheme="majorHAnsi"/>
          <w:sz w:val="22"/>
          <w:szCs w:val="22"/>
          <w:lang w:val="en-GB"/>
        </w:rPr>
        <w:instrText>ADDIN CSL_CITATION {"citationItems":[{"id":"ITEM-1","itemData":{"author":[{"dropping-particle":"","family":"Huggins","given":"C","non-dropping-particle":"","parse-names":false,"suffix":""},{"dropping-particle":"","family":"Buss","given":"D","non-dropping-particle":"","parse-names":false,"suffix":""},{"dropping-particle":"","family":"Rutherford","given":"B","non-dropping-particle":"","parse-names":false,"suffix":""}],"container-title":"Geoforum","id":"ITEM-1","issued":{"date-parts":[["2017"]]},"page":"142-152","title":"A 'cartography of concern': place-making practices and gender in the artisanal mining sector in Africa","type":"article-journal","volume":"83"},"uris":["http://www.mendeley.com/documents/?uuid=e50729d3-9142-4ed7-ae1f-c0ab01abedf3"]}],"mendeley":{"formattedCitation":"(Huggins et al., 2017)","manualFormatting":"(2017)","plainTextFormattedCitation":"(Huggins et al., 2017)","previouslyFormattedCitation":"(Huggins et al., 2017)"},"properties":{"noteIndex":0},"schema":"https://github.com/citation-style-language/schema/raw/master/csl-citation.json"}</w:instrText>
      </w:r>
      <w:r w:rsidR="00702B6D" w:rsidRPr="004E053C">
        <w:rPr>
          <w:rFonts w:cstheme="majorHAnsi"/>
          <w:sz w:val="22"/>
          <w:szCs w:val="22"/>
          <w:lang w:val="en-GB"/>
        </w:rPr>
        <w:fldChar w:fldCharType="separate"/>
      </w:r>
      <w:r w:rsidR="0054500A">
        <w:rPr>
          <w:rFonts w:cstheme="majorHAnsi"/>
          <w:noProof/>
          <w:sz w:val="22"/>
          <w:szCs w:val="22"/>
          <w:lang w:val="en-GB"/>
        </w:rPr>
        <w:t>(</w:t>
      </w:r>
      <w:r w:rsidR="00702B6D" w:rsidRPr="004E053C">
        <w:rPr>
          <w:rFonts w:cstheme="majorHAnsi"/>
          <w:noProof/>
          <w:sz w:val="22"/>
          <w:szCs w:val="22"/>
          <w:lang w:val="en-GB"/>
        </w:rPr>
        <w:t>2017)</w:t>
      </w:r>
      <w:r w:rsidR="00702B6D" w:rsidRPr="004E053C">
        <w:rPr>
          <w:rFonts w:cstheme="majorHAnsi"/>
          <w:sz w:val="22"/>
          <w:szCs w:val="22"/>
          <w:lang w:val="en-GB"/>
        </w:rPr>
        <w:fldChar w:fldCharType="end"/>
      </w:r>
      <w:r w:rsidRPr="004E053C">
        <w:rPr>
          <w:rFonts w:cstheme="majorHAnsi"/>
          <w:sz w:val="22"/>
          <w:szCs w:val="22"/>
          <w:lang w:val="en-GB"/>
        </w:rPr>
        <w:t xml:space="preserve"> in particular has highlighted the various ways in which women participate in mining settlements, both in terms of their employment but also their relationships and household arrangements. While this work has rightly emphasised the important rol</w:t>
      </w:r>
      <w:r w:rsidR="00077B61" w:rsidRPr="004E053C">
        <w:rPr>
          <w:rFonts w:cstheme="majorHAnsi"/>
          <w:sz w:val="22"/>
          <w:szCs w:val="22"/>
          <w:lang w:val="en-GB"/>
        </w:rPr>
        <w:t xml:space="preserve">e that </w:t>
      </w:r>
      <w:r w:rsidRPr="004E053C">
        <w:rPr>
          <w:rFonts w:cstheme="majorHAnsi"/>
          <w:sz w:val="22"/>
          <w:szCs w:val="22"/>
          <w:lang w:val="en-GB"/>
        </w:rPr>
        <w:t xml:space="preserve">women play </w:t>
      </w:r>
      <w:r w:rsidRPr="004E053C">
        <w:rPr>
          <w:rFonts w:eastAsia="Times New Roman" w:cstheme="majorHAnsi"/>
          <w:kern w:val="36"/>
          <w:sz w:val="22"/>
          <w:szCs w:val="22"/>
          <w:lang w:val="en-GB"/>
        </w:rPr>
        <w:t>in</w:t>
      </w:r>
      <w:r w:rsidR="00BC6BBF" w:rsidRPr="004E053C">
        <w:rPr>
          <w:rFonts w:eastAsia="Times New Roman" w:cstheme="majorHAnsi"/>
          <w:kern w:val="36"/>
          <w:sz w:val="22"/>
          <w:szCs w:val="22"/>
          <w:lang w:val="en-GB"/>
        </w:rPr>
        <w:t xml:space="preserve"> ASM settlement</w:t>
      </w:r>
      <w:r w:rsidR="003E574E" w:rsidRPr="004E053C">
        <w:rPr>
          <w:rFonts w:eastAsia="Times New Roman" w:cstheme="majorHAnsi"/>
          <w:kern w:val="36"/>
          <w:sz w:val="22"/>
          <w:szCs w:val="22"/>
          <w:lang w:val="en-GB"/>
        </w:rPr>
        <w:t>s</w:t>
      </w:r>
      <w:r w:rsidRPr="004E053C">
        <w:rPr>
          <w:rFonts w:eastAsia="Times New Roman" w:cstheme="majorHAnsi"/>
          <w:kern w:val="36"/>
          <w:sz w:val="22"/>
          <w:szCs w:val="22"/>
          <w:lang w:val="en-GB"/>
        </w:rPr>
        <w:t xml:space="preserve">, I </w:t>
      </w:r>
      <w:r w:rsidR="00077B61" w:rsidRPr="004E053C">
        <w:rPr>
          <w:rFonts w:eastAsia="Times New Roman" w:cstheme="majorHAnsi"/>
          <w:kern w:val="36"/>
          <w:sz w:val="22"/>
          <w:szCs w:val="22"/>
          <w:lang w:val="en-GB"/>
        </w:rPr>
        <w:t xml:space="preserve">believe that </w:t>
      </w:r>
      <w:r w:rsidRPr="004E053C">
        <w:rPr>
          <w:rFonts w:eastAsia="Times New Roman" w:cstheme="majorHAnsi"/>
          <w:kern w:val="36"/>
          <w:sz w:val="22"/>
          <w:szCs w:val="22"/>
          <w:lang w:val="en-GB"/>
        </w:rPr>
        <w:t xml:space="preserve">broadening the analysis </w:t>
      </w:r>
      <w:r w:rsidR="00077B61" w:rsidRPr="004E053C">
        <w:rPr>
          <w:rFonts w:eastAsia="Times New Roman" w:cstheme="majorHAnsi"/>
          <w:kern w:val="36"/>
          <w:sz w:val="22"/>
          <w:szCs w:val="22"/>
          <w:lang w:val="en-GB"/>
        </w:rPr>
        <w:t>to consider</w:t>
      </w:r>
      <w:r w:rsidRPr="004E053C">
        <w:rPr>
          <w:rFonts w:eastAsia="Times New Roman" w:cstheme="majorHAnsi"/>
          <w:kern w:val="36"/>
          <w:sz w:val="22"/>
          <w:szCs w:val="22"/>
          <w:lang w:val="en-GB"/>
        </w:rPr>
        <w:t xml:space="preserve"> the translocal community</w:t>
      </w:r>
      <w:r w:rsidR="00077B61" w:rsidRPr="004E053C">
        <w:rPr>
          <w:rFonts w:eastAsia="Times New Roman" w:cstheme="majorHAnsi"/>
          <w:kern w:val="36"/>
          <w:sz w:val="22"/>
          <w:szCs w:val="22"/>
          <w:lang w:val="en-GB"/>
        </w:rPr>
        <w:t xml:space="preserve"> will provide an even </w:t>
      </w:r>
      <w:r w:rsidRPr="004E053C">
        <w:rPr>
          <w:rFonts w:eastAsia="Times New Roman" w:cstheme="majorHAnsi"/>
          <w:kern w:val="36"/>
          <w:sz w:val="22"/>
          <w:szCs w:val="22"/>
          <w:lang w:val="en-GB"/>
        </w:rPr>
        <w:t xml:space="preserve">clearer </w:t>
      </w:r>
      <w:r w:rsidR="00077B61" w:rsidRPr="004E053C">
        <w:rPr>
          <w:rFonts w:eastAsia="Times New Roman" w:cstheme="majorHAnsi"/>
          <w:kern w:val="36"/>
          <w:sz w:val="22"/>
          <w:szCs w:val="22"/>
          <w:lang w:val="en-GB"/>
        </w:rPr>
        <w:t>understanding of women in</w:t>
      </w:r>
      <w:r w:rsidRPr="004E053C">
        <w:rPr>
          <w:rFonts w:eastAsia="Times New Roman" w:cstheme="majorHAnsi"/>
          <w:kern w:val="36"/>
          <w:sz w:val="22"/>
          <w:szCs w:val="22"/>
          <w:lang w:val="en-GB"/>
        </w:rPr>
        <w:t xml:space="preserve"> ASM and the communities they are embedded in</w:t>
      </w:r>
      <w:r w:rsidR="00077B61" w:rsidRPr="004E053C">
        <w:rPr>
          <w:rFonts w:eastAsia="Times New Roman" w:cstheme="majorHAnsi"/>
          <w:kern w:val="36"/>
          <w:sz w:val="22"/>
          <w:szCs w:val="22"/>
          <w:lang w:val="en-GB"/>
        </w:rPr>
        <w:t>.</w:t>
      </w:r>
      <w:r w:rsidRPr="004E053C">
        <w:rPr>
          <w:rFonts w:eastAsia="Times New Roman" w:cstheme="majorHAnsi"/>
          <w:kern w:val="36"/>
          <w:sz w:val="22"/>
          <w:szCs w:val="22"/>
          <w:lang w:val="en-GB"/>
        </w:rPr>
        <w:t xml:space="preserve"> </w:t>
      </w:r>
      <w:r w:rsidR="00077B61" w:rsidRPr="004E053C">
        <w:rPr>
          <w:rFonts w:eastAsia="Times New Roman" w:cstheme="majorHAnsi"/>
          <w:kern w:val="36"/>
          <w:sz w:val="22"/>
          <w:szCs w:val="22"/>
          <w:lang w:val="en-GB"/>
        </w:rPr>
        <w:t xml:space="preserve">This is because it accounts for the </w:t>
      </w:r>
      <w:r w:rsidRPr="004E053C">
        <w:rPr>
          <w:rFonts w:eastAsia="Times New Roman" w:cstheme="majorHAnsi"/>
          <w:kern w:val="36"/>
          <w:sz w:val="22"/>
          <w:szCs w:val="22"/>
          <w:lang w:val="en-GB"/>
        </w:rPr>
        <w:t>experience of women who may not be physically in mining settlements yet are no less part of the mining community</w:t>
      </w:r>
      <w:r w:rsidR="00077B61" w:rsidRPr="004E053C">
        <w:rPr>
          <w:rFonts w:eastAsia="Times New Roman" w:cstheme="majorHAnsi"/>
          <w:kern w:val="36"/>
          <w:sz w:val="22"/>
          <w:szCs w:val="22"/>
          <w:lang w:val="en-GB"/>
        </w:rPr>
        <w:t xml:space="preserve"> and who continue to play a significant role in the support of translocal livelihoods</w:t>
      </w:r>
      <w:r w:rsidR="003E574E" w:rsidRPr="004E053C">
        <w:rPr>
          <w:rFonts w:eastAsia="Times New Roman" w:cstheme="majorHAnsi"/>
          <w:kern w:val="36"/>
          <w:sz w:val="22"/>
          <w:szCs w:val="22"/>
          <w:lang w:val="en-GB"/>
        </w:rPr>
        <w:t xml:space="preserve">. </w:t>
      </w:r>
      <w:r w:rsidR="00077B61" w:rsidRPr="004E053C">
        <w:rPr>
          <w:rFonts w:eastAsia="Times New Roman" w:cstheme="majorHAnsi"/>
          <w:kern w:val="36"/>
          <w:sz w:val="22"/>
          <w:szCs w:val="22"/>
          <w:lang w:val="en-GB"/>
        </w:rPr>
        <w:t>Incorprating the realities of life for these women is</w:t>
      </w:r>
      <w:r w:rsidR="003E574E" w:rsidRPr="004E053C">
        <w:rPr>
          <w:rFonts w:eastAsia="Times New Roman" w:cstheme="majorHAnsi"/>
          <w:kern w:val="36"/>
          <w:sz w:val="22"/>
          <w:szCs w:val="22"/>
          <w:lang w:val="en-GB"/>
        </w:rPr>
        <w:t xml:space="preserve"> crucial for </w:t>
      </w:r>
      <w:r w:rsidR="00077B61" w:rsidRPr="004E053C">
        <w:rPr>
          <w:rFonts w:eastAsia="Times New Roman" w:cstheme="majorHAnsi"/>
          <w:kern w:val="36"/>
          <w:sz w:val="22"/>
          <w:szCs w:val="22"/>
          <w:lang w:val="en-GB"/>
        </w:rPr>
        <w:t xml:space="preserve">understanding the sector and </w:t>
      </w:r>
      <w:r w:rsidR="003E574E" w:rsidRPr="004E053C">
        <w:rPr>
          <w:rFonts w:eastAsia="Times New Roman" w:cstheme="majorHAnsi"/>
          <w:kern w:val="36"/>
          <w:sz w:val="22"/>
          <w:szCs w:val="22"/>
          <w:lang w:val="en-GB"/>
        </w:rPr>
        <w:t xml:space="preserve">designing effective policies. </w:t>
      </w:r>
      <w:r w:rsidR="003E574E" w:rsidRPr="004E053C">
        <w:rPr>
          <w:rFonts w:eastAsia="DengXian" w:cstheme="majorHAnsi"/>
          <w:sz w:val="22"/>
          <w:szCs w:val="22"/>
          <w:lang w:val="en-GB" w:eastAsia="zh-CN"/>
        </w:rPr>
        <w:t xml:space="preserve">This chapter attempts to address some of these issues through the application of a </w:t>
      </w:r>
      <w:r w:rsidR="003E574E" w:rsidRPr="004E053C">
        <w:rPr>
          <w:rFonts w:eastAsia="DengXian" w:cstheme="majorHAnsi"/>
          <w:sz w:val="22"/>
          <w:szCs w:val="22"/>
          <w:lang w:val="en-GB" w:eastAsia="zh-CN"/>
        </w:rPr>
        <w:lastRenderedPageBreak/>
        <w:t xml:space="preserve">translocal livelihoods approach, which follows feminist research by looking beyond </w:t>
      </w:r>
      <w:r w:rsidR="003E574E" w:rsidRPr="004E053C">
        <w:rPr>
          <w:rFonts w:cstheme="majorHAnsi"/>
          <w:sz w:val="22"/>
          <w:szCs w:val="22"/>
          <w:lang w:val="en-GB"/>
        </w:rPr>
        <w:t>the household as a unit of analysis.</w:t>
      </w:r>
    </w:p>
    <w:p w14:paraId="102F6DF6" w14:textId="77777777" w:rsidR="00C30720" w:rsidRPr="004E053C" w:rsidRDefault="00C30720" w:rsidP="004E053C">
      <w:pPr>
        <w:spacing w:line="360" w:lineRule="auto"/>
        <w:jc w:val="both"/>
        <w:rPr>
          <w:rFonts w:eastAsia="DengXian" w:cstheme="majorHAnsi"/>
          <w:sz w:val="22"/>
          <w:szCs w:val="22"/>
          <w:lang w:val="en-GB" w:eastAsia="zh-CN"/>
        </w:rPr>
      </w:pPr>
    </w:p>
    <w:p w14:paraId="1B025D6B" w14:textId="25281183" w:rsidR="003E574E" w:rsidRPr="004E053C" w:rsidRDefault="003E574E" w:rsidP="004E053C">
      <w:pPr>
        <w:spacing w:line="360" w:lineRule="auto"/>
        <w:jc w:val="both"/>
        <w:rPr>
          <w:rFonts w:cstheme="majorHAnsi"/>
          <w:color w:val="000000"/>
          <w:sz w:val="22"/>
          <w:szCs w:val="22"/>
          <w:lang w:val="en-GB"/>
        </w:rPr>
      </w:pPr>
      <w:r w:rsidRPr="004E053C">
        <w:rPr>
          <w:rFonts w:eastAsia="Times New Roman" w:cstheme="majorHAnsi"/>
          <w:color w:val="1C1D1E"/>
          <w:sz w:val="22"/>
          <w:szCs w:val="22"/>
          <w:lang w:val="en-GB"/>
        </w:rPr>
        <w:t xml:space="preserve">The chapter will first look at the gendered ways households in both Ocongate and Laberinto engage in ASM, and particularly the gendered patterns of migration. </w:t>
      </w:r>
      <w:r w:rsidRPr="004E053C">
        <w:rPr>
          <w:rFonts w:cstheme="majorHAnsi"/>
          <w:sz w:val="22"/>
          <w:szCs w:val="22"/>
          <w:lang w:val="en-GB"/>
        </w:rPr>
        <w:t xml:space="preserve">This allows for a consideration of how migration processes can shape and are shaped by place </w:t>
      </w:r>
      <w:r w:rsidR="006639BD"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{"citationItems":[{"id":"ITEM-1","itemData":{"author":[{"dropping-particle":"","family":"Silvey","given":"Rachel","non-dropping-particle":"","parse-names":false,"suffix":""}],"container-title":"The International Migration Review","id":"ITEM-1","issue":"1","issued":{"date-parts":[["1996"]]},"page":"64-81","title":"Geographies of gender and migration: spatializing social difference","type":"article-journal","volume":"40"},"uris":["http://www.mendeley.com/documents/?uuid=d4a41cfd-376d-42d1-a32b-3b2d23598c20"]}],"mendeley":{"formattedCitation":"(Silvey, 1996)","plainTextFormattedCitation":"(Silvey, 1996)","previouslyFormattedCitation":"(Silvey, 1996)"},"properties":{"noteIndex":0},"schema":"https://github.com/citation-style-language/schema/raw/master/csl-citation.json"}</w:instrText>
      </w:r>
      <w:r w:rsidR="006639BD" w:rsidRPr="004E053C">
        <w:rPr>
          <w:rFonts w:cstheme="majorHAnsi"/>
          <w:sz w:val="22"/>
          <w:szCs w:val="22"/>
          <w:lang w:val="en-GB"/>
        </w:rPr>
        <w:fldChar w:fldCharType="separate"/>
      </w:r>
      <w:r w:rsidR="006639BD" w:rsidRPr="004E053C">
        <w:rPr>
          <w:rFonts w:cstheme="majorHAnsi"/>
          <w:noProof/>
          <w:sz w:val="22"/>
          <w:szCs w:val="22"/>
          <w:lang w:val="en-GB"/>
        </w:rPr>
        <w:t>(Silvey, 1996)</w:t>
      </w:r>
      <w:r w:rsidR="006639BD" w:rsidRPr="004E053C">
        <w:rPr>
          <w:rFonts w:cstheme="majorHAnsi"/>
          <w:sz w:val="22"/>
          <w:szCs w:val="22"/>
          <w:lang w:val="en-GB"/>
        </w:rPr>
        <w:fldChar w:fldCharType="end"/>
      </w:r>
      <w:r w:rsidRPr="004E053C">
        <w:rPr>
          <w:rFonts w:cstheme="majorHAnsi"/>
          <w:sz w:val="22"/>
          <w:szCs w:val="22"/>
          <w:lang w:val="en-GB"/>
        </w:rPr>
        <w:t xml:space="preserve"> and shows that </w:t>
      </w:r>
      <w:r w:rsidR="00BC3ADA" w:rsidRPr="004E053C">
        <w:rPr>
          <w:rFonts w:cstheme="majorHAnsi"/>
          <w:sz w:val="22"/>
          <w:szCs w:val="22"/>
          <w:lang w:val="en-GB"/>
        </w:rPr>
        <w:t>they can both put women ‘out of place’</w:t>
      </w:r>
      <w:r w:rsidRPr="004E053C">
        <w:rPr>
          <w:rFonts w:cstheme="majorHAnsi"/>
          <w:sz w:val="22"/>
          <w:szCs w:val="22"/>
          <w:lang w:val="en-GB"/>
        </w:rPr>
        <w:t xml:space="preserve"> </w:t>
      </w:r>
      <w:r w:rsidR="006639BD"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{"citationItems":[{"id":"ITEM-1","itemData":{"author":[{"dropping-particle":"","family":"Cresswell","given":"Tim","non-dropping-particle":"","parse-names":false,"suffix":""}],"id":"ITEM-1","issued":{"date-parts":[["1996"]]},"publisher":"University of Minnesota Press","publisher-place":"Minneapolis, MN","title":"In Place/Out of Place: Geography, Ideology and Transgression","type":"book"},"uris":["http://www.mendeley.com/documents/?uuid=17f6312b-970a-4412-9f2f-c45c38fbb6d0"]}],"mendeley":{"formattedCitation":"(Cresswell, 1996)","manualFormatting":"(Creswell, 1996)","plainTextFormattedCitation":"(Cresswell, 1996)","previouslyFormattedCitation":"(Cresswell, 1996)"},"properties":{"noteIndex":0},"schema":"https://github.com/citation-style-language/schema/raw/master/csl-citation.json"}</w:instrText>
      </w:r>
      <w:r w:rsidR="006639BD" w:rsidRPr="004E053C">
        <w:rPr>
          <w:rFonts w:cstheme="majorHAnsi"/>
          <w:sz w:val="22"/>
          <w:szCs w:val="22"/>
          <w:lang w:val="en-GB"/>
        </w:rPr>
        <w:fldChar w:fldCharType="separate"/>
      </w:r>
      <w:r w:rsidR="00830084" w:rsidRPr="004E053C">
        <w:rPr>
          <w:rFonts w:cstheme="majorHAnsi"/>
          <w:noProof/>
          <w:sz w:val="22"/>
          <w:szCs w:val="22"/>
          <w:lang w:val="en-GB"/>
        </w:rPr>
        <w:t>(</w:t>
      </w:r>
      <w:r w:rsidR="00F2183E" w:rsidRPr="004E053C">
        <w:rPr>
          <w:rFonts w:cstheme="majorHAnsi"/>
          <w:noProof/>
          <w:sz w:val="22"/>
          <w:szCs w:val="22"/>
          <w:lang w:val="en-GB"/>
        </w:rPr>
        <w:t>Creswell, 1996)</w:t>
      </w:r>
      <w:r w:rsidR="006639BD" w:rsidRPr="004E053C">
        <w:rPr>
          <w:rFonts w:cstheme="majorHAnsi"/>
          <w:sz w:val="22"/>
          <w:szCs w:val="22"/>
          <w:lang w:val="en-GB"/>
        </w:rPr>
        <w:fldChar w:fldCharType="end"/>
      </w:r>
      <w:r w:rsidR="00C60A10" w:rsidRPr="004E053C">
        <w:rPr>
          <w:rFonts w:cstheme="majorHAnsi"/>
          <w:sz w:val="22"/>
          <w:szCs w:val="22"/>
          <w:lang w:val="en-GB"/>
        </w:rPr>
        <w:t xml:space="preserve"> in mining </w:t>
      </w:r>
      <w:r w:rsidR="00BC6BBF" w:rsidRPr="004E053C">
        <w:rPr>
          <w:rFonts w:cstheme="majorHAnsi"/>
          <w:sz w:val="22"/>
          <w:szCs w:val="22"/>
          <w:lang w:val="en-GB"/>
        </w:rPr>
        <w:t>settlements</w:t>
      </w:r>
      <w:r w:rsidR="00130A52">
        <w:rPr>
          <w:rFonts w:cstheme="majorHAnsi"/>
          <w:sz w:val="22"/>
          <w:szCs w:val="22"/>
          <w:lang w:val="en-GB"/>
        </w:rPr>
        <w:t xml:space="preserve"> and result in them being ‘left </w:t>
      </w:r>
      <w:r w:rsidR="00BC3ADA" w:rsidRPr="004E053C">
        <w:rPr>
          <w:rFonts w:cstheme="majorHAnsi"/>
          <w:sz w:val="22"/>
          <w:szCs w:val="22"/>
          <w:lang w:val="en-GB"/>
        </w:rPr>
        <w:t>behind’</w:t>
      </w:r>
      <w:r w:rsidRPr="004E053C">
        <w:rPr>
          <w:rFonts w:cstheme="majorHAnsi"/>
          <w:sz w:val="22"/>
          <w:szCs w:val="22"/>
          <w:lang w:val="en-GB"/>
        </w:rPr>
        <w:t xml:space="preserve"> in </w:t>
      </w:r>
      <w:r w:rsidR="00BC6BBF" w:rsidRPr="004E053C">
        <w:rPr>
          <w:rFonts w:cstheme="majorHAnsi"/>
          <w:sz w:val="22"/>
          <w:szCs w:val="22"/>
          <w:lang w:val="en-GB"/>
        </w:rPr>
        <w:t>localities of origin</w:t>
      </w:r>
      <w:r w:rsidRPr="004E053C">
        <w:rPr>
          <w:rFonts w:cstheme="majorHAnsi"/>
          <w:sz w:val="22"/>
          <w:szCs w:val="22"/>
          <w:lang w:val="en-GB"/>
        </w:rPr>
        <w:t xml:space="preserve">. </w:t>
      </w:r>
      <w:r w:rsidRPr="004E053C">
        <w:rPr>
          <w:rFonts w:eastAsia="Times New Roman" w:cstheme="majorHAnsi"/>
          <w:color w:val="1C1D1E"/>
          <w:sz w:val="22"/>
          <w:szCs w:val="22"/>
          <w:lang w:val="en-GB"/>
        </w:rPr>
        <w:t xml:space="preserve">Section three then goes on to look at precisely how women are engaged in the ASM sector, and the roles they play within the translocal community. Section 4 and 5 consider the gendered implication of ASM livelihoods within both the household and the wider community respectively. </w:t>
      </w:r>
      <w:r w:rsidRPr="004E053C">
        <w:rPr>
          <w:rFonts w:cstheme="majorHAnsi"/>
          <w:sz w:val="22"/>
          <w:szCs w:val="22"/>
          <w:lang w:val="en-GB"/>
        </w:rPr>
        <w:t>Women’s role</w:t>
      </w:r>
      <w:r w:rsidR="00C60A10" w:rsidRPr="004E053C">
        <w:rPr>
          <w:rFonts w:cstheme="majorHAnsi"/>
          <w:sz w:val="22"/>
          <w:szCs w:val="22"/>
          <w:lang w:val="en-GB"/>
        </w:rPr>
        <w:t>s</w:t>
      </w:r>
      <w:r w:rsidRPr="004E053C">
        <w:rPr>
          <w:rFonts w:cstheme="majorHAnsi"/>
          <w:sz w:val="22"/>
          <w:szCs w:val="22"/>
          <w:lang w:val="en-GB"/>
        </w:rPr>
        <w:t xml:space="preserve"> in maintaining community relationship</w:t>
      </w:r>
      <w:r w:rsidR="00C60A10" w:rsidRPr="004E053C">
        <w:rPr>
          <w:rFonts w:cstheme="majorHAnsi"/>
          <w:sz w:val="22"/>
          <w:szCs w:val="22"/>
          <w:lang w:val="en-GB"/>
        </w:rPr>
        <w:t>s across the translocal space are</w:t>
      </w:r>
      <w:r w:rsidRPr="004E053C">
        <w:rPr>
          <w:rFonts w:cstheme="majorHAnsi"/>
          <w:sz w:val="22"/>
          <w:szCs w:val="22"/>
          <w:lang w:val="en-GB"/>
        </w:rPr>
        <w:t xml:space="preserve"> </w:t>
      </w:r>
      <w:r w:rsidR="00091107" w:rsidRPr="004E053C">
        <w:rPr>
          <w:rFonts w:cstheme="majorHAnsi"/>
          <w:sz w:val="22"/>
          <w:szCs w:val="22"/>
          <w:lang w:val="en-GB"/>
        </w:rPr>
        <w:t>emphasised</w:t>
      </w:r>
      <w:r w:rsidRPr="004E053C">
        <w:rPr>
          <w:rFonts w:cstheme="majorHAnsi"/>
          <w:sz w:val="22"/>
          <w:szCs w:val="22"/>
          <w:lang w:val="en-GB"/>
        </w:rPr>
        <w:t xml:space="preserve">, and this </w:t>
      </w:r>
      <w:r w:rsidRPr="004E053C">
        <w:rPr>
          <w:rFonts w:eastAsia="Times New Roman" w:cstheme="majorHAnsi"/>
          <w:color w:val="1C1D1E"/>
          <w:sz w:val="22"/>
          <w:szCs w:val="22"/>
          <w:lang w:val="en-GB"/>
        </w:rPr>
        <w:t>provides a</w:t>
      </w:r>
      <w:r w:rsidRPr="004E053C">
        <w:rPr>
          <w:rFonts w:cstheme="majorHAnsi"/>
          <w:sz w:val="22"/>
          <w:szCs w:val="22"/>
          <w:lang w:val="en-GB"/>
        </w:rPr>
        <w:t xml:space="preserve"> broader understanding of how women utili</w:t>
      </w:r>
      <w:r w:rsidR="00475547" w:rsidRPr="004E053C">
        <w:rPr>
          <w:rFonts w:cstheme="majorHAnsi"/>
          <w:sz w:val="22"/>
          <w:szCs w:val="22"/>
          <w:lang w:val="en-GB"/>
        </w:rPr>
        <w:t>s</w:t>
      </w:r>
      <w:r w:rsidRPr="004E053C">
        <w:rPr>
          <w:rFonts w:cstheme="majorHAnsi"/>
          <w:sz w:val="22"/>
          <w:szCs w:val="22"/>
          <w:lang w:val="en-GB"/>
        </w:rPr>
        <w:t>e social networks</w:t>
      </w:r>
      <w:r w:rsidR="00BC3ADA" w:rsidRPr="004E053C">
        <w:rPr>
          <w:rFonts w:cstheme="majorHAnsi"/>
          <w:sz w:val="22"/>
          <w:szCs w:val="22"/>
          <w:lang w:val="en-GB"/>
        </w:rPr>
        <w:t>. Despite being so crucial for left-behind</w:t>
      </w:r>
      <w:r w:rsidRPr="004E053C">
        <w:rPr>
          <w:rFonts w:cstheme="majorHAnsi"/>
          <w:sz w:val="22"/>
          <w:szCs w:val="22"/>
          <w:lang w:val="en-GB"/>
        </w:rPr>
        <w:t xml:space="preserve"> communities, </w:t>
      </w:r>
      <w:r w:rsidR="006639BD"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{"citationItems":[{"id":"ITEM-1","itemData":{"author":[{"dropping-particle":"","family":"Conway","given":"Dennis","non-dropping-particle":"","parse-names":false,"suffix":""},{"dropping-particle":"","family":"Cohen","given":"Jeffrey H.","non-dropping-particle":"","parse-names":false,"suffix":""}],"container-title":"Economic Geography","id":"ITEM-1","issue":"1","issued":{"date-parts":[["1998"]]},"page":"pp.26-44","title":"Consequences of migration and remittances for mexican transnational communities","type":"article-journal","volume":"74"},"uris":["http://www.mendeley.com/documents/?uuid=9382773e-8361-4aec-aa4e-e2d2647c5d1d"]},{"id":"ITEM-2","itemData":{"author":[{"dropping-particle":"","family":"Foresight","given":"","non-dropping-particle":"","parse-names":false,"suffix":""}],"container-title":"Government Office for Science - Forsight","id":"ITEM-2","issued":{"date-parts":[["2011"]]},"page":"234","title":"Migration and Global Environmental Change. Future Challenges and Opportunities","type":"article-journal"},"uris":["http://www.mendeley.com/documents/?uuid=db50d139-6b77-4f07-a921-06aab276ebb8"]},{"id":"ITEM-3","itemData":{"author":[{"dropping-particle":"","family":"Thieme","given":"S","non-dropping-particle":"","parse-names":false,"suffix":""},{"dropping-particle":"","family":"Muller-Boker","given":"U","non-dropping-particle":"","parse-names":false,"suffix":""}],"container-title":"European Bulletin of Himalayan Research","id":"ITEM-3","issued":{"date-parts":[["2010"]]},"page":"107-121","title":"Social networks and migration: Women's livelihoods between far west Nepal and Delhi","type":"article-journal","volume":"35-36"},"uris":["http://www.mendeley.com/documents/?uuid=2d541dbc-fa07-4a1b-93f8-84463f7872b3"]}],"mendeley":{"formattedCitation":"(Conway &amp; Cohen, 1998; Foresight, 2011; S Thieme &amp; Muller-Boker, 2010)","manualFormatting":"(Conway &amp; Cohen, 1998; Foresight, 2011; Thieme &amp; Muller-Boker, 2010)","plainTextFormattedCitation":"(Conway &amp; Cohen, 1998; Foresight, 2011; S Thieme &amp; Muller-Boker, 2010)","previouslyFormattedCitation":"(Conway &amp; Cohen, 1998; Foresight, 2011; S Thieme &amp; Muller-Boker, 2010)"},"properties":{"noteIndex":0},"schema":"https://github.com/citation-style-language/schema/raw/master/csl-citation.json"}</w:instrText>
      </w:r>
      <w:r w:rsidR="006639BD" w:rsidRPr="004E053C">
        <w:rPr>
          <w:rFonts w:cstheme="majorHAnsi"/>
          <w:sz w:val="22"/>
          <w:szCs w:val="22"/>
          <w:lang w:val="en-GB"/>
        </w:rPr>
        <w:fldChar w:fldCharType="separate"/>
      </w:r>
      <w:r w:rsidR="00E308C9" w:rsidRPr="004E053C">
        <w:rPr>
          <w:rFonts w:cstheme="majorHAnsi"/>
          <w:noProof/>
          <w:sz w:val="22"/>
          <w:szCs w:val="22"/>
          <w:lang w:val="en-GB"/>
        </w:rPr>
        <w:t>(Conway &amp; Cohen, 1998; Foresight, 2011; Thieme &amp; Muller-Boker, 2010)</w:t>
      </w:r>
      <w:r w:rsidR="006639BD" w:rsidRPr="004E053C">
        <w:rPr>
          <w:rFonts w:cstheme="majorHAnsi"/>
          <w:sz w:val="22"/>
          <w:szCs w:val="22"/>
          <w:lang w:val="en-GB"/>
        </w:rPr>
        <w:fldChar w:fldCharType="end"/>
      </w:r>
      <w:r w:rsidRPr="004E053C">
        <w:rPr>
          <w:rFonts w:cstheme="majorHAnsi"/>
          <w:color w:val="000000"/>
          <w:sz w:val="22"/>
          <w:szCs w:val="22"/>
          <w:lang w:val="en-GB"/>
        </w:rPr>
        <w:t xml:space="preserve">, </w:t>
      </w:r>
      <w:r w:rsidR="006809D7" w:rsidRPr="004E053C">
        <w:rPr>
          <w:rFonts w:cstheme="majorHAnsi"/>
          <w:color w:val="000000"/>
          <w:sz w:val="22"/>
          <w:szCs w:val="22"/>
          <w:lang w:val="en-GB"/>
        </w:rPr>
        <w:t>the ASM literatue has tended to focus on social capital within destination mining communities. For example, literature on African countries has often</w:t>
      </w:r>
      <w:r w:rsidR="00077B61" w:rsidRPr="004E053C">
        <w:rPr>
          <w:rFonts w:cstheme="majorHAnsi"/>
          <w:color w:val="000000"/>
          <w:sz w:val="22"/>
          <w:szCs w:val="22"/>
          <w:lang w:val="en-GB"/>
        </w:rPr>
        <w:t xml:space="preserve"> </w:t>
      </w:r>
      <w:r w:rsidR="006809D7" w:rsidRPr="004E053C">
        <w:rPr>
          <w:rFonts w:cstheme="majorHAnsi"/>
          <w:color w:val="000000"/>
          <w:sz w:val="22"/>
          <w:szCs w:val="22"/>
          <w:lang w:val="en-GB"/>
        </w:rPr>
        <w:t>focused on how male miners utilise social networks to find work</w:t>
      </w:r>
      <w:r w:rsidRPr="004E053C">
        <w:rPr>
          <w:rFonts w:cstheme="majorHAnsi"/>
          <w:color w:val="000000"/>
          <w:sz w:val="22"/>
          <w:szCs w:val="22"/>
          <w:lang w:val="en-GB"/>
        </w:rPr>
        <w:t xml:space="preserve"> </w:t>
      </w:r>
      <w:r w:rsidR="006639BD" w:rsidRPr="004E053C">
        <w:rPr>
          <w:rFonts w:cstheme="majorHAnsi"/>
          <w:color w:val="000000"/>
          <w:sz w:val="22"/>
          <w:szCs w:val="22"/>
          <w:lang w:val="en-GB"/>
        </w:rPr>
        <w:fldChar w:fldCharType="begin" w:fldLock="1"/>
      </w:r>
      <w:r w:rsidR="0004146F" w:rsidRPr="004E053C">
        <w:rPr>
          <w:rFonts w:cstheme="majorHAnsi"/>
          <w:color w:val="000000"/>
          <w:sz w:val="22"/>
          <w:szCs w:val="22"/>
          <w:lang w:val="en-GB"/>
        </w:rPr>
        <w:instrText>ADDIN CSL_CITATION {"citationItems":[{"id":"ITEM-1","itemData":{"author":[{"dropping-particle":"","family":"Grätz","given":"Tilo","non-dropping-particle":"","parse-names":false,"suffix":""}],"container-title":"Africa: Journal of the International African Institute","id":"ITEM-1","issue":"2","issued":{"date-parts":[["2004"]]},"page":"146-172","title":"Gold Trading Networks and the Creation of Trust: A Case Study from Northern Benin","type":"article-journal","volume":"74"},"uris":["http://www.mendeley.com/documents/?uuid=d39d6dd5-3b2d-4d7c-8419-5ff8daa54c5d"]},{"id":"ITEM-2","itemData":{"abstract":"African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Change","id":"ITEM-2","issue":"2","issued":{"date-parts":[["2009"]]},"page":"249-279","title":"Rushing for gold: mobility and small-scale mining in East Africa","type":"article-journal","volume":"40"},"uris":["http://www.mendeley.com/documents/?uuid=de9c4f73-7d08-4fe3-9443-72b7c45b2369"]},{"id":"ITEM-3","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-3","issued":{"date-parts":[["2010"]]},"page":"111-132","publisher":"Brill","publisher-place":"Leiden","title":"Following the hills: gold mining camps as heterotopias","type":"chapter"},"uris":["http://www.mendeley.com/documents/?uuid=83603393-cc44-4264-a8c3-b78d02289a5a"]}],"mendeley":{"formattedCitation":"(Grätz, 2004b; Jønsson &amp; Bryceson, 2009; Werthmann, 2010)","manualFormatting":"(Jønsson &amp; Bryceson, 2009; Werthmann, 2010)","plainTextFormattedCitation":"(Grätz, 2004b; Jønsson &amp; Bryceson, 2009; Werthmann, 2010)","previouslyFormattedCitation":"(Grätz, 2004b; Jønsson &amp; Bryceson, 2009; Werthmann, 2010)"},"properties":{"noteIndex":0},"schema":"https://github.com/citation-style-language/schema/raw/master/csl-citation.json"}</w:instrText>
      </w:r>
      <w:r w:rsidR="006639BD" w:rsidRPr="004E053C">
        <w:rPr>
          <w:rFonts w:cstheme="majorHAnsi"/>
          <w:color w:val="000000"/>
          <w:sz w:val="22"/>
          <w:szCs w:val="22"/>
          <w:lang w:val="en-GB"/>
        </w:rPr>
        <w:fldChar w:fldCharType="separate"/>
      </w:r>
      <w:r w:rsidR="00177C64" w:rsidRPr="004E053C">
        <w:rPr>
          <w:rFonts w:cstheme="majorHAnsi"/>
          <w:noProof/>
          <w:color w:val="000000"/>
          <w:sz w:val="22"/>
          <w:szCs w:val="22"/>
          <w:lang w:val="en-GB"/>
        </w:rPr>
        <w:t>(Jønsson &amp; Bryceson, 2009; Werthmann, 2010)</w:t>
      </w:r>
      <w:r w:rsidR="006639BD" w:rsidRPr="004E053C">
        <w:rPr>
          <w:rFonts w:cstheme="majorHAnsi"/>
          <w:color w:val="000000"/>
          <w:sz w:val="22"/>
          <w:szCs w:val="22"/>
          <w:lang w:val="en-GB"/>
        </w:rPr>
        <w:fldChar w:fldCharType="end"/>
      </w:r>
      <w:r w:rsidR="00436DAE" w:rsidRPr="004E053C">
        <w:rPr>
          <w:rFonts w:cstheme="majorHAnsi"/>
          <w:color w:val="000000"/>
          <w:sz w:val="22"/>
          <w:szCs w:val="22"/>
          <w:lang w:val="en-GB"/>
        </w:rPr>
        <w:t xml:space="preserve"> and, more recently, how they cope with interpersonal disputes </w:t>
      </w:r>
      <w:r w:rsidR="00702B6D" w:rsidRPr="004E053C">
        <w:rPr>
          <w:rFonts w:cstheme="majorHAnsi"/>
          <w:color w:val="000000"/>
          <w:sz w:val="22"/>
          <w:szCs w:val="22"/>
          <w:lang w:val="en-GB"/>
        </w:rPr>
        <w:fldChar w:fldCharType="begin" w:fldLock="1"/>
      </w:r>
      <w:r w:rsidR="007A757C" w:rsidRPr="004E053C">
        <w:rPr>
          <w:rFonts w:cstheme="majorHAnsi"/>
          <w:color w:val="000000"/>
          <w:sz w:val="22"/>
          <w:szCs w:val="22"/>
          <w:lang w:val="en-GB"/>
        </w:rPr>
        <w:instrText>ADDIN CSL_CITATION {"citationItems":[{"id":"ITEM-1","itemData":{"abstract":"The Katangese artisanal mining sector has grown spectacularly since the late 1990s. Faced with political instability and economic crisis, tens of thousands of men have moved to the mining areas in order to find new sources of income. This article offers a detailed ethnographic description of how male migrant workers experience and cope with the challenging realities of life on the mines against the backdrop of recent changes in Katanga’s political economy. More specifically, it examines the relationship between money, migration and masculinity through an extended case study of a money dispute among a group of artisanal miners working in the Kalabi mine near Lwambo, a small town situated 20 kilometres north of Likasi. It is found that the conspicuous consumption of money plays a vital role in the mining subculture; that credit and debt dominate life on the mines; and that artisanal mining has given rise to significant changes in gender relations and household organisation.","author":[{"dropping-particle":"","family":"Cuvelier","given":"Jeroen","non-dropping-particle":"","parse-names":false,"suffix":""}],"container-title":"Review of African Political Economy","id":"ITEM-1","issue":"152","issued":{"date-parts":[["2017"]]},"page":"204-219","title":"Money, migration and masculinity among artisanal miners in Katanga (DR Congo)","type":"article-journal","volume":"44"},"uris":["http://www.mendeley.com/documents/?uuid=bbcd9db1-ff1c-41f7-98d2-143001e4ca7f"]}],"mendeley":{"formattedCitation":"(Cuvelier, 2017)","plainTextFormattedCitation":"(Cuvelier, 2017)","previouslyFormattedCitation":"(Cuvelier, 2017)"},"properties":{"noteIndex":0},"schema":"https://github.com/citation-style-language/schema/raw/master/csl-citation.json"}</w:instrText>
      </w:r>
      <w:r w:rsidR="00702B6D" w:rsidRPr="004E053C">
        <w:rPr>
          <w:rFonts w:cstheme="majorHAnsi"/>
          <w:color w:val="000000"/>
          <w:sz w:val="22"/>
          <w:szCs w:val="22"/>
          <w:lang w:val="en-GB"/>
        </w:rPr>
        <w:fldChar w:fldCharType="separate"/>
      </w:r>
      <w:r w:rsidR="00702B6D" w:rsidRPr="004E053C">
        <w:rPr>
          <w:rFonts w:cstheme="majorHAnsi"/>
          <w:noProof/>
          <w:color w:val="000000"/>
          <w:sz w:val="22"/>
          <w:szCs w:val="22"/>
          <w:lang w:val="en-GB"/>
        </w:rPr>
        <w:t>(Cuvelier, 2017)</w:t>
      </w:r>
      <w:r w:rsidR="00702B6D" w:rsidRPr="004E053C">
        <w:rPr>
          <w:rFonts w:cstheme="majorHAnsi"/>
          <w:color w:val="000000"/>
          <w:sz w:val="22"/>
          <w:szCs w:val="22"/>
          <w:lang w:val="en-GB"/>
        </w:rPr>
        <w:fldChar w:fldCharType="end"/>
      </w:r>
      <w:r w:rsidR="00436DAE" w:rsidRPr="004E053C">
        <w:rPr>
          <w:rFonts w:cstheme="majorHAnsi"/>
          <w:color w:val="000000"/>
          <w:sz w:val="22"/>
          <w:szCs w:val="22"/>
          <w:lang w:val="en-GB"/>
        </w:rPr>
        <w:t xml:space="preserve">. Research on women in this respect has often focused on how they </w:t>
      </w:r>
      <w:r w:rsidR="006809D7" w:rsidRPr="004E053C">
        <w:rPr>
          <w:rFonts w:cstheme="majorHAnsi"/>
          <w:color w:val="000000"/>
          <w:sz w:val="22"/>
          <w:szCs w:val="22"/>
          <w:lang w:val="en-GB"/>
        </w:rPr>
        <w:t xml:space="preserve">negotiate sexual and conjugal relationships </w:t>
      </w:r>
      <w:r w:rsidR="00702B6D" w:rsidRPr="004E053C">
        <w:rPr>
          <w:rFonts w:cstheme="majorHAnsi"/>
          <w:color w:val="000000"/>
          <w:sz w:val="22"/>
          <w:szCs w:val="22"/>
          <w:lang w:val="en-GB"/>
        </w:rPr>
        <w:fldChar w:fldCharType="begin" w:fldLock="1"/>
      </w:r>
      <w:r w:rsidR="007A757C" w:rsidRPr="004E053C">
        <w:rPr>
          <w:rFonts w:cstheme="majorHAnsi"/>
          <w:color w:val="000000"/>
          <w:sz w:val="22"/>
          <w:szCs w:val="22"/>
          <w:lang w:val="en-GB"/>
        </w:rPr>
        <w:instrText>ADDIN CSL_CITATION {"citationItems":[{"id":"ITEM-1","itemData":{"abstract":"Migrants to Tanzania's artisanal gold mining sites seek mineral wealth, which is accompanied by high risks of occupational hazards, economic failure, AIDS and social censure from their home communities. Male miners in these settlements compete to attract newly arrived young women who are perceived to be diverting male material support from older women and children's economic survival. This article explores the dynamics of monogamy, polygamy and promiscuity in the context of rapid occupational change. It shows how a wide spectrum of productive and welfare outcomes is generated through sexual experimentation, which calls into question conventional concepts of prostitution, marriage and gender power relations. © 2013 International Institute of Social Studies.","author":[{"dropping-particle":"","family":"Bryceson","given":"Deborah Fahy","non-dropping-particle":"","parse-names":false,"suffix":""},{"dropping-particle":"","family":"Jønsson","given":"Jesper Bosse","non-dropping-particle":"","parse-names":false,"suffix":""},{"dropping-particle":"","family":"Verbrugge","given":"Hannelore","non-dropping-particle":"","parse-names":false,"suffix":""}],"container-title":"Development and Change","id":"ITEM-1","issue":"1","issued":{"date-parts":[["2014"]]},"page":"79-104","title":"For richer, for poorer: marriage and casualized sex in East African artisanal mining settlements","type":"article-journal","volume":"45"},"uris":["http://www.mendeley.com/documents/?uuid=b90917af-aec8-4711-8312-d98d1e096cb1"]},{"id":"ITEM-2","itemData":{"abstract":"Tanzania, along with several other African countries, is experiencing a national mining boom, which has prompted hundreds of thousands of men and women to migrate to mineral-rich locations. At these sites, relationships between the sexes defy the sexual norms of the surrounding countryside to embrace new relational amalgams of polygamy, monogamy and promiscuity. This article challenges the assumption that female prostitution is widespread. Using interview data with women migrants, we delineate six 'wifestyles', namely sexual-cum-conjugal relationships between men and women that vary in their degree of sexual and material commitment. In contrast to bridewealth payments, which involved elders formalising marriages through negotiations over reproductive access to women, sexual negotiations and relations in mining settlements involve men and women making liaisons and co-habitation arrangements directly between each other without third-party intervention. Economic interdependence may evolve thereafter with the possibility of women, as well as men, offering material support to their sex partners. © 2013 Cambridge University Press.","author":[{"dropping-particle":"","family":"Bryceson","given":"Deborah Fahy","non-dropping-particle":"","parse-names":false,"suffix":""},{"dropping-particle":"","family":"Jonsson","given":"Jesper Bosse","non-dropping-particle":"","parse-names":false,"suffix":""},{"dropping-particle":"","family":"Verbrugge","given":"Hannelore","non-dropping-particle":"","parse-names":false,"suffix":""}],"container-title":"Journal of Modern African Studies","id":"ITEM-2","issue":"1","issued":{"date-parts":[["2013"]]},"page":"33-56","title":"Prostitution or partnership? Wifestyles in Tanzanian artisanal gold-mining settlements","type":"article-journal","volume":"51"},"uris":["http://www.mendeley.com/documents/?uuid=f4813e71-0a0e-4653-8ea8-b7727919e880"]}],"mendeley":{"formattedCitation":"(D. F. Bryceson, Jonsson, &amp; Verbrugge, 2013; D. F. Bryceson et al., 2014)","manualFormatting":"(Bryceson, Jonsson, &amp; Verbrugge, 2013; Bryceson et al., 2014)","plainTextFormattedCitation":"(D. F. Bryceson, Jonsson, &amp; Verbrugge, 2013; D. F. Bryceson et al., 2014)","previouslyFormattedCitation":"(D. F. Bryceson, Jonsson, &amp; Verbrugge, 2013; D. F. Bryceson et al., 2014)"},"properties":{"noteIndex":0},"schema":"https://github.com/citation-style-language/schema/raw/master/csl-citation.json"}</w:instrText>
      </w:r>
      <w:r w:rsidR="00702B6D" w:rsidRPr="004E053C">
        <w:rPr>
          <w:rFonts w:cstheme="majorHAnsi"/>
          <w:color w:val="000000"/>
          <w:sz w:val="22"/>
          <w:szCs w:val="22"/>
          <w:lang w:val="en-GB"/>
        </w:rPr>
        <w:fldChar w:fldCharType="separate"/>
      </w:r>
      <w:r w:rsidR="00702B6D" w:rsidRPr="004E053C">
        <w:rPr>
          <w:rFonts w:cstheme="majorHAnsi"/>
          <w:noProof/>
          <w:color w:val="000000"/>
          <w:sz w:val="22"/>
          <w:szCs w:val="22"/>
          <w:lang w:val="en-GB"/>
        </w:rPr>
        <w:t>(Bryceson, Jonsson, &amp; Verbrugge, 2013; Bryceson et al., 2014)</w:t>
      </w:r>
      <w:r w:rsidR="00702B6D" w:rsidRPr="004E053C">
        <w:rPr>
          <w:rFonts w:cstheme="majorHAnsi"/>
          <w:color w:val="000000"/>
          <w:sz w:val="22"/>
          <w:szCs w:val="22"/>
          <w:lang w:val="en-GB"/>
        </w:rPr>
        <w:fldChar w:fldCharType="end"/>
      </w:r>
      <w:r w:rsidR="009A2712" w:rsidRPr="004E053C">
        <w:rPr>
          <w:rFonts w:cstheme="majorHAnsi"/>
          <w:color w:val="000000"/>
          <w:sz w:val="22"/>
          <w:szCs w:val="22"/>
          <w:lang w:val="en-GB"/>
        </w:rPr>
        <w:t xml:space="preserve"> although generally within the spatial boundaries of the mining camp</w:t>
      </w:r>
      <w:r w:rsidR="009F56C9" w:rsidRPr="004E053C">
        <w:rPr>
          <w:rFonts w:cstheme="majorHAnsi"/>
          <w:color w:val="000000"/>
          <w:sz w:val="22"/>
          <w:szCs w:val="22"/>
          <w:lang w:val="en-GB"/>
        </w:rPr>
        <w:t xml:space="preserve">. </w:t>
      </w:r>
      <w:r w:rsidR="003E38C7" w:rsidRPr="004E053C">
        <w:rPr>
          <w:rFonts w:cstheme="majorHAnsi"/>
          <w:color w:val="000000"/>
          <w:sz w:val="22"/>
          <w:szCs w:val="22"/>
          <w:lang w:val="en-GB"/>
        </w:rPr>
        <w:t xml:space="preserve">There are relatively few English-language publications available on women in ASM from Latin America, </w:t>
      </w:r>
      <w:r w:rsidR="009A2712" w:rsidRPr="004E053C">
        <w:rPr>
          <w:rFonts w:cstheme="majorHAnsi"/>
          <w:color w:val="000000"/>
          <w:sz w:val="22"/>
          <w:szCs w:val="22"/>
          <w:lang w:val="en-GB"/>
        </w:rPr>
        <w:t xml:space="preserve">but </w:t>
      </w:r>
      <w:r w:rsidR="00702B6D" w:rsidRPr="004E053C">
        <w:rPr>
          <w:rFonts w:cstheme="majorHAnsi"/>
          <w:color w:val="000000"/>
          <w:sz w:val="22"/>
          <w:szCs w:val="22"/>
          <w:lang w:val="en-GB"/>
        </w:rPr>
        <w:t xml:space="preserve">De Theije and Heemskerk </w:t>
      </w:r>
      <w:r w:rsidR="00702B6D" w:rsidRPr="004E053C">
        <w:rPr>
          <w:rFonts w:cstheme="majorHAnsi"/>
          <w:color w:val="000000"/>
          <w:sz w:val="22"/>
          <w:szCs w:val="22"/>
          <w:lang w:val="en-GB"/>
        </w:rPr>
        <w:fldChar w:fldCharType="begin" w:fldLock="1"/>
      </w:r>
      <w:r w:rsidR="007A757C" w:rsidRPr="004E053C">
        <w:rPr>
          <w:rFonts w:cstheme="majorHAnsi"/>
          <w:color w:val="000000"/>
          <w:sz w:val="22"/>
          <w:szCs w:val="22"/>
          <w:lang w:val="en-GB"/>
        </w:rPr>
        <w:instrText>ADDIN CSL_CITATION {"citationItems":[{"id":"ITEM-1","itemData":{"abstract":"Os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Caribe","id":"ITEM-1","issued":{"date-parts":[["2009"]]},"page":"5-25","title":"Moving Frontiers in the Amazon: Brazilian Small-Scale Gold Miners in Suriname","type":"article-journal","volume":"87"},"uris":["http://www.mendeley.com/documents/?uuid=b7c637de-0214-402c-9b77-46660804c1e4"]}],"mendeley":{"formattedCitation":"(De Theije &amp; Heemskerk, 2009)","manualFormatting":"(2009)","plainTextFormattedCitation":"(De Theije &amp; Heemskerk, 2009)","previouslyFormattedCitation":"(De Theije &amp; Heemskerk, 2009)"},"properties":{"noteIndex":0},"schema":"https://github.com/citation-style-language/schema/raw/master/csl-citation.json"}</w:instrText>
      </w:r>
      <w:r w:rsidR="00702B6D" w:rsidRPr="004E053C">
        <w:rPr>
          <w:rFonts w:cstheme="majorHAnsi"/>
          <w:color w:val="000000"/>
          <w:sz w:val="22"/>
          <w:szCs w:val="22"/>
          <w:lang w:val="en-GB"/>
        </w:rPr>
        <w:fldChar w:fldCharType="separate"/>
      </w:r>
      <w:r w:rsidR="00702B6D" w:rsidRPr="004E053C">
        <w:rPr>
          <w:rFonts w:cstheme="majorHAnsi"/>
          <w:noProof/>
          <w:color w:val="000000"/>
          <w:sz w:val="22"/>
          <w:szCs w:val="22"/>
          <w:lang w:val="en-GB"/>
        </w:rPr>
        <w:t>(2009)</w:t>
      </w:r>
      <w:r w:rsidR="00702B6D" w:rsidRPr="004E053C">
        <w:rPr>
          <w:rFonts w:cstheme="majorHAnsi"/>
          <w:color w:val="000000"/>
          <w:sz w:val="22"/>
          <w:szCs w:val="22"/>
          <w:lang w:val="en-GB"/>
        </w:rPr>
        <w:fldChar w:fldCharType="end"/>
      </w:r>
      <w:r w:rsidR="009F56C9" w:rsidRPr="004E053C">
        <w:rPr>
          <w:rFonts w:cstheme="majorHAnsi"/>
          <w:color w:val="000000"/>
          <w:sz w:val="22"/>
          <w:szCs w:val="22"/>
          <w:lang w:val="en-GB"/>
        </w:rPr>
        <w:t xml:space="preserve"> do touch on how young, migrant sex workers in mining camps in Suriname draw on social networks to help them adjust to their new hostil</w:t>
      </w:r>
      <w:r w:rsidR="003E38C7" w:rsidRPr="004E053C">
        <w:rPr>
          <w:rFonts w:cstheme="majorHAnsi"/>
          <w:color w:val="000000"/>
          <w:sz w:val="22"/>
          <w:szCs w:val="22"/>
          <w:lang w:val="en-GB"/>
        </w:rPr>
        <w:t xml:space="preserve">e environment. However, there analysis </w:t>
      </w:r>
      <w:r w:rsidR="009A2712" w:rsidRPr="004E053C">
        <w:rPr>
          <w:rFonts w:cstheme="majorHAnsi"/>
          <w:color w:val="000000"/>
          <w:sz w:val="22"/>
          <w:szCs w:val="22"/>
          <w:lang w:val="en-GB"/>
        </w:rPr>
        <w:t>also</w:t>
      </w:r>
      <w:r w:rsidR="003E38C7" w:rsidRPr="004E053C">
        <w:rPr>
          <w:rFonts w:cstheme="majorHAnsi"/>
          <w:color w:val="000000"/>
          <w:sz w:val="22"/>
          <w:szCs w:val="22"/>
          <w:lang w:val="en-GB"/>
        </w:rPr>
        <w:t xml:space="preserve"> </w:t>
      </w:r>
      <w:r w:rsidR="009A2712" w:rsidRPr="004E053C">
        <w:rPr>
          <w:rFonts w:cstheme="majorHAnsi"/>
          <w:color w:val="000000"/>
          <w:sz w:val="22"/>
          <w:szCs w:val="22"/>
          <w:lang w:val="en-GB"/>
        </w:rPr>
        <w:t>focuses</w:t>
      </w:r>
      <w:r w:rsidR="009F56C9" w:rsidRPr="004E053C">
        <w:rPr>
          <w:rFonts w:cstheme="majorHAnsi"/>
          <w:color w:val="000000"/>
          <w:sz w:val="22"/>
          <w:szCs w:val="22"/>
          <w:lang w:val="en-GB"/>
        </w:rPr>
        <w:t xml:space="preserve"> primarily on the destination community.</w:t>
      </w:r>
    </w:p>
    <w:p w14:paraId="44C684BF" w14:textId="77777777" w:rsidR="003E574E" w:rsidRPr="004E053C" w:rsidRDefault="003E574E" w:rsidP="004E053C">
      <w:pPr>
        <w:spacing w:line="360" w:lineRule="auto"/>
        <w:jc w:val="both"/>
        <w:rPr>
          <w:rFonts w:eastAsia="Times New Roman" w:cstheme="majorHAnsi"/>
          <w:color w:val="1C1D1E"/>
          <w:sz w:val="22"/>
          <w:szCs w:val="22"/>
          <w:lang w:val="en-GB"/>
        </w:rPr>
      </w:pPr>
    </w:p>
    <w:p w14:paraId="45C3F1BF" w14:textId="7543F998" w:rsidR="007857AB" w:rsidRPr="004E053C" w:rsidRDefault="003E574E" w:rsidP="004E053C">
      <w:pPr>
        <w:spacing w:line="360" w:lineRule="auto"/>
        <w:jc w:val="both"/>
        <w:rPr>
          <w:rFonts w:cstheme="majorHAnsi"/>
          <w:sz w:val="22"/>
          <w:szCs w:val="22"/>
          <w:lang w:val="en-GB"/>
        </w:rPr>
      </w:pPr>
      <w:r w:rsidRPr="004E053C">
        <w:rPr>
          <w:rFonts w:cstheme="majorHAnsi"/>
          <w:color w:val="000000"/>
          <w:sz w:val="22"/>
          <w:szCs w:val="22"/>
          <w:lang w:val="en-GB"/>
        </w:rPr>
        <w:t xml:space="preserve">The analysis considers households within which at least one adult member, either male or female, is involved in ASM, but </w:t>
      </w:r>
      <w:r w:rsidR="009A2712" w:rsidRPr="004E053C">
        <w:rPr>
          <w:rFonts w:cstheme="majorHAnsi"/>
          <w:color w:val="000000"/>
          <w:sz w:val="22"/>
          <w:szCs w:val="22"/>
          <w:lang w:val="en-GB"/>
        </w:rPr>
        <w:t>emphasises</w:t>
      </w:r>
      <w:r w:rsidR="00C60A10" w:rsidRPr="004E053C">
        <w:rPr>
          <w:rFonts w:cstheme="majorHAnsi"/>
          <w:color w:val="000000"/>
          <w:sz w:val="22"/>
          <w:szCs w:val="22"/>
          <w:lang w:val="en-GB"/>
        </w:rPr>
        <w:t xml:space="preserve"> the woma</w:t>
      </w:r>
      <w:r w:rsidRPr="004E053C">
        <w:rPr>
          <w:rFonts w:cstheme="majorHAnsi"/>
          <w:color w:val="000000"/>
          <w:sz w:val="22"/>
          <w:szCs w:val="22"/>
          <w:lang w:val="en-GB"/>
        </w:rPr>
        <w:t>n’s</w:t>
      </w:r>
      <w:r w:rsidRPr="004E053C">
        <w:rPr>
          <w:rFonts w:cstheme="majorHAnsi"/>
          <w:sz w:val="22"/>
          <w:szCs w:val="22"/>
          <w:lang w:val="en-GB"/>
        </w:rPr>
        <w:t xml:space="preserve"> role in that household’s livelihood strategy. This involvement may be directly in ASM activity, indirectly within the ASM economy or through contributions to the household’s translocal livelihood strategy. To clarify terminology, the term gender is used here to refer to socially constructed, and often culturally specific, differences between men and women and the gender roles that are prescribed to them, rather than purely physical or anatomical differences </w:t>
      </w:r>
      <w:r w:rsidR="006639BD" w:rsidRPr="004E053C">
        <w:rPr>
          <w:rFonts w:cstheme="majorHAnsi"/>
          <w:sz w:val="22"/>
          <w:szCs w:val="22"/>
          <w:lang w:val="en-GB"/>
        </w:rPr>
        <w:fldChar w:fldCharType="begin" w:fldLock="1"/>
      </w:r>
      <w:r w:rsidR="006639BD" w:rsidRPr="004E053C">
        <w:rPr>
          <w:rFonts w:cstheme="majorHAnsi"/>
          <w:sz w:val="22"/>
          <w:szCs w:val="22"/>
          <w:lang w:val="en-GB"/>
        </w:rPr>
        <w:instrText>ADDIN CSL_CITATION {"citationItems":[{"id":"ITEM-1","itemData":{"author":[{"dropping-particle":"","family":"Wiesner-Hanks","given":"M E","non-dropping-particle":"","parse-names":false,"suffix":""}],"container-title":"Journal of Global History","id":"ITEM-1","issue":"3","issued":{"date-parts":[["2011"]]},"page":"357-379","title":"Crossing borders in transnational gender history","type":"article-journal","volume":"6"},"uris":["http://www.mendeley.com/documents/?uuid=53e123e8-a373-459b-bce6-9416ba98e26b"]}],"mendeley":{"formattedCitation":"(Wiesner-Hanks, 2011)","plainTextFormattedCitation":"(Wiesner-Hanks, 2011)","previouslyFormattedCitation":"(Wiesner-Hanks, 2011)"},"properties":{"noteIndex":0},"schema":"https://github.com/citation-style-language/schema/raw/master/csl-citation.json"}</w:instrText>
      </w:r>
      <w:r w:rsidR="006639BD" w:rsidRPr="004E053C">
        <w:rPr>
          <w:rFonts w:cstheme="majorHAnsi"/>
          <w:sz w:val="22"/>
          <w:szCs w:val="22"/>
          <w:lang w:val="en-GB"/>
        </w:rPr>
        <w:fldChar w:fldCharType="separate"/>
      </w:r>
      <w:r w:rsidR="006639BD" w:rsidRPr="004E053C">
        <w:rPr>
          <w:rFonts w:cstheme="majorHAnsi"/>
          <w:noProof/>
          <w:sz w:val="22"/>
          <w:szCs w:val="22"/>
          <w:lang w:val="en-GB"/>
        </w:rPr>
        <w:t>(Wiesner-Hanks, 2011)</w:t>
      </w:r>
      <w:r w:rsidR="006639BD" w:rsidRPr="004E053C">
        <w:rPr>
          <w:rFonts w:cstheme="majorHAnsi"/>
          <w:sz w:val="22"/>
          <w:szCs w:val="22"/>
          <w:lang w:val="en-GB"/>
        </w:rPr>
        <w:fldChar w:fldCharType="end"/>
      </w:r>
      <w:r w:rsidRPr="004E053C">
        <w:rPr>
          <w:rFonts w:cstheme="majorHAnsi"/>
          <w:sz w:val="22"/>
          <w:szCs w:val="22"/>
          <w:lang w:val="en-GB"/>
        </w:rPr>
        <w:t xml:space="preserve">. Using gender in this way </w:t>
      </w:r>
      <w:r w:rsidR="00091107" w:rsidRPr="004E053C">
        <w:rPr>
          <w:rFonts w:cstheme="majorHAnsi"/>
          <w:sz w:val="22"/>
          <w:szCs w:val="22"/>
          <w:lang w:val="en-GB"/>
        </w:rPr>
        <w:t>emphasise</w:t>
      </w:r>
      <w:r w:rsidRPr="004E053C">
        <w:rPr>
          <w:rFonts w:cstheme="majorHAnsi"/>
          <w:sz w:val="22"/>
          <w:szCs w:val="22"/>
          <w:lang w:val="en-GB"/>
        </w:rPr>
        <w:t>s the interactions between men and</w:t>
      </w:r>
      <w:r w:rsidR="00923CFD" w:rsidRPr="004E053C">
        <w:rPr>
          <w:rFonts w:cstheme="majorHAnsi"/>
          <w:sz w:val="22"/>
          <w:szCs w:val="22"/>
          <w:lang w:val="en-GB"/>
        </w:rPr>
        <w:t xml:space="preserve"> women and the gender constructs that are tied to migration</w:t>
      </w:r>
      <w:r w:rsidRPr="004E053C">
        <w:rPr>
          <w:rFonts w:cstheme="majorHAnsi"/>
          <w:sz w:val="22"/>
          <w:szCs w:val="22"/>
          <w:lang w:val="en-GB"/>
        </w:rPr>
        <w:t xml:space="preserve"> and involvement in ASM </w:t>
      </w:r>
      <w:r w:rsidR="006639BD"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{"citationItems":[{"id":"ITEM-1","itemData":{"author":[{"dropping-particle":"","family":"Scott","given":"Joan W","non-dropping-particle":"","parse-names":false,"suffix":""}],"container-title":"The American Historical Review","id":"ITEM-1","issue":"5","issued":{"date-parts":[["1986"]]},"page":"1053-1075","title":"Gender: A useful category of historical analysis","type":"article-journal","volume":"91"},"uris":["http://www.mendeley.com/documents/?uuid=2e5fb602-e186-451b-9cb5-df1e5e93aa28"]},{"id":"ITEM-2","itemData":{"author":[{"dropping-particle":"","family":"Wiesner-Hanks","given":"M E","non-dropping-particle":"","parse-names":false,"suffix":""}],"container-title":"Journal of Global History","id":"ITEM-2","issue":"3","issued":{"date-parts":[["2011"]]},"page":"357-379","title":"Crossing borders in transnational gender history","type":"article-journal","volume":"6"},"uris":["http://www.mendeley.com/documents/?uuid=53e123e8-a373-459b-bce6-9416ba98e26b"]},{"id":"ITEM-3","itemData":{"author":[{"dropping-particle":"","family":"Silvey","given":"Rachel","non-dropping-particle":"","parse-names":false,"suffix":""}],"container-title":"The International Migration Review","id":"ITEM-3","issue":"1","issued":{"date-parts":[["1996"]]},"page":"64-81","title":"Geographies of gender and migration: spatializing social difference","type":"article-journal","volume":"40"},"uris":["http://www.mendeley.com/documents/?uuid=d4a41cfd-376d-42d1-a32b-3b2d23598c20"]}],"mendeley":{"formattedCitation":"(J. W. Scott, 1986; Silvey, 1996; Wiesner-Hanks, 2011)","manualFormatting":"(Scott, 1986; Silvey, 1996; Wiesner-Hanks, 2011)","plainTextFormattedCitation":"(J. W. Scott, 1986; Silvey, 1996; Wiesner-Hanks, 2011)","previouslyFormattedCitation":"(J. W. Scott, 1986; Silvey, 1996; Wiesner-Hanks, 2011)"},"properties":{"noteIndex":0},"schema":"https://github.com/citation-style-language/schema/raw/master/csl-citation.json"}</w:instrText>
      </w:r>
      <w:r w:rsidR="006639BD" w:rsidRPr="004E053C">
        <w:rPr>
          <w:rFonts w:cstheme="majorHAnsi"/>
          <w:sz w:val="22"/>
          <w:szCs w:val="22"/>
          <w:lang w:val="en-GB"/>
        </w:rPr>
        <w:fldChar w:fldCharType="separate"/>
      </w:r>
      <w:r w:rsidR="00830084" w:rsidRPr="004E053C">
        <w:rPr>
          <w:rFonts w:cstheme="majorHAnsi"/>
          <w:noProof/>
          <w:sz w:val="22"/>
          <w:szCs w:val="22"/>
          <w:lang w:val="en-GB"/>
        </w:rPr>
        <w:t>(</w:t>
      </w:r>
      <w:r w:rsidR="00C31ABE" w:rsidRPr="004E053C">
        <w:rPr>
          <w:rFonts w:cstheme="majorHAnsi"/>
          <w:noProof/>
          <w:sz w:val="22"/>
          <w:szCs w:val="22"/>
          <w:lang w:val="en-GB"/>
        </w:rPr>
        <w:t>Scott, 1986; Silvey, 1996; Wiesner-Hanks, 2011)</w:t>
      </w:r>
      <w:r w:rsidR="006639BD" w:rsidRPr="004E053C">
        <w:rPr>
          <w:rFonts w:cstheme="majorHAnsi"/>
          <w:sz w:val="22"/>
          <w:szCs w:val="22"/>
          <w:lang w:val="en-GB"/>
        </w:rPr>
        <w:fldChar w:fldCharType="end"/>
      </w:r>
      <w:r w:rsidR="00906830" w:rsidRPr="004E053C">
        <w:rPr>
          <w:rFonts w:cstheme="majorHAnsi"/>
          <w:sz w:val="22"/>
          <w:szCs w:val="22"/>
          <w:lang w:val="en-GB"/>
        </w:rPr>
        <w:t xml:space="preserve">. </w:t>
      </w:r>
    </w:p>
    <w:p w14:paraId="2E59A5A1" w14:textId="77777777" w:rsidR="00906830" w:rsidRPr="004E053C" w:rsidRDefault="00906830" w:rsidP="004E053C">
      <w:pPr>
        <w:spacing w:line="360" w:lineRule="auto"/>
        <w:jc w:val="both"/>
        <w:rPr>
          <w:rFonts w:cstheme="majorHAnsi"/>
          <w:sz w:val="22"/>
          <w:szCs w:val="22"/>
          <w:lang w:val="en-GB"/>
        </w:rPr>
      </w:pPr>
    </w:p>
    <w:p w14:paraId="4033DCB7" w14:textId="49A36CF9" w:rsidR="003E574E" w:rsidRPr="004E053C" w:rsidRDefault="00EA7F83" w:rsidP="004E053C">
      <w:pPr>
        <w:pStyle w:val="Heading2"/>
        <w:spacing w:before="0" w:line="360" w:lineRule="auto"/>
        <w:jc w:val="both"/>
        <w:rPr>
          <w:rFonts w:cstheme="majorHAnsi"/>
          <w:lang w:val="en-GB"/>
        </w:rPr>
      </w:pPr>
      <w:bookmarkStart w:id="81" w:name="_Toc33293116"/>
      <w:r w:rsidRPr="004E053C">
        <w:rPr>
          <w:rFonts w:cstheme="majorHAnsi"/>
          <w:lang w:val="en-GB"/>
        </w:rPr>
        <w:t>7</w:t>
      </w:r>
      <w:r w:rsidR="00F32A9B" w:rsidRPr="004E053C">
        <w:rPr>
          <w:rFonts w:cstheme="majorHAnsi"/>
          <w:lang w:val="en-GB"/>
        </w:rPr>
        <w:t>.</w:t>
      </w:r>
      <w:r w:rsidR="003E574E" w:rsidRPr="004E053C">
        <w:rPr>
          <w:rFonts w:cstheme="majorHAnsi"/>
          <w:lang w:val="en-GB"/>
        </w:rPr>
        <w:t>2. Gender and the</w:t>
      </w:r>
      <w:r w:rsidR="004A3EF1" w:rsidRPr="004E053C">
        <w:rPr>
          <w:rFonts w:cstheme="majorHAnsi"/>
          <w:lang w:val="en-GB"/>
        </w:rPr>
        <w:t xml:space="preserve"> translocality of ASM l</w:t>
      </w:r>
      <w:r w:rsidR="003E574E" w:rsidRPr="004E053C">
        <w:rPr>
          <w:rFonts w:cstheme="majorHAnsi"/>
          <w:lang w:val="en-GB"/>
        </w:rPr>
        <w:t>ivelihoods</w:t>
      </w:r>
      <w:bookmarkEnd w:id="81"/>
    </w:p>
    <w:p w14:paraId="20A74069" w14:textId="77777777" w:rsidR="003E574E" w:rsidRPr="004E053C" w:rsidRDefault="003E574E" w:rsidP="004E053C">
      <w:pPr>
        <w:spacing w:line="360" w:lineRule="auto"/>
        <w:jc w:val="both"/>
        <w:rPr>
          <w:rFonts w:cstheme="majorHAnsi"/>
          <w:b/>
          <w:sz w:val="22"/>
          <w:szCs w:val="22"/>
          <w:lang w:val="en-GB"/>
        </w:rPr>
      </w:pPr>
    </w:p>
    <w:p w14:paraId="4B5EAD26" w14:textId="57098A94" w:rsidR="003E574E" w:rsidRPr="004E053C" w:rsidRDefault="003E574E" w:rsidP="004E053C">
      <w:pPr>
        <w:spacing w:line="360" w:lineRule="auto"/>
        <w:jc w:val="both"/>
        <w:rPr>
          <w:rStyle w:val="fontstyle01"/>
          <w:rFonts w:asciiTheme="minorHAnsi" w:hAnsiTheme="minorHAnsi" w:cstheme="majorHAnsi"/>
          <w:color w:val="auto"/>
          <w:sz w:val="22"/>
          <w:szCs w:val="22"/>
          <w:lang w:val="en-GB"/>
        </w:rPr>
      </w:pPr>
      <w:r w:rsidRPr="004E053C">
        <w:rPr>
          <w:rFonts w:cstheme="majorHAnsi"/>
          <w:sz w:val="22"/>
          <w:szCs w:val="22"/>
          <w:lang w:val="en-GB"/>
        </w:rPr>
        <w:t xml:space="preserve">In </w:t>
      </w:r>
      <w:r w:rsidR="00C60A10" w:rsidRPr="004E053C">
        <w:rPr>
          <w:rFonts w:cstheme="majorHAnsi"/>
          <w:sz w:val="22"/>
          <w:szCs w:val="22"/>
          <w:lang w:val="en-GB"/>
        </w:rPr>
        <w:t>the Andes</w:t>
      </w:r>
      <w:r w:rsidRPr="004E053C">
        <w:rPr>
          <w:rFonts w:cstheme="majorHAnsi"/>
          <w:sz w:val="22"/>
          <w:szCs w:val="22"/>
          <w:lang w:val="en-GB"/>
        </w:rPr>
        <w:t xml:space="preserve">, migration has important gender dimensions. In Peru, as well as in Bolivia and Ecuador, it was traditionally men that migrated to look for work </w:t>
      </w:r>
      <w:r w:rsidR="006639BD"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{"citationItems":[{"id":"ITEM-1","itemData":{"abstract":"On the Ground The high Andes of South America include rangelands where pure pastoralists herd llama and alpaca and agropastoralists produce tubers, grains, sheep, and cattle. Women of the Aymara ethnic group live in both pastoral and agro-pastoral systems and have traditionally been responsible for many aspects of crop and livestock management. They also have ownership rights for land and most types of animals. The Aymara have adapted to large political and economic changes. Leadership profiles for women are increasing as rural communities diversify, men migrate in search of work, and females gain access to formal education. The way forward is to continue to engage Aymara women in ways that encourage their participation in development processes, yet minimize additional, work-related burdens.","author":[{"dropping-particle":"","family":"Valdivia","given":"Corinne","non-dropping-particle":"","parse-names":false,"suffix":""},{"dropping-particle":"","family":"Gilles","given":"Jere L.","non-dropping-particle":"","parse-names":false,"suffix":""},{"dropping-particle":"","family":"Turin","given":"Cecilia","non-dropping-particle":"","parse-names":false,"suffix":""}],"container-title":"Rangelands","id":"ITEM-1","issue":"6","issued":{"date-parts":[["2013"]]},"page":"75-81","title":"Andean pastoral women in a changing world: opportunities and challenges","type":"article-journal","volume":"35"},"uris":["http://www.mendeley.com/documents/?uuid=b08d8dd1-7df9-4ab2-b75e-63566ebe0402"]},{"id":"ITEM-2","itemData":{"abstract":"Female heads of households in the migrant-exporting community of Jima, Ecuador, are using remittances to employ domestic workers. As both workers and ‘mistresses’ originate from the same mestizo peasant class, these new labour relations do not reflect embedded class inequalities, but are rather emerging as a new mode of distinction between newly prosperous households and those for whom migration has been a less successful strategy. This lends a temporal fragility and fluidity to household relations, as worker and employer seek to define their roles and establish hierarchies. Employers negotiate these tensions not only to reduce their own burden of labour, but also because domestic workers are a symbol of social mobility and help enhance the reputation of migrant men. Thus, while men are physically absent, they continue to inform the reorganisation of the Jimeño household, and there is little to suggest that gender roles are being realigned in a structurally significant manner.","author":[{"dropping-particle":"","family":"Abbots","given":"Emma Jayne","non-dropping-particle":"","parse-names":false,"suffix":""}],"container-title":"Journal of Latin American Studies","id":"ITEM-2","issue":"1","issued":{"date-parts":[["2012"]]},"page":"71-96","title":"In the absence of men? Gender, migration and domestic labour in the Southern Ecuadorean Andes","type":"article-journal","volume":"44"},"uris":["http://www.mendeley.com/documents/?uuid=bef7c173-e0ee-4b31-96e3-4402371598b1"]}],"mendeley":{"formattedCitation":"(Abbots, 2012; Valdivia, Gilles, &amp; Turin, 2013)","manualFormatting":"(Abbots, 2012; Valdivia et al., 2013)","plainTextFormattedCitation":"(Abbots, 2012; Valdivia, Gilles, &amp; Turin, 2013)","previouslyFormattedCitation":"(Abbots, 2012; Valdivia, Gilles, &amp; Turin, 2013)"},"properties":{"noteIndex":0},"schema":"https://github.com/citation-style-language/schema/raw/master/csl-citation.json"}</w:instrText>
      </w:r>
      <w:r w:rsidR="006639BD" w:rsidRPr="004E053C">
        <w:rPr>
          <w:rFonts w:cstheme="majorHAnsi"/>
          <w:sz w:val="22"/>
          <w:szCs w:val="22"/>
          <w:lang w:val="en-GB"/>
        </w:rPr>
        <w:fldChar w:fldCharType="separate"/>
      </w:r>
      <w:r w:rsidR="006639BD" w:rsidRPr="004E053C">
        <w:rPr>
          <w:rFonts w:cstheme="majorHAnsi"/>
          <w:noProof/>
          <w:sz w:val="22"/>
          <w:szCs w:val="22"/>
          <w:lang w:val="en-GB"/>
        </w:rPr>
        <w:t>(Abbots, 2012; Valdivia et al., 2013)</w:t>
      </w:r>
      <w:r w:rsidR="006639BD" w:rsidRPr="004E053C">
        <w:rPr>
          <w:rFonts w:cstheme="majorHAnsi"/>
          <w:sz w:val="22"/>
          <w:szCs w:val="22"/>
          <w:lang w:val="en-GB"/>
        </w:rPr>
        <w:fldChar w:fldCharType="end"/>
      </w:r>
      <w:r w:rsidR="006639BD" w:rsidRPr="004E053C">
        <w:rPr>
          <w:rFonts w:cstheme="majorHAnsi"/>
          <w:sz w:val="22"/>
          <w:szCs w:val="22"/>
          <w:lang w:val="en-GB"/>
        </w:rPr>
        <w:t xml:space="preserve">, </w:t>
      </w:r>
      <w:r w:rsidR="00130A52">
        <w:rPr>
          <w:rFonts w:cstheme="majorHAnsi"/>
          <w:sz w:val="22"/>
          <w:szCs w:val="22"/>
          <w:lang w:val="en-GB"/>
        </w:rPr>
        <w:t xml:space="preserve">whilst women were left </w:t>
      </w:r>
      <w:r w:rsidR="00BC3ADA" w:rsidRPr="004E053C">
        <w:rPr>
          <w:rFonts w:cstheme="majorHAnsi"/>
          <w:sz w:val="22"/>
          <w:szCs w:val="22"/>
          <w:lang w:val="en-GB"/>
        </w:rPr>
        <w:t>behind</w:t>
      </w:r>
      <w:r w:rsidR="00BC6BBF" w:rsidRPr="004E053C">
        <w:rPr>
          <w:rFonts w:cstheme="majorHAnsi"/>
          <w:sz w:val="22"/>
          <w:szCs w:val="22"/>
          <w:lang w:val="en-GB"/>
        </w:rPr>
        <w:t xml:space="preserve"> in the locality of origin</w:t>
      </w:r>
      <w:r w:rsidRPr="004E053C">
        <w:rPr>
          <w:rFonts w:cstheme="majorHAnsi"/>
          <w:sz w:val="22"/>
          <w:szCs w:val="22"/>
          <w:lang w:val="en-GB"/>
        </w:rPr>
        <w:t xml:space="preserve">. It has been suggested that this was because women were less educated and physically weaker than their male counterparts </w:t>
      </w:r>
      <w:r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{"citationItems":[{"id":"ITEM-1","itemData":{"abstract":"On the Ground The high Andes of South America include rangelands where pure pastoralists herd llama and alpaca and agropastoralists produce tubers, grains, sheep, and cattle. Women of the Aymara ethnic group live in both pastoral and agro-pastoral systems and have traditionally been responsible for many aspects of crop and livestock management. They also have ownership rights for land and most types of animals. The Aymara have adapted to large political and economic changes. Leadership profiles for women are increasing as rural communities diversify, men migrate in search of work, and females gain access to formal education. The way forward is to continue to engage Aymara women in ways that encourage their participation in development processes, yet minimize additional, work-related burdens.","author":[{"dropping-particle":"","family":"Valdivia","given":"Corinne","non-dropping-particle":"","parse-names":false,"suffix":""},{"dropping-particle":"","family":"Gilles","given":"Jere L.","non-dropping-particle":"","parse-names":false,"suffix":""},{"dropping-particle":"","family":"Turin","given":"Cecilia","non-dropping-particle":"","parse-names":false,"suffix":""}],"container-title":"Rangelands","id":"ITEM-1","issue":"6","issued":{"date-parts":[["2013"]]},"page":"75-81","title":"Andean pastoral women in a changing world: opportunities and challenges","type":"article-journal","volume":"35"},"uris":["http://www.mendeley.com/documents/?uuid=b08d8dd1-7df9-4ab2-b75e-63566ebe0402"]}],"mendeley":{"formattedCitation":"(Valdivia et al., 2013)","plainTextFormattedCitation":"(Valdivia et al., 2013)","previouslyFormattedCitation":"(Valdivia et al., 2013)"},"properties":{"noteIndex":0},"schema":"https://github.com/citation-style-language/schema/raw/master/csl-citation.json"}</w:instrText>
      </w:r>
      <w:r w:rsidRPr="004E053C">
        <w:rPr>
          <w:rFonts w:cstheme="majorHAnsi"/>
          <w:sz w:val="22"/>
          <w:szCs w:val="22"/>
          <w:lang w:val="en-GB"/>
        </w:rPr>
        <w:fldChar w:fldCharType="separate"/>
      </w:r>
      <w:r w:rsidR="006639BD" w:rsidRPr="004E053C">
        <w:rPr>
          <w:rFonts w:cstheme="majorHAnsi"/>
          <w:noProof/>
          <w:sz w:val="22"/>
          <w:szCs w:val="22"/>
          <w:lang w:val="en-GB"/>
        </w:rPr>
        <w:t>(Valdivia et al., 2013)</w:t>
      </w:r>
      <w:r w:rsidRPr="004E053C">
        <w:rPr>
          <w:rFonts w:cstheme="majorHAnsi"/>
          <w:sz w:val="22"/>
          <w:szCs w:val="22"/>
          <w:lang w:val="en-GB"/>
        </w:rPr>
        <w:fldChar w:fldCharType="end"/>
      </w:r>
      <w:r w:rsidR="00BD3790" w:rsidRPr="004E053C">
        <w:rPr>
          <w:rFonts w:cstheme="majorHAnsi"/>
          <w:sz w:val="22"/>
          <w:szCs w:val="22"/>
          <w:lang w:val="en-GB"/>
        </w:rPr>
        <w:t>,</w:t>
      </w:r>
      <w:r w:rsidRPr="004E053C">
        <w:rPr>
          <w:rFonts w:cstheme="majorHAnsi"/>
          <w:sz w:val="22"/>
          <w:szCs w:val="22"/>
          <w:lang w:val="en-GB"/>
        </w:rPr>
        <w:t xml:space="preserve"> which made them less likely to find we</w:t>
      </w:r>
      <w:r w:rsidR="00BC3ADA" w:rsidRPr="004E053C">
        <w:rPr>
          <w:rFonts w:cstheme="majorHAnsi"/>
          <w:sz w:val="22"/>
          <w:szCs w:val="22"/>
          <w:lang w:val="en-GB"/>
        </w:rPr>
        <w:t>ll-paid</w:t>
      </w:r>
      <w:r w:rsidRPr="004E053C">
        <w:rPr>
          <w:rFonts w:cstheme="majorHAnsi"/>
          <w:sz w:val="22"/>
          <w:szCs w:val="22"/>
          <w:lang w:val="en-GB"/>
        </w:rPr>
        <w:t xml:space="preserve"> work. Others have argued that their reproductive work and responsibilities within the household and community made them less able to migrate </w:t>
      </w:r>
      <w:r w:rsidR="006639BD"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{"citationItems":[{"id":"ITEM-1","itemData":{"abstract":"On the Ground The high Andes of South America include rangelands where pure pastoralists herd llama and alpaca and agropastoralists produce tubers, grains, sheep, and cattle. Women of the Aymara ethnic group live in both pastoral and agro-pastoral systems and have traditionally been responsible for many aspects of crop and livestock management. They also have ownership rights for land and most types of animals. The Aymara have adapted to large political and economic changes. Leadership profiles for women are increasing as rural communities diversify, men migrate in search of work, and females gain access to formal education. The way forward is to continue to engage Aymara women in ways that encourage their participation in development processes, yet minimize additional, work-related burdens.","author":[{"dropping-particle":"","family":"Valdivia","given":"Corinne","non-dropping-particle":"","parse-names":false,"suffix":""},{"dropping-particle":"","family":"Gilles","given":"Jere L.","non-dropping-particle":"","parse-names":false,"suffix":""},{"dropping-particle":"","family":"Turin","given":"Cecilia","non-dropping-particle":"","parse-names":false,"suffix":""}],"container-title":"Rangelands","id":"ITEM-1","issue":"6","issued":{"date-parts":[["2013"]]},"page":"75-81","title":"Andean pastoral women in a changing world: opportunities and challenges","type":"article-journal","volume":"35"},"uris":["http://www.mendeley.com/documents/?uuid=b08d8dd1-7df9-4ab2-b75e-63566ebe0402"]},{"id":"ITEM-2","itemData":{"author":[{"dropping-particle":"","family":"Maclin","given":"B","non-dropping-particle":"","parse-names":false,"suffix":""},{"dropping-particle":"","family":"Kelly","given":"J","non-dropping-particle":"","parse-names":false,"suffix":""},{"dropping-particle":"","family":"Perks","given":"R","non-dropping-particle":"","parse-names":false,"suffix":""},{"dropping-particle":"","family":"Vinck","given":"P","non-dropping-particle":"","parse-names":false,"suffix":""},{"dropping-particle":"","family":"Pham","given":"P","non-dropping-particle":"","parse-names":false,"suffix":""}],"container-title":"Resources Policy","id":"ITEM-2","issued":{"date-parts":[["2017"]]},"page":"115","title":"Moving to the mines: Motivations of men and women for migration to artisanal and small-scale mining sites in Eastern Democratic Republic of the Congo","type":"article-journal","volume":"51"},"uris":["http://www.mendeley.com/documents/?uuid=b09f62aa-2d20-46ae-908a-1abd1760ee53"]}],"mendeley":{"formattedCitation":"(Maclin, Kelly, Perks, Vinck, &amp; Pham, 2017; Valdivia et al., 2013)","manualFormatting":"(Maclin et al., 2017; Valdivia et al., 2013)","plainTextFormattedCitation":"(Maclin, Kelly, Perks, Vinck, &amp; Pham, 2017; Valdivia et al., 2013)","previouslyFormattedCitation":"(Maclin, Kelly, Perks, Vinck, &amp; Pham, 2017; Valdivia et al., 2013)"},"properties":{"noteIndex":0},"schema":"https://github.com/citation-style-language/schema/raw/master/csl-citation.json"}</w:instrText>
      </w:r>
      <w:r w:rsidR="006639BD" w:rsidRPr="004E053C">
        <w:rPr>
          <w:rFonts w:cstheme="majorHAnsi"/>
          <w:sz w:val="22"/>
          <w:szCs w:val="22"/>
          <w:lang w:val="en-GB"/>
        </w:rPr>
        <w:fldChar w:fldCharType="separate"/>
      </w:r>
      <w:r w:rsidR="006639BD" w:rsidRPr="004E053C">
        <w:rPr>
          <w:rFonts w:cstheme="majorHAnsi"/>
          <w:noProof/>
          <w:sz w:val="22"/>
          <w:szCs w:val="22"/>
          <w:lang w:val="en-GB"/>
        </w:rPr>
        <w:t>(Maclin et al., 2017; Valdivia et al., 2013)</w:t>
      </w:r>
      <w:r w:rsidR="006639BD" w:rsidRPr="004E053C">
        <w:rPr>
          <w:rFonts w:cstheme="majorHAnsi"/>
          <w:sz w:val="22"/>
          <w:szCs w:val="22"/>
          <w:lang w:val="en-GB"/>
        </w:rPr>
        <w:fldChar w:fldCharType="end"/>
      </w:r>
      <w:r w:rsidRPr="004E053C">
        <w:rPr>
          <w:rFonts w:cstheme="majorHAnsi"/>
          <w:sz w:val="22"/>
          <w:szCs w:val="22"/>
          <w:lang w:val="en-GB"/>
        </w:rPr>
        <w:t xml:space="preserve">. </w:t>
      </w:r>
      <w:r w:rsidRPr="004E053C">
        <w:rPr>
          <w:rStyle w:val="fontstyle01"/>
          <w:rFonts w:asciiTheme="minorHAnsi" w:hAnsiTheme="minorHAnsi" w:cstheme="majorHAnsi"/>
          <w:color w:val="auto"/>
          <w:sz w:val="22"/>
          <w:szCs w:val="22"/>
          <w:lang w:val="en-GB"/>
        </w:rPr>
        <w:t>More recently, these patterns seem to be changing, with young women now migrating in almost equal numbers fro</w:t>
      </w:r>
      <w:r w:rsidR="006639BD" w:rsidRPr="004E053C">
        <w:rPr>
          <w:rStyle w:val="fontstyle01"/>
          <w:rFonts w:asciiTheme="minorHAnsi" w:hAnsiTheme="minorHAnsi" w:cstheme="majorHAnsi"/>
          <w:color w:val="auto"/>
          <w:sz w:val="22"/>
          <w:szCs w:val="22"/>
          <w:lang w:val="en-GB"/>
        </w:rPr>
        <w:t xml:space="preserve">m some areas </w:t>
      </w:r>
      <w:r w:rsidR="006639BD" w:rsidRPr="004E053C">
        <w:rPr>
          <w:rStyle w:val="fontstyle01"/>
          <w:rFonts w:asciiTheme="minorHAnsi" w:hAnsiTheme="minorHAnsi" w:cstheme="majorHAnsi"/>
          <w:color w:val="auto"/>
          <w:sz w:val="22"/>
          <w:szCs w:val="22"/>
          <w:lang w:val="en-GB"/>
        </w:rPr>
        <w:fldChar w:fldCharType="begin" w:fldLock="1"/>
      </w:r>
      <w:r w:rsidR="006639BD" w:rsidRPr="004E053C">
        <w:rPr>
          <w:rStyle w:val="fontstyle01"/>
          <w:rFonts w:asciiTheme="minorHAnsi" w:hAnsiTheme="minorHAnsi" w:cstheme="majorHAnsi"/>
          <w:color w:val="auto"/>
          <w:sz w:val="22"/>
          <w:szCs w:val="22"/>
          <w:lang w:val="en-GB"/>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1997)","plainTextFormattedCitation":"(Paerregaard, 1997)","previouslyFormattedCitation":"(Paerregaard, 1997)"},"properties":{"noteIndex":0},"schema":"https://github.com/citation-style-language/schema/raw/master/csl-citation.json"}</w:instrText>
      </w:r>
      <w:r w:rsidR="006639BD" w:rsidRPr="004E053C">
        <w:rPr>
          <w:rStyle w:val="fontstyle01"/>
          <w:rFonts w:asciiTheme="minorHAnsi" w:hAnsiTheme="minorHAnsi" w:cstheme="majorHAnsi"/>
          <w:color w:val="auto"/>
          <w:sz w:val="22"/>
          <w:szCs w:val="22"/>
          <w:lang w:val="en-GB"/>
        </w:rPr>
        <w:fldChar w:fldCharType="separate"/>
      </w:r>
      <w:r w:rsidR="006639BD" w:rsidRPr="004E053C">
        <w:rPr>
          <w:rStyle w:val="fontstyle01"/>
          <w:rFonts w:asciiTheme="minorHAnsi" w:hAnsiTheme="minorHAnsi" w:cstheme="majorHAnsi"/>
          <w:noProof/>
          <w:color w:val="auto"/>
          <w:sz w:val="22"/>
          <w:szCs w:val="22"/>
          <w:lang w:val="en-GB"/>
        </w:rPr>
        <w:t>(Paerregaard, 1997)</w:t>
      </w:r>
      <w:r w:rsidR="006639BD" w:rsidRPr="004E053C">
        <w:rPr>
          <w:rStyle w:val="fontstyle01"/>
          <w:rFonts w:asciiTheme="minorHAnsi" w:hAnsiTheme="minorHAnsi" w:cstheme="majorHAnsi"/>
          <w:color w:val="auto"/>
          <w:sz w:val="22"/>
          <w:szCs w:val="22"/>
          <w:lang w:val="en-GB"/>
        </w:rPr>
        <w:fldChar w:fldCharType="end"/>
      </w:r>
      <w:r w:rsidRPr="004E053C">
        <w:rPr>
          <w:rStyle w:val="fontstyle01"/>
          <w:rFonts w:asciiTheme="minorHAnsi" w:hAnsiTheme="minorHAnsi" w:cstheme="majorHAnsi"/>
          <w:color w:val="auto"/>
          <w:sz w:val="22"/>
          <w:szCs w:val="22"/>
          <w:lang w:val="en-GB"/>
        </w:rPr>
        <w:t xml:space="preserve">. </w:t>
      </w:r>
      <w:r w:rsidRPr="004E053C">
        <w:rPr>
          <w:rFonts w:cstheme="majorHAnsi"/>
          <w:sz w:val="22"/>
          <w:szCs w:val="22"/>
          <w:lang w:val="en-GB"/>
        </w:rPr>
        <w:t xml:space="preserve">Andean women may also migrate for family reasons, such as to follow a migrating husband </w:t>
      </w:r>
      <w:r w:rsidR="00100F0C" w:rsidRPr="004E053C">
        <w:rPr>
          <w:rFonts w:cstheme="majorHAnsi"/>
          <w:sz w:val="22"/>
          <w:szCs w:val="22"/>
          <w:lang w:val="en-GB"/>
        </w:rPr>
        <w:fldChar w:fldCharType="begin" w:fldLock="1"/>
      </w:r>
      <w:r w:rsidR="00100F0C" w:rsidRPr="004E053C">
        <w:rPr>
          <w:rFonts w:cstheme="majorHAnsi"/>
          <w:sz w:val="22"/>
          <w:szCs w:val="22"/>
          <w:lang w:val="en-GB"/>
        </w:rPr>
        <w:instrText>ADDIN CSL_CITATION {"citationItems":[{"id":"ITEM-1","itemData":{"author":[{"dropping-particle":"","family":"Cerrutti","given":"Marcela","non-dropping-particle":"","parse-names":false,"suffix":""},{"dropping-particle":"","family":"Massey","given":"Douglas","non-dropping-particle":"","parse-names":false,"suffix":""}],"container-title":"Demography","id":"ITEM-1","issued":{"date-parts":[["2001"]]},"page":"187-200","title":"On the auspices of female migration from Mexico to the United States","type":"article-journal","volume":"38"},"uris":["http://www.mendeley.com/documents/?uuid=2b1461eb-218d-4c5c-abcd-45154a5f8828"]}],"mendeley":{"formattedCitation":"(Cerrutti &amp; Massey, 2001)","plainTextFormattedCitation":"(Cerrutti &amp; Massey, 2001)","previouslyFormattedCitation":"(Cerrutti &amp; Massey, 2001)"},"properties":{"noteIndex":0},"schema":"https://github.com/citation-style-language/schema/raw/master/csl-citation.json"}</w:instrText>
      </w:r>
      <w:r w:rsidR="00100F0C" w:rsidRPr="004E053C">
        <w:rPr>
          <w:rFonts w:cstheme="majorHAnsi"/>
          <w:sz w:val="22"/>
          <w:szCs w:val="22"/>
          <w:lang w:val="en-GB"/>
        </w:rPr>
        <w:fldChar w:fldCharType="separate"/>
      </w:r>
      <w:r w:rsidR="00100F0C" w:rsidRPr="004E053C">
        <w:rPr>
          <w:rFonts w:cstheme="majorHAnsi"/>
          <w:noProof/>
          <w:sz w:val="22"/>
          <w:szCs w:val="22"/>
          <w:lang w:val="en-GB"/>
        </w:rPr>
        <w:t>(Cerrutti &amp; Massey, 2001)</w:t>
      </w:r>
      <w:r w:rsidR="00100F0C" w:rsidRPr="004E053C">
        <w:rPr>
          <w:rFonts w:cstheme="majorHAnsi"/>
          <w:sz w:val="22"/>
          <w:szCs w:val="22"/>
          <w:lang w:val="en-GB"/>
        </w:rPr>
        <w:fldChar w:fldCharType="end"/>
      </w:r>
      <w:r w:rsidRPr="004E053C">
        <w:rPr>
          <w:rFonts w:cstheme="majorHAnsi"/>
          <w:sz w:val="22"/>
          <w:szCs w:val="22"/>
          <w:lang w:val="en-GB"/>
        </w:rPr>
        <w:t xml:space="preserve">. In the context of ASM in particular, many of the left-behind </w:t>
      </w:r>
      <w:r w:rsidR="00BC6BBF" w:rsidRPr="004E053C">
        <w:rPr>
          <w:rFonts w:cstheme="majorHAnsi"/>
          <w:sz w:val="22"/>
          <w:szCs w:val="22"/>
          <w:lang w:val="en-GB"/>
        </w:rPr>
        <w:t>family member</w:t>
      </w:r>
      <w:r w:rsidRPr="004E053C">
        <w:rPr>
          <w:rFonts w:cstheme="majorHAnsi"/>
          <w:sz w:val="22"/>
          <w:szCs w:val="22"/>
          <w:lang w:val="en-GB"/>
        </w:rPr>
        <w:t xml:space="preserve">s are women, but there are women who migrate temporarily or permanently to work in ASM communities with or without husbands. </w:t>
      </w:r>
      <w:r w:rsidRPr="004E053C">
        <w:rPr>
          <w:rStyle w:val="fontstyle01"/>
          <w:rFonts w:asciiTheme="minorHAnsi" w:hAnsiTheme="minorHAnsi" w:cstheme="majorHAnsi"/>
          <w:color w:val="auto"/>
          <w:sz w:val="22"/>
          <w:szCs w:val="22"/>
          <w:lang w:val="en-GB"/>
        </w:rPr>
        <w:t xml:space="preserve">Migration also has implications for gender, as the gendered livelihood roles that women and men carry out in rural Andean areas are broken down through migration </w:t>
      </w:r>
      <w:r w:rsidR="00100F0C" w:rsidRPr="004E053C">
        <w:rPr>
          <w:rStyle w:val="fontstyle01"/>
          <w:rFonts w:asciiTheme="minorHAnsi" w:hAnsiTheme="minorHAnsi" w:cstheme="majorHAnsi"/>
          <w:color w:val="auto"/>
          <w:sz w:val="22"/>
          <w:szCs w:val="22"/>
          <w:lang w:val="en-GB"/>
        </w:rPr>
        <w:fldChar w:fldCharType="begin" w:fldLock="1"/>
      </w:r>
      <w:r w:rsidR="00100F0C" w:rsidRPr="004E053C">
        <w:rPr>
          <w:rStyle w:val="fontstyle01"/>
          <w:rFonts w:asciiTheme="minorHAnsi" w:hAnsiTheme="minorHAnsi" w:cstheme="majorHAnsi"/>
          <w:color w:val="auto"/>
          <w:sz w:val="22"/>
          <w:szCs w:val="22"/>
          <w:lang w:val="en-GB"/>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1997)","plainTextFormattedCitation":"(Paerregaard, 1997)","previouslyFormattedCitation":"(Paerregaard, 1997)"},"properties":{"noteIndex":0},"schema":"https://github.com/citation-style-language/schema/raw/master/csl-citation.json"}</w:instrText>
      </w:r>
      <w:r w:rsidR="00100F0C" w:rsidRPr="004E053C">
        <w:rPr>
          <w:rStyle w:val="fontstyle01"/>
          <w:rFonts w:asciiTheme="minorHAnsi" w:hAnsiTheme="minorHAnsi" w:cstheme="majorHAnsi"/>
          <w:color w:val="auto"/>
          <w:sz w:val="22"/>
          <w:szCs w:val="22"/>
          <w:lang w:val="en-GB"/>
        </w:rPr>
        <w:fldChar w:fldCharType="separate"/>
      </w:r>
      <w:r w:rsidR="00100F0C" w:rsidRPr="004E053C">
        <w:rPr>
          <w:rStyle w:val="fontstyle01"/>
          <w:rFonts w:asciiTheme="minorHAnsi" w:hAnsiTheme="minorHAnsi" w:cstheme="majorHAnsi"/>
          <w:noProof/>
          <w:color w:val="auto"/>
          <w:sz w:val="22"/>
          <w:szCs w:val="22"/>
          <w:lang w:val="en-GB"/>
        </w:rPr>
        <w:t>(Paerregaard, 1997)</w:t>
      </w:r>
      <w:r w:rsidR="00100F0C" w:rsidRPr="004E053C">
        <w:rPr>
          <w:rStyle w:val="fontstyle01"/>
          <w:rFonts w:asciiTheme="minorHAnsi" w:hAnsiTheme="minorHAnsi" w:cstheme="majorHAnsi"/>
          <w:color w:val="auto"/>
          <w:sz w:val="22"/>
          <w:szCs w:val="22"/>
          <w:lang w:val="en-GB"/>
        </w:rPr>
        <w:fldChar w:fldCharType="end"/>
      </w:r>
      <w:r w:rsidRPr="004E053C">
        <w:rPr>
          <w:rStyle w:val="fontstyle01"/>
          <w:rFonts w:asciiTheme="minorHAnsi" w:hAnsiTheme="minorHAnsi" w:cstheme="majorHAnsi"/>
          <w:color w:val="auto"/>
          <w:sz w:val="22"/>
          <w:szCs w:val="22"/>
          <w:lang w:val="en-GB"/>
        </w:rPr>
        <w:t>.</w:t>
      </w:r>
    </w:p>
    <w:p w14:paraId="63247690" w14:textId="77777777" w:rsidR="00C30720" w:rsidRPr="004E053C" w:rsidRDefault="00C30720" w:rsidP="004E053C">
      <w:pPr>
        <w:spacing w:line="360" w:lineRule="auto"/>
        <w:jc w:val="both"/>
        <w:rPr>
          <w:rFonts w:cstheme="majorHAnsi"/>
          <w:sz w:val="22"/>
          <w:szCs w:val="22"/>
          <w:lang w:val="en-GB"/>
        </w:rPr>
      </w:pPr>
    </w:p>
    <w:p w14:paraId="0A255CB4" w14:textId="43E28F6C" w:rsidR="003E574E" w:rsidRPr="004E053C" w:rsidRDefault="003E574E" w:rsidP="004E053C">
      <w:pPr>
        <w:spacing w:line="360" w:lineRule="auto"/>
        <w:jc w:val="both"/>
        <w:rPr>
          <w:rFonts w:eastAsia="Times New Roman" w:cstheme="majorHAnsi"/>
          <w:kern w:val="36"/>
          <w:sz w:val="22"/>
          <w:szCs w:val="22"/>
          <w:lang w:val="en-GB"/>
        </w:rPr>
      </w:pPr>
      <w:r w:rsidRPr="004E053C">
        <w:rPr>
          <w:rFonts w:cstheme="majorHAnsi"/>
          <w:sz w:val="22"/>
          <w:szCs w:val="22"/>
          <w:lang w:val="en-GB"/>
        </w:rPr>
        <w:t xml:space="preserve">Because migration has often been seen as a male-dominated activity, </w:t>
      </w:r>
      <w:r w:rsidRPr="004E053C">
        <w:rPr>
          <w:rFonts w:eastAsia="DengXian" w:cstheme="majorHAnsi"/>
          <w:sz w:val="22"/>
          <w:szCs w:val="22"/>
          <w:lang w:val="en-GB" w:eastAsia="zh-CN"/>
        </w:rPr>
        <w:t xml:space="preserve">migration studies have historically ignored the role of women </w:t>
      </w:r>
      <w:r w:rsidR="00100F0C" w:rsidRPr="004E053C">
        <w:rPr>
          <w:rFonts w:eastAsia="DengXian" w:cstheme="majorHAnsi"/>
          <w:sz w:val="22"/>
          <w:szCs w:val="22"/>
          <w:lang w:val="en-GB" w:eastAsia="zh-CN"/>
        </w:rPr>
        <w:fldChar w:fldCharType="begin" w:fldLock="1"/>
      </w:r>
      <w:r w:rsidR="0004146F" w:rsidRPr="004E053C">
        <w:rPr>
          <w:rFonts w:eastAsia="DengXian" w:cstheme="majorHAnsi"/>
          <w:sz w:val="22"/>
          <w:szCs w:val="22"/>
          <w:lang w:val="en-GB" w:eastAsia="zh-CN"/>
        </w:rPr>
        <w:instrText>ADDIN CSL_CITATION {"citationItems":[{"id":"ITEM-1","itemData":{"author":[{"dropping-particle":"","family":"Nash","given":"J","non-dropping-particle":"","parse-names":false,"suffix":""}],"container-title":"Women and change in Latin America","id":"ITEM-1","issued":{"date-parts":[["1986"]]},"page":"3-21","publisher":"Bergin and Garvey","publisher-place":"South Hadley, MA","title":"A decade of research on women in Latin America","type":"chapter"},"uris":["http://www.mendeley.com/documents/?uuid=0f663bf3-3532-442b-804e-c118247a8e57"]},{"id":"ITEM-2","itemData":{"author":[{"dropping-particle":"","family":"Pessar","given":"P.R","non-dropping-particle":"","parse-names":false,"suffix":""}],"container-title":"American Behavioural Scientist","id":"ITEM-2","issue":"4","issued":{"date-parts":[["1999"]]},"page":"577-600","title":"Engendering migration studies: the case of new immigrants in the United States","type":"article-journal","volume":"42"},"uris":["http://www.mendeley.com/documents/?uuid=8d11d46c-dd79-4ce1-87c6-ddb39a882b74"]},{"id":"ITEM-3","itemData":{"author":[{"dropping-particle":"","family":"Silvey","given":"Rachel","non-dropping-particle":"","parse-names":false,"suffix":""}],"container-title":"The International Migration Review","id":"ITEM-3","issue":"1","issued":{"date-parts":[["1996"]]},"page":"64-81","title":"Geographies of gender and migration: spatializing social difference","type":"article-journal","volume":"40"},"uris":["http://www.mendeley.com/documents/?uuid=d4a41cfd-376d-42d1-a32b-3b2d23598c20"]}],"mendeley":{"formattedCitation":"(Nash, 1986; Pessar, 1999; Silvey, 1996)","plainTextFormattedCitation":"(Nash, 1986; Pessar, 1999; Silvey, 1996)","previouslyFormattedCitation":"(Nash, 1986; Pessar, 1999; Silvey, 1996)"},"properties":{"noteIndex":0},"schema":"https://github.com/citation-style-language/schema/raw/master/csl-citation.json"}</w:instrText>
      </w:r>
      <w:r w:rsidR="00100F0C" w:rsidRPr="004E053C">
        <w:rPr>
          <w:rFonts w:eastAsia="DengXian" w:cstheme="majorHAnsi"/>
          <w:sz w:val="22"/>
          <w:szCs w:val="22"/>
          <w:lang w:val="en-GB" w:eastAsia="zh-CN"/>
        </w:rPr>
        <w:fldChar w:fldCharType="separate"/>
      </w:r>
      <w:r w:rsidR="00100F0C" w:rsidRPr="004E053C">
        <w:rPr>
          <w:rFonts w:eastAsia="DengXian" w:cstheme="majorHAnsi"/>
          <w:noProof/>
          <w:sz w:val="22"/>
          <w:szCs w:val="22"/>
          <w:lang w:val="en-GB" w:eastAsia="zh-CN"/>
        </w:rPr>
        <w:t>(Nash, 1986; Pessar, 1999; Silvey, 1996)</w:t>
      </w:r>
      <w:r w:rsidR="00100F0C" w:rsidRPr="004E053C">
        <w:rPr>
          <w:rFonts w:eastAsia="DengXian" w:cstheme="majorHAnsi"/>
          <w:sz w:val="22"/>
          <w:szCs w:val="22"/>
          <w:lang w:val="en-GB" w:eastAsia="zh-CN"/>
        </w:rPr>
        <w:fldChar w:fldCharType="end"/>
      </w:r>
      <w:r w:rsidRPr="004E053C">
        <w:rPr>
          <w:rFonts w:eastAsia="DengXian" w:cstheme="majorHAnsi"/>
          <w:sz w:val="22"/>
          <w:szCs w:val="22"/>
          <w:lang w:val="en-GB" w:eastAsia="zh-CN"/>
        </w:rPr>
        <w:t xml:space="preserve">. Feminist approaches have started to rectify this, and have unpacked the household unit to reveal the contributions and experiences of women in </w:t>
      </w:r>
      <w:r w:rsidRPr="004E053C">
        <w:rPr>
          <w:rFonts w:cstheme="majorHAnsi"/>
          <w:sz w:val="22"/>
          <w:szCs w:val="22"/>
          <w:lang w:val="en-GB"/>
        </w:rPr>
        <w:t xml:space="preserve">migration processes, as well as the power relations that are implicit in household’s migratory decisions </w:t>
      </w:r>
      <w:r w:rsidR="00100F0C"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Willis","given":"Katie","non-dropping-particle":"","parse-names":false,"suffix":""},{"dropping-particle":"","family":"Yeoh","given":"Brenda","non-dropping-particle":"","parse-names":false,"suffix":""}],"container-title":"Geoforum","id":"ITEM-1","issue":"4","issued":{"date-parts":[["2002"]]},"page":"553-565","title":"Gendering transnational communities: a comparison of Singaporean and British migrants in China","type":"article-journal","volume":"33"},"uris":["http://www.mendeley.com/documents/?uuid=4469e2f8-8e31-411f-99f0-478711ee0bb9"]},{"id":"ITEM-2","itemData":{"author":[{"dropping-particle":"","family":"Lawson","given":"V","non-dropping-particle":"","parse-names":false,"suffix":""}],"container-title":"Progress in Human Geography","id":"ITEM-2","issue":"1","issued":{"date-parts":[["1998"]]},"page":"32-53","title":"Hierarchical households and gendered migration: a research agenda","type":"article-journal","volume":"22"},"uris":["http://www.mendeley.com/documents/?uuid=f02d7508-253b-44c6-9a69-3758e22d4506"]},{"id":"ITEM-3","itemData":{"author":[{"dropping-particle":"","family":"Silvey","given":"Rachel","non-dropping-particle":"","parse-names":false,"suffix":""}],"container-title":"The International Migration Review","id":"ITEM-3","issue":"1","issued":{"date-parts":[["1996"]]},"page":"64-81","title":"Geographies of gender and migration: spatializing social difference","type":"article-journal","volume":"40"},"uris":["http://www.mendeley.com/documents/?uuid=d4a41cfd-376d-42d1-a32b-3b2d23598c20"]}],"mendeley":{"formattedCitation":"(Lawson, 1998; Silvey, 1996; Willis &amp; Yeoh, 2002)","plainTextFormattedCitation":"(Lawson, 1998; Silvey, 1996; Willis &amp; Yeoh, 2002)","previouslyFormattedCitation":"(Lawson, 1998; Silvey, 1996; Willis &amp; Yeoh, 2002)"},"properties":{"noteIndex":0},"schema":"https://github.com/citation-style-language/schema/raw/master/csl-citation.json"}</w:instrText>
      </w:r>
      <w:r w:rsidR="00100F0C" w:rsidRPr="004E053C">
        <w:rPr>
          <w:rFonts w:cstheme="majorHAnsi"/>
          <w:sz w:val="22"/>
          <w:szCs w:val="22"/>
          <w:lang w:val="en-GB"/>
        </w:rPr>
        <w:fldChar w:fldCharType="separate"/>
      </w:r>
      <w:r w:rsidR="00100F0C" w:rsidRPr="004E053C">
        <w:rPr>
          <w:rFonts w:cstheme="majorHAnsi"/>
          <w:noProof/>
          <w:sz w:val="22"/>
          <w:szCs w:val="22"/>
          <w:lang w:val="en-GB"/>
        </w:rPr>
        <w:t>(Lawson, 1998; Silvey, 1996; Willis &amp; Yeoh, 2002)</w:t>
      </w:r>
      <w:r w:rsidR="00100F0C" w:rsidRPr="004E053C">
        <w:rPr>
          <w:rFonts w:cstheme="majorHAnsi"/>
          <w:sz w:val="22"/>
          <w:szCs w:val="22"/>
          <w:lang w:val="en-GB"/>
        </w:rPr>
        <w:fldChar w:fldCharType="end"/>
      </w:r>
      <w:r w:rsidR="00100F0C" w:rsidRPr="004E053C">
        <w:rPr>
          <w:rFonts w:cstheme="majorHAnsi"/>
          <w:sz w:val="22"/>
          <w:szCs w:val="22"/>
          <w:lang w:val="en-GB"/>
        </w:rPr>
        <w:t>.</w:t>
      </w:r>
      <w:r w:rsidRPr="004E053C">
        <w:rPr>
          <w:rFonts w:cstheme="majorHAnsi"/>
          <w:sz w:val="22"/>
          <w:szCs w:val="22"/>
          <w:lang w:val="en-GB"/>
        </w:rPr>
        <w:t xml:space="preserve"> However, there is still a tendency for stu</w:t>
      </w:r>
      <w:r w:rsidR="00F96394" w:rsidRPr="004E053C">
        <w:rPr>
          <w:rFonts w:cstheme="majorHAnsi"/>
          <w:sz w:val="22"/>
          <w:szCs w:val="22"/>
          <w:lang w:val="en-GB"/>
        </w:rPr>
        <w:t>dies of out-migration to focus</w:t>
      </w:r>
      <w:r w:rsidRPr="004E053C">
        <w:rPr>
          <w:rFonts w:cstheme="majorHAnsi"/>
          <w:sz w:val="22"/>
          <w:szCs w:val="22"/>
          <w:lang w:val="en-GB"/>
        </w:rPr>
        <w:t xml:space="preserve"> on the migrant themselves and rarely con</w:t>
      </w:r>
      <w:r w:rsidR="00130A52">
        <w:rPr>
          <w:rFonts w:cstheme="majorHAnsi"/>
          <w:sz w:val="22"/>
          <w:szCs w:val="22"/>
          <w:lang w:val="en-GB"/>
        </w:rPr>
        <w:t xml:space="preserve">sider the impacts on those left </w:t>
      </w:r>
      <w:r w:rsidRPr="004E053C">
        <w:rPr>
          <w:rFonts w:cstheme="majorHAnsi"/>
          <w:sz w:val="22"/>
          <w:szCs w:val="22"/>
          <w:lang w:val="en-GB"/>
        </w:rPr>
        <w:t xml:space="preserve">behind </w:t>
      </w:r>
      <w:r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{"citationItems":[{"id":"ITEM-1","itemData":{"abstract":"Resource regimes are complex social-ecological systems that operate at multiple levels. Using data from two distinct cultural and environmental contexts (Mexico and India), this paper looks at the susceptibility and response of such regimes to rural out-migration. As a driver of demographic and cultural change, out- migration impacts both the practices and institutional arrangements that define territorial resource use and management. The research shows that critical yet poorly recognised shifts in migration dynamics can increase the pressures felt locally and serve to reduce the effectiveness of institutional adaptations at the community level. From an environmental perspective, the research adds to the body of work exam- ining the impacts of rural depopulation on land and seascapes and associated bio- logical diversity. We question the assumption that rural-urban migration necessarily simulates ecosystem recovery and aids conservation. This finding is timely as funding agencies and government programs show belated interest in the conse- quences of out-migration for environmental management, resource use and rural livelihoods in tropical country settings","author":[{"dropping-particle":"","family":"Robson","given":"J.P","non-dropping-particle":"","parse-names":false,"suffix":""},{"dropping-particle":"","family":"Nayak","given":"P.K.","non-dropping-particle":"","parse-names":false,"suffix":""}],"container-title":"Population and Environment","id":"ITEM-1","issue":"2/3","issued":{"date-parts":[["2010"]]},"page":"263-284","title":"Rural out-migration and resource-dependent communities in Mexico and India","type":"article-journal","volume":"32"},"uris":["http://www.mendeley.com/documents/?uuid=7ec0ed2a-19da-441e-9ea6-fac7917490e9"]},{"id":"ITEM-2","itemData":{"author":[{"dropping-particle":"","family":"Ginnetti","given":"Justin","non-dropping-particle":"","parse-names":false,"suffix":""}],"id":"ITEM-2","issued":{"date-parts":[["2009"]]},"publisher":"The Fletcher School","title":"Climate change, livelihoods, and forced migration: a systems dynamical analysis of rural out-migration in Wollo, Ethiopia","type":"thesis"},"uris":["http://www.mendeley.com/documents/?uuid=9b4239e8-ab59-4877-97f0-005472fe6e24"]},{"id":"ITEM-3","itemData":{"abstract":"This paper investigates the relationship between changing community context and out-migration in one of today's poor countries, seeking to document the various mechanisms by which infrastructure affects the migratory behavior. We focus on the expansion of social and physical facilities and services near to rural people's homes, including transportation, new markets, employment, schools, health clinics, and mass media outlets such as movie halls. We draw upon detailed data from Nepal to estimate the hypothesized effects. The direct effects of expanding economic and human capital infrastructure are clearly negative, reducing out-migration. However, increased economic infrastructure is associated with a greater accumulation of human and social capital among respondents and their parents. Through these intervening mechanisms, economic and social infrastructure increased the odds of migrating out. These results reveal the often countervailing nature of short- and long-term effects of economic and social change and the complex pathways influencing migration outcomes.","author":[{"dropping-particle":"","family":"Massey","given":"Douglas S.","non-dropping-particle":"","parse-names":false,"suffix":""},{"dropping-particle":"","family":"Williams","given":"Nathalie","non-dropping-particle":"","parse-names":false,"suffix":""},{"dropping-particle":"","family":"Axinn","given":"William G.","non-dropping-particle":"","parse-names":false,"suffix":""},{"dropping-particle":"","family":"Ghimire","given":"Dirgha J.","non-dropping-particle":"","parse-names":false,"suffix":""}],"container-title":"International Migration","id":"ITEM-3","issue":"3","issued":{"date-parts":[["2010"]]},"page":"1-41","title":"Community services and out-migration","type":"article-journal","volume":"48"},"uris":["http://www.mendeley.com/documents/?uuid=5d01f116-3d05-4e0e-b948-de7a9a174eca"]}],"mendeley":{"formattedCitation":"(Ginnetti, 2009; Massey, Williams, Axinn, &amp; Ghimire, 2010; Robson &amp; Nayak, 2010)","manualFormatting":"(Ginnetti, 2009; Massey et al, 2010; Robson &amp; Nayak, 2010)","plainTextFormattedCitation":"(Ginnetti, 2009; Massey, Williams, Axinn, &amp; Ghimire, 2010; Robson &amp; Nayak, 2010)","previouslyFormattedCitation":"(Ginnetti, 2009; Massey, Williams, Axinn, &amp; Ghimire, 2010; Robson &amp; Nayak, 2010)"},"properties":{"noteIndex":0},"schema":"https://github.com/citation-style-language/schema/raw/master/csl-citation.json"}</w:instrText>
      </w:r>
      <w:r w:rsidRPr="004E053C">
        <w:rPr>
          <w:rFonts w:cstheme="majorHAnsi"/>
          <w:sz w:val="22"/>
          <w:szCs w:val="22"/>
          <w:lang w:val="en-GB"/>
        </w:rPr>
        <w:fldChar w:fldCharType="separate"/>
      </w:r>
      <w:r w:rsidR="00830084" w:rsidRPr="004E053C">
        <w:rPr>
          <w:rFonts w:cstheme="majorHAnsi"/>
          <w:noProof/>
          <w:sz w:val="22"/>
          <w:szCs w:val="22"/>
          <w:lang w:val="en-GB"/>
        </w:rPr>
        <w:t>(Ginnetti, 2009; Massey et al,</w:t>
      </w:r>
      <w:r w:rsidR="00100F0C" w:rsidRPr="004E053C">
        <w:rPr>
          <w:rFonts w:cstheme="majorHAnsi"/>
          <w:noProof/>
          <w:sz w:val="22"/>
          <w:szCs w:val="22"/>
          <w:lang w:val="en-GB"/>
        </w:rPr>
        <w:t xml:space="preserve"> 2010; Robson &amp; Nayak, 2010)</w:t>
      </w:r>
      <w:r w:rsidRPr="004E053C">
        <w:rPr>
          <w:rFonts w:cstheme="majorHAnsi"/>
          <w:sz w:val="22"/>
          <w:szCs w:val="22"/>
          <w:lang w:val="en-GB"/>
        </w:rPr>
        <w:fldChar w:fldCharType="end"/>
      </w:r>
      <w:r w:rsidRPr="004E053C">
        <w:rPr>
          <w:rFonts w:cstheme="majorHAnsi"/>
          <w:sz w:val="22"/>
          <w:szCs w:val="22"/>
          <w:lang w:val="en-GB"/>
        </w:rPr>
        <w:t>. Interestingly, the</w:t>
      </w:r>
      <w:r w:rsidR="003C3EC8" w:rsidRPr="004E053C">
        <w:rPr>
          <w:rFonts w:eastAsia="Times New Roman" w:cstheme="majorHAnsi"/>
          <w:kern w:val="36"/>
          <w:sz w:val="22"/>
          <w:szCs w:val="22"/>
          <w:lang w:val="en-GB"/>
        </w:rPr>
        <w:t xml:space="preserve"> </w:t>
      </w:r>
      <w:r w:rsidRPr="004E053C">
        <w:rPr>
          <w:rFonts w:eastAsia="Times New Roman" w:cstheme="majorHAnsi"/>
          <w:kern w:val="36"/>
          <w:sz w:val="22"/>
          <w:szCs w:val="22"/>
          <w:lang w:val="en-GB"/>
        </w:rPr>
        <w:t xml:space="preserve">literature continues to view </w:t>
      </w:r>
      <w:r w:rsidR="003C3EC8" w:rsidRPr="004E053C">
        <w:rPr>
          <w:rFonts w:eastAsia="Times New Roman" w:cstheme="majorHAnsi"/>
          <w:kern w:val="36"/>
          <w:sz w:val="22"/>
          <w:szCs w:val="22"/>
          <w:lang w:val="en-GB"/>
        </w:rPr>
        <w:t xml:space="preserve">ASM </w:t>
      </w:r>
      <w:r w:rsidRPr="004E053C">
        <w:rPr>
          <w:rFonts w:eastAsia="Times New Roman" w:cstheme="majorHAnsi"/>
          <w:kern w:val="36"/>
          <w:sz w:val="22"/>
          <w:szCs w:val="22"/>
          <w:lang w:val="en-GB"/>
        </w:rPr>
        <w:t xml:space="preserve">as a </w:t>
      </w:r>
      <w:r w:rsidR="00A70DD0" w:rsidRPr="004E053C">
        <w:rPr>
          <w:rFonts w:eastAsia="Times New Roman" w:cstheme="majorHAnsi"/>
          <w:kern w:val="36"/>
          <w:sz w:val="22"/>
          <w:szCs w:val="22"/>
          <w:lang w:val="en-GB"/>
        </w:rPr>
        <w:t>‘male-dominated’</w:t>
      </w:r>
      <w:r w:rsidRPr="004E053C">
        <w:rPr>
          <w:rFonts w:eastAsia="Times New Roman" w:cstheme="majorHAnsi"/>
          <w:kern w:val="36"/>
          <w:sz w:val="22"/>
          <w:szCs w:val="22"/>
          <w:lang w:val="en-GB"/>
        </w:rPr>
        <w:t xml:space="preserve"> pursuit </w:t>
      </w:r>
      <w:r w:rsidRPr="004E053C">
        <w:rPr>
          <w:rFonts w:eastAsia="Times New Roman" w:cstheme="majorHAnsi"/>
          <w:kern w:val="36"/>
          <w:sz w:val="22"/>
          <w:szCs w:val="22"/>
          <w:lang w:val="en-GB"/>
        </w:rPr>
        <w:fldChar w:fldCharType="begin" w:fldLock="1"/>
      </w:r>
      <w:r w:rsidR="0004146F" w:rsidRPr="004E053C">
        <w:rPr>
          <w:rFonts w:eastAsia="Times New Roman" w:cstheme="majorHAnsi"/>
          <w:kern w:val="36"/>
          <w:sz w:val="22"/>
          <w:szCs w:val="22"/>
          <w:lang w:val="en-GB"/>
        </w:rPr>
        <w:instrText>ADDIN CSL_CITATION {"citationItems":[{"id":"ITEM-1","itemData":{"abstract":"Artisanal and small scale mining (ASM) continues to proliferate in almost all provinces of the country and a large number of rural poor primarily depends on this mining sub-sector. With the dearth of literatures and official baseline data, this study aims to provide a broad understanding, albeit preliminary, on this economic activity by highlighting gender roles, child labor, and other related issues. Significant findings are presented to demystify the conventional wisdom and existing knowledge on the role of women and the participation of child laborers in this “male-dominated” economic pursuit. With mining seriously considered by the current administration to be among the primary drivers of the Philippine economy, ASM is expected to further expand in scope and volume of productions. The results of this study may be considered in crafting policies and decisions within the broader context of mining governance in the country.","author":[{"dropping-particle":"","family":"Huesca","given":"Eliseo F.","non-dropping-particle":"","parse-names":false,"suffix":""}],"container-title":"Procedia - Social and Behavioural Sciences","id":"ITEM-1","issued":{"date-parts":[["2013"]]},"page":"150-157","title":"Gender and child labor issues in mining: a preliminary study on the artisanal and small-scale mining industry in Davao Oriental, Philippined","type":"article-journal","volume":"91"},"uris":["http://www.mendeley.com/documents/?uuid=baf3e374-8eb9-40c9-a684-a323dbcaf461"]}],"mendeley":{"formattedCitation":"(Huesca, 2013)","plainTextFormattedCitation":"(Huesca, 2013)","previouslyFormattedCitation":"(Huesca, 2013)"},"properties":{"noteIndex":0},"schema":"https://github.com/citation-style-language/schema/raw/master/csl-citation.json"}</w:instrText>
      </w:r>
      <w:r w:rsidRPr="004E053C">
        <w:rPr>
          <w:rFonts w:eastAsia="Times New Roman" w:cstheme="majorHAnsi"/>
          <w:kern w:val="36"/>
          <w:sz w:val="22"/>
          <w:szCs w:val="22"/>
          <w:lang w:val="en-GB"/>
        </w:rPr>
        <w:fldChar w:fldCharType="separate"/>
      </w:r>
      <w:r w:rsidRPr="004E053C">
        <w:rPr>
          <w:rFonts w:eastAsia="Times New Roman" w:cstheme="majorHAnsi"/>
          <w:noProof/>
          <w:kern w:val="36"/>
          <w:sz w:val="22"/>
          <w:szCs w:val="22"/>
          <w:lang w:val="en-GB"/>
        </w:rPr>
        <w:t>(Huesca, 2013)</w:t>
      </w:r>
      <w:r w:rsidRPr="004E053C">
        <w:rPr>
          <w:rFonts w:eastAsia="Times New Roman" w:cstheme="majorHAnsi"/>
          <w:kern w:val="36"/>
          <w:sz w:val="22"/>
          <w:szCs w:val="22"/>
          <w:lang w:val="en-GB"/>
        </w:rPr>
        <w:fldChar w:fldCharType="end"/>
      </w:r>
      <w:r w:rsidRPr="004E053C">
        <w:rPr>
          <w:rFonts w:eastAsia="Times New Roman" w:cstheme="majorHAnsi"/>
          <w:kern w:val="36"/>
          <w:sz w:val="22"/>
          <w:szCs w:val="22"/>
          <w:lang w:val="en-GB"/>
        </w:rPr>
        <w:t>, and so lends itself to a similar critique to that of early migratory studies, in that it masks the role of women.</w:t>
      </w:r>
    </w:p>
    <w:p w14:paraId="08E552AD" w14:textId="77777777" w:rsidR="00C30720" w:rsidRPr="004E053C" w:rsidRDefault="00C30720" w:rsidP="004E053C">
      <w:pPr>
        <w:spacing w:line="360" w:lineRule="auto"/>
        <w:jc w:val="both"/>
        <w:rPr>
          <w:rFonts w:cstheme="majorHAnsi"/>
          <w:sz w:val="22"/>
          <w:szCs w:val="22"/>
          <w:lang w:val="en-GB"/>
        </w:rPr>
      </w:pPr>
    </w:p>
    <w:p w14:paraId="0AB199AE" w14:textId="6FADEA42"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The previous chapter has highlighted how different migrants follow different livelihood trajectories in ASM. Despite being connected in the translocal ASM community through the various flows of labour, resources, pra</w:t>
      </w:r>
      <w:r w:rsidR="00100F0C" w:rsidRPr="004E053C">
        <w:rPr>
          <w:rFonts w:cstheme="majorHAnsi"/>
          <w:sz w:val="22"/>
          <w:szCs w:val="22"/>
          <w:lang w:val="en-GB"/>
        </w:rPr>
        <w:t xml:space="preserve">ctices and ideas </w:t>
      </w:r>
      <w:r w:rsidR="00100F0C"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transnationalism.","author":[{"dropping-particle":"","family":"Greiner","given":"Clemens","non-dropping-particle":"","parse-names":false,"suffix":""}],"container-title":"Sociologus","id":"ITEM-1","issue":"2","issued":{"date-parts":[["2010"]]},"page":"131-161","title":"Patterns of translocality: migration, livelihoods and identities in Northwest Namibia","type":"article-journal","volume":"60"},"uris":["http://www.mendeley.com/documents/?uuid=414887f7-c62a-48a7-b7bf-b65a4cc9aa41"]}],"mendeley":{"formattedCitation":"(Greiner, 2010)","plainTextFormattedCitation":"(Greiner, 2010)","previouslyFormattedCitation":"(Greiner, 2010)"},"properties":{"noteIndex":0},"schema":"https://github.com/citation-style-language/schema/raw/master/csl-citation.json"}</w:instrText>
      </w:r>
      <w:r w:rsidR="00100F0C" w:rsidRPr="004E053C">
        <w:rPr>
          <w:rFonts w:cstheme="majorHAnsi"/>
          <w:sz w:val="22"/>
          <w:szCs w:val="22"/>
          <w:lang w:val="en-GB"/>
        </w:rPr>
        <w:fldChar w:fldCharType="separate"/>
      </w:r>
      <w:r w:rsidR="00100F0C" w:rsidRPr="004E053C">
        <w:rPr>
          <w:rFonts w:cstheme="majorHAnsi"/>
          <w:noProof/>
          <w:sz w:val="22"/>
          <w:szCs w:val="22"/>
          <w:lang w:val="en-GB"/>
        </w:rPr>
        <w:t>(Greiner, 2010)</w:t>
      </w:r>
      <w:r w:rsidR="00100F0C" w:rsidRPr="004E053C">
        <w:rPr>
          <w:rFonts w:cstheme="majorHAnsi"/>
          <w:sz w:val="22"/>
          <w:szCs w:val="22"/>
          <w:lang w:val="en-GB"/>
        </w:rPr>
        <w:fldChar w:fldCharType="end"/>
      </w:r>
      <w:r w:rsidRPr="004E053C">
        <w:rPr>
          <w:rFonts w:cstheme="majorHAnsi"/>
          <w:sz w:val="22"/>
          <w:szCs w:val="22"/>
          <w:lang w:val="en-GB"/>
        </w:rPr>
        <w:t xml:space="preserve"> that link communities and different mining sites, it has been shown that these migrants have adopted various levels of translocality into their own livelihood strategy. The intention of a translocal livelihood strategy is generally to improve household income and standards of living, particularly through the use of remittances and savings </w:t>
      </w:r>
      <w:r w:rsidRPr="004E053C">
        <w:rPr>
          <w:rFonts w:cstheme="majorHAnsi"/>
          <w:sz w:val="22"/>
          <w:szCs w:val="22"/>
          <w:lang w:val="en-GB"/>
        </w:rPr>
        <w:lastRenderedPageBreak/>
        <w:t xml:space="preserve">invested into the local community </w:t>
      </w:r>
      <w:r w:rsidR="00100F0C"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{"citationItems":[{"id":"ITEM-1","itemData":{"abstract":"Based on qualitative fieldwork, this study analyses reasons and outcomes of fishers’ migration in Bangladesh. The results show that fishers’ livelihoods are characterised by a series of vulnerabilities and endemic poverty contributing to their migration decisions. However, fishers also migrate pro-actively to enhance their capacities and explore opportunities. The outcomes of migration are highly diverging: while for poorer fishers, migration is a way of coping with shocks, better resourced fishers can use it for asset accumulation. The importance of migration for their livelihoods and emerging networks across space generate forms of translocal households that coordinate their activities over long distances.","author":[{"dropping-particle":"","family":"Islam","given":"Mohammad Mahmudul","non-dropping-particle":"","parse-names":false,"suffix":""},{"dropping-particle":"","family":"Herbeck","given":"Johannes","non-dropping-particle":"","parse-names":false,"suffix":""}],"container-title":"The Journal of Development Studies","id":"ITEM-1","issue":"6","issued":{"date-parts":[["2013"]]},"page":"1-14","title":"Migration and translocal livelihoods of coastal small-scale fishers in Bangladesh","type":"article-journal","volume":"49"},"uris":["http://www.mendeley.com/documents/?uuid=2af1f3d3-bc4c-48dd-90fe-c5e4a832bdf9"]}],"mendeley":{"formattedCitation":"(Islam &amp; Herbeck, 2013)","plainTextFormattedCitation":"(Islam &amp; Herbeck, 2013)","previouslyFormattedCitation":"(Islam &amp; Herbeck, 2013)"},"properties":{"noteIndex":0},"schema":"https://github.com/citation-style-language/schema/raw/master/csl-citation.json"}</w:instrText>
      </w:r>
      <w:r w:rsidR="00100F0C" w:rsidRPr="004E053C">
        <w:rPr>
          <w:rFonts w:cstheme="majorHAnsi"/>
          <w:sz w:val="22"/>
          <w:szCs w:val="22"/>
          <w:lang w:val="en-GB"/>
        </w:rPr>
        <w:fldChar w:fldCharType="separate"/>
      </w:r>
      <w:r w:rsidR="00100F0C" w:rsidRPr="004E053C">
        <w:rPr>
          <w:rFonts w:cstheme="majorHAnsi"/>
          <w:noProof/>
          <w:sz w:val="22"/>
          <w:szCs w:val="22"/>
          <w:lang w:val="en-GB"/>
        </w:rPr>
        <w:t>(Islam &amp; Herbeck, 2013)</w:t>
      </w:r>
      <w:r w:rsidR="00100F0C" w:rsidRPr="004E053C">
        <w:rPr>
          <w:rFonts w:cstheme="majorHAnsi"/>
          <w:sz w:val="22"/>
          <w:szCs w:val="22"/>
          <w:lang w:val="en-GB"/>
        </w:rPr>
        <w:fldChar w:fldCharType="end"/>
      </w:r>
      <w:r w:rsidRPr="004E053C">
        <w:rPr>
          <w:rFonts w:cstheme="majorHAnsi"/>
          <w:sz w:val="22"/>
          <w:szCs w:val="22"/>
          <w:lang w:val="en-GB"/>
        </w:rPr>
        <w:t xml:space="preserve">, but it can often have implications for a migrant’s sense of place, feelings of belonging and community identity. Furthermore, these translocal livelihood strategies are inherently gendered, as </w:t>
      </w:r>
      <w:r w:rsidR="003C3EC8" w:rsidRPr="004E053C">
        <w:rPr>
          <w:rFonts w:cstheme="majorHAnsi"/>
          <w:sz w:val="22"/>
          <w:szCs w:val="22"/>
          <w:lang w:val="en-GB"/>
        </w:rPr>
        <w:t>while single men or women can migrate wi</w:t>
      </w:r>
      <w:r w:rsidR="00D11773" w:rsidRPr="004E053C">
        <w:rPr>
          <w:rFonts w:cstheme="majorHAnsi"/>
          <w:sz w:val="22"/>
          <w:szCs w:val="22"/>
          <w:lang w:val="en-GB"/>
        </w:rPr>
        <w:t>th few responsibilities, marital couple</w:t>
      </w:r>
      <w:r w:rsidR="003C3EC8" w:rsidRPr="004E053C">
        <w:rPr>
          <w:rFonts w:cstheme="majorHAnsi"/>
          <w:sz w:val="22"/>
          <w:szCs w:val="22"/>
          <w:lang w:val="en-GB"/>
        </w:rPr>
        <w:t xml:space="preserve">s find themselves </w:t>
      </w:r>
      <w:r w:rsidRPr="004E053C">
        <w:rPr>
          <w:rFonts w:cstheme="majorHAnsi"/>
          <w:sz w:val="22"/>
          <w:szCs w:val="22"/>
          <w:lang w:val="en-GB"/>
        </w:rPr>
        <w:t xml:space="preserve">split between </w:t>
      </w:r>
      <w:r w:rsidR="000A0C0B" w:rsidRPr="004E053C">
        <w:rPr>
          <w:rFonts w:cstheme="majorHAnsi"/>
          <w:sz w:val="22"/>
          <w:szCs w:val="22"/>
          <w:lang w:val="en-GB"/>
        </w:rPr>
        <w:t>locations unless all household</w:t>
      </w:r>
      <w:r w:rsidR="003C3EC8" w:rsidRPr="004E053C">
        <w:rPr>
          <w:rFonts w:cstheme="majorHAnsi"/>
          <w:sz w:val="22"/>
          <w:szCs w:val="22"/>
          <w:lang w:val="en-GB"/>
        </w:rPr>
        <w:t xml:space="preserve"> members migrate. </w:t>
      </w:r>
    </w:p>
    <w:p w14:paraId="291D1EFC" w14:textId="77777777" w:rsidR="00C30720" w:rsidRPr="004E053C" w:rsidRDefault="00C30720" w:rsidP="004E053C">
      <w:pPr>
        <w:spacing w:line="360" w:lineRule="auto"/>
        <w:jc w:val="both"/>
        <w:rPr>
          <w:rFonts w:cstheme="majorHAnsi"/>
          <w:sz w:val="22"/>
          <w:szCs w:val="22"/>
          <w:lang w:val="en-GB"/>
        </w:rPr>
      </w:pPr>
    </w:p>
    <w:p w14:paraId="2F492943" w14:textId="7A69D506" w:rsidR="00F2183E" w:rsidRPr="004E053C" w:rsidRDefault="00EA7F83" w:rsidP="004E053C">
      <w:pPr>
        <w:pStyle w:val="Heading3"/>
        <w:rPr>
          <w:rFonts w:asciiTheme="minorHAnsi" w:hAnsiTheme="minorHAnsi"/>
        </w:rPr>
      </w:pPr>
      <w:r w:rsidRPr="004E053C">
        <w:rPr>
          <w:rFonts w:asciiTheme="minorHAnsi" w:hAnsiTheme="minorHAnsi"/>
        </w:rPr>
        <w:t>7</w:t>
      </w:r>
      <w:r w:rsidR="004A3EF1" w:rsidRPr="004E053C">
        <w:rPr>
          <w:rFonts w:asciiTheme="minorHAnsi" w:hAnsiTheme="minorHAnsi"/>
        </w:rPr>
        <w:t>.2.1. Household members’ e</w:t>
      </w:r>
      <w:r w:rsidR="00F2183E" w:rsidRPr="004E053C">
        <w:rPr>
          <w:rFonts w:asciiTheme="minorHAnsi" w:hAnsiTheme="minorHAnsi"/>
        </w:rPr>
        <w:t>ngagement in ASM</w:t>
      </w:r>
    </w:p>
    <w:p w14:paraId="24C0CA28" w14:textId="77777777" w:rsidR="00F2183E" w:rsidRPr="004E053C" w:rsidRDefault="00F2183E" w:rsidP="004E053C">
      <w:pPr>
        <w:spacing w:line="360" w:lineRule="auto"/>
        <w:jc w:val="both"/>
        <w:rPr>
          <w:rFonts w:cstheme="majorHAnsi"/>
          <w:sz w:val="22"/>
          <w:szCs w:val="22"/>
          <w:lang w:val="en-GB"/>
        </w:rPr>
      </w:pPr>
    </w:p>
    <w:p w14:paraId="131830B5" w14:textId="66F32AAD"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Amongst the respondent households, it was clear that women had very different roles in their households’ livelihood strategies. In total, across both field sites, 47 households were interviewed where at least one household member was currently engaged directly in ASM activity,</w:t>
      </w:r>
      <w:r w:rsidR="009A2712" w:rsidRPr="004E053C">
        <w:rPr>
          <w:rFonts w:cstheme="majorHAnsi"/>
          <w:sz w:val="22"/>
          <w:szCs w:val="22"/>
          <w:lang w:val="en-GB"/>
        </w:rPr>
        <w:t xml:space="preserve"> or had been previously. Table 7</w:t>
      </w:r>
      <w:r w:rsidRPr="004E053C">
        <w:rPr>
          <w:rFonts w:cstheme="majorHAnsi"/>
          <w:sz w:val="22"/>
          <w:szCs w:val="22"/>
          <w:lang w:val="en-GB"/>
        </w:rPr>
        <w:t xml:space="preserve">.1 below shows the distribution of households in both Ocongate and Laberinto districts adopting particular livelihood strategies. As the table shows, seven of the households consisted of unmarried male miners. There are two important things to note here. Firstly, although there are no unmarried female miners in the sample, as this chapter will show, this does not mean that there are no unmarried women in mining towns. Secondly, the men in question were not supporting an extended family, which reduces one element of translocality from their livelihood. Some of these single men were also non-migrants, further implying that they rooted in place. However, single men are likely to conduct their ASM livelihood on a floating basis, at least for some periods of time, and as such they still constitute an important part of the translocal community. Even the single, non-migrant men in Laberinto had worked for periods of time in La Pampa and in other mine sites around Madre de Dios. This is similar to Werthmann’s </w:t>
      </w:r>
      <w:r w:rsidR="00702B6D" w:rsidRPr="004E053C">
        <w:rPr>
          <w:rFonts w:cstheme="majorHAnsi"/>
          <w:sz w:val="22"/>
          <w:szCs w:val="22"/>
          <w:lang w:val="en-GB"/>
        </w:rPr>
        <w:fldChar w:fldCharType="begin" w:fldLock="1"/>
      </w:r>
      <w:r w:rsidR="00702B6D" w:rsidRPr="004E053C">
        <w:rPr>
          <w:rFonts w:cstheme="majorHAnsi"/>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00702B6D" w:rsidRPr="004E053C">
        <w:rPr>
          <w:rFonts w:cstheme="majorHAnsi"/>
          <w:sz w:val="22"/>
          <w:szCs w:val="22"/>
          <w:lang w:val="en-GB"/>
        </w:rPr>
        <w:fldChar w:fldCharType="separate"/>
      </w:r>
      <w:r w:rsidR="00702B6D" w:rsidRPr="004E053C">
        <w:rPr>
          <w:rFonts w:cstheme="majorHAnsi"/>
          <w:noProof/>
          <w:sz w:val="22"/>
          <w:szCs w:val="22"/>
          <w:lang w:val="en-GB"/>
        </w:rPr>
        <w:t>(2010)</w:t>
      </w:r>
      <w:r w:rsidR="00702B6D" w:rsidRPr="004E053C">
        <w:rPr>
          <w:rFonts w:cstheme="majorHAnsi"/>
          <w:sz w:val="22"/>
          <w:szCs w:val="22"/>
          <w:lang w:val="en-GB"/>
        </w:rPr>
        <w:fldChar w:fldCharType="end"/>
      </w:r>
      <w:r w:rsidR="009A2712" w:rsidRPr="004E053C">
        <w:rPr>
          <w:rFonts w:cstheme="majorHAnsi"/>
          <w:sz w:val="22"/>
          <w:szCs w:val="22"/>
          <w:lang w:val="en-GB"/>
        </w:rPr>
        <w:t xml:space="preserve"> </w:t>
      </w:r>
      <w:r w:rsidRPr="004E053C">
        <w:rPr>
          <w:rFonts w:cstheme="majorHAnsi"/>
          <w:sz w:val="22"/>
          <w:szCs w:val="22"/>
          <w:lang w:val="en-GB"/>
        </w:rPr>
        <w:t>definition of translocal ASM livelihoods following her work in Burkina Faso, although here the conceptualisation of translocal livelihood incorporates origin communities also.</w:t>
      </w:r>
    </w:p>
    <w:p w14:paraId="221150DE" w14:textId="77777777" w:rsidR="00F2183E" w:rsidRPr="004E053C" w:rsidRDefault="00F2183E" w:rsidP="004E053C">
      <w:pPr>
        <w:spacing w:line="360" w:lineRule="auto"/>
        <w:jc w:val="both"/>
        <w:rPr>
          <w:rFonts w:cstheme="majorHAnsi"/>
          <w:sz w:val="22"/>
          <w:szCs w:val="22"/>
          <w:lang w:val="en-GB"/>
        </w:rPr>
      </w:pPr>
    </w:p>
    <w:p w14:paraId="0D582892" w14:textId="34A77F4F" w:rsidR="00F2183E" w:rsidRPr="004E053C" w:rsidRDefault="009A2712" w:rsidP="004E053C">
      <w:pPr>
        <w:spacing w:line="360" w:lineRule="auto"/>
        <w:jc w:val="both"/>
        <w:rPr>
          <w:rFonts w:cstheme="majorHAnsi"/>
          <w:b/>
          <w:bCs/>
          <w:sz w:val="22"/>
          <w:szCs w:val="22"/>
          <w:lang w:val="en-GB"/>
        </w:rPr>
      </w:pPr>
      <w:r w:rsidRPr="004E053C">
        <w:rPr>
          <w:rFonts w:cstheme="majorHAnsi"/>
          <w:b/>
          <w:bCs/>
          <w:sz w:val="22"/>
          <w:szCs w:val="22"/>
          <w:lang w:val="en-GB"/>
        </w:rPr>
        <w:t>Table 7</w:t>
      </w:r>
      <w:r w:rsidR="00F2183E" w:rsidRPr="004E053C">
        <w:rPr>
          <w:rFonts w:cstheme="majorHAnsi"/>
          <w:b/>
          <w:bCs/>
          <w:sz w:val="22"/>
          <w:szCs w:val="22"/>
          <w:lang w:val="en-GB"/>
        </w:rPr>
        <w:t xml:space="preserve">.1. Gendered translocal livelihood strategies of households currently engaging in ASM </w:t>
      </w:r>
    </w:p>
    <w:p w14:paraId="0A192D4D" w14:textId="77777777" w:rsidR="00F2183E" w:rsidRPr="004E053C" w:rsidRDefault="00F2183E" w:rsidP="004E053C">
      <w:pPr>
        <w:spacing w:line="360" w:lineRule="auto"/>
        <w:jc w:val="both"/>
        <w:rPr>
          <w:rFonts w:cstheme="majorHAnsi"/>
          <w:sz w:val="22"/>
          <w:szCs w:val="22"/>
          <w:lang w:val="en-GB"/>
        </w:rPr>
      </w:pPr>
    </w:p>
    <w:tbl>
      <w:tblPr>
        <w:tblStyle w:val="TableGrid"/>
        <w:tblW w:w="0" w:type="auto"/>
        <w:tblLook w:val="04A0" w:firstRow="1" w:lastRow="0" w:firstColumn="1" w:lastColumn="0" w:noHBand="0" w:noVBand="1"/>
      </w:tblPr>
      <w:tblGrid>
        <w:gridCol w:w="5495"/>
        <w:gridCol w:w="1276"/>
        <w:gridCol w:w="1745"/>
      </w:tblGrid>
      <w:tr w:rsidR="00F2183E" w:rsidRPr="004E053C" w14:paraId="788A3C1E" w14:textId="77777777" w:rsidTr="00C30720">
        <w:trPr>
          <w:trHeight w:val="806"/>
        </w:trPr>
        <w:tc>
          <w:tcPr>
            <w:tcW w:w="5495" w:type="dxa"/>
          </w:tcPr>
          <w:p w14:paraId="02EBA8A9" w14:textId="77777777" w:rsidR="00F2183E" w:rsidRPr="004E053C" w:rsidRDefault="00F2183E" w:rsidP="004E053C">
            <w:pPr>
              <w:spacing w:line="360" w:lineRule="auto"/>
              <w:jc w:val="both"/>
              <w:rPr>
                <w:rFonts w:cstheme="majorHAnsi"/>
                <w:b/>
                <w:bCs/>
                <w:sz w:val="22"/>
                <w:szCs w:val="22"/>
                <w:lang w:val="en-GB"/>
              </w:rPr>
            </w:pPr>
            <w:r w:rsidRPr="004E053C">
              <w:rPr>
                <w:rFonts w:cstheme="majorHAnsi"/>
                <w:b/>
                <w:bCs/>
                <w:sz w:val="22"/>
                <w:szCs w:val="22"/>
                <w:lang w:val="en-GB"/>
              </w:rPr>
              <w:t>Livelihood Strategy</w:t>
            </w:r>
          </w:p>
        </w:tc>
        <w:tc>
          <w:tcPr>
            <w:tcW w:w="1276" w:type="dxa"/>
          </w:tcPr>
          <w:p w14:paraId="25B20C06" w14:textId="77777777" w:rsidR="00F2183E" w:rsidRPr="004E053C" w:rsidRDefault="00F2183E" w:rsidP="004E053C">
            <w:pPr>
              <w:spacing w:line="360" w:lineRule="auto"/>
              <w:jc w:val="both"/>
              <w:rPr>
                <w:rFonts w:cstheme="majorHAnsi"/>
                <w:b/>
                <w:bCs/>
                <w:sz w:val="22"/>
                <w:szCs w:val="22"/>
                <w:lang w:val="en-GB"/>
              </w:rPr>
            </w:pPr>
            <w:r w:rsidRPr="004E053C">
              <w:rPr>
                <w:rFonts w:cstheme="majorHAnsi"/>
                <w:b/>
                <w:bCs/>
                <w:sz w:val="22"/>
                <w:szCs w:val="22"/>
                <w:lang w:val="en-GB"/>
              </w:rPr>
              <w:t>Ocongate</w:t>
            </w:r>
          </w:p>
        </w:tc>
        <w:tc>
          <w:tcPr>
            <w:tcW w:w="1745" w:type="dxa"/>
          </w:tcPr>
          <w:p w14:paraId="3A84179A" w14:textId="77777777" w:rsidR="00F2183E" w:rsidRPr="004E053C" w:rsidRDefault="00F2183E" w:rsidP="004E053C">
            <w:pPr>
              <w:spacing w:line="360" w:lineRule="auto"/>
              <w:jc w:val="both"/>
              <w:rPr>
                <w:rFonts w:cstheme="majorHAnsi"/>
                <w:b/>
                <w:bCs/>
                <w:sz w:val="22"/>
                <w:szCs w:val="22"/>
                <w:lang w:val="en-GB"/>
              </w:rPr>
            </w:pPr>
            <w:r w:rsidRPr="004E053C">
              <w:rPr>
                <w:rFonts w:cstheme="majorHAnsi"/>
                <w:b/>
                <w:bCs/>
                <w:sz w:val="22"/>
                <w:szCs w:val="22"/>
                <w:lang w:val="en-GB"/>
              </w:rPr>
              <w:t>Madre de Dios</w:t>
            </w:r>
          </w:p>
        </w:tc>
      </w:tr>
      <w:tr w:rsidR="00F2183E" w:rsidRPr="004E053C" w14:paraId="103AD655" w14:textId="77777777" w:rsidTr="00C30720">
        <w:trPr>
          <w:trHeight w:val="806"/>
        </w:trPr>
        <w:tc>
          <w:tcPr>
            <w:tcW w:w="5495" w:type="dxa"/>
          </w:tcPr>
          <w:p w14:paraId="6A314E8C" w14:textId="5C3629B9" w:rsidR="00830084"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Single man involved in ASM </w:t>
            </w:r>
          </w:p>
        </w:tc>
        <w:tc>
          <w:tcPr>
            <w:tcW w:w="1276" w:type="dxa"/>
          </w:tcPr>
          <w:p w14:paraId="009F303F"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0</w:t>
            </w:r>
          </w:p>
        </w:tc>
        <w:tc>
          <w:tcPr>
            <w:tcW w:w="1745" w:type="dxa"/>
          </w:tcPr>
          <w:p w14:paraId="760A9D20"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7</w:t>
            </w:r>
          </w:p>
        </w:tc>
      </w:tr>
      <w:tr w:rsidR="00F2183E" w:rsidRPr="004E053C" w14:paraId="7442BE95" w14:textId="77777777" w:rsidTr="00C30720">
        <w:trPr>
          <w:trHeight w:val="806"/>
        </w:trPr>
        <w:tc>
          <w:tcPr>
            <w:tcW w:w="5495" w:type="dxa"/>
          </w:tcPr>
          <w:p w14:paraId="4DCF09D2"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Single woman involved in ASM </w:t>
            </w:r>
          </w:p>
          <w:p w14:paraId="3C3D23B7" w14:textId="77777777" w:rsidR="00830084" w:rsidRPr="004E053C" w:rsidRDefault="00830084" w:rsidP="004E053C">
            <w:pPr>
              <w:spacing w:line="360" w:lineRule="auto"/>
              <w:jc w:val="both"/>
              <w:rPr>
                <w:rFonts w:cstheme="majorHAnsi"/>
                <w:sz w:val="22"/>
                <w:szCs w:val="22"/>
                <w:lang w:val="en-GB"/>
              </w:rPr>
            </w:pPr>
          </w:p>
        </w:tc>
        <w:tc>
          <w:tcPr>
            <w:tcW w:w="1276" w:type="dxa"/>
          </w:tcPr>
          <w:p w14:paraId="108FFD19"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0</w:t>
            </w:r>
          </w:p>
        </w:tc>
        <w:tc>
          <w:tcPr>
            <w:tcW w:w="1745" w:type="dxa"/>
          </w:tcPr>
          <w:p w14:paraId="7EED64D8"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0</w:t>
            </w:r>
          </w:p>
        </w:tc>
      </w:tr>
      <w:tr w:rsidR="00F2183E" w:rsidRPr="004E053C" w14:paraId="3EF02F16" w14:textId="77777777" w:rsidTr="00C30720">
        <w:trPr>
          <w:trHeight w:val="806"/>
        </w:trPr>
        <w:tc>
          <w:tcPr>
            <w:tcW w:w="5495" w:type="dxa"/>
          </w:tcPr>
          <w:p w14:paraId="3F964DBE" w14:textId="5982855C" w:rsidR="00F2183E" w:rsidRPr="004E053C" w:rsidRDefault="008808BD" w:rsidP="004E053C">
            <w:pPr>
              <w:spacing w:line="360" w:lineRule="auto"/>
              <w:jc w:val="both"/>
              <w:rPr>
                <w:rFonts w:cstheme="majorHAnsi"/>
                <w:sz w:val="22"/>
                <w:szCs w:val="22"/>
                <w:lang w:val="en-GB"/>
              </w:rPr>
            </w:pPr>
            <w:r w:rsidRPr="004E053C">
              <w:rPr>
                <w:rFonts w:cstheme="majorHAnsi"/>
                <w:sz w:val="22"/>
                <w:szCs w:val="22"/>
                <w:lang w:val="en-GB"/>
              </w:rPr>
              <w:lastRenderedPageBreak/>
              <w:t xml:space="preserve">Couple </w:t>
            </w:r>
            <w:r w:rsidR="00F2183E" w:rsidRPr="004E053C">
              <w:rPr>
                <w:rFonts w:cstheme="majorHAnsi"/>
                <w:sz w:val="22"/>
                <w:szCs w:val="22"/>
                <w:lang w:val="en-GB"/>
              </w:rPr>
              <w:t>both live in mining town and engage directly in ASM</w:t>
            </w:r>
          </w:p>
        </w:tc>
        <w:tc>
          <w:tcPr>
            <w:tcW w:w="1276" w:type="dxa"/>
          </w:tcPr>
          <w:p w14:paraId="0431565B"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0</w:t>
            </w:r>
          </w:p>
        </w:tc>
        <w:tc>
          <w:tcPr>
            <w:tcW w:w="1745" w:type="dxa"/>
          </w:tcPr>
          <w:p w14:paraId="73CA9CD9"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2</w:t>
            </w:r>
          </w:p>
        </w:tc>
      </w:tr>
      <w:tr w:rsidR="00F2183E" w:rsidRPr="004E053C" w14:paraId="7ABD66A7" w14:textId="77777777" w:rsidTr="00C30720">
        <w:trPr>
          <w:trHeight w:val="806"/>
        </w:trPr>
        <w:tc>
          <w:tcPr>
            <w:tcW w:w="5495" w:type="dxa"/>
          </w:tcPr>
          <w:p w14:paraId="1F4B3B62" w14:textId="4A2257A9" w:rsidR="00F2183E" w:rsidRPr="004E053C" w:rsidRDefault="008808BD" w:rsidP="004E053C">
            <w:pPr>
              <w:spacing w:line="360" w:lineRule="auto"/>
              <w:jc w:val="both"/>
              <w:rPr>
                <w:rFonts w:cstheme="majorHAnsi"/>
                <w:sz w:val="22"/>
                <w:szCs w:val="22"/>
                <w:lang w:val="en-GB"/>
              </w:rPr>
            </w:pPr>
            <w:r w:rsidRPr="004E053C">
              <w:rPr>
                <w:rFonts w:cstheme="majorHAnsi"/>
                <w:sz w:val="22"/>
                <w:szCs w:val="22"/>
                <w:lang w:val="en-GB"/>
              </w:rPr>
              <w:t xml:space="preserve">Couple </w:t>
            </w:r>
            <w:r w:rsidR="00F2183E" w:rsidRPr="004E053C">
              <w:rPr>
                <w:rFonts w:cstheme="majorHAnsi"/>
                <w:sz w:val="22"/>
                <w:szCs w:val="22"/>
                <w:lang w:val="en-GB"/>
              </w:rPr>
              <w:t>both live in mining town and wife works indirectly in ASM</w:t>
            </w:r>
          </w:p>
        </w:tc>
        <w:tc>
          <w:tcPr>
            <w:tcW w:w="1276" w:type="dxa"/>
          </w:tcPr>
          <w:p w14:paraId="2431D0A8"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0</w:t>
            </w:r>
          </w:p>
        </w:tc>
        <w:tc>
          <w:tcPr>
            <w:tcW w:w="1745" w:type="dxa"/>
          </w:tcPr>
          <w:p w14:paraId="261E7D66" w14:textId="56716FA0"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18</w:t>
            </w:r>
          </w:p>
        </w:tc>
      </w:tr>
      <w:tr w:rsidR="00F2183E" w:rsidRPr="004E053C" w14:paraId="0F80F328" w14:textId="77777777" w:rsidTr="00C30720">
        <w:trPr>
          <w:trHeight w:val="806"/>
        </w:trPr>
        <w:tc>
          <w:tcPr>
            <w:tcW w:w="5495" w:type="dxa"/>
          </w:tcPr>
          <w:p w14:paraId="4F180223" w14:textId="1D90D7EA" w:rsidR="00F2183E" w:rsidRPr="004E053C" w:rsidRDefault="008808BD" w:rsidP="004E053C">
            <w:pPr>
              <w:spacing w:line="360" w:lineRule="auto"/>
              <w:jc w:val="both"/>
              <w:rPr>
                <w:rFonts w:cstheme="majorHAnsi"/>
                <w:sz w:val="22"/>
                <w:szCs w:val="22"/>
                <w:lang w:val="en-GB"/>
              </w:rPr>
            </w:pPr>
            <w:r w:rsidRPr="004E053C">
              <w:rPr>
                <w:rFonts w:cstheme="majorHAnsi"/>
                <w:sz w:val="22"/>
                <w:szCs w:val="22"/>
                <w:lang w:val="en-GB"/>
              </w:rPr>
              <w:t>H</w:t>
            </w:r>
            <w:r w:rsidR="00F2183E" w:rsidRPr="004E053C">
              <w:rPr>
                <w:rFonts w:cstheme="majorHAnsi"/>
                <w:sz w:val="22"/>
                <w:szCs w:val="22"/>
                <w:lang w:val="en-GB"/>
              </w:rPr>
              <w:t>usband engages in ASM but wife lives in a nearby city and does not engage in the ASM sector</w:t>
            </w:r>
          </w:p>
        </w:tc>
        <w:tc>
          <w:tcPr>
            <w:tcW w:w="1276" w:type="dxa"/>
          </w:tcPr>
          <w:p w14:paraId="6716E117"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0</w:t>
            </w:r>
          </w:p>
        </w:tc>
        <w:tc>
          <w:tcPr>
            <w:tcW w:w="1745" w:type="dxa"/>
          </w:tcPr>
          <w:p w14:paraId="73C60A2A"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4</w:t>
            </w:r>
          </w:p>
        </w:tc>
      </w:tr>
      <w:tr w:rsidR="00F2183E" w:rsidRPr="004E053C" w14:paraId="474B2781" w14:textId="77777777" w:rsidTr="00C30720">
        <w:trPr>
          <w:trHeight w:val="806"/>
        </w:trPr>
        <w:tc>
          <w:tcPr>
            <w:tcW w:w="5495" w:type="dxa"/>
          </w:tcPr>
          <w:p w14:paraId="67536C15" w14:textId="592E31B7" w:rsidR="00F2183E" w:rsidRPr="004E053C" w:rsidRDefault="008808BD" w:rsidP="004E053C">
            <w:pPr>
              <w:spacing w:line="360" w:lineRule="auto"/>
              <w:jc w:val="both"/>
              <w:rPr>
                <w:rFonts w:cstheme="majorHAnsi"/>
                <w:sz w:val="22"/>
                <w:szCs w:val="22"/>
                <w:lang w:val="en-GB"/>
              </w:rPr>
            </w:pPr>
            <w:r w:rsidRPr="004E053C">
              <w:rPr>
                <w:rFonts w:cstheme="majorHAnsi"/>
                <w:sz w:val="22"/>
                <w:szCs w:val="22"/>
                <w:lang w:val="en-GB"/>
              </w:rPr>
              <w:t>H</w:t>
            </w:r>
            <w:r w:rsidR="00F2183E" w:rsidRPr="004E053C">
              <w:rPr>
                <w:rFonts w:cstheme="majorHAnsi"/>
                <w:sz w:val="22"/>
                <w:szCs w:val="22"/>
                <w:lang w:val="en-GB"/>
              </w:rPr>
              <w:t xml:space="preserve">usband engages in ASM but wife lives in origin community </w:t>
            </w:r>
          </w:p>
        </w:tc>
        <w:tc>
          <w:tcPr>
            <w:tcW w:w="1276" w:type="dxa"/>
          </w:tcPr>
          <w:p w14:paraId="06664836"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13</w:t>
            </w:r>
          </w:p>
        </w:tc>
        <w:tc>
          <w:tcPr>
            <w:tcW w:w="1745" w:type="dxa"/>
          </w:tcPr>
          <w:p w14:paraId="1CECE648"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0</w:t>
            </w:r>
          </w:p>
        </w:tc>
      </w:tr>
    </w:tbl>
    <w:p w14:paraId="4D872865" w14:textId="77777777" w:rsidR="00F2183E" w:rsidRPr="004E053C" w:rsidRDefault="00F2183E" w:rsidP="004E053C">
      <w:pPr>
        <w:spacing w:line="360" w:lineRule="auto"/>
        <w:jc w:val="both"/>
        <w:rPr>
          <w:rFonts w:cstheme="majorHAnsi"/>
          <w:sz w:val="22"/>
          <w:szCs w:val="22"/>
          <w:lang w:val="en-GB"/>
        </w:rPr>
      </w:pPr>
    </w:p>
    <w:p w14:paraId="55259131" w14:textId="313595A1" w:rsidR="00F2183E" w:rsidRPr="004E053C" w:rsidRDefault="009A2712" w:rsidP="004E053C">
      <w:pPr>
        <w:spacing w:line="360" w:lineRule="auto"/>
        <w:jc w:val="both"/>
        <w:rPr>
          <w:rFonts w:cstheme="majorHAnsi"/>
          <w:sz w:val="22"/>
          <w:szCs w:val="22"/>
          <w:lang w:val="en-GB"/>
        </w:rPr>
      </w:pPr>
      <w:r w:rsidRPr="004E053C">
        <w:rPr>
          <w:rFonts w:cstheme="majorHAnsi"/>
          <w:sz w:val="22"/>
          <w:szCs w:val="22"/>
          <w:lang w:val="en-GB"/>
        </w:rPr>
        <w:t>As Table 7</w:t>
      </w:r>
      <w:r w:rsidR="00F2183E" w:rsidRPr="004E053C">
        <w:rPr>
          <w:rFonts w:cstheme="majorHAnsi"/>
          <w:sz w:val="22"/>
          <w:szCs w:val="22"/>
          <w:lang w:val="en-GB"/>
        </w:rPr>
        <w:t xml:space="preserve">.1 shows, in about half of the 37 households </w:t>
      </w:r>
      <w:r w:rsidR="00F2183E" w:rsidRPr="004E053C">
        <w:rPr>
          <w:rFonts w:cstheme="majorHAnsi"/>
          <w:i/>
          <w:sz w:val="22"/>
          <w:szCs w:val="22"/>
          <w:lang w:val="en-GB"/>
        </w:rPr>
        <w:t>currently</w:t>
      </w:r>
      <w:r w:rsidR="00F2183E" w:rsidRPr="004E053C">
        <w:rPr>
          <w:rFonts w:cstheme="majorHAnsi"/>
          <w:sz w:val="22"/>
          <w:szCs w:val="22"/>
          <w:lang w:val="en-GB"/>
        </w:rPr>
        <w:t xml:space="preserve"> engaging in the ASM sector, both husband and wife lived in the mining town together. In the majority of cases, the mining town in question was Laberinto but two of these households were based in Boca Union and two in La Pampa. In a further four households, the husband stayed in Laberinto or nearby mining sites while the wife lived in the nearby city of Puerto Maldonado. In 13 households interviewed in Ocongate, the wife currently stayed behind in the origin community and/or had stayed behind for the majority of the time her husband engaged in ASM, although in three of the households both had previously lived and worked in the mining community together. This highlights two gendered aspects of ASM in the Peru that have been alluded to elsewhere in the literature, albeit in different con</w:t>
      </w:r>
      <w:r w:rsidRPr="004E053C">
        <w:rPr>
          <w:rFonts w:cstheme="majorHAnsi"/>
          <w:sz w:val="22"/>
          <w:szCs w:val="22"/>
          <w:lang w:val="en-GB"/>
        </w:rPr>
        <w:t xml:space="preserve">texts; </w:t>
      </w:r>
      <w:r w:rsidR="00F2183E" w:rsidRPr="004E053C">
        <w:rPr>
          <w:rFonts w:cstheme="majorHAnsi"/>
          <w:sz w:val="22"/>
          <w:szCs w:val="22"/>
          <w:lang w:val="en-GB"/>
        </w:rPr>
        <w:t xml:space="preserve">that within a married Andean household, women are less likely </w:t>
      </w:r>
      <w:r w:rsidRPr="004E053C">
        <w:rPr>
          <w:rFonts w:cstheme="majorHAnsi"/>
          <w:sz w:val="22"/>
          <w:szCs w:val="22"/>
          <w:lang w:val="en-GB"/>
        </w:rPr>
        <w:t xml:space="preserve">than men </w:t>
      </w:r>
      <w:r w:rsidR="00F2183E" w:rsidRPr="004E053C">
        <w:rPr>
          <w:rFonts w:cstheme="majorHAnsi"/>
          <w:sz w:val="22"/>
          <w:szCs w:val="22"/>
          <w:lang w:val="en-GB"/>
        </w:rPr>
        <w:t>to migrate to work in ASM, and</w:t>
      </w:r>
      <w:r w:rsidRPr="004E053C">
        <w:rPr>
          <w:rFonts w:cstheme="majorHAnsi"/>
          <w:sz w:val="22"/>
          <w:szCs w:val="22"/>
          <w:lang w:val="en-GB"/>
        </w:rPr>
        <w:t xml:space="preserve"> that</w:t>
      </w:r>
      <w:r w:rsidR="00F2183E" w:rsidRPr="004E053C">
        <w:rPr>
          <w:rFonts w:cstheme="majorHAnsi"/>
          <w:sz w:val="22"/>
          <w:szCs w:val="22"/>
          <w:lang w:val="en-GB"/>
        </w:rPr>
        <w:t xml:space="preserve"> within a mining community, women are less likely </w:t>
      </w:r>
      <w:r w:rsidRPr="004E053C">
        <w:rPr>
          <w:rFonts w:cstheme="majorHAnsi"/>
          <w:sz w:val="22"/>
          <w:szCs w:val="22"/>
          <w:lang w:val="en-GB"/>
        </w:rPr>
        <w:t xml:space="preserve">than men </w:t>
      </w:r>
      <w:r w:rsidR="00F2183E" w:rsidRPr="004E053C">
        <w:rPr>
          <w:rFonts w:cstheme="majorHAnsi"/>
          <w:sz w:val="22"/>
          <w:szCs w:val="22"/>
          <w:lang w:val="en-GB"/>
        </w:rPr>
        <w:t>to engage directly in ASM.</w:t>
      </w:r>
    </w:p>
    <w:p w14:paraId="1D3FF139" w14:textId="77777777" w:rsidR="00F2183E" w:rsidRPr="004E053C" w:rsidRDefault="00F2183E" w:rsidP="004E053C">
      <w:pPr>
        <w:spacing w:line="360" w:lineRule="auto"/>
        <w:jc w:val="both"/>
        <w:rPr>
          <w:rFonts w:cstheme="majorHAnsi"/>
          <w:sz w:val="22"/>
          <w:szCs w:val="22"/>
          <w:lang w:val="en-GB"/>
        </w:rPr>
      </w:pPr>
    </w:p>
    <w:p w14:paraId="3915EB2E" w14:textId="77777777" w:rsidR="00F2183E" w:rsidRPr="004E053C" w:rsidRDefault="00F2183E" w:rsidP="004E053C">
      <w:pPr>
        <w:spacing w:line="360" w:lineRule="auto"/>
        <w:jc w:val="both"/>
        <w:rPr>
          <w:rFonts w:cstheme="majorHAnsi"/>
          <w:sz w:val="22"/>
          <w:szCs w:val="22"/>
          <w:u w:val="single"/>
          <w:lang w:val="en-GB"/>
        </w:rPr>
      </w:pPr>
      <w:r w:rsidRPr="004E053C">
        <w:rPr>
          <w:rFonts w:cstheme="majorHAnsi"/>
          <w:sz w:val="22"/>
          <w:szCs w:val="22"/>
          <w:u w:val="single"/>
          <w:lang w:val="en-GB"/>
        </w:rPr>
        <w:t>Household Decision-Making Processes</w:t>
      </w:r>
    </w:p>
    <w:p w14:paraId="18EC0487" w14:textId="77777777" w:rsidR="00F2183E" w:rsidRPr="004E053C" w:rsidRDefault="00F2183E" w:rsidP="004E053C">
      <w:pPr>
        <w:spacing w:line="360" w:lineRule="auto"/>
        <w:jc w:val="both"/>
        <w:rPr>
          <w:rFonts w:cstheme="majorHAnsi"/>
          <w:sz w:val="22"/>
          <w:szCs w:val="22"/>
          <w:lang w:val="en-GB"/>
        </w:rPr>
      </w:pPr>
    </w:p>
    <w:p w14:paraId="31766717" w14:textId="472667AB"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In Ocongate, all of the households </w:t>
      </w:r>
      <w:r w:rsidRPr="004E053C">
        <w:rPr>
          <w:rFonts w:eastAsia="Times New Roman" w:cstheme="majorHAnsi"/>
          <w:i/>
          <w:iCs/>
          <w:sz w:val="22"/>
          <w:szCs w:val="22"/>
          <w:lang w:val="en-GB"/>
        </w:rPr>
        <w:t>currently</w:t>
      </w:r>
      <w:r w:rsidRPr="004E053C">
        <w:rPr>
          <w:rFonts w:eastAsia="Times New Roman" w:cstheme="majorHAnsi"/>
          <w:sz w:val="22"/>
          <w:szCs w:val="22"/>
          <w:lang w:val="en-GB"/>
        </w:rPr>
        <w:t xml:space="preserve"> engaged in ASM did so through a translocal livelihood strategy that involved the husband’s migration to the mining sites whilst the wife stayed in the locality of origin. All of the interviewed women said that their household had decided to engage in ASM because there was not sufficient earning potential in Ocongate. Most had been able to use the earnings from ASM to improve their family’s situation, through purchasing sufficient food and clothing, improving their house and sending their children to school etc. This is a crucial point, as it reflects the arguments by Gutmann about how the focus on negative male characteristics such as womanising and drinking,</w:t>
      </w:r>
      <w:r w:rsidRPr="004E053C">
        <w:rPr>
          <w:rFonts w:cstheme="majorHAnsi"/>
          <w:sz w:val="22"/>
          <w:szCs w:val="22"/>
          <w:lang w:val="en-GB"/>
        </w:rPr>
        <w:t xml:space="preserve"> mask the </w:t>
      </w:r>
      <w:r w:rsidRPr="004E053C">
        <w:rPr>
          <w:rFonts w:eastAsia="Times New Roman" w:cstheme="majorHAnsi"/>
          <w:sz w:val="22"/>
          <w:szCs w:val="22"/>
          <w:lang w:val="en-GB"/>
        </w:rPr>
        <w:t xml:space="preserve">expectations on men to provide and be a ‘dependable and engaged father’ </w:t>
      </w:r>
      <w:r w:rsidRPr="004E053C">
        <w:rPr>
          <w:rFonts w:eastAsia="Times New Roman" w:cstheme="majorHAnsi"/>
          <w:sz w:val="22"/>
          <w:szCs w:val="22"/>
          <w:lang w:val="en-GB"/>
        </w:rPr>
        <w:fldChar w:fldCharType="begin" w:fldLock="1"/>
      </w:r>
      <w:r w:rsidRPr="004E053C">
        <w:rPr>
          <w:rFonts w:eastAsia="Times New Roman" w:cstheme="majorHAnsi"/>
          <w:sz w:val="22"/>
          <w:szCs w:val="22"/>
          <w:lang w:val="en-GB"/>
        </w:rPr>
        <w:instrText>ADDIN CSL_CITATION {"citationItems":[{"id":"ITEM-1","itemData":{"author":[{"dropping-particle":"","family":"Gutmann","given":"M.","non-dropping-particle":"","parse-names":false,"suffix":""}],"id":"ITEM-1","issued":{"date-parts":[["1996"]]},"publisher":"University of California Press","publisher-place":"Berkeley","title":"The Meanings of Macho. Being a Man in Mexico City","type":"book"},"uris":["http://www.mendeley.com/documents/?uuid=5fbdeb14-716d-44ef-b9b9-9054c03af6e4"]}],"mendeley":{"formattedCitation":"(Gutmann, 1996)","manualFormatting":"(Gutmann, 1996, p.7)","plainTextFormattedCitation":"(Gutmann, 1996)","previouslyFormattedCitation":"(Gutmann, 1996)"},"properties":{"noteIndex":0},"schema":"https://github.com/citation-style-language/schema/raw/master/csl-citation.json"}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(Gutmann, 1996, p.7)</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However, analysing beneath the level of the household unit to reveal intra-household </w:t>
      </w:r>
      <w:r w:rsidRPr="004E053C">
        <w:rPr>
          <w:rFonts w:cstheme="majorHAnsi"/>
          <w:sz w:val="22"/>
          <w:szCs w:val="22"/>
          <w:lang w:val="en-GB"/>
        </w:rPr>
        <w:t xml:space="preserve">decision-making processes highlights an interesting point about women’s level of influence in migratory decisions, as three of the women said they had little or no input. For </w:t>
      </w:r>
      <w:r w:rsidRPr="004E053C">
        <w:rPr>
          <w:rFonts w:cstheme="majorHAnsi"/>
          <w:sz w:val="22"/>
          <w:szCs w:val="22"/>
          <w:lang w:val="en-GB"/>
        </w:rPr>
        <w:lastRenderedPageBreak/>
        <w:t xml:space="preserve">example, </w:t>
      </w:r>
      <w:r w:rsidR="001B115B" w:rsidRPr="004E053C">
        <w:rPr>
          <w:rFonts w:cstheme="majorHAnsi"/>
          <w:sz w:val="22"/>
          <w:szCs w:val="22"/>
          <w:lang w:val="en-GB"/>
        </w:rPr>
        <w:t>Chaska</w:t>
      </w:r>
      <w:r w:rsidRPr="004E053C">
        <w:rPr>
          <w:rFonts w:cstheme="majorHAnsi"/>
          <w:sz w:val="22"/>
          <w:szCs w:val="22"/>
          <w:lang w:val="en-GB"/>
        </w:rPr>
        <w:t xml:space="preserve"> said that it was entirely her husband’s choice to engage in ASM and there was no input from her, despite the fact that she became very sad about it even when he first suggested it. Her husband had also decided that she should go and stay with him for some months in La Pampa in 2016, and for how long she should stay. This adds to evidence from the wider migration literature which point to the inaccuracies in the widely-held belief that migration is driven by collective calculations or household-wide strategies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{"citationItems":[{"id":"ITEM-1","itemData":{"author":[{"dropping-particle":"","family":"Hondagneu-Sotelo","given":"P.","non-dropping-particle":"","parse-names":false,"suffix":""}],"id":"ITEM-1","issued":{"date-parts":[["1994"]]},"publisher":"University of California Press","publisher-place":"Berkeley","title":"Gendered Transitions","type":"book"},"uris":["http://www.mendeley.com/documents/?uuid=d7c9fda5-7833-4e92-b3d9-a719dd2b2e5e"]}],"mendeley":{"formattedCitation":"(Hondagneu-Sotelo, 1994)","plainTextFormattedCitation":"(Hondagneu-Sotelo, 1994)","previouslyFormattedCitation":"(Hondagneu-Sotelo, 1994)"},"properties":{"noteIndex":0},"schema":"https://github.com/citation-style-language/schema/raw/master/csl-citation.json"}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(Hondagneu-Sotelo, 1994)</w:t>
      </w:r>
      <w:r w:rsidRPr="004E053C">
        <w:rPr>
          <w:rFonts w:cstheme="majorHAnsi"/>
          <w:sz w:val="22"/>
          <w:szCs w:val="22"/>
          <w:lang w:val="en-GB"/>
        </w:rPr>
        <w:fldChar w:fldCharType="end"/>
      </w:r>
      <w:r w:rsidRPr="004E053C">
        <w:rPr>
          <w:rFonts w:cstheme="majorHAnsi"/>
          <w:sz w:val="22"/>
          <w:szCs w:val="22"/>
          <w:lang w:val="en-GB"/>
        </w:rPr>
        <w:t xml:space="preserve">, which has led some to question the very notion of </w:t>
      </w:r>
      <w:r w:rsidRPr="004E053C">
        <w:rPr>
          <w:rFonts w:eastAsia="Times New Roman" w:cstheme="majorHAnsi"/>
          <w:sz w:val="22"/>
          <w:szCs w:val="22"/>
          <w:lang w:val="en-GB"/>
        </w:rPr>
        <w:t xml:space="preserve">the term ‘household strategy’ </w:t>
      </w:r>
      <w:r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{"citationItems":[{"id":"ITEM-1","itemData":{"abstract":"When analysing migration processes, particular problems arise due to the phenomenon of migration rarely being addressed holistically – largely because of its complexity. This is evident in the study of South–North migrations, where the majority of existing research has been through an economic perspective often neglecting the sociocultural dimensions. In this article, we consider the situation of men and women in West Africa who do not migrate despite living in communities saturated by intense emigration to European or other Northern countries. We review the existing literature on ‘those left behind’ in general, and more specifically in the West African context and then, based on a case study in Senegal, we examine the processes that lead some people to stay behind, while others migrate. In this article, we discuss and deconstruct the label ‘left-behind’ as found in the literature and discuss it based on qualitative interviews conducted in a community in Senegal.","author":[{"dropping-particle":"","family":"Mondain","given":"Nathalie","non-dropping-particle":"","parse-names":false,"suffix":""},{"dropping-particle":"","family":"Daigne","given":"Alioune","non-dropping-particle":"","parse-names":false,"suffix":""}],"container-title":"Journal of Intercultural Studies","id":"ITEM-1","issue":"5","issued":{"date-parts":[["2013"]]},"page":"503-516","title":"Discerning the reality of ‘those left behind’ in contemporary migration processes in sub-Saharan Africa: some theoretical reflections in the light of data from Senegal","type":"article-journal","volume":"34"},"uris":["http://www.mendeley.com/documents/?uuid=808438ab-7a72-44d3-b9db-0cdc5adb0872"]}],"mendeley":{"formattedCitation":"(Mondain &amp; Daigne, 2013)","plainTextFormattedCitation":"(Mondain &amp; Daigne, 2013)","previouslyFormattedCitation":"(Mondain &amp; Daigne, 2013)"},"properties":{"noteIndex":0},"schema":"https://github.com/citation-style-language/schema/raw/master/csl-citation.json"}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(Mondain &amp; Daigne, 2013)</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w:t>
      </w:r>
    </w:p>
    <w:p w14:paraId="265DB21A" w14:textId="77777777" w:rsidR="00F2183E" w:rsidRPr="004E053C" w:rsidRDefault="00F2183E" w:rsidP="004E053C">
      <w:pPr>
        <w:spacing w:line="360" w:lineRule="auto"/>
        <w:jc w:val="both"/>
        <w:rPr>
          <w:rFonts w:eastAsia="Times New Roman" w:cstheme="majorHAnsi"/>
          <w:sz w:val="22"/>
          <w:szCs w:val="22"/>
          <w:lang w:val="en-GB"/>
        </w:rPr>
      </w:pPr>
    </w:p>
    <w:p w14:paraId="738653A1" w14:textId="129C1FE3"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However, within the context of ASM, some women have had more influence over their household’s livelihood strategy. In some cases, this has been because they knew more about the dangers inherent in mining and could use that to set limits on migration periods. This is particularly true where women have personally experienced life in the mining camps, as they know more about the physical risks of mining activity as well as the levels of crime and promiscuity. Others have been able to have more of an influence because it was their family and kin networks that their husband utilised to find work. This adds to th</w:t>
      </w:r>
      <w:r w:rsidR="009F56C9" w:rsidRPr="004E053C">
        <w:rPr>
          <w:rFonts w:cstheme="majorHAnsi"/>
          <w:sz w:val="22"/>
          <w:szCs w:val="22"/>
          <w:lang w:val="en-GB"/>
        </w:rPr>
        <w:t xml:space="preserve">e </w:t>
      </w:r>
      <w:r w:rsidRPr="004E053C">
        <w:rPr>
          <w:rFonts w:cstheme="majorHAnsi"/>
          <w:sz w:val="22"/>
          <w:szCs w:val="22"/>
          <w:lang w:val="en-GB"/>
        </w:rPr>
        <w:t>understanding of social networks in the ASM literature, as while there is a lot of work illustrating how men build networks in camps or draw on existing ones to find work</w:t>
      </w:r>
      <w:r w:rsidR="00177C64" w:rsidRPr="004E053C">
        <w:rPr>
          <w:rFonts w:cstheme="majorHAnsi"/>
          <w:sz w:val="22"/>
          <w:szCs w:val="22"/>
          <w:lang w:val="en-GB"/>
        </w:rPr>
        <w:t xml:space="preserve"> </w:t>
      </w:r>
      <w:r w:rsidR="00177C6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{"citationItems":[{"id":"ITEM-1","itemData":{"abstract":"The article addresses friendship relations among male artisanal gold miners in West Africa, exemplified by case studies from Northern Benin. I will argue that friendship is an important element in understanding the fluid social configurations in the mining region. In the new social environment, immigrants develop new ties among themselves and to the local societies. I will explore the general logic of friendship bonds in that area and discuss their integrative strength as well as their limits. In the context of gold mining, strategies of economic as well as social risk minimisation incline many migrants to create friendship bonds. Parity in income sharing is more likely to be established among friends than among kinsmen. Friendship is specifically relevant to integrate people of very different regional, ethnic and social backgrounds. Despite the many divergent interests between different economic actors, locals and immigrants, there are multiple bonds which give rise to different levels of social integration","author":[{"dropping-particle":"","family":"Grätz","given":"Tilo","non-dropping-particle":"","parse-names":false,"suffix":""}],"container-title":"Africa Spectrum","id":"ITEM-1","issue":"1","issued":{"date-parts":[["2004"]]},"page":"95-117","title":"Friendship ties among young artisanal gold miners in northern Benin","type":"article-journal","volume":"39"},"uris":["http://www.mendeley.com/documents/?uuid=631c2928-d206-4553-9dc8-cdef02d54887"]},{"id":"ITEM-2","itemData":{"abstract":"African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Change","id":"ITEM-2","issue":"2","issued":{"date-parts":[["2009"]]},"page":"249-279","title":"Rushing for gold: mobility and small-scale mining in East Africa","type":"article-journal","volume":"40"},"uris":["http://www.mendeley.com/documents/?uuid=de9c4f73-7d08-4fe3-9443-72b7c45b2369"]},{"id":"ITEM-3","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-3","issued":{"date-parts":[["2010"]]},"page":"111-132","publisher":"Brill","publisher-place":"Leiden","title":"Following the hills: gold mining camps as heterotopias","type":"chapter"},"uris":["http://www.mendeley.com/documents/?uuid=83603393-cc44-4264-a8c3-b78d02289a5a"]}],"mendeley":{"formattedCitation":"(Grätz, 2004a; Jønsson &amp; Bryceson, 2009; Werthmann, 2010)","plainTextFormattedCitation":"(Grätz, 2004a; Jønsson &amp; Bryceson, 2009; Werthmann, 2010)","previouslyFormattedCitation":"(Grätz, 2004a; Jønsson &amp; Bryceson, 2009; Werthmann, 2010)"},"properties":{"noteIndex":0},"schema":"https://github.com/citation-style-language/schema/raw/master/csl-citation.json"}</w:instrText>
      </w:r>
      <w:r w:rsidR="00177C64" w:rsidRPr="004E053C">
        <w:rPr>
          <w:rFonts w:cstheme="majorHAnsi"/>
          <w:sz w:val="22"/>
          <w:szCs w:val="22"/>
          <w:lang w:val="en-GB"/>
        </w:rPr>
        <w:fldChar w:fldCharType="separate"/>
      </w:r>
      <w:r w:rsidR="00177C64" w:rsidRPr="004E053C">
        <w:rPr>
          <w:rFonts w:cstheme="majorHAnsi"/>
          <w:noProof/>
          <w:sz w:val="22"/>
          <w:szCs w:val="22"/>
          <w:lang w:val="en-GB"/>
        </w:rPr>
        <w:t>(Grätz, 2004a; Jønsson &amp; Bryceson, 2009; Werthmann, 2010)</w:t>
      </w:r>
      <w:r w:rsidR="00177C64" w:rsidRPr="004E053C">
        <w:rPr>
          <w:rFonts w:cstheme="majorHAnsi"/>
          <w:sz w:val="22"/>
          <w:szCs w:val="22"/>
          <w:lang w:val="en-GB"/>
        </w:rPr>
        <w:fldChar w:fldCharType="end"/>
      </w:r>
      <w:r w:rsidRPr="004E053C">
        <w:rPr>
          <w:rFonts w:cstheme="majorHAnsi"/>
          <w:sz w:val="22"/>
          <w:szCs w:val="22"/>
          <w:lang w:val="en-GB"/>
        </w:rPr>
        <w:t>, it has rarely been acknowledged that these connections may be provided by women. This is an inter</w:t>
      </w:r>
      <w:r w:rsidR="00923CFD" w:rsidRPr="004E053C">
        <w:rPr>
          <w:rFonts w:cstheme="majorHAnsi"/>
          <w:sz w:val="22"/>
          <w:szCs w:val="22"/>
          <w:lang w:val="en-GB"/>
        </w:rPr>
        <w:t xml:space="preserve">esting omission, given the high </w:t>
      </w:r>
      <w:r w:rsidRPr="004E053C">
        <w:rPr>
          <w:rFonts w:cstheme="majorHAnsi"/>
          <w:sz w:val="22"/>
          <w:szCs w:val="22"/>
          <w:lang w:val="en-GB"/>
        </w:rPr>
        <w:t xml:space="preserve">importance that women's ‘supposed disposition for social capital maintenance’ has traditionally been given elsewhere </w:t>
      </w:r>
      <w:r w:rsidRPr="004E053C">
        <w:rPr>
          <w:rFonts w:cstheme="majorHAnsi"/>
          <w:sz w:val="22"/>
          <w:szCs w:val="22"/>
          <w:lang w:val="en-GB"/>
        </w:rPr>
        <w:fldChar w:fldCharType="begin" w:fldLock="1"/>
      </w:r>
      <w:r w:rsidR="00177C64" w:rsidRPr="004E053C">
        <w:rPr>
          <w:rFonts w:cstheme="majorHAnsi"/>
          <w:sz w:val="22"/>
          <w:szCs w:val="22"/>
          <w:lang w:val="en-GB"/>
        </w:rPr>
        <w:instrText>ADDIN CSL_CITATION {"citationItems":[{"id":"ITEM-1","itemData":{"author":[{"dropping-particle":"","family":"Molyneux","given":"Maxine","non-dropping-particle":"","parse-names":false,"suffix":""}],"container-title":"Development and Change","id":"ITEM-1","issue":"2","issued":{"date-parts":[["2002"]]},"page":"167-188","title":"Gender and the silences of social capital: lessons from Latin America","type":"article-journal","volume":"33"},"uris":["http://www.mendeley.com/documents/?uuid=f5e7dbc8-4cfa-46d8-9595-b98d63131729"]}],"mendeley":{"formattedCitation":"(Molyneux, 2002)","plainTextFormattedCitation":"(Molyneux, 2002)","previouslyFormattedCitation":"(Molyneux, 2002)"},"properties":{"noteIndex":0},"schema":"https://github.com/citation-style-language/schema/raw/master/csl-citation.json"}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(Molyneux, 2002)</w:t>
      </w:r>
      <w:r w:rsidRPr="004E053C">
        <w:rPr>
          <w:rFonts w:cstheme="majorHAnsi"/>
          <w:sz w:val="22"/>
          <w:szCs w:val="22"/>
          <w:lang w:val="en-GB"/>
        </w:rPr>
        <w:fldChar w:fldCharType="end"/>
      </w:r>
      <w:r w:rsidRPr="004E053C">
        <w:rPr>
          <w:rFonts w:cstheme="majorHAnsi"/>
          <w:sz w:val="22"/>
          <w:szCs w:val="22"/>
          <w:lang w:val="en-GB"/>
        </w:rPr>
        <w:t xml:space="preserve">. Another important observation here is that the extent to which women were involved in decision-making processes seems to have some bearing on the sustainability of that approach. For </w:t>
      </w:r>
      <w:r w:rsidR="001B115B" w:rsidRPr="004E053C">
        <w:rPr>
          <w:rFonts w:cstheme="majorHAnsi"/>
          <w:sz w:val="22"/>
          <w:szCs w:val="22"/>
          <w:lang w:val="en-GB"/>
        </w:rPr>
        <w:t>Illary</w:t>
      </w:r>
      <w:r w:rsidRPr="004E053C">
        <w:rPr>
          <w:rFonts w:cstheme="majorHAnsi"/>
          <w:sz w:val="22"/>
          <w:szCs w:val="22"/>
          <w:lang w:val="en-GB"/>
        </w:rPr>
        <w:t xml:space="preserve"> and </w:t>
      </w:r>
      <w:r w:rsidR="001B115B" w:rsidRPr="004E053C">
        <w:rPr>
          <w:rFonts w:cstheme="majorHAnsi"/>
          <w:sz w:val="22"/>
          <w:szCs w:val="22"/>
          <w:lang w:val="en-GB"/>
        </w:rPr>
        <w:t>Chaska</w:t>
      </w:r>
      <w:r w:rsidRPr="004E053C">
        <w:rPr>
          <w:rFonts w:cstheme="majorHAnsi"/>
          <w:sz w:val="22"/>
          <w:szCs w:val="22"/>
          <w:lang w:val="en-GB"/>
        </w:rPr>
        <w:t xml:space="preserve">, the lack of influence and participation in decision-making seems to be linked to the visible breakdown in the household. </w:t>
      </w:r>
    </w:p>
    <w:p w14:paraId="03432C92" w14:textId="77777777" w:rsidR="00F2183E" w:rsidRPr="004E053C" w:rsidRDefault="00F2183E" w:rsidP="004E053C">
      <w:pPr>
        <w:spacing w:line="360" w:lineRule="auto"/>
        <w:jc w:val="both"/>
        <w:rPr>
          <w:rFonts w:cstheme="majorHAnsi"/>
          <w:sz w:val="22"/>
          <w:szCs w:val="22"/>
          <w:lang w:val="en-GB"/>
        </w:rPr>
      </w:pPr>
    </w:p>
    <w:p w14:paraId="431191DD" w14:textId="50D3DA85" w:rsidR="00F2183E" w:rsidRPr="004E053C" w:rsidRDefault="00EA7F83" w:rsidP="004E053C">
      <w:pPr>
        <w:pStyle w:val="Heading3"/>
        <w:rPr>
          <w:rFonts w:asciiTheme="minorHAnsi" w:hAnsiTheme="minorHAnsi"/>
        </w:rPr>
      </w:pPr>
      <w:r w:rsidRPr="004E053C">
        <w:rPr>
          <w:rFonts w:asciiTheme="minorHAnsi" w:hAnsiTheme="minorHAnsi"/>
        </w:rPr>
        <w:t>7.2.2</w:t>
      </w:r>
      <w:r w:rsidR="004A3EF1" w:rsidRPr="004E053C">
        <w:rPr>
          <w:rFonts w:asciiTheme="minorHAnsi" w:hAnsiTheme="minorHAnsi"/>
        </w:rPr>
        <w:t>. Gendered m</w:t>
      </w:r>
      <w:r w:rsidR="00F2183E" w:rsidRPr="004E053C">
        <w:rPr>
          <w:rFonts w:asciiTheme="minorHAnsi" w:hAnsiTheme="minorHAnsi"/>
        </w:rPr>
        <w:t>obility</w:t>
      </w:r>
    </w:p>
    <w:p w14:paraId="1415A74D" w14:textId="77777777" w:rsidR="00F2183E" w:rsidRPr="004E053C" w:rsidRDefault="00F2183E" w:rsidP="004E053C">
      <w:pPr>
        <w:spacing w:line="360" w:lineRule="auto"/>
        <w:jc w:val="both"/>
        <w:rPr>
          <w:rFonts w:cstheme="majorHAnsi"/>
          <w:sz w:val="22"/>
          <w:szCs w:val="22"/>
          <w:u w:val="single"/>
          <w:lang w:val="en-GB"/>
        </w:rPr>
      </w:pPr>
    </w:p>
    <w:p w14:paraId="1DC0018D" w14:textId="3152CC70" w:rsidR="00F2183E" w:rsidRPr="004E053C" w:rsidRDefault="003A35B4" w:rsidP="004E053C">
      <w:pPr>
        <w:spacing w:line="360" w:lineRule="auto"/>
        <w:jc w:val="both"/>
        <w:rPr>
          <w:rFonts w:cstheme="majorHAnsi"/>
          <w:sz w:val="22"/>
          <w:szCs w:val="22"/>
          <w:lang w:val="en-GB"/>
        </w:rPr>
      </w:pPr>
      <w:r w:rsidRPr="004E053C">
        <w:rPr>
          <w:rFonts w:cstheme="majorHAnsi"/>
          <w:sz w:val="22"/>
          <w:szCs w:val="22"/>
          <w:lang w:val="en-GB"/>
        </w:rPr>
        <w:t>A</w:t>
      </w:r>
      <w:r w:rsidR="00F2183E" w:rsidRPr="004E053C">
        <w:rPr>
          <w:rFonts w:cstheme="majorHAnsi"/>
          <w:sz w:val="22"/>
          <w:szCs w:val="22"/>
          <w:lang w:val="en-GB"/>
        </w:rPr>
        <w:t xml:space="preserve">ccess to migration </w:t>
      </w:r>
      <w:r w:rsidRPr="004E053C">
        <w:rPr>
          <w:rFonts w:cstheme="majorHAnsi"/>
          <w:sz w:val="22"/>
          <w:szCs w:val="22"/>
          <w:lang w:val="en-GB"/>
        </w:rPr>
        <w:t xml:space="preserve">has been shown to </w:t>
      </w:r>
      <w:r w:rsidR="00F2183E" w:rsidRPr="004E053C">
        <w:rPr>
          <w:rFonts w:cstheme="majorHAnsi"/>
          <w:sz w:val="22"/>
          <w:szCs w:val="22"/>
          <w:lang w:val="en-GB"/>
        </w:rPr>
        <w:t>var</w:t>
      </w:r>
      <w:r w:rsidRPr="004E053C">
        <w:rPr>
          <w:rFonts w:cstheme="majorHAnsi"/>
          <w:sz w:val="22"/>
          <w:szCs w:val="22"/>
          <w:lang w:val="en-GB"/>
        </w:rPr>
        <w:t>y</w:t>
      </w:r>
      <w:r w:rsidR="00F2183E" w:rsidRPr="004E053C">
        <w:rPr>
          <w:rFonts w:cstheme="majorHAnsi"/>
          <w:sz w:val="22"/>
          <w:szCs w:val="22"/>
          <w:lang w:val="en-GB"/>
        </w:rPr>
        <w:t xml:space="preserve"> greatly depending on one’s socioeconomic, political and cultural positions, of which one’s gender is an important factor </w:t>
      </w:r>
      <w:r w:rsidR="00177C64"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{"citationItems":[{"id":"ITEM-1","itemData":{"author":[{"dropping-particle":"","family":"Cresswell","given":"Tim","non-dropping-particle":"","parse-names":false,"suffix":""}],"container-title":"Environment and Planning D: Society and Space","id":"ITEM-1","issued":{"date-parts":[["2010"]]},"page":"17-31","title":"Towards a politics of mobility","type":"article-journal","volume":"28"},"uris":["http://www.mendeley.com/documents/?uuid=ac0ef0f5-4fcb-46b4-908f-eeddfb755126"]},{"id":"ITEM-2","itemData":{"author":[{"dropping-particle":"","family":"Winters","given":"Nanneke","non-dropping-particle":"","parse-names":false,"suffix":""}],"container-title":"Geoforum","id":"ITEM-2","issued":{"date-parts":[["2019"]]},"page":"xx","title":"Beyond the bird in the cage? Translocal embodiment and trajectories of Nicaraguan female migrants in Seville, Spain","type":"article-journal","volume":"In press"},"uris":["http://www.mendeley.com/documents/?uuid=2aa319ff-b400-46b1-8f07-077af6e026a1"]}],"mendeley":{"formattedCitation":"(Cresswell, 2010; Winters, 2019)","manualFormatting":"(Creswell, 2010; Winters, 2019)","plainTextFormattedCitation":"(Cresswell, 2010; Winters, 2019)","previouslyFormattedCitation":"(Cresswell, 2010; Winters, 2019)"},"properties":{"noteIndex":0},"schema":"https://github.com/citation-style-language/schema/raw/master/csl-citation.json"}</w:instrText>
      </w:r>
      <w:r w:rsidR="00177C64" w:rsidRPr="004E053C">
        <w:rPr>
          <w:rFonts w:cstheme="majorHAnsi"/>
          <w:sz w:val="22"/>
          <w:szCs w:val="22"/>
          <w:lang w:val="en-GB"/>
        </w:rPr>
        <w:fldChar w:fldCharType="separate"/>
      </w:r>
      <w:r w:rsidR="00177C64" w:rsidRPr="004E053C">
        <w:rPr>
          <w:rFonts w:cstheme="majorHAnsi"/>
          <w:noProof/>
          <w:sz w:val="22"/>
          <w:szCs w:val="22"/>
          <w:lang w:val="en-GB"/>
        </w:rPr>
        <w:t>(Creswell, 2010; Winters, 2019)</w:t>
      </w:r>
      <w:r w:rsidR="00177C64" w:rsidRPr="004E053C">
        <w:rPr>
          <w:rFonts w:cstheme="majorHAnsi"/>
          <w:sz w:val="22"/>
          <w:szCs w:val="22"/>
          <w:lang w:val="en-GB"/>
        </w:rPr>
        <w:fldChar w:fldCharType="end"/>
      </w:r>
      <w:r w:rsidR="00923CFD" w:rsidRPr="004E053C">
        <w:rPr>
          <w:rFonts w:cstheme="majorHAnsi"/>
          <w:sz w:val="22"/>
          <w:szCs w:val="22"/>
          <w:lang w:val="en-GB"/>
        </w:rPr>
        <w:t>. This is reflected in table 7</w:t>
      </w:r>
      <w:r w:rsidR="00F2183E" w:rsidRPr="004E053C">
        <w:rPr>
          <w:rFonts w:cstheme="majorHAnsi"/>
          <w:sz w:val="22"/>
          <w:szCs w:val="22"/>
          <w:lang w:val="en-GB"/>
        </w:rPr>
        <w:t xml:space="preserve">.1 above, which shows that married women are less able to travel to mining sites than married men, particularly if they are unaccompanied. This is perhaps to be expected, as it is often assumed that not only are women less motivated by self-serving individualism, but also, due to their responsibilities in reproductive work, they have stronger developed family and neighbourhood ties and are thus less likely to migrate </w:t>
      </w:r>
      <w:r w:rsidR="00177C64" w:rsidRPr="004E053C">
        <w:rPr>
          <w:rFonts w:cstheme="majorHAnsi"/>
          <w:sz w:val="22"/>
          <w:szCs w:val="22"/>
          <w:lang w:val="en-GB"/>
        </w:rPr>
        <w:fldChar w:fldCharType="begin" w:fldLock="1"/>
      </w:r>
      <w:r w:rsidR="00177C64" w:rsidRPr="004E053C">
        <w:rPr>
          <w:rFonts w:cstheme="majorHAnsi"/>
          <w:sz w:val="22"/>
          <w:szCs w:val="22"/>
          <w:lang w:val="en-GB"/>
        </w:rPr>
        <w:instrText>ADDIN CSL_CITATION {"citationItems":[{"id":"ITEM-1","itemData":{"author":[{"dropping-particle":"","family":"Molyneux","given":"Maxine","non-dropping-particle":"","parse-names":false,"suffix":""}],"container-title":"Development and Change","id":"ITEM-1","issue":"2","issued":{"date-parts":[["2002"]]},"page":"167-188","title":"Gender and the silences of social capital: lessons from Latin America","type":"article-journal","volume":"33"},"uris":["http://www.mendeley.com/documents/?uuid=f5e7dbc8-4cfa-46d8-9595-b98d63131729"]}],"mendeley":{"formattedCitation":"(Molyneux, 2002)","plainTextFormattedCitation":"(Molyneux, 2002)","previouslyFormattedCitation":"(Molyneux, 2002)"},"properties":{"noteIndex":0},"schema":"https://github.com/citation-style-language/schema/raw/master/csl-citation.json"}</w:instrText>
      </w:r>
      <w:r w:rsidR="00177C64" w:rsidRPr="004E053C">
        <w:rPr>
          <w:rFonts w:cstheme="majorHAnsi"/>
          <w:sz w:val="22"/>
          <w:szCs w:val="22"/>
          <w:lang w:val="en-GB"/>
        </w:rPr>
        <w:fldChar w:fldCharType="separate"/>
      </w:r>
      <w:r w:rsidR="00177C64" w:rsidRPr="004E053C">
        <w:rPr>
          <w:rFonts w:cstheme="majorHAnsi"/>
          <w:noProof/>
          <w:sz w:val="22"/>
          <w:szCs w:val="22"/>
          <w:lang w:val="en-GB"/>
        </w:rPr>
        <w:t>(Molyneux, 2002)</w:t>
      </w:r>
      <w:r w:rsidR="00177C64" w:rsidRPr="004E053C">
        <w:rPr>
          <w:rFonts w:cstheme="majorHAnsi"/>
          <w:sz w:val="22"/>
          <w:szCs w:val="22"/>
          <w:lang w:val="en-GB"/>
        </w:rPr>
        <w:fldChar w:fldCharType="end"/>
      </w:r>
      <w:r w:rsidR="00F2183E" w:rsidRPr="004E053C">
        <w:rPr>
          <w:rFonts w:cstheme="majorHAnsi"/>
          <w:sz w:val="22"/>
          <w:szCs w:val="22"/>
          <w:lang w:val="en-GB"/>
        </w:rPr>
        <w:t xml:space="preserve">. These trends are even more pronounced in Latin American culture, where gendered divisions of labour are strongly </w:t>
      </w:r>
      <w:r w:rsidR="00F2183E" w:rsidRPr="004E053C">
        <w:rPr>
          <w:rFonts w:cstheme="majorHAnsi"/>
          <w:sz w:val="22"/>
          <w:szCs w:val="22"/>
          <w:lang w:val="en-GB"/>
        </w:rPr>
        <w:lastRenderedPageBreak/>
        <w:t xml:space="preserve">reinforced by the Catholic Church and its emphasis on motherhood in women’s identity </w:t>
      </w:r>
      <w:r w:rsidR="00BD3790" w:rsidRPr="004E053C">
        <w:rPr>
          <w:rFonts w:cstheme="majorHAnsi"/>
          <w:sz w:val="22"/>
          <w:szCs w:val="22"/>
          <w:lang w:val="en-GB"/>
        </w:rPr>
        <w:fldChar w:fldCharType="begin" w:fldLock="1"/>
      </w:r>
      <w:r w:rsidR="00A446DD" w:rsidRPr="004E053C">
        <w:rPr>
          <w:rFonts w:cstheme="majorHAnsi"/>
          <w:sz w:val="22"/>
          <w:szCs w:val="22"/>
          <w:lang w:val="en-GB"/>
        </w:rPr>
        <w:instrText>ADDIN CSL_CITATION {"citationItems":[{"id":"ITEM-1","itemData":{"author":[{"dropping-particle":"","family":"Molyneux","given":"Maxine","non-dropping-particle":"","parse-names":false,"suffix":""}],"container-title":"Development and Change","id":"ITEM-1","issue":"2","issued":{"date-parts":[["2002"]]},"page":"167-188","title":"Gender and the silences of social capital: lessons from Latin America","type":"article-journal","volume":"33"},"uris":["http://www.mendeley.com/documents/?uuid=f5e7dbc8-4cfa-46d8-9595-b98d63131729"]}],"mendeley":{"formattedCitation":"(Molyneux, 2002)","manualFormatting":"(Ibid.)","plainTextFormattedCitation":"(Molyneux, 2002)","previouslyFormattedCitation":"(Molyneux, 2002)"},"properties":{"noteIndex":0},"schema":"https://github.com/citation-style-language/schema/raw/master/csl-citation.json"}</w:instrText>
      </w:r>
      <w:r w:rsidR="00BD3790" w:rsidRPr="004E053C">
        <w:rPr>
          <w:rFonts w:cstheme="majorHAnsi"/>
          <w:sz w:val="22"/>
          <w:szCs w:val="22"/>
          <w:lang w:val="en-GB"/>
        </w:rPr>
        <w:fldChar w:fldCharType="separate"/>
      </w:r>
      <w:r w:rsidR="00BD3790" w:rsidRPr="004E053C">
        <w:rPr>
          <w:rFonts w:cstheme="majorHAnsi"/>
          <w:noProof/>
          <w:sz w:val="22"/>
          <w:szCs w:val="22"/>
          <w:lang w:val="en-GB"/>
        </w:rPr>
        <w:t>(Ibid.)</w:t>
      </w:r>
      <w:r w:rsidR="00BD3790" w:rsidRPr="004E053C">
        <w:rPr>
          <w:rFonts w:cstheme="majorHAnsi"/>
          <w:sz w:val="22"/>
          <w:szCs w:val="22"/>
          <w:lang w:val="en-GB"/>
        </w:rPr>
        <w:fldChar w:fldCharType="end"/>
      </w:r>
      <w:r w:rsidR="00BD3790" w:rsidRPr="004E053C">
        <w:rPr>
          <w:rFonts w:cstheme="majorHAnsi"/>
          <w:sz w:val="22"/>
          <w:szCs w:val="22"/>
          <w:lang w:val="en-GB"/>
        </w:rPr>
        <w:t>.</w:t>
      </w:r>
      <w:r w:rsidR="00923CFD" w:rsidRPr="004E053C">
        <w:rPr>
          <w:rFonts w:cstheme="majorHAnsi"/>
          <w:sz w:val="22"/>
          <w:szCs w:val="22"/>
          <w:lang w:val="en-GB"/>
        </w:rPr>
        <w:t xml:space="preserve"> Yet while Table 7</w:t>
      </w:r>
      <w:r w:rsidR="00F2183E" w:rsidRPr="004E053C">
        <w:rPr>
          <w:rFonts w:cstheme="majorHAnsi"/>
          <w:sz w:val="22"/>
          <w:szCs w:val="22"/>
          <w:lang w:val="en-GB"/>
        </w:rPr>
        <w:t xml:space="preserve">.1 above points to women’s immobility, a deeper analysis is needed to uncover the realities of women’s migration to the mining sites of Madre de Dios. </w:t>
      </w:r>
    </w:p>
    <w:p w14:paraId="6A084A1F" w14:textId="77777777" w:rsidR="00F2183E" w:rsidRPr="004E053C" w:rsidRDefault="00F2183E" w:rsidP="004E053C">
      <w:pPr>
        <w:spacing w:line="360" w:lineRule="auto"/>
        <w:jc w:val="both"/>
        <w:rPr>
          <w:rFonts w:cstheme="majorHAnsi"/>
          <w:sz w:val="22"/>
          <w:szCs w:val="22"/>
          <w:lang w:val="en-GB"/>
        </w:rPr>
      </w:pPr>
    </w:p>
    <w:p w14:paraId="5B10878A" w14:textId="5BC8595F" w:rsidR="00F2183E" w:rsidRPr="004E053C" w:rsidRDefault="00923CFD" w:rsidP="004E053C">
      <w:pPr>
        <w:spacing w:line="360" w:lineRule="auto"/>
        <w:jc w:val="both"/>
        <w:rPr>
          <w:rFonts w:cstheme="majorHAnsi"/>
          <w:sz w:val="22"/>
          <w:szCs w:val="22"/>
          <w:lang w:val="en-GB"/>
        </w:rPr>
      </w:pPr>
      <w:r w:rsidRPr="004E053C">
        <w:rPr>
          <w:rFonts w:cstheme="majorHAnsi"/>
          <w:sz w:val="22"/>
          <w:szCs w:val="22"/>
          <w:lang w:val="en-GB"/>
        </w:rPr>
        <w:t>As Table 7</w:t>
      </w:r>
      <w:r w:rsidR="00F2183E" w:rsidRPr="004E053C">
        <w:rPr>
          <w:rFonts w:cstheme="majorHAnsi"/>
          <w:sz w:val="22"/>
          <w:szCs w:val="22"/>
          <w:lang w:val="en-GB"/>
        </w:rPr>
        <w:t xml:space="preserve">.2 below shows, in twelve of the mining households interviewed in Ocongate, the women had never lived or worked in the mining settlements and had remained in Ocongate whilst their husband was away. For these women, their mobility is limited, although they are still incorporated into a translocal livelihood. Mobility must be seen as a socialised movement, imbued with meaning and power </w:t>
      </w:r>
      <w:r w:rsidR="00177C64"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{"citationItems":[{"id":"ITEM-1","itemData":{"author":[{"dropping-particle":"","family":"Cresswell","given":"Tim","non-dropping-particle":"","parse-names":false,"suffix":""}],"container-title":"Environment and Planning D: Society and Space","id":"ITEM-1","issued":{"date-parts":[["2010"]]},"page":"17-31","title":"Towards a politics of mobility","type":"article-journal","volume":"28"},"uris":["http://www.mendeley.com/documents/?uuid=ac0ef0f5-4fcb-46b4-908f-eeddfb755126"]}],"mendeley":{"formattedCitation":"(Cresswell, 2010)","manualFormatting":"(Creswell, 2010)","plainTextFormattedCitation":"(Cresswell, 2010)","previouslyFormattedCitation":"(Cresswell, 2010)"},"properties":{"noteIndex":0},"schema":"https://github.com/citation-style-language/schema/raw/master/csl-citation.json"}</w:instrText>
      </w:r>
      <w:r w:rsidR="00177C64" w:rsidRPr="004E053C">
        <w:rPr>
          <w:rFonts w:cstheme="majorHAnsi"/>
          <w:sz w:val="22"/>
          <w:szCs w:val="22"/>
          <w:lang w:val="en-GB"/>
        </w:rPr>
        <w:fldChar w:fldCharType="separate"/>
      </w:r>
      <w:r w:rsidR="00177C64" w:rsidRPr="004E053C">
        <w:rPr>
          <w:rFonts w:cstheme="majorHAnsi"/>
          <w:noProof/>
          <w:sz w:val="22"/>
          <w:szCs w:val="22"/>
          <w:lang w:val="en-GB"/>
        </w:rPr>
        <w:t>(Creswell, 2010)</w:t>
      </w:r>
      <w:r w:rsidR="00177C64" w:rsidRPr="004E053C">
        <w:rPr>
          <w:rFonts w:cstheme="majorHAnsi"/>
          <w:sz w:val="22"/>
          <w:szCs w:val="22"/>
          <w:lang w:val="en-GB"/>
        </w:rPr>
        <w:fldChar w:fldCharType="end"/>
      </w:r>
      <w:r w:rsidR="00F2183E" w:rsidRPr="004E053C">
        <w:rPr>
          <w:rFonts w:cstheme="majorHAnsi"/>
          <w:sz w:val="22"/>
          <w:szCs w:val="22"/>
          <w:lang w:val="en-GB"/>
        </w:rPr>
        <w:t xml:space="preserve">. Thus the immobility of these women, which roots them to a place, represents an important point of consideration within the translocal ASM community. It would appear that the mining sites are considered too dangerous for some women to live in, reflecting how in the context of artisanal mining settlements, women’s bodies ‘perform and materialise fear’, similar to travelling out at night or in other public spaces </w:t>
      </w:r>
      <w:r w:rsidR="00177C6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{"citationItems":[{"id":"ITEM-1","itemData":{"author":[{"dropping-particle":"","family":"Silvey","given":"Rachel","non-dropping-particle":"","parse-names":false,"suffix":""}],"container-title":"The International Migration Review","id":"ITEM-1","issue":"1","issued":{"date-parts":[["1996"]]},"page":"64-81","title":"Geographies of gender and migration: spatializing social difference","type":"article-journal","volume":"40"},"uris":["http://www.mendeley.com/documents/?uuid=d4a41cfd-376d-42d1-a32b-3b2d23598c20"]}],"mendeley":{"formattedCitation":"(Silvey, 1996)","plainTextFormattedCitation":"(Silvey, 1996)","previouslyFormattedCitation":"(Silvey, 1996)"},"properties":{"noteIndex":0},"schema":"https://github.com/citation-style-language/schema/raw/master/csl-citation.json"}</w:instrText>
      </w:r>
      <w:r w:rsidR="00177C64" w:rsidRPr="004E053C">
        <w:rPr>
          <w:rFonts w:cstheme="majorHAnsi"/>
          <w:sz w:val="22"/>
          <w:szCs w:val="22"/>
          <w:lang w:val="en-GB"/>
        </w:rPr>
        <w:fldChar w:fldCharType="separate"/>
      </w:r>
      <w:r w:rsidR="00177C64" w:rsidRPr="004E053C">
        <w:rPr>
          <w:rFonts w:cstheme="majorHAnsi"/>
          <w:noProof/>
          <w:sz w:val="22"/>
          <w:szCs w:val="22"/>
          <w:lang w:val="en-GB"/>
        </w:rPr>
        <w:t>(Silvey, 1996)</w:t>
      </w:r>
      <w:r w:rsidR="00177C64" w:rsidRPr="004E053C">
        <w:rPr>
          <w:rFonts w:cstheme="majorHAnsi"/>
          <w:sz w:val="22"/>
          <w:szCs w:val="22"/>
          <w:lang w:val="en-GB"/>
        </w:rPr>
        <w:fldChar w:fldCharType="end"/>
      </w:r>
      <w:r w:rsidR="00F2183E" w:rsidRPr="004E053C">
        <w:rPr>
          <w:rFonts w:cstheme="majorHAnsi"/>
          <w:sz w:val="22"/>
          <w:szCs w:val="22"/>
          <w:lang w:val="en-GB"/>
        </w:rPr>
        <w:t xml:space="preserve">. Thus, to some extent, movement to the mine site can make women ‘out of place’ </w:t>
      </w:r>
      <w:r w:rsidR="00177C64"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{"citationItems":[{"id":"ITEM-1","itemData":{"author":[{"dropping-particle":"","family":"Cresswell","given":"Tim","non-dropping-particle":"","parse-names":false,"suffix":""}],"id":"ITEM-1","issued":{"date-parts":[["1996"]]},"publisher":"University of Minnesota Press","publisher-place":"Minneapolis, MN","title":"In Place/Out of Place: Geography, Ideology and Transgression","type":"book"},"uris":["http://www.mendeley.com/documents/?uuid=17f6312b-970a-4412-9f2f-c45c38fbb6d0"]}],"mendeley":{"formattedCitation":"(Cresswell, 1996)","manualFormatting":"(Creswell, 1996)","plainTextFormattedCitation":"(Cresswell, 1996)","previouslyFormattedCitation":"(Cresswell, 1996)"},"properties":{"noteIndex":0},"schema":"https://github.com/citation-style-language/schema/raw/master/csl-citation.json"}</w:instrText>
      </w:r>
      <w:r w:rsidR="00177C64" w:rsidRPr="004E053C">
        <w:rPr>
          <w:rFonts w:cstheme="majorHAnsi"/>
          <w:sz w:val="22"/>
          <w:szCs w:val="22"/>
          <w:lang w:val="en-GB"/>
        </w:rPr>
        <w:fldChar w:fldCharType="separate"/>
      </w:r>
      <w:r w:rsidR="00177C64" w:rsidRPr="004E053C">
        <w:rPr>
          <w:rFonts w:cstheme="majorHAnsi"/>
          <w:noProof/>
          <w:sz w:val="22"/>
          <w:szCs w:val="22"/>
          <w:lang w:val="en-GB"/>
        </w:rPr>
        <w:t>(Creswell, 1996)</w:t>
      </w:r>
      <w:r w:rsidR="00177C64" w:rsidRPr="004E053C">
        <w:rPr>
          <w:rFonts w:cstheme="majorHAnsi"/>
          <w:sz w:val="22"/>
          <w:szCs w:val="22"/>
          <w:lang w:val="en-GB"/>
        </w:rPr>
        <w:fldChar w:fldCharType="end"/>
      </w:r>
      <w:r w:rsidR="00F2183E" w:rsidRPr="004E053C">
        <w:rPr>
          <w:rFonts w:cstheme="majorHAnsi"/>
          <w:sz w:val="22"/>
          <w:szCs w:val="22"/>
          <w:lang w:val="en-GB"/>
        </w:rPr>
        <w:t xml:space="preserve">, in the sense that ASM is an illegal and dirty activity, not something women are supposed to associate with. This brings up interesting questions from the migration literature for future consideration, such as who determines if ASM mining settlements places are accessible to women and how does this reflect and reinforce privileges and interests of some groups over others </w:t>
      </w:r>
      <w:r w:rsidR="00177C6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{"citationItems":[{"id":"ITEM-1","itemData":{"author":[{"dropping-particle":"","family":"Silvey","given":"Rachel","non-dropping-particle":"","parse-names":false,"suffix":""}],"container-title":"The International Migration Review","id":"ITEM-1","issue":"1","issued":{"date-parts":[["1996"]]},"page":"64-81","title":"Geographies of gender and migration: spatializing social difference","type":"article-journal","volume":"40"},"uris":["http://www.mendeley.com/documents/?uuid=d4a41cfd-376d-42d1-a32b-3b2d23598c20"]}],"mendeley":{"formattedCitation":"(Silvey, 1996)","plainTextFormattedCitation":"(Silvey, 1996)","previouslyFormattedCitation":"(Silvey, 1996)"},"properties":{"noteIndex":0},"schema":"https://github.com/citation-style-language/schema/raw/master/csl-citation.json"}</w:instrText>
      </w:r>
      <w:r w:rsidR="00177C64" w:rsidRPr="004E053C">
        <w:rPr>
          <w:rFonts w:cstheme="majorHAnsi"/>
          <w:sz w:val="22"/>
          <w:szCs w:val="22"/>
          <w:lang w:val="en-GB"/>
        </w:rPr>
        <w:fldChar w:fldCharType="separate"/>
      </w:r>
      <w:r w:rsidR="00177C64" w:rsidRPr="004E053C">
        <w:rPr>
          <w:rFonts w:cstheme="majorHAnsi"/>
          <w:noProof/>
          <w:sz w:val="22"/>
          <w:szCs w:val="22"/>
          <w:lang w:val="en-GB"/>
        </w:rPr>
        <w:t>(Silvey, 1996)</w:t>
      </w:r>
      <w:r w:rsidR="00177C64" w:rsidRPr="004E053C">
        <w:rPr>
          <w:rFonts w:cstheme="majorHAnsi"/>
          <w:sz w:val="22"/>
          <w:szCs w:val="22"/>
          <w:lang w:val="en-GB"/>
        </w:rPr>
        <w:fldChar w:fldCharType="end"/>
      </w:r>
      <w:r w:rsidR="00F2183E" w:rsidRPr="004E053C">
        <w:rPr>
          <w:rFonts w:cstheme="majorHAnsi"/>
          <w:sz w:val="22"/>
          <w:szCs w:val="22"/>
          <w:lang w:val="en-GB"/>
        </w:rPr>
        <w:t>. However, what is also clear fr</w:t>
      </w:r>
      <w:r w:rsidRPr="004E053C">
        <w:rPr>
          <w:rFonts w:cstheme="majorHAnsi"/>
          <w:sz w:val="22"/>
          <w:szCs w:val="22"/>
          <w:lang w:val="en-GB"/>
        </w:rPr>
        <w:t>om table 7</w:t>
      </w:r>
      <w:r w:rsidR="00F2183E" w:rsidRPr="004E053C">
        <w:rPr>
          <w:rFonts w:cstheme="majorHAnsi"/>
          <w:sz w:val="22"/>
          <w:szCs w:val="22"/>
          <w:lang w:val="en-GB"/>
        </w:rPr>
        <w:t>.2 is that many women do live and work in the mining settlements.</w:t>
      </w:r>
    </w:p>
    <w:p w14:paraId="242C91C6" w14:textId="77777777" w:rsidR="00F2183E" w:rsidRPr="004E053C" w:rsidRDefault="00F2183E" w:rsidP="004E053C">
      <w:pPr>
        <w:spacing w:line="360" w:lineRule="auto"/>
        <w:jc w:val="both"/>
        <w:rPr>
          <w:rFonts w:cstheme="majorHAnsi"/>
          <w:b/>
          <w:bCs/>
          <w:sz w:val="22"/>
          <w:szCs w:val="22"/>
          <w:lang w:val="en-GB"/>
        </w:rPr>
      </w:pPr>
    </w:p>
    <w:p w14:paraId="5CE12E32" w14:textId="7EBC9106" w:rsidR="00F2183E" w:rsidRPr="004E053C" w:rsidRDefault="00923CFD" w:rsidP="004E053C">
      <w:pPr>
        <w:spacing w:line="360" w:lineRule="auto"/>
        <w:jc w:val="both"/>
        <w:rPr>
          <w:rFonts w:cstheme="majorHAnsi"/>
          <w:b/>
          <w:bCs/>
          <w:sz w:val="22"/>
          <w:szCs w:val="22"/>
          <w:lang w:val="en-GB"/>
        </w:rPr>
      </w:pPr>
      <w:r w:rsidRPr="004E053C">
        <w:rPr>
          <w:rFonts w:cstheme="majorHAnsi"/>
          <w:b/>
          <w:bCs/>
          <w:sz w:val="22"/>
          <w:szCs w:val="22"/>
          <w:lang w:val="en-GB"/>
        </w:rPr>
        <w:t>Table 7</w:t>
      </w:r>
      <w:r w:rsidR="00F2183E" w:rsidRPr="004E053C">
        <w:rPr>
          <w:rFonts w:cstheme="majorHAnsi"/>
          <w:b/>
          <w:bCs/>
          <w:sz w:val="22"/>
          <w:szCs w:val="22"/>
          <w:lang w:val="en-GB"/>
        </w:rPr>
        <w:t xml:space="preserve">.2. Migration patterns of women in all interviewed households </w:t>
      </w:r>
    </w:p>
    <w:p w14:paraId="45B62921" w14:textId="77777777" w:rsidR="00F2183E" w:rsidRPr="004E053C" w:rsidRDefault="00F2183E" w:rsidP="004E053C">
      <w:pPr>
        <w:spacing w:line="360" w:lineRule="auto"/>
        <w:jc w:val="both"/>
        <w:rPr>
          <w:rFonts w:cstheme="majorHAnsi"/>
          <w:b/>
          <w:sz w:val="22"/>
          <w:szCs w:val="22"/>
          <w:lang w:val="en-GB"/>
        </w:rPr>
      </w:pPr>
    </w:p>
    <w:tbl>
      <w:tblPr>
        <w:tblStyle w:val="TableGrid"/>
        <w:tblW w:w="0" w:type="auto"/>
        <w:tblLook w:val="04A0" w:firstRow="1" w:lastRow="0" w:firstColumn="1" w:lastColumn="0" w:noHBand="0" w:noVBand="1"/>
      </w:tblPr>
      <w:tblGrid>
        <w:gridCol w:w="7056"/>
        <w:gridCol w:w="1094"/>
        <w:gridCol w:w="1092"/>
      </w:tblGrid>
      <w:tr w:rsidR="00F2183E" w:rsidRPr="004E053C" w14:paraId="01AB8FF7" w14:textId="77777777" w:rsidTr="00F2183E">
        <w:tc>
          <w:tcPr>
            <w:tcW w:w="0" w:type="auto"/>
          </w:tcPr>
          <w:p w14:paraId="78549F37" w14:textId="77777777" w:rsidR="00F2183E" w:rsidRPr="004E053C" w:rsidRDefault="00F2183E" w:rsidP="004E053C">
            <w:pPr>
              <w:spacing w:line="360" w:lineRule="auto"/>
              <w:jc w:val="both"/>
              <w:rPr>
                <w:rFonts w:cstheme="majorHAnsi"/>
                <w:b/>
                <w:sz w:val="22"/>
                <w:szCs w:val="22"/>
                <w:lang w:val="en-GB"/>
              </w:rPr>
            </w:pPr>
          </w:p>
        </w:tc>
        <w:tc>
          <w:tcPr>
            <w:tcW w:w="0" w:type="auto"/>
          </w:tcPr>
          <w:p w14:paraId="616D0514" w14:textId="77777777" w:rsidR="00F2183E" w:rsidRPr="004E053C" w:rsidRDefault="00F2183E" w:rsidP="004E053C">
            <w:pPr>
              <w:spacing w:line="360" w:lineRule="auto"/>
              <w:jc w:val="both"/>
              <w:rPr>
                <w:rFonts w:cstheme="majorHAnsi"/>
                <w:b/>
                <w:sz w:val="22"/>
                <w:szCs w:val="22"/>
                <w:lang w:val="en-GB"/>
              </w:rPr>
            </w:pPr>
            <w:r w:rsidRPr="004E053C">
              <w:rPr>
                <w:rFonts w:cstheme="majorHAnsi"/>
                <w:b/>
                <w:sz w:val="22"/>
                <w:szCs w:val="22"/>
                <w:lang w:val="en-GB"/>
              </w:rPr>
              <w:t>Ocongate</w:t>
            </w:r>
          </w:p>
        </w:tc>
        <w:tc>
          <w:tcPr>
            <w:tcW w:w="0" w:type="auto"/>
          </w:tcPr>
          <w:p w14:paraId="2E68B319" w14:textId="77777777" w:rsidR="00F2183E" w:rsidRPr="004E053C" w:rsidRDefault="00F2183E" w:rsidP="004E053C">
            <w:pPr>
              <w:spacing w:line="360" w:lineRule="auto"/>
              <w:jc w:val="both"/>
              <w:rPr>
                <w:rFonts w:cstheme="majorHAnsi"/>
                <w:b/>
                <w:sz w:val="22"/>
                <w:szCs w:val="22"/>
                <w:lang w:val="en-GB"/>
              </w:rPr>
            </w:pPr>
            <w:r w:rsidRPr="004E053C">
              <w:rPr>
                <w:rFonts w:cstheme="majorHAnsi"/>
                <w:b/>
                <w:sz w:val="22"/>
                <w:szCs w:val="22"/>
                <w:lang w:val="en-GB"/>
              </w:rPr>
              <w:t>Laberinto</w:t>
            </w:r>
          </w:p>
        </w:tc>
      </w:tr>
      <w:tr w:rsidR="00F2183E" w:rsidRPr="004E053C" w14:paraId="1273A3DB" w14:textId="77777777" w:rsidTr="00F2183E">
        <w:tc>
          <w:tcPr>
            <w:tcW w:w="0" w:type="auto"/>
          </w:tcPr>
          <w:p w14:paraId="2DBEADF4"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Wife stayed in origin community </w:t>
            </w:r>
          </w:p>
          <w:p w14:paraId="07243E77" w14:textId="77777777" w:rsidR="00F2183E" w:rsidRPr="004E053C" w:rsidRDefault="00F2183E" w:rsidP="004E053C">
            <w:pPr>
              <w:spacing w:line="360" w:lineRule="auto"/>
              <w:jc w:val="both"/>
              <w:rPr>
                <w:rFonts w:cstheme="majorHAnsi"/>
                <w:sz w:val="22"/>
                <w:szCs w:val="22"/>
                <w:lang w:val="en-GB"/>
              </w:rPr>
            </w:pPr>
          </w:p>
        </w:tc>
        <w:tc>
          <w:tcPr>
            <w:tcW w:w="0" w:type="auto"/>
            <w:vAlign w:val="center"/>
          </w:tcPr>
          <w:p w14:paraId="147D1707"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12</w:t>
            </w:r>
          </w:p>
        </w:tc>
        <w:tc>
          <w:tcPr>
            <w:tcW w:w="0" w:type="auto"/>
            <w:vAlign w:val="center"/>
          </w:tcPr>
          <w:p w14:paraId="1DE91913" w14:textId="77777777" w:rsidR="00F2183E" w:rsidRPr="004E053C" w:rsidRDefault="00F2183E" w:rsidP="004E053C">
            <w:pPr>
              <w:spacing w:line="360" w:lineRule="auto"/>
              <w:jc w:val="both"/>
              <w:rPr>
                <w:rFonts w:cstheme="majorHAnsi"/>
                <w:sz w:val="22"/>
                <w:szCs w:val="22"/>
                <w:lang w:val="en-GB"/>
              </w:rPr>
            </w:pPr>
          </w:p>
        </w:tc>
      </w:tr>
      <w:tr w:rsidR="00F2183E" w:rsidRPr="004E053C" w14:paraId="060A98D0" w14:textId="77777777" w:rsidTr="00F2183E">
        <w:tc>
          <w:tcPr>
            <w:tcW w:w="0" w:type="auto"/>
          </w:tcPr>
          <w:p w14:paraId="7961B3A4"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Wife previously lived in mining town with friends but returned home</w:t>
            </w:r>
          </w:p>
        </w:tc>
        <w:tc>
          <w:tcPr>
            <w:tcW w:w="0" w:type="auto"/>
            <w:vAlign w:val="center"/>
          </w:tcPr>
          <w:p w14:paraId="3435856D"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1</w:t>
            </w:r>
          </w:p>
        </w:tc>
        <w:tc>
          <w:tcPr>
            <w:tcW w:w="0" w:type="auto"/>
            <w:vAlign w:val="center"/>
          </w:tcPr>
          <w:p w14:paraId="044C8157" w14:textId="77777777" w:rsidR="00F2183E" w:rsidRPr="004E053C" w:rsidRDefault="00F2183E" w:rsidP="004E053C">
            <w:pPr>
              <w:spacing w:line="360" w:lineRule="auto"/>
              <w:jc w:val="both"/>
              <w:rPr>
                <w:rFonts w:cstheme="majorHAnsi"/>
                <w:sz w:val="22"/>
                <w:szCs w:val="22"/>
                <w:lang w:val="en-GB"/>
              </w:rPr>
            </w:pPr>
          </w:p>
        </w:tc>
      </w:tr>
      <w:tr w:rsidR="00F2183E" w:rsidRPr="004E053C" w14:paraId="276C3FA5" w14:textId="77777777" w:rsidTr="00F2183E">
        <w:tc>
          <w:tcPr>
            <w:tcW w:w="0" w:type="auto"/>
          </w:tcPr>
          <w:p w14:paraId="5F950B7F"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Wife previously lived in mining town with husband but returned home</w:t>
            </w:r>
          </w:p>
        </w:tc>
        <w:tc>
          <w:tcPr>
            <w:tcW w:w="0" w:type="auto"/>
            <w:vAlign w:val="center"/>
          </w:tcPr>
          <w:p w14:paraId="73E70038"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3</w:t>
            </w:r>
          </w:p>
        </w:tc>
        <w:tc>
          <w:tcPr>
            <w:tcW w:w="0" w:type="auto"/>
            <w:vAlign w:val="center"/>
          </w:tcPr>
          <w:p w14:paraId="00005291" w14:textId="77777777" w:rsidR="00F2183E" w:rsidRPr="004E053C" w:rsidRDefault="00F2183E" w:rsidP="004E053C">
            <w:pPr>
              <w:spacing w:line="360" w:lineRule="auto"/>
              <w:jc w:val="both"/>
              <w:rPr>
                <w:rFonts w:cstheme="majorHAnsi"/>
                <w:sz w:val="22"/>
                <w:szCs w:val="22"/>
                <w:lang w:val="en-GB"/>
              </w:rPr>
            </w:pPr>
          </w:p>
        </w:tc>
      </w:tr>
      <w:tr w:rsidR="00F2183E" w:rsidRPr="004E053C" w14:paraId="7418F443" w14:textId="77777777" w:rsidTr="00F2183E">
        <w:tc>
          <w:tcPr>
            <w:tcW w:w="0" w:type="auto"/>
          </w:tcPr>
          <w:p w14:paraId="7ED274E8"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Wife went to mining town with husband initially and still lives there</w:t>
            </w:r>
          </w:p>
        </w:tc>
        <w:tc>
          <w:tcPr>
            <w:tcW w:w="0" w:type="auto"/>
            <w:vAlign w:val="center"/>
          </w:tcPr>
          <w:p w14:paraId="6ADBD959" w14:textId="77777777" w:rsidR="00F2183E" w:rsidRPr="004E053C" w:rsidRDefault="00F2183E" w:rsidP="004E053C">
            <w:pPr>
              <w:spacing w:line="360" w:lineRule="auto"/>
              <w:jc w:val="both"/>
              <w:rPr>
                <w:rFonts w:cstheme="majorHAnsi"/>
                <w:sz w:val="22"/>
                <w:szCs w:val="22"/>
                <w:lang w:val="en-GB"/>
              </w:rPr>
            </w:pPr>
          </w:p>
        </w:tc>
        <w:tc>
          <w:tcPr>
            <w:tcW w:w="0" w:type="auto"/>
            <w:vAlign w:val="center"/>
          </w:tcPr>
          <w:p w14:paraId="0F2E08EC"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3</w:t>
            </w:r>
          </w:p>
        </w:tc>
      </w:tr>
      <w:tr w:rsidR="00F2183E" w:rsidRPr="004E053C" w14:paraId="1147D761" w14:textId="77777777" w:rsidTr="00F2183E">
        <w:tc>
          <w:tcPr>
            <w:tcW w:w="0" w:type="auto"/>
          </w:tcPr>
          <w:p w14:paraId="7C5FA6D2"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Wife went to mining town with husband after some time and still lives there</w:t>
            </w:r>
          </w:p>
        </w:tc>
        <w:tc>
          <w:tcPr>
            <w:tcW w:w="0" w:type="auto"/>
            <w:vAlign w:val="center"/>
          </w:tcPr>
          <w:p w14:paraId="7C8FC97C" w14:textId="77777777" w:rsidR="00F2183E" w:rsidRPr="004E053C" w:rsidRDefault="00F2183E" w:rsidP="004E053C">
            <w:pPr>
              <w:keepNext/>
              <w:keepLines/>
              <w:spacing w:line="360" w:lineRule="auto"/>
              <w:jc w:val="both"/>
              <w:outlineLvl w:val="3"/>
              <w:rPr>
                <w:rFonts w:cstheme="majorHAnsi"/>
                <w:sz w:val="22"/>
                <w:szCs w:val="22"/>
                <w:lang w:val="en-GB"/>
              </w:rPr>
            </w:pPr>
          </w:p>
        </w:tc>
        <w:tc>
          <w:tcPr>
            <w:tcW w:w="0" w:type="auto"/>
            <w:vAlign w:val="center"/>
          </w:tcPr>
          <w:p w14:paraId="33319C59" w14:textId="77777777" w:rsidR="00F2183E" w:rsidRPr="004E053C" w:rsidRDefault="00F2183E" w:rsidP="004E053C">
            <w:pPr>
              <w:keepNext/>
              <w:keepLines/>
              <w:spacing w:line="360" w:lineRule="auto"/>
              <w:jc w:val="both"/>
              <w:outlineLvl w:val="3"/>
              <w:rPr>
                <w:rFonts w:cstheme="majorHAnsi"/>
                <w:sz w:val="22"/>
                <w:szCs w:val="22"/>
                <w:lang w:val="en-GB"/>
              </w:rPr>
            </w:pPr>
            <w:r w:rsidRPr="004E053C">
              <w:rPr>
                <w:rFonts w:cstheme="majorHAnsi"/>
                <w:sz w:val="22"/>
                <w:szCs w:val="22"/>
                <w:lang w:val="en-GB"/>
              </w:rPr>
              <w:t>8</w:t>
            </w:r>
          </w:p>
        </w:tc>
      </w:tr>
      <w:tr w:rsidR="00F2183E" w:rsidRPr="004E053C" w14:paraId="38DEEB01" w14:textId="77777777" w:rsidTr="00F2183E">
        <w:tc>
          <w:tcPr>
            <w:tcW w:w="0" w:type="auto"/>
          </w:tcPr>
          <w:p w14:paraId="0C1E5DF0"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Wife went to mining town alone/with friends (or was born there?) and still lives there</w:t>
            </w:r>
          </w:p>
        </w:tc>
        <w:tc>
          <w:tcPr>
            <w:tcW w:w="0" w:type="auto"/>
            <w:vAlign w:val="center"/>
          </w:tcPr>
          <w:p w14:paraId="04066E6C" w14:textId="77777777" w:rsidR="00F2183E" w:rsidRPr="004E053C" w:rsidRDefault="00F2183E" w:rsidP="004E053C">
            <w:pPr>
              <w:spacing w:line="360" w:lineRule="auto"/>
              <w:jc w:val="both"/>
              <w:rPr>
                <w:rFonts w:cstheme="majorHAnsi"/>
                <w:sz w:val="22"/>
                <w:szCs w:val="22"/>
                <w:lang w:val="en-GB"/>
              </w:rPr>
            </w:pPr>
          </w:p>
        </w:tc>
        <w:tc>
          <w:tcPr>
            <w:tcW w:w="0" w:type="auto"/>
            <w:vAlign w:val="center"/>
          </w:tcPr>
          <w:p w14:paraId="05C6DB7D"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11</w:t>
            </w:r>
          </w:p>
        </w:tc>
      </w:tr>
    </w:tbl>
    <w:p w14:paraId="5AEA5FBA" w14:textId="77777777" w:rsidR="00F2183E" w:rsidRPr="004E053C" w:rsidRDefault="00F2183E" w:rsidP="004E053C">
      <w:pPr>
        <w:spacing w:line="360" w:lineRule="auto"/>
        <w:jc w:val="both"/>
        <w:rPr>
          <w:rFonts w:cstheme="majorHAnsi"/>
          <w:b/>
          <w:sz w:val="22"/>
          <w:szCs w:val="22"/>
          <w:lang w:val="en-GB"/>
        </w:rPr>
      </w:pPr>
    </w:p>
    <w:p w14:paraId="6C673EA8" w14:textId="09EACAFB" w:rsidR="00F2183E" w:rsidRPr="004E053C" w:rsidRDefault="00923CFD" w:rsidP="004E053C">
      <w:pPr>
        <w:spacing w:line="360" w:lineRule="auto"/>
        <w:jc w:val="both"/>
        <w:rPr>
          <w:rFonts w:cstheme="majorHAnsi"/>
          <w:sz w:val="22"/>
          <w:szCs w:val="22"/>
          <w:lang w:val="en-GB"/>
        </w:rPr>
      </w:pPr>
      <w:r w:rsidRPr="004E053C">
        <w:rPr>
          <w:rFonts w:cstheme="majorHAnsi"/>
          <w:sz w:val="22"/>
          <w:szCs w:val="22"/>
          <w:lang w:val="en-GB"/>
        </w:rPr>
        <w:t>As Table 7</w:t>
      </w:r>
      <w:r w:rsidR="00F2183E" w:rsidRPr="004E053C">
        <w:rPr>
          <w:rFonts w:cstheme="majorHAnsi"/>
          <w:sz w:val="22"/>
          <w:szCs w:val="22"/>
          <w:lang w:val="en-GB"/>
        </w:rPr>
        <w:t xml:space="preserve">.2 shows, not only are there many women residing in Laberinto and the surrounding mining sites, but also in four of the respondent households in Ocongate, the woman had previously </w:t>
      </w:r>
      <w:r w:rsidR="00F2183E" w:rsidRPr="004E053C">
        <w:rPr>
          <w:rFonts w:cstheme="majorHAnsi"/>
          <w:sz w:val="22"/>
          <w:szCs w:val="22"/>
          <w:lang w:val="en-GB"/>
        </w:rPr>
        <w:lastRenderedPageBreak/>
        <w:t>migrated to live and/or work in the mining areas in Madre de Dios. Although one had simply gone to stay with her husband for a few months, the other three had actively become involved in ASM indirectly through working as cooks in the mining areas after hearing about available job opportunities through agents, advertisements or friends.</w:t>
      </w:r>
    </w:p>
    <w:p w14:paraId="758828D9" w14:textId="77777777" w:rsidR="009F56C9" w:rsidRPr="004E053C" w:rsidRDefault="009F56C9" w:rsidP="004E053C">
      <w:pPr>
        <w:spacing w:line="360" w:lineRule="auto"/>
        <w:jc w:val="both"/>
        <w:rPr>
          <w:rFonts w:cstheme="majorHAnsi"/>
          <w:sz w:val="22"/>
          <w:szCs w:val="22"/>
          <w:lang w:val="en-GB"/>
        </w:rPr>
      </w:pPr>
    </w:p>
    <w:p w14:paraId="4FDB95F0" w14:textId="08E2C3B9"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Identifying how these women came to be in mining towns is important for understanding how women contribute to the formation of a translocal community. Migration theorists have frequently been criticised for failing to include women in their analysis on the assumption that they simply migrate in order to accompany or to reunite with their breadwinner migrant husband </w:t>
      </w:r>
      <w:r w:rsidR="00177C6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{"citationItems":[{"id":"ITEM-1","itemData":{"author":[{"dropping-particle":"","family":"Hondagneu-Sotelo","given":"P","non-dropping-particle":"","parse-names":false,"suffix":""}],"container-title":"American Behavioural Scientist","id":"ITEM-1","issue":"4","issued":{"date-parts":[["1999"]]},"page":"565-576","title":"Gender and contemporary U.S. immigration","type":"article-journal","volume":"42"},"uris":["http://www.mendeley.com/documents/?uuid=f6f9ca9f-fea1-4944-a847-f9504183b4d4"]}],"mendeley":{"formattedCitation":"(Hondagneu-Sotelo, 1999)","plainTextFormattedCitation":"(Hondagneu-Sotelo, 1999)","previouslyFormattedCitation":"(Hondagneu-Sotelo, 1999)"},"properties":{"noteIndex":0},"schema":"https://github.com/citation-style-language/schema/raw/master/csl-citation.json"}</w:instrText>
      </w:r>
      <w:r w:rsidR="00177C64" w:rsidRPr="004E053C">
        <w:rPr>
          <w:rFonts w:cstheme="majorHAnsi"/>
          <w:sz w:val="22"/>
          <w:szCs w:val="22"/>
          <w:lang w:val="en-GB"/>
        </w:rPr>
        <w:fldChar w:fldCharType="separate"/>
      </w:r>
      <w:r w:rsidR="00177C64" w:rsidRPr="004E053C">
        <w:rPr>
          <w:rFonts w:cstheme="majorHAnsi"/>
          <w:noProof/>
          <w:sz w:val="22"/>
          <w:szCs w:val="22"/>
          <w:lang w:val="en-GB"/>
        </w:rPr>
        <w:t>(Hondagneu-Sotelo, 1999)</w:t>
      </w:r>
      <w:r w:rsidR="00177C64" w:rsidRPr="004E053C">
        <w:rPr>
          <w:rFonts w:cstheme="majorHAnsi"/>
          <w:sz w:val="22"/>
          <w:szCs w:val="22"/>
          <w:lang w:val="en-GB"/>
        </w:rPr>
        <w:fldChar w:fldCharType="end"/>
      </w:r>
      <w:r w:rsidR="009A2712" w:rsidRPr="004E053C">
        <w:rPr>
          <w:rFonts w:cstheme="majorHAnsi"/>
          <w:sz w:val="22"/>
          <w:szCs w:val="22"/>
          <w:lang w:val="en-GB"/>
        </w:rPr>
        <w:t>. However, Table 7</w:t>
      </w:r>
      <w:r w:rsidRPr="004E053C">
        <w:rPr>
          <w:rFonts w:cstheme="majorHAnsi"/>
          <w:sz w:val="22"/>
          <w:szCs w:val="22"/>
          <w:lang w:val="en-GB"/>
        </w:rPr>
        <w:t xml:space="preserve">.2 shows that women’s migration to ASM sites has not always been due to accompanying their husband to the mining areas and there is clear evidence of women migrating to ASM sites for personal benefit. Two of the women in Ocongate reported going to work in the mine areas before they were married. For example, one said that when she was younger she had travelled to KM108 intermittently with her friends to work as a cook. Interestingly however, she had stopped going as soon as she met her husband. </w:t>
      </w:r>
    </w:p>
    <w:p w14:paraId="2E341717" w14:textId="77777777" w:rsidR="00D35D90" w:rsidRPr="004E053C" w:rsidRDefault="00D35D90" w:rsidP="004E053C">
      <w:pPr>
        <w:spacing w:line="360" w:lineRule="auto"/>
        <w:jc w:val="both"/>
        <w:rPr>
          <w:rFonts w:cstheme="majorHAnsi"/>
          <w:sz w:val="22"/>
          <w:szCs w:val="22"/>
          <w:lang w:val="en-GB"/>
        </w:rPr>
      </w:pPr>
    </w:p>
    <w:p w14:paraId="3613E909" w14:textId="4D76E542"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There is also plenty of evidence from Laberinto of women arriving in mine sites unaccompanied by a husband. In </w:t>
      </w:r>
      <w:r w:rsidR="009A2712" w:rsidRPr="004E053C">
        <w:rPr>
          <w:rFonts w:cstheme="majorHAnsi"/>
          <w:sz w:val="22"/>
          <w:szCs w:val="22"/>
          <w:lang w:val="en-GB"/>
        </w:rPr>
        <w:t>11</w:t>
      </w:r>
      <w:r w:rsidRPr="004E053C">
        <w:rPr>
          <w:rFonts w:cstheme="majorHAnsi"/>
          <w:sz w:val="22"/>
          <w:szCs w:val="22"/>
          <w:lang w:val="en-GB"/>
        </w:rPr>
        <w:t xml:space="preserve"> of the 25 interviewed households consisting of a married couple, the woman had arrived in Madre de Dios independently of their husbands. This was either because they had migrated looking for work themselves, with their parents when they were young or had been born there. The women who had arrived independently of family members also, had generally found work through agencies in Cusco and/or travelled with female friends. As in Werthmann’s </w:t>
      </w:r>
      <w:r w:rsidR="00177C64" w:rsidRPr="004E053C">
        <w:rPr>
          <w:rFonts w:cstheme="majorHAnsi"/>
          <w:sz w:val="22"/>
          <w:szCs w:val="22"/>
          <w:lang w:val="en-GB"/>
        </w:rPr>
        <w:fldChar w:fldCharType="begin" w:fldLock="1"/>
      </w:r>
      <w:r w:rsidR="00ED0651" w:rsidRPr="004E053C">
        <w:rPr>
          <w:rFonts w:cstheme="majorHAnsi"/>
          <w:sz w:val="22"/>
          <w:szCs w:val="22"/>
          <w:lang w:val="en-GB"/>
        </w:rPr>
        <w:instrText>ADDIN CSL_CITATION {"citationItems":[{"id":"ITEM-1","itemData":{"author":[{"dropping-particle":"","family":"Werthmann","given":"Katja","non-dropping-particle":"","parse-names":false,"suffix":""}],"container-title":"Resources Policy","id":"ITEM-1","issued":{"date-parts":[["2009"]]},"page":"18-23","title":"Working in a boom-town: Female perspectives on gold-mining in Burkina Faso","type":"article-journal","volume":"34"},"uris":["http://www.mendeley.com/documents/?uuid=da98f8ff-10f1-45ed-adfd-29236ef7847f"]}],"mendeley":{"formattedCitation":"(Werthmann, 2009)","manualFormatting":"(2009)","plainTextFormattedCitation":"(Werthmann, 2009)","previouslyFormattedCitation":"(Werthmann, 2009)"},"properties":{"noteIndex":0},"schema":"https://github.com/citation-style-language/schema/raw/master/csl-citation.json"}</w:instrText>
      </w:r>
      <w:r w:rsidR="00177C64" w:rsidRPr="004E053C">
        <w:rPr>
          <w:rFonts w:cstheme="majorHAnsi"/>
          <w:sz w:val="22"/>
          <w:szCs w:val="22"/>
          <w:lang w:val="en-GB"/>
        </w:rPr>
        <w:fldChar w:fldCharType="separate"/>
      </w:r>
      <w:r w:rsidR="00177C64" w:rsidRPr="004E053C">
        <w:rPr>
          <w:rFonts w:cstheme="majorHAnsi"/>
          <w:noProof/>
          <w:sz w:val="22"/>
          <w:szCs w:val="22"/>
          <w:lang w:val="en-GB"/>
        </w:rPr>
        <w:t>(2009)</w:t>
      </w:r>
      <w:r w:rsidR="00177C64" w:rsidRPr="004E053C">
        <w:rPr>
          <w:rFonts w:cstheme="majorHAnsi"/>
          <w:sz w:val="22"/>
          <w:szCs w:val="22"/>
          <w:lang w:val="en-GB"/>
        </w:rPr>
        <w:fldChar w:fldCharType="end"/>
      </w:r>
      <w:r w:rsidRPr="004E053C">
        <w:rPr>
          <w:rFonts w:cstheme="majorHAnsi"/>
          <w:sz w:val="22"/>
          <w:szCs w:val="22"/>
          <w:lang w:val="en-GB"/>
        </w:rPr>
        <w:t xml:space="preserve"> study of female miners in Burkina Faso, these women were all attracted to the mining sites </w:t>
      </w:r>
      <w:r w:rsidR="009A2712" w:rsidRPr="004E053C">
        <w:rPr>
          <w:rFonts w:cstheme="majorHAnsi"/>
          <w:sz w:val="22"/>
          <w:szCs w:val="22"/>
          <w:lang w:val="en-GB"/>
        </w:rPr>
        <w:t xml:space="preserve">due to economic opportunity. They were therefore </w:t>
      </w:r>
      <w:r w:rsidRPr="004E053C">
        <w:rPr>
          <w:rFonts w:cstheme="majorHAnsi"/>
          <w:sz w:val="22"/>
          <w:szCs w:val="22"/>
          <w:lang w:val="en-GB"/>
        </w:rPr>
        <w:t>were unlikely to engage in the type of excessive consumption that has been observed amongst young, male miners in countries</w:t>
      </w:r>
      <w:r w:rsidR="009A2712" w:rsidRPr="004E053C">
        <w:rPr>
          <w:rFonts w:cstheme="majorHAnsi"/>
          <w:sz w:val="22"/>
          <w:szCs w:val="22"/>
          <w:lang w:val="en-GB"/>
        </w:rPr>
        <w:t xml:space="preserve"> such as</w:t>
      </w:r>
      <w:r w:rsidR="00436DAE" w:rsidRPr="004E053C">
        <w:rPr>
          <w:rFonts w:cstheme="majorHAnsi"/>
          <w:sz w:val="22"/>
          <w:szCs w:val="22"/>
          <w:lang w:val="en-GB"/>
        </w:rPr>
        <w:t xml:space="preserve"> DRC</w:t>
      </w:r>
      <w:r w:rsidR="003A35B4" w:rsidRPr="004E053C">
        <w:rPr>
          <w:rFonts w:cstheme="majorHAnsi"/>
          <w:sz w:val="22"/>
          <w:szCs w:val="22"/>
          <w:lang w:val="en-GB"/>
        </w:rPr>
        <w:t>, Colombia and Suriname</w:t>
      </w:r>
      <w:r w:rsidRPr="004E053C">
        <w:rPr>
          <w:rFonts w:cstheme="majorHAnsi"/>
          <w:sz w:val="22"/>
          <w:szCs w:val="22"/>
          <w:lang w:val="en-GB"/>
        </w:rPr>
        <w:t xml:space="preserve"> </w:t>
      </w:r>
      <w:r w:rsidR="00702B6D"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{"citationItems":[{"id":"ITEM-1","itemData":{"abstract":"The Katangese artisanal mining sector has grown spectacularly since the late 1990s. Faced with political instability and economic crisis, tens of thousands of men have moved to the mining areas in order to find new sources of income. This article offers a detailed ethnographic description of how male migrant workers experience and cope with the challenging realities of life on the mines against the backdrop of recent changes in Katanga’s political economy. More specifically, it examines the relationship between money, migration and masculinity through an extended case study of a money dispute among a group of artisanal miners working in the Kalabi mine near Lwambo, a small town situated 20 kilometres north of Likasi. It is found that the conspicuous consumption of money plays a vital role in the mining subculture; that credit and debt dominate life on the mines; and that artisanal mining has given rise to significant changes in gender relations and household organisation.","author":[{"dropping-particle":"","family":"Cuvelier","given":"Jeroen","non-dropping-particle":"","parse-names":false,"suffix":""}],"container-title":"Review of African Political Economy","id":"ITEM-1","issue":"152","issued":{"date-parts":[["2017"]]},"page":"204-219","title":"Money, migration and masculinity among artisanal miners in Katanga (DR Congo)","type":"article-journal","volume":"44"},"uris":["http://www.mendeley.com/documents/?uuid=bbcd9db1-ff1c-41f7-98d2-143001e4ca7f"]},{"id":"ITEM-2","itemData":{"abstract":"As gold prices rose between 2002 and 2012, Afro-descendant gold miners confronted illegal outsider-owned gold mines on their land in Colombia’s northwest Chocó department. This article examines why these Afro-descendant miners, who used hand tools and techniques, often invited the outsiders, who used heavy machinery and mercury, to work their mines. Their reasons included: familial pressure over land, profit sharing, high prices, access to gold, and dangerous working conditions. The decision to invite in the outsiders complicates the conventional narrative of a coercive relationship between outsiders and Afro-descendant communities, even as the relationship produced worse than expected outcomes for both sides.","author":[{"dropping-particle":"","family":"Tubb","given":"Daniel","non-dropping-particle":"","parse-names":false,"suffix":""}],"container-title":"The Extractive Industries and Society","id":"ITEM-2","issue":"4","issued":{"date-parts":[["2015"]]},"page":"722-733","title":"Muddy decisions: Gold in the Choco, Colombia","type":"article-journal","volume":"2"},"uris":["http://www.mendeley.com/documents/?uuid=0a37e678-351f-4105-81a4-df99fce7704c"]},{"id":"ITEM-3","itemData":{"abstract":"Os garimpeiros no Suriname tem um grande impacto sobre a mineração e cultura de pequena mineração no país vizinho.","author":[{"dropping-particle":"","family":"Theije","given":"Marjo","non-dropping-particle":"De","parse-names":false,"suffix":""},{"dropping-particle":"","family":"Heemskerk","given":"Marieke","non-dropping-particle":"","parse-names":false,"suffix":""}],"container-title":"European Review of Latin American and Caribbean Studies | Revista Europea de Estudios Latinoamericanos y del Caribe","id":"ITEM-3","issued":{"date-parts":[["2009"]]},"page":"5-25","title":"Moving Frontiers in the Amazon: Brazilian Small-Scale Gold Miners in Suriname","type":"article-journal","volume":"87"},"uris":["http://www.mendeley.com/documents/?uuid=b7c637de-0214-402c-9b77-46660804c1e4"]}],"mendeley":{"formattedCitation":"(Cuvelier, 2017; De Theije &amp; Heemskerk, 2009; Tubb, 2015)","plainTextFormattedCitation":"(Cuvelier, 2017; De Theije &amp; Heemskerk, 2009; Tubb, 2015)","previouslyFormattedCitation":"(Cuvelier, 2017; De Theije &amp; Heemskerk, 2009; Tubb, 2015)"},"properties":{"noteIndex":0},"schema":"https://github.com/citation-style-language/schema/raw/master/csl-citation.json"}</w:instrText>
      </w:r>
      <w:r w:rsidR="00702B6D" w:rsidRPr="004E053C">
        <w:rPr>
          <w:rFonts w:cstheme="majorHAnsi"/>
          <w:sz w:val="22"/>
          <w:szCs w:val="22"/>
          <w:lang w:val="en-GB"/>
        </w:rPr>
        <w:fldChar w:fldCharType="separate"/>
      </w:r>
      <w:r w:rsidR="00702B6D" w:rsidRPr="004E053C">
        <w:rPr>
          <w:rFonts w:cstheme="majorHAnsi"/>
          <w:noProof/>
          <w:sz w:val="22"/>
          <w:szCs w:val="22"/>
          <w:lang w:val="en-GB"/>
        </w:rPr>
        <w:t>(Cuvelier, 2017; De Theije &amp; Heemskerk, 2009; Tubb, 2015)</w:t>
      </w:r>
      <w:r w:rsidR="00702B6D" w:rsidRPr="004E053C">
        <w:rPr>
          <w:rFonts w:cstheme="majorHAnsi"/>
          <w:sz w:val="22"/>
          <w:szCs w:val="22"/>
          <w:lang w:val="en-GB"/>
        </w:rPr>
        <w:fldChar w:fldCharType="end"/>
      </w:r>
      <w:r w:rsidR="00702B6D" w:rsidRPr="004E053C">
        <w:rPr>
          <w:rFonts w:cstheme="majorHAnsi"/>
          <w:sz w:val="22"/>
          <w:szCs w:val="22"/>
          <w:lang w:val="en-GB"/>
        </w:rPr>
        <w:t>.</w:t>
      </w:r>
      <w:r w:rsidRPr="004E053C">
        <w:rPr>
          <w:rFonts w:cstheme="majorHAnsi"/>
          <w:sz w:val="22"/>
          <w:szCs w:val="22"/>
          <w:lang w:val="en-GB"/>
        </w:rPr>
        <w:t xml:space="preserve"> Interestingly, this is also likely to have an impact on women’s social capital in mining sites and their ability to use it to gain economic advantage, as they do not usual</w:t>
      </w:r>
      <w:r w:rsidR="00923CFD" w:rsidRPr="004E053C">
        <w:rPr>
          <w:rFonts w:cstheme="majorHAnsi"/>
          <w:sz w:val="22"/>
          <w:szCs w:val="22"/>
          <w:lang w:val="en-GB"/>
        </w:rPr>
        <w:t xml:space="preserve">ly socialise with these male </w:t>
      </w:r>
      <w:r w:rsidRPr="004E053C">
        <w:rPr>
          <w:rFonts w:cstheme="majorHAnsi"/>
          <w:sz w:val="22"/>
          <w:szCs w:val="22"/>
          <w:lang w:val="en-GB"/>
        </w:rPr>
        <w:t xml:space="preserve">groups </w:t>
      </w:r>
      <w:r w:rsidR="00ED0651" w:rsidRPr="004E053C">
        <w:rPr>
          <w:rFonts w:cstheme="majorHAnsi"/>
          <w:sz w:val="22"/>
          <w:szCs w:val="22"/>
          <w:lang w:val="en-GB"/>
        </w:rPr>
        <w:fldChar w:fldCharType="begin" w:fldLock="1"/>
      </w:r>
      <w:r w:rsidR="00ED0651" w:rsidRPr="004E053C">
        <w:rPr>
          <w:rFonts w:cstheme="majorHAnsi"/>
          <w:sz w:val="22"/>
          <w:szCs w:val="22"/>
          <w:lang w:val="en-GB"/>
        </w:rPr>
        <w:instrText>ADDIN CSL_CITATION {"citationItems":[{"id":"ITEM-1","itemData":{"author":[{"dropping-particle":"","family":"Molyneux","given":"Maxine","non-dropping-particle":"","parse-names":false,"suffix":""}],"container-title":"Development and Change","id":"ITEM-1","issue":"2","issued":{"date-parts":[["2002"]]},"page":"167-188","title":"Gender and the silences of social capital: lessons from Latin America","type":"article-journal","volume":"33"},"uris":["http://www.mendeley.com/documents/?uuid=f5e7dbc8-4cfa-46d8-9595-b98d63131729"]}],"mendeley":{"formattedCitation":"(Molyneux, 2002)","plainTextFormattedCitation":"(Molyneux, 2002)","previouslyFormattedCitation":"(Molyneux, 2002)"},"properties":{"noteIndex":0},"schema":"https://github.com/citation-style-language/schema/raw/master/csl-citation.json"}</w:instrText>
      </w:r>
      <w:r w:rsidR="00ED0651" w:rsidRPr="004E053C">
        <w:rPr>
          <w:rFonts w:cstheme="majorHAnsi"/>
          <w:sz w:val="22"/>
          <w:szCs w:val="22"/>
          <w:lang w:val="en-GB"/>
        </w:rPr>
        <w:fldChar w:fldCharType="separate"/>
      </w:r>
      <w:r w:rsidR="00ED0651" w:rsidRPr="004E053C">
        <w:rPr>
          <w:rFonts w:cstheme="majorHAnsi"/>
          <w:noProof/>
          <w:sz w:val="22"/>
          <w:szCs w:val="22"/>
          <w:lang w:val="en-GB"/>
        </w:rPr>
        <w:t>(Molyneux, 2002)</w:t>
      </w:r>
      <w:r w:rsidR="00ED0651" w:rsidRPr="004E053C">
        <w:rPr>
          <w:rFonts w:cstheme="majorHAnsi"/>
          <w:sz w:val="22"/>
          <w:szCs w:val="22"/>
          <w:lang w:val="en-GB"/>
        </w:rPr>
        <w:fldChar w:fldCharType="end"/>
      </w:r>
      <w:r w:rsidRPr="004E053C">
        <w:rPr>
          <w:rFonts w:cstheme="majorHAnsi"/>
          <w:sz w:val="22"/>
          <w:szCs w:val="22"/>
          <w:lang w:val="en-GB"/>
        </w:rPr>
        <w:t xml:space="preserve">. </w:t>
      </w:r>
    </w:p>
    <w:p w14:paraId="1F669058" w14:textId="77777777" w:rsidR="00D35D90" w:rsidRPr="004E053C" w:rsidRDefault="00D35D90" w:rsidP="004E053C">
      <w:pPr>
        <w:spacing w:line="360" w:lineRule="auto"/>
        <w:jc w:val="both"/>
        <w:rPr>
          <w:rFonts w:cstheme="majorHAnsi"/>
          <w:sz w:val="22"/>
          <w:szCs w:val="22"/>
          <w:highlight w:val="yellow"/>
          <w:lang w:val="en-GB"/>
        </w:rPr>
      </w:pPr>
    </w:p>
    <w:p w14:paraId="34DFD7BC" w14:textId="1E1AC1AE" w:rsidR="00F2183E" w:rsidRPr="004E053C" w:rsidRDefault="00F2183E" w:rsidP="004E053C">
      <w:pPr>
        <w:spacing w:line="360" w:lineRule="auto"/>
        <w:jc w:val="both"/>
        <w:rPr>
          <w:rFonts w:cstheme="majorHAnsi"/>
          <w:color w:val="FF0000"/>
          <w:sz w:val="22"/>
          <w:szCs w:val="22"/>
          <w:lang w:val="en-GB"/>
        </w:rPr>
      </w:pPr>
      <w:r w:rsidRPr="004E053C">
        <w:rPr>
          <w:rFonts w:cstheme="majorHAnsi"/>
          <w:sz w:val="22"/>
          <w:szCs w:val="22"/>
          <w:lang w:val="en-GB"/>
        </w:rPr>
        <w:t xml:space="preserve">In many instances though, women do arrive in Laberinto with their husbands or follow shortly after. Three of the women had come to the </w:t>
      </w:r>
      <w:r w:rsidR="003A35B4" w:rsidRPr="004E053C">
        <w:rPr>
          <w:rFonts w:cstheme="majorHAnsi"/>
          <w:sz w:val="22"/>
          <w:szCs w:val="22"/>
          <w:lang w:val="en-GB"/>
        </w:rPr>
        <w:t>us</w:t>
      </w:r>
      <w:r w:rsidRPr="004E053C">
        <w:rPr>
          <w:rFonts w:cstheme="majorHAnsi"/>
          <w:sz w:val="22"/>
          <w:szCs w:val="22"/>
          <w:lang w:val="en-GB"/>
        </w:rPr>
        <w:t xml:space="preserve">mining settlements at the same time as their partners, in one instance this was because terrorism led to an immediate decision to permanently relocate to Madre de Dios. In another example, one couple moved to the area that is now La Pampa in order to </w:t>
      </w:r>
      <w:r w:rsidRPr="004E053C">
        <w:rPr>
          <w:rFonts w:cstheme="majorHAnsi"/>
          <w:sz w:val="22"/>
          <w:szCs w:val="22"/>
          <w:lang w:val="en-GB"/>
        </w:rPr>
        <w:lastRenderedPageBreak/>
        <w:t xml:space="preserve">supply goods to the very small number of miners that were working in the vicinity at that time. However, in the third example, the woman had initiated the move after migrating to La Pampa to work in her cousin’s hotel after a fight with her husband and their subsequent breakup. She decided to stay in La Pampa due to the higher income earning potential and after a few months, her husband followed her. The women in the remaining eight households had all followed their husbands to Laberinto after some time. Although this suggests that these women’s mobility was dependent on their husband, this masks the agency that some exerted in these decisions. For example, two of the women had arrived in the town unannounced after making the decision independently. In both cases, they felt this was necessary to save their marriage, as their husbands had started sending less money home and they were aware of the general level of promiscuity in the mining towns. Such cases highlight the importance of analysing the gender relationships that lead to migration decisions, even in cases that seems to reflect a traditional trend for women to simply follow their husbands </w:t>
      </w:r>
      <w:r w:rsidR="00ED0651"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Mahler","given":"S.J","non-dropping-particle":"","parse-names":false,"suffix":""},{"dropping-particle":"","family":"Pessar","given":"P.R","non-dropping-particle":"","parse-names":false,"suffix":""}],"container-title":"International Migration Review","id":"ITEM-1","issue":"1","issued":{"date-parts":[["2006"]]},"page":"27-63","title":"Gender matters: ethnographers bring gender from the periphery toward the core of migration studies","type":"article-journal","volume":"40"},"uris":["http://www.mendeley.com/documents/?uuid=6d5e8988-e3e9-4fdd-818e-d8f6617618dd"]}],"mendeley":{"formattedCitation":"(Mahler &amp; Pessar, 2006)","plainTextFormattedCitation":"(Mahler &amp; Pessar, 2006)","previouslyFormattedCitation":"(Mahler &amp; Pessar, 2006)"},"properties":{"noteIndex":0},"schema":"https://github.com/citation-style-language/schema/raw/master/csl-citation.json"}</w:instrText>
      </w:r>
      <w:r w:rsidR="00ED0651" w:rsidRPr="004E053C">
        <w:rPr>
          <w:rFonts w:cstheme="majorHAnsi"/>
          <w:sz w:val="22"/>
          <w:szCs w:val="22"/>
          <w:lang w:val="en-GB"/>
        </w:rPr>
        <w:fldChar w:fldCharType="separate"/>
      </w:r>
      <w:r w:rsidR="00ED0651" w:rsidRPr="004E053C">
        <w:rPr>
          <w:rFonts w:cstheme="majorHAnsi"/>
          <w:noProof/>
          <w:sz w:val="22"/>
          <w:szCs w:val="22"/>
          <w:lang w:val="en-GB"/>
        </w:rPr>
        <w:t>(Mahler &amp; Pessar, 2006)</w:t>
      </w:r>
      <w:r w:rsidR="00ED0651" w:rsidRPr="004E053C">
        <w:rPr>
          <w:rFonts w:cstheme="majorHAnsi"/>
          <w:sz w:val="22"/>
          <w:szCs w:val="22"/>
          <w:lang w:val="en-GB"/>
        </w:rPr>
        <w:fldChar w:fldCharType="end"/>
      </w:r>
      <w:r w:rsidRPr="004E053C">
        <w:rPr>
          <w:rFonts w:cstheme="majorHAnsi"/>
          <w:sz w:val="22"/>
          <w:szCs w:val="22"/>
          <w:lang w:val="en-GB"/>
        </w:rPr>
        <w:t>.</w:t>
      </w:r>
    </w:p>
    <w:p w14:paraId="0A641C7E" w14:textId="77777777" w:rsidR="00F2183E" w:rsidRPr="004E053C" w:rsidRDefault="00F2183E" w:rsidP="004E053C">
      <w:pPr>
        <w:spacing w:line="360" w:lineRule="auto"/>
        <w:jc w:val="both"/>
        <w:rPr>
          <w:rFonts w:cstheme="majorHAnsi"/>
          <w:sz w:val="22"/>
          <w:szCs w:val="22"/>
          <w:lang w:val="en-GB"/>
        </w:rPr>
      </w:pPr>
    </w:p>
    <w:p w14:paraId="3DA5D568" w14:textId="08308D64" w:rsidR="00F2183E" w:rsidRPr="004E053C" w:rsidRDefault="00F2183E" w:rsidP="004E053C">
      <w:pPr>
        <w:spacing w:line="360" w:lineRule="auto"/>
        <w:jc w:val="both"/>
        <w:rPr>
          <w:rStyle w:val="fontstyle01"/>
          <w:rFonts w:asciiTheme="minorHAnsi" w:hAnsiTheme="minorHAnsi" w:cstheme="majorHAnsi"/>
          <w:color w:val="00689C"/>
          <w:sz w:val="22"/>
          <w:szCs w:val="22"/>
          <w:lang w:val="en-GB"/>
        </w:rPr>
      </w:pPr>
      <w:r w:rsidRPr="004E053C">
        <w:rPr>
          <w:rFonts w:cstheme="majorHAnsi"/>
          <w:sz w:val="22"/>
          <w:szCs w:val="22"/>
          <w:lang w:val="en-GB"/>
        </w:rPr>
        <w:t>Another important aspect to note is that four of the women who previously lived in the mining towns have returned home. For one woman, this was because she and her husband had been able to save enough money to invest in a business providing transport services, although her husband now still travels to the mining area intermittently. For the others, the decision to return to Ocongate was due to becoming pregnant or having a very young child, as Ocongate is a preferable location for them to grow up in. It seems therefore that women with children and indeed</w:t>
      </w:r>
      <w:r w:rsidR="003B5DCB" w:rsidRPr="004E053C">
        <w:rPr>
          <w:rFonts w:cstheme="majorHAnsi"/>
          <w:sz w:val="22"/>
          <w:szCs w:val="22"/>
          <w:lang w:val="en-GB"/>
        </w:rPr>
        <w:t xml:space="preserve"> children themselves, are more ‘out of place’</w:t>
      </w:r>
      <w:r w:rsidRPr="004E053C">
        <w:rPr>
          <w:rFonts w:cstheme="majorHAnsi"/>
          <w:sz w:val="22"/>
          <w:szCs w:val="22"/>
          <w:lang w:val="en-GB"/>
        </w:rPr>
        <w:t xml:space="preserve"> in mining towns than single or married women without children. As noted earlier, certain places are deemed to be too dangerous for women’s bodies to enter </w:t>
      </w:r>
      <w:r w:rsidR="00ED0651"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{"citationItems":[{"id":"ITEM-1","itemData":{"author":[{"dropping-particle":"","family":"Silvey","given":"Rachel","non-dropping-particle":"","parse-names":false,"suffix":""}],"container-title":"The International Migration Review","id":"ITEM-1","issue":"1","issued":{"date-parts":[["1996"]]},"page":"64-81","title":"Geographies of gender and migration: spatializing social difference","type":"article-journal","volume":"40"},"uris":["http://www.mendeley.com/documents/?uuid=d4a41cfd-376d-42d1-a32b-3b2d23598c20"]}],"mendeley":{"formattedCitation":"(Silvey, 1996)","plainTextFormattedCitation":"(Silvey, 1996)","previouslyFormattedCitation":"(Silvey, 1996)"},"properties":{"noteIndex":0},"schema":"https://github.com/citation-style-language/schema/raw/master/csl-citation.json"}</w:instrText>
      </w:r>
      <w:r w:rsidR="00ED0651" w:rsidRPr="004E053C">
        <w:rPr>
          <w:rFonts w:cstheme="majorHAnsi"/>
          <w:sz w:val="22"/>
          <w:szCs w:val="22"/>
          <w:lang w:val="en-GB"/>
        </w:rPr>
        <w:fldChar w:fldCharType="separate"/>
      </w:r>
      <w:r w:rsidR="00ED0651" w:rsidRPr="004E053C">
        <w:rPr>
          <w:rFonts w:cstheme="majorHAnsi"/>
          <w:noProof/>
          <w:sz w:val="22"/>
          <w:szCs w:val="22"/>
          <w:lang w:val="en-GB"/>
        </w:rPr>
        <w:t>(Silvey, 1996)</w:t>
      </w:r>
      <w:r w:rsidR="00ED0651" w:rsidRPr="004E053C">
        <w:rPr>
          <w:rFonts w:cstheme="majorHAnsi"/>
          <w:sz w:val="22"/>
          <w:szCs w:val="22"/>
          <w:lang w:val="en-GB"/>
        </w:rPr>
        <w:fldChar w:fldCharType="end"/>
      </w:r>
      <w:r w:rsidRPr="004E053C">
        <w:rPr>
          <w:rFonts w:cstheme="majorHAnsi"/>
          <w:sz w:val="22"/>
          <w:szCs w:val="22"/>
          <w:lang w:val="en-GB"/>
        </w:rPr>
        <w:t xml:space="preserve">. This has an important time-space component meaning that, for example, certain public spaces are deemed too dangerous at night </w:t>
      </w:r>
      <w:r w:rsidR="00ED0651"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{"citationItems":[{"id":"ITEM-1","itemData":{"author":[{"dropping-particle":"","family":"Silvey","given":"Rachel","non-dropping-particle":"","parse-names":false,"suffix":""}],"container-title":"The International Migration Review","id":"ITEM-1","issue":"1","issued":{"date-parts":[["1996"]]},"page":"64-81","title":"Geographies of gender and migration: spatializing social difference","type":"article-journal","volume":"40"},"uris":["http://www.mendeley.com/documents/?uuid=d4a41cfd-376d-42d1-a32b-3b2d23598c20"]}],"mendeley":{"formattedCitation":"(Silvey, 1996)","manualFormatting":"(Ibid.)","plainTextFormattedCitation":"(Silvey, 1996)","previouslyFormattedCitation":"(Silvey, 1996)"},"properties":{"noteIndex":0},"schema":"https://github.com/citation-style-language/schema/raw/master/csl-citation.json"}</w:instrText>
      </w:r>
      <w:r w:rsidR="00ED0651" w:rsidRPr="004E053C">
        <w:rPr>
          <w:rFonts w:cstheme="majorHAnsi"/>
          <w:sz w:val="22"/>
          <w:szCs w:val="22"/>
          <w:lang w:val="en-GB"/>
        </w:rPr>
        <w:fldChar w:fldCharType="separate"/>
      </w:r>
      <w:r w:rsidR="00830084" w:rsidRPr="004E053C">
        <w:rPr>
          <w:rFonts w:cstheme="majorHAnsi"/>
          <w:noProof/>
          <w:sz w:val="22"/>
          <w:szCs w:val="22"/>
          <w:lang w:val="en-GB"/>
        </w:rPr>
        <w:t>(Ibid</w:t>
      </w:r>
      <w:r w:rsidR="00EC4FAE" w:rsidRPr="004E053C">
        <w:rPr>
          <w:rFonts w:cstheme="majorHAnsi"/>
          <w:noProof/>
          <w:sz w:val="22"/>
          <w:szCs w:val="22"/>
          <w:lang w:val="en-GB"/>
        </w:rPr>
        <w:t>.</w:t>
      </w:r>
      <w:r w:rsidR="00ED0651" w:rsidRPr="004E053C">
        <w:rPr>
          <w:rFonts w:cstheme="majorHAnsi"/>
          <w:noProof/>
          <w:sz w:val="22"/>
          <w:szCs w:val="22"/>
          <w:lang w:val="en-GB"/>
        </w:rPr>
        <w:t>)</w:t>
      </w:r>
      <w:r w:rsidR="00ED0651" w:rsidRPr="004E053C">
        <w:rPr>
          <w:rFonts w:cstheme="majorHAnsi"/>
          <w:sz w:val="22"/>
          <w:szCs w:val="22"/>
          <w:lang w:val="en-GB"/>
        </w:rPr>
        <w:fldChar w:fldCharType="end"/>
      </w:r>
      <w:r w:rsidRPr="004E053C">
        <w:rPr>
          <w:rFonts w:cstheme="majorHAnsi"/>
          <w:sz w:val="22"/>
          <w:szCs w:val="22"/>
          <w:lang w:val="en-GB"/>
        </w:rPr>
        <w:t xml:space="preserve">. Interestingly in mining sites, it may be that rather than time of day, it is the time of a woman’s life that makes certain places inaccessible. Although there are some families with children in KM108, the violent environment suggests that it is not an ideal location to bring up a family, or one in which to be pregnant given the poor availability of health services. Furthermore, </w:t>
      </w:r>
      <w:r w:rsidR="003A35B4" w:rsidRPr="004E053C">
        <w:rPr>
          <w:rFonts w:cstheme="majorHAnsi"/>
          <w:sz w:val="22"/>
          <w:szCs w:val="22"/>
          <w:lang w:val="en-GB"/>
        </w:rPr>
        <w:t>a case from Nicaragua</w:t>
      </w:r>
      <w:r w:rsidRPr="004E053C">
        <w:rPr>
          <w:rFonts w:cstheme="majorHAnsi"/>
          <w:sz w:val="22"/>
          <w:szCs w:val="22"/>
          <w:lang w:val="en-GB"/>
        </w:rPr>
        <w:t xml:space="preserve"> has shown that </w:t>
      </w:r>
      <w:r w:rsidRPr="004E053C">
        <w:rPr>
          <w:rStyle w:val="fontstyle01"/>
          <w:rFonts w:asciiTheme="minorHAnsi" w:hAnsiTheme="minorHAnsi" w:cstheme="majorHAnsi"/>
          <w:sz w:val="22"/>
          <w:szCs w:val="22"/>
          <w:lang w:val="en-GB"/>
        </w:rPr>
        <w:t xml:space="preserve">reproductive work and agricultural responsibilities are a limiting factor on women’s mobility </w:t>
      </w:r>
      <w:r w:rsidR="00ED0651" w:rsidRPr="004E053C">
        <w:rPr>
          <w:rStyle w:val="fontstyle01"/>
          <w:rFonts w:asciiTheme="minorHAnsi" w:hAnsiTheme="minorHAnsi" w:cstheme="majorHAnsi"/>
          <w:sz w:val="22"/>
          <w:szCs w:val="22"/>
          <w:lang w:val="en-GB"/>
        </w:rPr>
        <w:fldChar w:fldCharType="begin" w:fldLock="1"/>
      </w:r>
      <w:r w:rsidR="00ED0651" w:rsidRPr="004E053C">
        <w:rPr>
          <w:rStyle w:val="fontstyle01"/>
          <w:rFonts w:asciiTheme="minorHAnsi" w:hAnsiTheme="minorHAnsi" w:cstheme="majorHAnsi"/>
          <w:sz w:val="22"/>
          <w:szCs w:val="22"/>
          <w:lang w:val="en-GB"/>
        </w:rPr>
        <w:instrText>ADDIN CSL_CITATION {"citationItems":[{"id":"ITEM-1","itemData":{"author":[{"dropping-particle":"","family":"Winters","given":"Nanneke","non-dropping-particle":"","parse-names":false,"suffix":""}],"container-title":"International Migration Review","id":"ITEM-1","issue":"2","issued":{"date-parts":[["2014"]]},"page":"415-441","title":"Responsibility, Mobility and Power: Translocal Carework Negotiations of Nicaraguan Families","type":"article-journal","volume":"48"},"uris":["http://www.mendeley.com/documents/?uuid=a31f011d-c715-4935-8652-96b62439f6cd"]}],"mendeley":{"formattedCitation":"(Winters, 2014)","plainTextFormattedCitation":"(Winters, 2014)","previouslyFormattedCitation":"(Winters, 2014)"},"properties":{"noteIndex":0},"schema":"https://github.com/citation-style-language/schema/raw/master/csl-citation.json"}</w:instrText>
      </w:r>
      <w:r w:rsidR="00ED0651" w:rsidRPr="004E053C">
        <w:rPr>
          <w:rStyle w:val="fontstyle01"/>
          <w:rFonts w:asciiTheme="minorHAnsi" w:hAnsiTheme="minorHAnsi" w:cstheme="majorHAnsi"/>
          <w:sz w:val="22"/>
          <w:szCs w:val="22"/>
          <w:lang w:val="en-GB"/>
        </w:rPr>
        <w:fldChar w:fldCharType="separate"/>
      </w:r>
      <w:r w:rsidR="00ED0651" w:rsidRPr="004E053C">
        <w:rPr>
          <w:rStyle w:val="fontstyle01"/>
          <w:rFonts w:asciiTheme="minorHAnsi" w:hAnsiTheme="minorHAnsi" w:cstheme="majorHAnsi"/>
          <w:noProof/>
          <w:sz w:val="22"/>
          <w:szCs w:val="22"/>
          <w:lang w:val="en-GB"/>
        </w:rPr>
        <w:t>(Winters, 2014)</w:t>
      </w:r>
      <w:r w:rsidR="00ED0651" w:rsidRPr="004E053C">
        <w:rPr>
          <w:rStyle w:val="fontstyle01"/>
          <w:rFonts w:asciiTheme="minorHAnsi" w:hAnsiTheme="minorHAnsi" w:cstheme="majorHAnsi"/>
          <w:sz w:val="22"/>
          <w:szCs w:val="22"/>
          <w:lang w:val="en-GB"/>
        </w:rPr>
        <w:fldChar w:fldCharType="end"/>
      </w:r>
      <w:r w:rsidRPr="004E053C">
        <w:rPr>
          <w:rStyle w:val="fontstyle01"/>
          <w:rFonts w:asciiTheme="minorHAnsi" w:hAnsiTheme="minorHAnsi" w:cstheme="majorHAnsi"/>
          <w:sz w:val="22"/>
          <w:szCs w:val="22"/>
          <w:lang w:val="en-GB"/>
        </w:rPr>
        <w:t xml:space="preserve">. This has already been observed in ASM in the context of Suriname </w:t>
      </w:r>
      <w:r w:rsidR="00ED0651" w:rsidRPr="004E053C">
        <w:rPr>
          <w:rStyle w:val="fontstyle01"/>
          <w:rFonts w:asciiTheme="minorHAnsi" w:hAnsiTheme="minorHAnsi" w:cstheme="majorHAnsi"/>
          <w:sz w:val="22"/>
          <w:szCs w:val="22"/>
          <w:lang w:val="en-GB"/>
        </w:rPr>
        <w:fldChar w:fldCharType="begin" w:fldLock="1"/>
      </w:r>
      <w:r w:rsidR="00ED0651" w:rsidRPr="004E053C">
        <w:rPr>
          <w:rStyle w:val="fontstyle01"/>
          <w:rFonts w:asciiTheme="minorHAnsi" w:hAnsiTheme="minorHAnsi" w:cstheme="majorHAnsi"/>
          <w:sz w:val="22"/>
          <w:szCs w:val="22"/>
          <w:lang w:val="en-GB"/>
        </w:rPr>
        <w:instrText>ADDIN CSL_CITATION {"citationItems":[{"id":"ITEM-1","itemData":{"author":[{"dropping-particle":"","family":"Heemskerek","given":"Marieke","non-dropping-particle":"","parse-names":false,"suffix":""}],"collection-title":"Women and International Development","id":"ITEM-1","issued":{"date-parts":[["2000"]]},"number":"269","publisher-place":"East Lansing, MI","title":"Gender and Gold Mining: The Case of the Maroons of Suriname","type":"report"},"uris":["http://www.mendeley.com/documents/?uuid=22538ed4-9be1-4e65-bfac-9780dd88806e"]}],"mendeley":{"formattedCitation":"(Heemskerek, 2000)","plainTextFormattedCitation":"(Heemskerek, 2000)","previouslyFormattedCitation":"(Heemskerek, 2000)"},"properties":{"noteIndex":0},"schema":"https://github.com/citation-style-language/schema/raw/master/csl-citation.json"}</w:instrText>
      </w:r>
      <w:r w:rsidR="00ED0651" w:rsidRPr="004E053C">
        <w:rPr>
          <w:rStyle w:val="fontstyle01"/>
          <w:rFonts w:asciiTheme="minorHAnsi" w:hAnsiTheme="minorHAnsi" w:cstheme="majorHAnsi"/>
          <w:sz w:val="22"/>
          <w:szCs w:val="22"/>
          <w:lang w:val="en-GB"/>
        </w:rPr>
        <w:fldChar w:fldCharType="separate"/>
      </w:r>
      <w:r w:rsidR="00ED0651" w:rsidRPr="004E053C">
        <w:rPr>
          <w:rStyle w:val="fontstyle01"/>
          <w:rFonts w:asciiTheme="minorHAnsi" w:hAnsiTheme="minorHAnsi" w:cstheme="majorHAnsi"/>
          <w:noProof/>
          <w:sz w:val="22"/>
          <w:szCs w:val="22"/>
          <w:lang w:val="en-GB"/>
        </w:rPr>
        <w:t>(Heemskerek, 2000)</w:t>
      </w:r>
      <w:r w:rsidR="00ED0651" w:rsidRPr="004E053C">
        <w:rPr>
          <w:rStyle w:val="fontstyle01"/>
          <w:rFonts w:asciiTheme="minorHAnsi" w:hAnsiTheme="minorHAnsi" w:cstheme="majorHAnsi"/>
          <w:sz w:val="22"/>
          <w:szCs w:val="22"/>
          <w:lang w:val="en-GB"/>
        </w:rPr>
        <w:fldChar w:fldCharType="end"/>
      </w:r>
      <w:r w:rsidRPr="004E053C">
        <w:rPr>
          <w:rFonts w:cstheme="majorHAnsi"/>
          <w:sz w:val="22"/>
          <w:szCs w:val="22"/>
          <w:lang w:val="en-GB"/>
        </w:rPr>
        <w:t xml:space="preserve">. Thus, although </w:t>
      </w:r>
      <w:r w:rsidRPr="004E053C">
        <w:rPr>
          <w:rStyle w:val="fontstyle01"/>
          <w:rFonts w:asciiTheme="minorHAnsi" w:hAnsiTheme="minorHAnsi" w:cstheme="majorHAnsi"/>
          <w:sz w:val="22"/>
          <w:szCs w:val="22"/>
          <w:lang w:val="en-GB"/>
        </w:rPr>
        <w:t>Tomasa worked in mining sites as a cook regularly before she was married, at that time she would not have had the same agricultural responsibilities let alone childcare and other reproductive work, highlighting how women may find places to be more or less accessible at different times of life</w:t>
      </w:r>
      <w:r w:rsidRPr="004E053C">
        <w:rPr>
          <w:rStyle w:val="fontstyle01"/>
          <w:rFonts w:asciiTheme="minorHAnsi" w:hAnsiTheme="minorHAnsi" w:cstheme="majorHAnsi"/>
          <w:color w:val="00689C"/>
          <w:sz w:val="22"/>
          <w:szCs w:val="22"/>
          <w:lang w:val="en-GB"/>
        </w:rPr>
        <w:t xml:space="preserve">. </w:t>
      </w:r>
    </w:p>
    <w:p w14:paraId="3CBC4248" w14:textId="77777777" w:rsidR="00D35D90" w:rsidRPr="004E053C" w:rsidRDefault="00D35D90" w:rsidP="004E053C">
      <w:pPr>
        <w:spacing w:line="360" w:lineRule="auto"/>
        <w:jc w:val="both"/>
        <w:rPr>
          <w:rFonts w:cstheme="majorHAnsi"/>
          <w:color w:val="00689C"/>
          <w:sz w:val="22"/>
          <w:szCs w:val="22"/>
          <w:lang w:val="en-GB"/>
        </w:rPr>
      </w:pPr>
    </w:p>
    <w:p w14:paraId="1DF8C323" w14:textId="7751E9B7" w:rsidR="00F2183E" w:rsidRPr="004E053C" w:rsidRDefault="00F2183E" w:rsidP="004E053C">
      <w:pPr>
        <w:spacing w:line="360" w:lineRule="auto"/>
        <w:jc w:val="both"/>
        <w:rPr>
          <w:rStyle w:val="Hyperlink"/>
          <w:rFonts w:cstheme="majorHAnsi"/>
          <w:color w:val="auto"/>
          <w:sz w:val="22"/>
          <w:szCs w:val="22"/>
          <w:u w:val="none"/>
          <w:lang w:val="en-GB"/>
        </w:rPr>
      </w:pPr>
      <w:r w:rsidRPr="004E053C">
        <w:rPr>
          <w:rFonts w:cstheme="majorHAnsi"/>
          <w:sz w:val="22"/>
          <w:szCs w:val="22"/>
          <w:lang w:val="en-GB"/>
        </w:rPr>
        <w:lastRenderedPageBreak/>
        <w:t xml:space="preserve">Unlike the women interviewed in Ocongate, the eleven women in Laberinto who had arrived unaccompanied had all decided to remain in the area. This was usually because they had made friends and then met their partners/husbands in the mining towns, often through working. According to the </w:t>
      </w:r>
      <w:r w:rsidR="00F16371" w:rsidRPr="004E053C">
        <w:rPr>
          <w:rFonts w:cstheme="majorHAnsi"/>
          <w:sz w:val="22"/>
          <w:szCs w:val="22"/>
          <w:lang w:val="en-GB"/>
        </w:rPr>
        <w:t>typology introduced in chapter 6</w:t>
      </w:r>
      <w:r w:rsidRPr="004E053C">
        <w:rPr>
          <w:rFonts w:cstheme="majorHAnsi"/>
          <w:sz w:val="22"/>
          <w:szCs w:val="22"/>
          <w:lang w:val="en-GB"/>
        </w:rPr>
        <w:t xml:space="preserve">, these women are therefore permanent migrants. However, if some mining sites are deemed too dangerous for some women, it is important to consider what this reveals about the social relationships of women who do choose to remain in mining towns. As Werthmann </w:t>
      </w:r>
      <w:r w:rsidR="00ED0651" w:rsidRPr="004E053C">
        <w:rPr>
          <w:rFonts w:cstheme="majorHAnsi"/>
          <w:sz w:val="22"/>
          <w:szCs w:val="22"/>
          <w:lang w:val="en-GB"/>
        </w:rPr>
        <w:fldChar w:fldCharType="begin" w:fldLock="1"/>
      </w:r>
      <w:r w:rsidR="00ED0651" w:rsidRPr="004E053C">
        <w:rPr>
          <w:rFonts w:cstheme="majorHAnsi"/>
          <w:sz w:val="22"/>
          <w:szCs w:val="22"/>
          <w:lang w:val="en-GB"/>
        </w:rPr>
        <w:instrText>ADDIN CSL_CITATION {"citationItems":[{"id":"ITEM-1","itemData":{"author":[{"dropping-particle":"","family":"Werthmann","given":"Katja","non-dropping-particle":"","parse-names":false,"suffix":""}],"container-title":"Resources Policy","id":"ITEM-1","issued":{"date-parts":[["2009"]]},"page":"18-23","title":"Working in a boom-town: Female perspectives on gold-mining in Burkina Faso","type":"article-journal","volume":"34"},"uris":["http://www.mendeley.com/documents/?uuid=da98f8ff-10f1-45ed-adfd-29236ef7847f"]}],"mendeley":{"formattedCitation":"(Werthmann, 2009)","manualFormatting":"(2009)","plainTextFormattedCitation":"(Werthmann, 2009)","previouslyFormattedCitation":"(Werthmann, 2009)"},"properties":{"noteIndex":0},"schema":"https://github.com/citation-style-language/schema/raw/master/csl-citation.json"}</w:instrText>
      </w:r>
      <w:r w:rsidR="00ED0651" w:rsidRPr="004E053C">
        <w:rPr>
          <w:rFonts w:cstheme="majorHAnsi"/>
          <w:sz w:val="22"/>
          <w:szCs w:val="22"/>
          <w:lang w:val="en-GB"/>
        </w:rPr>
        <w:fldChar w:fldCharType="separate"/>
      </w:r>
      <w:r w:rsidR="00ED0651" w:rsidRPr="004E053C">
        <w:rPr>
          <w:rFonts w:cstheme="majorHAnsi"/>
          <w:noProof/>
          <w:sz w:val="22"/>
          <w:szCs w:val="22"/>
          <w:lang w:val="en-GB"/>
        </w:rPr>
        <w:t>(2009)</w:t>
      </w:r>
      <w:r w:rsidR="00ED0651" w:rsidRPr="004E053C">
        <w:rPr>
          <w:rFonts w:cstheme="majorHAnsi"/>
          <w:sz w:val="22"/>
          <w:szCs w:val="22"/>
          <w:lang w:val="en-GB"/>
        </w:rPr>
        <w:fldChar w:fldCharType="end"/>
      </w:r>
      <w:r w:rsidRPr="004E053C">
        <w:rPr>
          <w:rFonts w:cstheme="majorHAnsi"/>
          <w:sz w:val="22"/>
          <w:szCs w:val="22"/>
          <w:lang w:val="en-GB"/>
        </w:rPr>
        <w:t xml:space="preserve"> has pointed out</w:t>
      </w:r>
      <w:r w:rsidR="00282B1E" w:rsidRPr="004E053C">
        <w:rPr>
          <w:rFonts w:cstheme="majorHAnsi"/>
          <w:sz w:val="22"/>
          <w:szCs w:val="22"/>
          <w:lang w:val="en-GB"/>
        </w:rPr>
        <w:t xml:space="preserve"> with reference to Burkina Faso</w:t>
      </w:r>
      <w:r w:rsidRPr="004E053C">
        <w:rPr>
          <w:rFonts w:cstheme="majorHAnsi"/>
          <w:sz w:val="22"/>
          <w:szCs w:val="22"/>
          <w:lang w:val="en-GB"/>
        </w:rPr>
        <w:t xml:space="preserve">, as gold mining towns can often represent </w:t>
      </w:r>
      <w:r w:rsidRPr="004E053C">
        <w:rPr>
          <w:rStyle w:val="Hyperlink"/>
          <w:rFonts w:cstheme="majorHAnsi"/>
          <w:color w:val="auto"/>
          <w:sz w:val="22"/>
          <w:szCs w:val="22"/>
          <w:u w:val="none"/>
          <w:lang w:val="en-GB"/>
        </w:rPr>
        <w:t xml:space="preserve">socio-cultural milieus they often attract people who are already marginalised in their origin communities because they do not comply with social norms. Although Werthmann </w:t>
      </w:r>
      <w:r w:rsidR="00ED0651" w:rsidRPr="004E053C">
        <w:rPr>
          <w:rStyle w:val="Hyperlink"/>
          <w:rFonts w:cstheme="majorHAnsi"/>
          <w:color w:val="auto"/>
          <w:sz w:val="22"/>
          <w:szCs w:val="22"/>
          <w:u w:val="none"/>
          <w:lang w:val="en-GB"/>
        </w:rPr>
        <w:fldChar w:fldCharType="begin" w:fldLock="1"/>
      </w:r>
      <w:r w:rsidR="00ED0651" w:rsidRPr="004E053C">
        <w:rPr>
          <w:rStyle w:val="Hyperlink"/>
          <w:rFonts w:cstheme="majorHAnsi"/>
          <w:color w:val="auto"/>
          <w:sz w:val="22"/>
          <w:szCs w:val="22"/>
          <w:u w:val="none"/>
          <w:lang w:val="en-GB"/>
        </w:rPr>
        <w:instrText>ADDIN CSL_CITATION {"citationItems":[{"id":"ITEM-1","itemData":{"author":[{"dropping-particle":"","family":"Werthmann","given":"Katja","non-dropping-particle":"","parse-names":false,"suffix":""}],"container-title":"Resources Policy","id":"ITEM-1","issued":{"date-parts":[["2009"]]},"page":"18-23","title":"Working in a boom-town: Female perspectives on gold-mining in Burkina Faso","type":"article-journal","volume":"34"},"uris":["http://www.mendeley.com/documents/?uuid=da98f8ff-10f1-45ed-adfd-29236ef7847f"]}],"mendeley":{"formattedCitation":"(Werthmann, 2009)","manualFormatting":"(2009)","plainTextFormattedCitation":"(Werthmann, 2009)","previouslyFormattedCitation":"(Werthmann, 2009)"},"properties":{"noteIndex":0},"schema":"https://github.com/citation-style-language/schema/raw/master/csl-citation.json"}</w:instrText>
      </w:r>
      <w:r w:rsidR="00ED0651" w:rsidRPr="004E053C">
        <w:rPr>
          <w:rStyle w:val="Hyperlink"/>
          <w:rFonts w:cstheme="majorHAnsi"/>
          <w:color w:val="auto"/>
          <w:sz w:val="22"/>
          <w:szCs w:val="22"/>
          <w:u w:val="none"/>
          <w:lang w:val="en-GB"/>
        </w:rPr>
        <w:fldChar w:fldCharType="separate"/>
      </w:r>
      <w:r w:rsidR="00ED0651" w:rsidRPr="004E053C">
        <w:rPr>
          <w:rStyle w:val="Hyperlink"/>
          <w:rFonts w:cstheme="majorHAnsi"/>
          <w:noProof/>
          <w:color w:val="auto"/>
          <w:sz w:val="22"/>
          <w:szCs w:val="22"/>
          <w:u w:val="none"/>
          <w:lang w:val="en-GB"/>
        </w:rPr>
        <w:t>(2009)</w:t>
      </w:r>
      <w:r w:rsidR="00ED0651" w:rsidRPr="004E053C">
        <w:rPr>
          <w:rStyle w:val="Hyperlink"/>
          <w:rFonts w:cstheme="majorHAnsi"/>
          <w:color w:val="auto"/>
          <w:sz w:val="22"/>
          <w:szCs w:val="22"/>
          <w:u w:val="none"/>
          <w:lang w:val="en-GB"/>
        </w:rPr>
        <w:fldChar w:fldCharType="end"/>
      </w:r>
      <w:r w:rsidRPr="004E053C">
        <w:rPr>
          <w:rStyle w:val="Hyperlink"/>
          <w:rFonts w:cstheme="majorHAnsi"/>
          <w:color w:val="auto"/>
          <w:sz w:val="22"/>
          <w:szCs w:val="22"/>
          <w:u w:val="none"/>
          <w:lang w:val="en-GB"/>
        </w:rPr>
        <w:t xml:space="preserve"> is referring to mining camps, life in Laberinto is far more relaxed than Andean communities and women can be relatively free. </w:t>
      </w:r>
      <w:r w:rsidRPr="004E053C">
        <w:rPr>
          <w:rFonts w:cstheme="majorHAnsi"/>
          <w:sz w:val="22"/>
          <w:szCs w:val="22"/>
          <w:lang w:val="en-GB"/>
        </w:rPr>
        <w:t xml:space="preserve">For the women who became permanently settled, being pregnant or married with household responsibilities did not make them suddenly ‘out of place’. </w:t>
      </w:r>
      <w:r w:rsidRPr="004E053C">
        <w:rPr>
          <w:rStyle w:val="Hyperlink"/>
          <w:rFonts w:cstheme="majorHAnsi"/>
          <w:color w:val="auto"/>
          <w:sz w:val="22"/>
          <w:szCs w:val="22"/>
          <w:u w:val="none"/>
          <w:lang w:val="en-GB"/>
        </w:rPr>
        <w:t>Interestingly, two of the interviewed women in Laberinto mentioned having poor relationships with their family at home, suggesting a dislocation from their origin community that made it far easier to relocate. This adds some weight to Werthmann’s arguments about the residents of mining towns having suffered marginalisation of some form elsewhere prior to their arrival.</w:t>
      </w:r>
    </w:p>
    <w:p w14:paraId="1D47947B" w14:textId="77777777" w:rsidR="00D35D90" w:rsidRPr="004E053C" w:rsidRDefault="00D35D90" w:rsidP="004E053C">
      <w:pPr>
        <w:spacing w:line="360" w:lineRule="auto"/>
        <w:jc w:val="both"/>
        <w:rPr>
          <w:rStyle w:val="Hyperlink"/>
          <w:rFonts w:cstheme="majorHAnsi"/>
          <w:color w:val="auto"/>
          <w:sz w:val="22"/>
          <w:szCs w:val="22"/>
          <w:u w:val="none"/>
          <w:lang w:val="en-GB"/>
        </w:rPr>
      </w:pPr>
    </w:p>
    <w:p w14:paraId="6B62CCB6" w14:textId="3024355B"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As has been shown above, the focus on men in the ASM literature does not accurately portray the fluidity of translocal ASM communities, as women do move between communities. However, it is less common for married women to travel to mining sites without their husbands, highlighting how mobility into ASM sites is restricted somewhat by one’s gender, and that on occasion, gender may also restrict one’s influence over households’ livelihood strategies. Furthermore, the tendency for single migrant women to return home when they get married or become pregnant, highlights how through the politics of mobility, gender can influence multiple stages of livelihood/migrant trajectories </w:t>
      </w:r>
      <w:r w:rsidR="00ED0651" w:rsidRPr="004E053C">
        <w:rPr>
          <w:rFonts w:cstheme="majorHAnsi"/>
          <w:sz w:val="22"/>
          <w:szCs w:val="22"/>
          <w:lang w:val="en-GB"/>
        </w:rPr>
        <w:fldChar w:fldCharType="begin" w:fldLock="1"/>
      </w:r>
      <w:r w:rsidR="00DA0A7B" w:rsidRPr="004E053C">
        <w:rPr>
          <w:rFonts w:cstheme="majorHAnsi"/>
          <w:sz w:val="22"/>
          <w:szCs w:val="22"/>
          <w:lang w:val="en-GB"/>
        </w:rPr>
        <w:instrText>ADDIN CSL_CITATION {"citationItems":[{"id":"ITEM-1","itemData":{"author":[{"dropping-particle":"","family":"Winters","given":"Nanneke","non-dropping-particle":"","parse-names":false,"suffix":""}],"container-title":"Geoforum","id":"ITEM-1","issued":{"date-parts":[["2019"]]},"page":"xx","title":"Beyond the bird in the cage? Translocal embodiment and trajectories of Nicaraguan female migrants in Seville, Spain","type":"article-journal","volume":"In press"},"uris":["http://www.mendeley.com/documents/?uuid=2aa319ff-b400-46b1-8f07-077af6e026a1"]}],"mendeley":{"formattedCitation":"(Winters, 2019)","plainTextFormattedCitation":"(Winters, 2019)","previouslyFormattedCitation":"(Winters, 2019)"},"properties":{"noteIndex":0},"schema":"https://github.com/citation-style-language/schema/raw/master/csl-citation.json"}</w:instrText>
      </w:r>
      <w:r w:rsidR="00ED0651" w:rsidRPr="004E053C">
        <w:rPr>
          <w:rFonts w:cstheme="majorHAnsi"/>
          <w:sz w:val="22"/>
          <w:szCs w:val="22"/>
          <w:lang w:val="en-GB"/>
        </w:rPr>
        <w:fldChar w:fldCharType="separate"/>
      </w:r>
      <w:r w:rsidR="00ED0651" w:rsidRPr="004E053C">
        <w:rPr>
          <w:rFonts w:cstheme="majorHAnsi"/>
          <w:noProof/>
          <w:sz w:val="22"/>
          <w:szCs w:val="22"/>
          <w:lang w:val="en-GB"/>
        </w:rPr>
        <w:t>(Winters, 2019)</w:t>
      </w:r>
      <w:r w:rsidR="00ED0651" w:rsidRPr="004E053C">
        <w:rPr>
          <w:rFonts w:cstheme="majorHAnsi"/>
          <w:sz w:val="22"/>
          <w:szCs w:val="22"/>
          <w:lang w:val="en-GB"/>
        </w:rPr>
        <w:fldChar w:fldCharType="end"/>
      </w:r>
      <w:r w:rsidRPr="004E053C">
        <w:rPr>
          <w:rFonts w:cstheme="majorHAnsi"/>
          <w:sz w:val="22"/>
          <w:szCs w:val="22"/>
          <w:lang w:val="en-GB"/>
        </w:rPr>
        <w:t xml:space="preserve">. However, while they may be less mobile than their male counterparts, women still play an important part in the formation of the translocal ASM community, both through their own movements and by supporting the movements of others. While this section has looked exclusively at women’s mobility and the gendering of translocality, the next section will look explicitly at the nature of women’s work in ASM livelihoods. </w:t>
      </w:r>
    </w:p>
    <w:p w14:paraId="48544865" w14:textId="77777777" w:rsidR="00F2183E" w:rsidRPr="004E053C" w:rsidRDefault="00F2183E" w:rsidP="004E053C">
      <w:pPr>
        <w:spacing w:line="360" w:lineRule="auto"/>
        <w:jc w:val="both"/>
        <w:rPr>
          <w:rFonts w:cstheme="majorHAnsi"/>
          <w:b/>
          <w:sz w:val="22"/>
          <w:szCs w:val="22"/>
          <w:lang w:val="en-GB"/>
        </w:rPr>
      </w:pPr>
    </w:p>
    <w:p w14:paraId="646A2248" w14:textId="786DDC05" w:rsidR="00F2183E" w:rsidRPr="004E053C" w:rsidRDefault="00EA7F83" w:rsidP="004E053C">
      <w:pPr>
        <w:pStyle w:val="Heading2"/>
        <w:spacing w:before="0" w:line="360" w:lineRule="auto"/>
        <w:jc w:val="both"/>
        <w:rPr>
          <w:rFonts w:cstheme="majorHAnsi"/>
          <w:lang w:val="en-GB"/>
        </w:rPr>
      </w:pPr>
      <w:bookmarkStart w:id="82" w:name="_Toc424671907"/>
      <w:bookmarkStart w:id="83" w:name="_Toc33293117"/>
      <w:r w:rsidRPr="004E053C">
        <w:rPr>
          <w:rFonts w:cstheme="majorHAnsi"/>
          <w:lang w:val="en-GB"/>
        </w:rPr>
        <w:t>7</w:t>
      </w:r>
      <w:r w:rsidR="004A3EF1" w:rsidRPr="004E053C">
        <w:rPr>
          <w:rFonts w:cstheme="majorHAnsi"/>
          <w:lang w:val="en-GB"/>
        </w:rPr>
        <w:t>.3. Women’s role in translocal ASM l</w:t>
      </w:r>
      <w:r w:rsidR="00F2183E" w:rsidRPr="004E053C">
        <w:rPr>
          <w:rFonts w:cstheme="majorHAnsi"/>
          <w:lang w:val="en-GB"/>
        </w:rPr>
        <w:t>ivelihoods</w:t>
      </w:r>
      <w:bookmarkEnd w:id="82"/>
      <w:bookmarkEnd w:id="83"/>
    </w:p>
    <w:p w14:paraId="56B20AF5" w14:textId="77777777" w:rsidR="00F2183E" w:rsidRPr="004E053C" w:rsidRDefault="00F2183E" w:rsidP="004E053C">
      <w:pPr>
        <w:spacing w:line="360" w:lineRule="auto"/>
        <w:jc w:val="both"/>
        <w:rPr>
          <w:rFonts w:cstheme="majorHAnsi"/>
          <w:sz w:val="22"/>
          <w:szCs w:val="22"/>
          <w:lang w:val="en-GB"/>
        </w:rPr>
      </w:pPr>
    </w:p>
    <w:p w14:paraId="51F0CC2C" w14:textId="3D297326"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lastRenderedPageBreak/>
        <w:t xml:space="preserve">Mobility is often marked as masculine, with women in many cultural contexts facing restrictions when moving around in public spaces or involving themselves in migratory processes </w:t>
      </w:r>
      <w:r w:rsidR="00DA0A7B"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{"citationItems":[{"id":"ITEM-1","itemData":{"author":[{"dropping-particle":"","family":"Cresswell","given":"Tim","non-dropping-particle":"","parse-names":false,"suffix":""}],"container-title":"Transactions of the Institute of British Geographers","id":"ITEM-1","issue":"2","issued":{"date-parts":[["1999"]]},"page":"175-192","title":"Embodiment, power and the politics of mobility: The case of female tramps and hobos","type":"article-journal","volume":"24"},"uris":["http://www.mendeley.com/documents/?uuid=3a325e0d-9a5b-4f5b-96d0-e6dafc7f8195"]},{"id":"ITEM-2","itemData":{"author":[{"dropping-particle":"","family":"McEvoy","given":"James","non-dropping-particle":"","parse-names":false,"suffix":""},{"dropping-particle":"","family":"Pertzelka","given":"Peggy","non-dropping-particle":"","parse-names":false,"suffix":""},{"dropping-particle":"","family":"Radel","given":"Claudia","non-dropping-particle":"","parse-names":false,"suffix":""},{"dropping-particle":"","family":"Schmook","given":"Brigit","non-dropping-particle":"","parse-names":false,"suffix":""}],"container-title":"Mobilities","id":"ITEM-2","issue":"3","issued":{"date-parts":[["2012"]]},"page":"369-388","title":"Gendered mobility and morality in a south-eastern Mexican community: Impacts of male labour migration on the women left behind","type":"article-journal","volume":"7"},"uris":["http://www.mendeley.com/documents/?uuid=12f74631-cbc5-42d5-be34-2bdeac98c4c4"]},{"id":"ITEM-3","itemData":{"author":[{"dropping-particle":"","family":"Ye","given":"Jingzhong","non-dropping-particle":"","parse-names":false,"suffix":""},{"dropping-particle":"","family":"Wu","given":"Huifang","non-dropping-particle":"","parse-names":false,"suffix":""},{"dropping-particle":"","family":"Rao","given":"Jing","non-dropping-particle":"","parse-names":false,"suffix":""},{"dropping-particle":"","family":"Ding","given":"Baoyin","non-dropping-particle":"","parse-names":false,"suffix":""},{"dropping-particle":"","family":"Zhang","given":"Keyun","non-dropping-particle":"","parse-names":false,"suffix":""}],"container-title":"The Journal of Peasant Studies","id":"ITEM-3","issue":"4","issued":{"date-parts":[["2016"]]},"page":"910-941","title":"Left-behind women: gender exclusion and inequality in rural-urban migration in China","type":"article-journal","volume":"43"},"uris":["http://www.mendeley.com/documents/?uuid=f1d66cb3-6610-4072-932e-25fca30f1a57"]}],"mendeley":{"formattedCitation":"(Cresswell, 1999; McEvoy, Pertzelka, Radel, &amp; Schmook, 2012; Ye, Wu, Rao, Ding, &amp; Zhang, 2016)","manualFormatting":"(Creswell, 1999; McEvoy et al, 2012; Ye et al, 2016)","plainTextFormattedCitation":"(Cresswell, 1999; McEvoy, Pertzelka, Radel, &amp; Schmook, 2012; Ye, Wu, Rao, Ding, &amp; Zhang, 2016)","previouslyFormattedCitation":"(Cresswell, 1999; McEvoy, Pertzelka, Radel, &amp; Schmook, 2012; Ye, Wu, Rao, Ding, &amp; Zhang, 2016)"},"properties":{"noteIndex":0},"schema":"https://github.com/citation-style-language/schema/raw/master/csl-citation.json"}</w:instrText>
      </w:r>
      <w:r w:rsidR="00DA0A7B" w:rsidRPr="004E053C">
        <w:rPr>
          <w:rFonts w:cstheme="majorHAnsi"/>
          <w:sz w:val="22"/>
          <w:szCs w:val="22"/>
          <w:lang w:val="en-GB"/>
        </w:rPr>
        <w:fldChar w:fldCharType="separate"/>
      </w:r>
      <w:r w:rsidR="00DA0A7B" w:rsidRPr="004E053C">
        <w:rPr>
          <w:rFonts w:cstheme="majorHAnsi"/>
          <w:noProof/>
          <w:sz w:val="22"/>
          <w:szCs w:val="22"/>
          <w:lang w:val="en-GB"/>
        </w:rPr>
        <w:t>(Creswell, 1999; McEvoy et al, 2012; Ye et al, 2016)</w:t>
      </w:r>
      <w:r w:rsidR="00DA0A7B" w:rsidRPr="004E053C">
        <w:rPr>
          <w:rFonts w:cstheme="majorHAnsi"/>
          <w:sz w:val="22"/>
          <w:szCs w:val="22"/>
          <w:lang w:val="en-GB"/>
        </w:rPr>
        <w:fldChar w:fldCharType="end"/>
      </w:r>
      <w:r w:rsidR="00DA0A7B" w:rsidRPr="004E053C">
        <w:rPr>
          <w:rFonts w:cstheme="majorHAnsi"/>
          <w:sz w:val="22"/>
          <w:szCs w:val="22"/>
          <w:lang w:val="en-GB"/>
        </w:rPr>
        <w:t xml:space="preserve">. </w:t>
      </w:r>
      <w:r w:rsidRPr="004E053C">
        <w:rPr>
          <w:rFonts w:cstheme="majorHAnsi"/>
          <w:sz w:val="22"/>
          <w:szCs w:val="22"/>
          <w:lang w:val="en-GB"/>
        </w:rPr>
        <w:t xml:space="preserve">ASM is also marked as a masculine pursuit </w:t>
      </w:r>
      <w:r w:rsidR="00DA0A7B"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{"citationItems":[{"id":"ITEM-1","itemData":{"abstract":"Artisanal and small scale mining (ASM) continues to proliferate in almost all provinces of the country and a large number of rural poor primarily depends on this mining sub-sector. With the dearth of literatures and official baseline data, this study aims to provide a broad understanding, albeit preliminary, on this economic activity by highlighting gender roles, child labor, and other related issues. Significant findings are presented to demystify the conventional wisdom and existing knowledge on the role of women and the participation of child laborers in this “male-dominated” economic pursuit. With mining seriously considered by the current administration to be among the primary drivers of the Philippine economy, ASM is expected to further expand in scope and volume of productions. The results of this study may be considered in crafting policies and decisions within the broader context of mining governance in the country.","author":[{"dropping-particle":"","family":"Huesca","given":"Eliseo F.","non-dropping-particle":"","parse-names":false,"suffix":""}],"container-title":"Procedia - Social and Behavioural Sciences","id":"ITEM-1","issued":{"date-parts":[["2013"]]},"page":"150-157","title":"Gender and child labor issues in mining: a preliminary study on the artisanal and small-scale mining industry in Davao Oriental, Philippined","type":"article-journal","volume":"91"},"uris":["http://www.mendeley.com/documents/?uuid=baf3e374-8eb9-40c9-a684-a323dbcaf461"]}],"mendeley":{"formattedCitation":"(Huesca, 2013)","plainTextFormattedCitation":"(Huesca, 2013)","previouslyFormattedCitation":"(Huesca, 2013)"},"properties":{"noteIndex":0},"schema":"https://github.com/citation-style-language/schema/raw/master/csl-citation.json"}</w:instrText>
      </w:r>
      <w:r w:rsidR="00DA0A7B" w:rsidRPr="004E053C">
        <w:rPr>
          <w:rFonts w:cstheme="majorHAnsi"/>
          <w:sz w:val="22"/>
          <w:szCs w:val="22"/>
          <w:lang w:val="en-GB"/>
        </w:rPr>
        <w:fldChar w:fldCharType="separate"/>
      </w:r>
      <w:r w:rsidR="00DA0A7B" w:rsidRPr="004E053C">
        <w:rPr>
          <w:rFonts w:cstheme="majorHAnsi"/>
          <w:noProof/>
          <w:sz w:val="22"/>
          <w:szCs w:val="22"/>
          <w:lang w:val="en-GB"/>
        </w:rPr>
        <w:t>(Huesca, 2013)</w:t>
      </w:r>
      <w:r w:rsidR="00DA0A7B" w:rsidRPr="004E053C">
        <w:rPr>
          <w:rFonts w:cstheme="majorHAnsi"/>
          <w:sz w:val="22"/>
          <w:szCs w:val="22"/>
          <w:lang w:val="en-GB"/>
        </w:rPr>
        <w:fldChar w:fldCharType="end"/>
      </w:r>
      <w:r w:rsidRPr="004E053C">
        <w:rPr>
          <w:rFonts w:cstheme="majorHAnsi"/>
          <w:sz w:val="22"/>
          <w:szCs w:val="22"/>
          <w:lang w:val="en-GB"/>
        </w:rPr>
        <w:t xml:space="preserve"> and for some women, they may find themselves considered to be ‘out of place’ in the context of mining camps, particularly if they are partaking in certain activities. </w:t>
      </w:r>
      <w:r w:rsidR="00282B1E" w:rsidRPr="004E053C">
        <w:rPr>
          <w:rFonts w:cstheme="majorHAnsi"/>
          <w:sz w:val="22"/>
          <w:szCs w:val="22"/>
          <w:lang w:val="en-GB"/>
        </w:rPr>
        <w:t>As discussed in chapter 2, due to gendered differentiation in mining activity, cultural restrictions and competing responsibilities, women are often not</w:t>
      </w:r>
      <w:r w:rsidRPr="004E053C">
        <w:rPr>
          <w:rFonts w:cstheme="majorHAnsi"/>
          <w:sz w:val="22"/>
          <w:szCs w:val="22"/>
          <w:lang w:val="en-GB"/>
        </w:rPr>
        <w:t xml:space="preserve"> identified as miners in their own rights </w:t>
      </w:r>
      <w:r w:rsidR="00DE4AE0"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{"citationItems":[{"id":"ITEM-1","itemData":{"author":[{"dropping-particle":"","family":"Yakovleva","given":"Natalia","non-dropping-particle":"","parse-names":false,"suffix":""}],"container-title":"Resources Policy","id":"ITEM-1","issued":{"date-parts":[["2007"]]},"page":"29-41","title":"Perspectives on female participation in artisanal and small-scale mining: a case study of Birim North District of Ghana","type":"article-journal","volume":"32"},"uris":["http://www.mendeley.com/documents/?uuid=ba9c56f2-ed2c-4dfd-a968-42afb7711c46"]},{"id":"ITEM-2","itemData":{"abstract":"This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Society","id":"ITEM-2","issue":"4","issued":{"date-parts":[["2019"]]},"page":"1101-1112","publisher":"Elsevier","title":"Gender and artisanal and small-scale mining: implications for formalization","type":"article-journal","volume":"6"},"uris":["http://www.mendeley.com/documents/?uuid=d3c6389f-147a-4a38-80bb-ad6e7ea88a8e"]}],"mendeley":{"formattedCitation":"(Buss et al., 2019; Yakovleva, 2007)","manualFormatting":"(Buss et al., 2019; Yakovleva, 2007)","plainTextFormattedCitation":"(Buss et al., 2019; Yakovleva, 2007)","previouslyFormattedCitation":"(Buss et al., 2019; Yakovleva, 2007)"},"properties":{"noteIndex":0},"schema":"https://github.com/citation-style-language/schema/raw/master/csl-citation.json"}</w:instrText>
      </w:r>
      <w:r w:rsidR="00DE4AE0" w:rsidRPr="004E053C">
        <w:rPr>
          <w:rFonts w:cstheme="majorHAnsi"/>
          <w:sz w:val="22"/>
          <w:szCs w:val="22"/>
          <w:lang w:val="en-GB"/>
        </w:rPr>
        <w:fldChar w:fldCharType="separate"/>
      </w:r>
      <w:r w:rsidR="00DE4AE0" w:rsidRPr="004E053C">
        <w:rPr>
          <w:rFonts w:cstheme="majorHAnsi"/>
          <w:noProof/>
          <w:sz w:val="22"/>
          <w:szCs w:val="22"/>
          <w:lang w:val="en-GB"/>
        </w:rPr>
        <w:t>(Buss et al., 2019; Yakovleva, 2007)</w:t>
      </w:r>
      <w:r w:rsidR="00DE4AE0" w:rsidRPr="004E053C">
        <w:rPr>
          <w:rFonts w:cstheme="majorHAnsi"/>
          <w:sz w:val="22"/>
          <w:szCs w:val="22"/>
          <w:lang w:val="en-GB"/>
        </w:rPr>
        <w:fldChar w:fldCharType="end"/>
      </w:r>
      <w:r w:rsidR="00DE4AE0" w:rsidRPr="004E053C">
        <w:rPr>
          <w:rFonts w:cstheme="majorHAnsi"/>
          <w:sz w:val="22"/>
          <w:szCs w:val="22"/>
          <w:lang w:val="en-GB"/>
        </w:rPr>
        <w:t>.</w:t>
      </w:r>
      <w:r w:rsidR="00282B1E" w:rsidRPr="004E053C">
        <w:rPr>
          <w:rFonts w:cstheme="majorHAnsi"/>
          <w:sz w:val="22"/>
          <w:szCs w:val="22"/>
          <w:highlight w:val="yellow"/>
          <w:lang w:val="en-GB"/>
        </w:rPr>
        <w:t xml:space="preserve"> </w:t>
      </w:r>
      <w:r w:rsidRPr="004E053C">
        <w:rPr>
          <w:rFonts w:cstheme="majorHAnsi"/>
          <w:sz w:val="22"/>
          <w:szCs w:val="22"/>
          <w:lang w:val="en-GB"/>
        </w:rPr>
        <w:t xml:space="preserve">Huggins et al </w:t>
      </w:r>
      <w:r w:rsidR="00D75103" w:rsidRPr="004E053C">
        <w:rPr>
          <w:rFonts w:cstheme="majorHAnsi"/>
          <w:sz w:val="22"/>
          <w:szCs w:val="22"/>
          <w:lang w:val="en-GB"/>
        </w:rPr>
        <w:fldChar w:fldCharType="begin" w:fldLock="1"/>
      </w:r>
      <w:r w:rsidR="00517F61" w:rsidRPr="004E053C">
        <w:rPr>
          <w:rFonts w:cstheme="majorHAnsi"/>
          <w:sz w:val="22"/>
          <w:szCs w:val="22"/>
          <w:lang w:val="en-GB"/>
        </w:rPr>
        <w:instrText>ADDIN CSL_CITATION {"citationItems":[{"id":"ITEM-1","itemData":{"author":[{"dropping-particle":"","family":"Huggins","given":"C","non-dropping-particle":"","parse-names":false,"suffix":""},{"dropping-particle":"","family":"Buss","given":"D","non-dropping-particle":"","parse-names":false,"suffix":""},{"dropping-particle":"","family":"Rutherford","given":"B","non-dropping-particle":"","parse-names":false,"suffix":""}],"container-title":"Geoforum","id":"ITEM-1","issued":{"date-parts":[["2017"]]},"page":"142-152","title":"A 'cartography of concern': place-making practices and gender in the artisanal mining sector in Africa","type":"article-journal","volume":"83"},"uris":["http://www.mendeley.com/documents/?uuid=e50729d3-9142-4ed7-ae1f-c0ab01abedf3"]}],"mendeley":{"formattedCitation":"(Huggins et al., 2017)","manualFormatting":"(2017)","plainTextFormattedCitation":"(Huggins et al., 2017)","previouslyFormattedCitation":"(Huggins et al., 2017)"},"properties":{"noteIndex":0},"schema":"https://github.com/citation-style-language/schema/raw/master/csl-citation.json"}</w:instrText>
      </w:r>
      <w:r w:rsidR="00D75103" w:rsidRPr="004E053C">
        <w:rPr>
          <w:rFonts w:cstheme="majorHAnsi"/>
          <w:sz w:val="22"/>
          <w:szCs w:val="22"/>
          <w:lang w:val="en-GB"/>
        </w:rPr>
        <w:fldChar w:fldCharType="separate"/>
      </w:r>
      <w:r w:rsidR="00D75103" w:rsidRPr="004E053C">
        <w:rPr>
          <w:rFonts w:cstheme="majorHAnsi"/>
          <w:noProof/>
          <w:sz w:val="22"/>
          <w:szCs w:val="22"/>
          <w:lang w:val="en-GB"/>
        </w:rPr>
        <w:t>(2017)</w:t>
      </w:r>
      <w:r w:rsidR="00D75103" w:rsidRPr="004E053C">
        <w:rPr>
          <w:rFonts w:cstheme="majorHAnsi"/>
          <w:sz w:val="22"/>
          <w:szCs w:val="22"/>
          <w:lang w:val="en-GB"/>
        </w:rPr>
        <w:fldChar w:fldCharType="end"/>
      </w:r>
      <w:r w:rsidRPr="004E053C">
        <w:rPr>
          <w:rFonts w:cstheme="majorHAnsi"/>
          <w:sz w:val="22"/>
          <w:szCs w:val="22"/>
          <w:lang w:val="en-GB"/>
        </w:rPr>
        <w:t xml:space="preserve"> argue that the invisibilisation of women’s mining labour is compounded by the tendency to define mining solely in terms of the activities most commonly done by men, such as the extraction of gold ore from the shaft.</w:t>
      </w:r>
      <w:r w:rsidR="00B62CBC" w:rsidRPr="004E053C">
        <w:rPr>
          <w:rFonts w:cstheme="majorHAnsi"/>
          <w:sz w:val="22"/>
          <w:szCs w:val="22"/>
          <w:lang w:val="en-GB"/>
        </w:rPr>
        <w:t xml:space="preserve"> To understand how women can, in fact, be ‘in place’ in mining towns, it is necessary to extend the analysis of the role in ASM livelihoods past the focus on sex work and debt bondage which for too long dominated the literature.</w:t>
      </w:r>
      <w:r w:rsidRPr="004E053C">
        <w:rPr>
          <w:rFonts w:cstheme="majorHAnsi"/>
          <w:sz w:val="22"/>
          <w:szCs w:val="22"/>
          <w:lang w:val="en-GB"/>
        </w:rPr>
        <w:t xml:space="preserve"> </w:t>
      </w:r>
      <w:r w:rsidR="00B62CBC" w:rsidRPr="004E053C">
        <w:rPr>
          <w:rFonts w:cstheme="majorHAnsi"/>
          <w:sz w:val="22"/>
          <w:szCs w:val="22"/>
          <w:lang w:val="en-GB"/>
        </w:rPr>
        <w:t xml:space="preserve">Recent work in East and Central Africa has utilised this approach to start exploring how women may negotiate mining camps in order to benefit from potential economic opportunities </w:t>
      </w:r>
      <w:r w:rsidR="00DE4AE0"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Buss","given":"D","non-dropping-particle":"","parse-names":false,"suffix":""},{"dropping-particle":"","family":"Rutherford","given":"B","non-dropping-particle":"","parse-names":false,"suffix":""},{"dropping-particle":"","family":"Hinton","given":"J","non-dropping-particle":"","parse-names":false,"suffix":""},{"dropping-particle":"","family":"Stewart","given":"J","non-dropping-particle":"","parse-names":false,"suffix":""},{"dropping-particle":"","family":"Lebert","given":"J","non-dropping-particle":"","parse-names":false,"suffix":""},{"dropping-particle":"","family":"Cote","given":"G.E","non-dropping-particle":"","parse-names":false,"suffix":""},{"dropping-particle":"","family":"Sebina-Zziwa","given":"A","non-dropping-particle":"","parse-names":false,"suffix":""},{"dropping-particle":"","family":"Kibombo","given":"R","non-dropping-particle":"","parse-names":false,"suffix":""},{"dropping-particle":"","family":"Kisekka","given":"F.","non-dropping-particle":"","parse-names":false,"suffix":""}],"id":"ITEM-1","issued":{"date-parts":[["2017"]]},"number":"Working Paper GWP-2017-2","publisher-place":"Ottawa","title":"Gender and artisanal and small-scale mining in Central and East Africa: barriers and benefits","type":"report"},"uris":["http://www.mendeley.com/documents/?uuid=fc2c33b3-ea68-425b-97cc-ad7705b6f1ae"]},{"id":"ITEM-2","itemData":{"abstract":"Migrants to Tanzania's artisanal gold mining sites seek mineral wealth, which is accompanied by high risks of occupational hazards, economic failure, AIDS and social censure from their home communities. Male miners in these settlements compete to attract newly arrived young women who are perceived to be diverting male material support from older women and children's economic survival. This article explores the dynamics of monogamy, polygamy and promiscuity in the context of rapid occupational change. It shows how a wide spectrum of productive and welfare outcomes is generated through sexual experimentation, which calls into question conventional concepts of prostitution, marriage and gender power relations. © 2013 International Institute of Social Studies.","author":[{"dropping-particle":"","family":"Bryceson","given":"Deborah Fahy","non-dropping-particle":"","parse-names":false,"suffix":""},{"dropping-particle":"","family":"Jønsson","given":"Jesper Bosse","non-dropping-particle":"","parse-names":false,"suffix":""},{"dropping-particle":"","family":"Verbrugge","given":"Hannelore","non-dropping-particle":"","parse-names":false,"suffix":""}],"container-title":"Development and Change","id":"ITEM-2","issue":"1","issued":{"date-parts":[["2014"]]},"page":"79-104","title":"For richer, for poorer: marriage and casualized sex in East African artisanal mining settlements","type":"article-journal","volume":"45"},"uris":["http://www.mendeley.com/documents/?uuid=b90917af-aec8-4711-8312-d98d1e096cb1"]}],"mendeley":{"formattedCitation":"(D. F. Bryceson et al., 2014; Buss et al., 2017)","manualFormatting":"(Bryceson et al., 2014; Buss et al., 2017)","plainTextFormattedCitation":"(D. F. Bryceson et al., 2014; Buss et al., 2017)","previouslyFormattedCitation":"(D. F. Bryceson et al., 2014; Buss et al., 2017)"},"properties":{"noteIndex":0},"schema":"https://github.com/citation-style-language/schema/raw/master/csl-citation.json"}</w:instrText>
      </w:r>
      <w:r w:rsidR="00DE4AE0" w:rsidRPr="004E053C">
        <w:rPr>
          <w:rFonts w:cstheme="majorHAnsi"/>
          <w:sz w:val="22"/>
          <w:szCs w:val="22"/>
          <w:lang w:val="en-GB"/>
        </w:rPr>
        <w:fldChar w:fldCharType="separate"/>
      </w:r>
      <w:r w:rsidR="00DE4AE0" w:rsidRPr="004E053C">
        <w:rPr>
          <w:rFonts w:cstheme="majorHAnsi"/>
          <w:noProof/>
          <w:sz w:val="22"/>
          <w:szCs w:val="22"/>
          <w:lang w:val="en-GB"/>
        </w:rPr>
        <w:t>(Bryceson et al., 2014; Buss et al., 2017)</w:t>
      </w:r>
      <w:r w:rsidR="00DE4AE0" w:rsidRPr="004E053C">
        <w:rPr>
          <w:rFonts w:cstheme="majorHAnsi"/>
          <w:sz w:val="22"/>
          <w:szCs w:val="22"/>
          <w:lang w:val="en-GB"/>
        </w:rPr>
        <w:fldChar w:fldCharType="end"/>
      </w:r>
      <w:r w:rsidR="00DE4AE0" w:rsidRPr="004E053C">
        <w:rPr>
          <w:rFonts w:cstheme="majorHAnsi"/>
          <w:sz w:val="22"/>
          <w:szCs w:val="22"/>
          <w:lang w:val="en-GB"/>
        </w:rPr>
        <w:t>.</w:t>
      </w:r>
      <w:r w:rsidR="00B62CBC" w:rsidRPr="004E053C">
        <w:rPr>
          <w:rFonts w:cstheme="majorHAnsi"/>
          <w:sz w:val="22"/>
          <w:szCs w:val="22"/>
          <w:lang w:val="en-GB"/>
        </w:rPr>
        <w:t xml:space="preserve"> I hope to contribute to this</w:t>
      </w:r>
      <w:r w:rsidR="000B172A" w:rsidRPr="004E053C">
        <w:rPr>
          <w:rFonts w:cstheme="majorHAnsi"/>
          <w:sz w:val="22"/>
          <w:szCs w:val="22"/>
          <w:lang w:val="en-GB"/>
        </w:rPr>
        <w:t xml:space="preserve"> emerging literature</w:t>
      </w:r>
      <w:r w:rsidR="00B62CBC" w:rsidRPr="004E053C">
        <w:rPr>
          <w:rFonts w:cstheme="majorHAnsi"/>
          <w:sz w:val="22"/>
          <w:szCs w:val="22"/>
          <w:lang w:val="en-GB"/>
        </w:rPr>
        <w:t xml:space="preserve"> in the context of Latin America by </w:t>
      </w:r>
      <w:r w:rsidRPr="004E053C">
        <w:rPr>
          <w:rFonts w:eastAsia="Times New Roman" w:cstheme="majorHAnsi"/>
          <w:sz w:val="22"/>
          <w:szCs w:val="22"/>
          <w:lang w:val="en-GB"/>
        </w:rPr>
        <w:t xml:space="preserve">broadening the definition of ASM activity to incorporate the downstream activities that support ASM operations </w:t>
      </w:r>
      <w:r w:rsidR="000B172A" w:rsidRPr="004E053C">
        <w:rPr>
          <w:rFonts w:eastAsia="Times New Roman" w:cstheme="majorHAnsi"/>
          <w:sz w:val="22"/>
          <w:szCs w:val="22"/>
          <w:lang w:val="en-GB"/>
        </w:rPr>
        <w:t>but also by widening the scope to consider these contributions to ASM livelihoods across space</w:t>
      </w:r>
      <w:r w:rsidRPr="004E053C">
        <w:rPr>
          <w:rFonts w:eastAsia="Times New Roman" w:cstheme="majorHAnsi"/>
          <w:sz w:val="22"/>
          <w:szCs w:val="22"/>
          <w:lang w:val="en-GB"/>
        </w:rPr>
        <w:t xml:space="preserve">. This section will explore women’s involvement in ASM in detail, first examining how women engage directly in ASM, but then also considering indirect work within mining sites. The third part then moves on to think about women’s activities outside of mining sites that nonetheless contribute to the success of ASM livelihoods. </w:t>
      </w:r>
    </w:p>
    <w:p w14:paraId="5A0754F9" w14:textId="77777777" w:rsidR="00D35D90" w:rsidRPr="004E053C" w:rsidRDefault="00D35D90" w:rsidP="004E053C">
      <w:pPr>
        <w:spacing w:line="360" w:lineRule="auto"/>
        <w:jc w:val="both"/>
        <w:rPr>
          <w:rFonts w:cstheme="majorHAnsi"/>
          <w:sz w:val="22"/>
          <w:szCs w:val="22"/>
          <w:lang w:val="en-GB"/>
        </w:rPr>
      </w:pPr>
    </w:p>
    <w:p w14:paraId="1DD59CA9" w14:textId="55133699" w:rsidR="00F2183E" w:rsidRPr="004E053C" w:rsidRDefault="00EA7F83" w:rsidP="004E053C">
      <w:pPr>
        <w:pStyle w:val="Heading3"/>
        <w:rPr>
          <w:rFonts w:asciiTheme="minorHAnsi" w:hAnsiTheme="minorHAnsi"/>
        </w:rPr>
      </w:pPr>
      <w:r w:rsidRPr="004E053C">
        <w:rPr>
          <w:rFonts w:asciiTheme="minorHAnsi" w:hAnsiTheme="minorHAnsi"/>
        </w:rPr>
        <w:t>7</w:t>
      </w:r>
      <w:r w:rsidR="00F2183E" w:rsidRPr="004E053C">
        <w:rPr>
          <w:rFonts w:asciiTheme="minorHAnsi" w:hAnsiTheme="minorHAnsi"/>
        </w:rPr>
        <w:t xml:space="preserve">.3.1. Involvement in the ASM economy  </w:t>
      </w:r>
    </w:p>
    <w:p w14:paraId="26E7CFB8" w14:textId="77777777" w:rsidR="00F2183E" w:rsidRPr="004E053C" w:rsidRDefault="00F2183E" w:rsidP="004E053C">
      <w:pPr>
        <w:spacing w:line="360" w:lineRule="auto"/>
        <w:jc w:val="both"/>
        <w:rPr>
          <w:rFonts w:eastAsia="Times New Roman" w:cstheme="majorHAnsi"/>
          <w:sz w:val="22"/>
          <w:szCs w:val="22"/>
          <w:lang w:val="en-GB"/>
        </w:rPr>
      </w:pPr>
    </w:p>
    <w:p w14:paraId="261894E5" w14:textId="1CA6699A" w:rsidR="00F2183E" w:rsidRPr="004E053C" w:rsidRDefault="00EA2CE2" w:rsidP="004E053C">
      <w:pPr>
        <w:spacing w:line="360" w:lineRule="auto"/>
        <w:jc w:val="both"/>
        <w:rPr>
          <w:rFonts w:cstheme="majorHAnsi"/>
          <w:sz w:val="22"/>
          <w:szCs w:val="22"/>
          <w:lang w:val="en-GB"/>
        </w:rPr>
      </w:pPr>
      <w:r w:rsidRPr="004E053C">
        <w:rPr>
          <w:rFonts w:cstheme="majorHAnsi"/>
          <w:sz w:val="22"/>
          <w:szCs w:val="22"/>
          <w:lang w:val="en-GB"/>
        </w:rPr>
        <w:t xml:space="preserve">Until relatively recentyly, the </w:t>
      </w:r>
      <w:r w:rsidR="00F2183E" w:rsidRPr="004E053C">
        <w:rPr>
          <w:rFonts w:cstheme="majorHAnsi"/>
          <w:sz w:val="22"/>
          <w:szCs w:val="22"/>
          <w:lang w:val="en-GB"/>
        </w:rPr>
        <w:t>information that exist</w:t>
      </w:r>
      <w:r w:rsidRPr="004E053C">
        <w:rPr>
          <w:rFonts w:cstheme="majorHAnsi"/>
          <w:sz w:val="22"/>
          <w:szCs w:val="22"/>
          <w:lang w:val="en-GB"/>
        </w:rPr>
        <w:t>ed</w:t>
      </w:r>
      <w:r w:rsidR="00F2183E" w:rsidRPr="004E053C">
        <w:rPr>
          <w:rFonts w:cstheme="majorHAnsi"/>
          <w:sz w:val="22"/>
          <w:szCs w:val="22"/>
          <w:lang w:val="en-GB"/>
        </w:rPr>
        <w:t xml:space="preserve"> in the literature about women’s direct engagement in ASM </w:t>
      </w:r>
      <w:r w:rsidRPr="004E053C">
        <w:rPr>
          <w:rFonts w:cstheme="majorHAnsi"/>
          <w:sz w:val="22"/>
          <w:szCs w:val="22"/>
          <w:lang w:val="en-GB"/>
        </w:rPr>
        <w:t>was</w:t>
      </w:r>
      <w:r w:rsidR="00F2183E" w:rsidRPr="004E053C">
        <w:rPr>
          <w:rFonts w:cstheme="majorHAnsi"/>
          <w:sz w:val="22"/>
          <w:szCs w:val="22"/>
          <w:lang w:val="en-GB"/>
        </w:rPr>
        <w:t xml:space="preserve"> largely negative </w:t>
      </w:r>
      <w:r w:rsidR="00D75103"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{"citationItems":[{"id":"ITEM-1","itemData":{"author":[{"dropping-particle":"","family":"Jenkins","given":"K.","non-dropping-particle":"","parse-names":false,"suffix":""}],"container-title":"The Extractive Industries and Society","id":"ITEM-1","issue":"2","issued":{"date-parts":[["2014"]]},"page":"329-339","title":"Women, mining and development: an emerging research agenda","type":"article-journal","volume":"1"},"uris":["http://www.mendeley.com/documents/?uuid=76cd3f85-7688-4868-9a1e-e4d63b669a48"]}],"mendeley":{"formattedCitation":"(Jenkins, 2014)","plainTextFormattedCitation":"(Jenkins, 2014)","previouslyFormattedCitation":"(Jenkins, 2014)"},"properties":{"noteIndex":0},"schema":"https://github.com/citation-style-language/schema/raw/master/csl-citation.json"}</w:instrText>
      </w:r>
      <w:r w:rsidR="00D75103" w:rsidRPr="004E053C">
        <w:rPr>
          <w:rFonts w:cstheme="majorHAnsi"/>
          <w:sz w:val="22"/>
          <w:szCs w:val="22"/>
          <w:lang w:val="en-GB"/>
        </w:rPr>
        <w:fldChar w:fldCharType="separate"/>
      </w:r>
      <w:r w:rsidR="00D75103" w:rsidRPr="004E053C">
        <w:rPr>
          <w:rFonts w:cstheme="majorHAnsi"/>
          <w:noProof/>
          <w:sz w:val="22"/>
          <w:szCs w:val="22"/>
          <w:lang w:val="en-GB"/>
        </w:rPr>
        <w:t>(Jenkins, 2014)</w:t>
      </w:r>
      <w:r w:rsidR="00D75103" w:rsidRPr="004E053C">
        <w:rPr>
          <w:rFonts w:cstheme="majorHAnsi"/>
          <w:sz w:val="22"/>
          <w:szCs w:val="22"/>
          <w:lang w:val="en-GB"/>
        </w:rPr>
        <w:fldChar w:fldCharType="end"/>
      </w:r>
      <w:r w:rsidR="00F2183E" w:rsidRPr="004E053C">
        <w:rPr>
          <w:rFonts w:cstheme="majorHAnsi"/>
          <w:sz w:val="22"/>
          <w:szCs w:val="22"/>
          <w:lang w:val="en-GB"/>
        </w:rPr>
        <w:t xml:space="preserve">. Women </w:t>
      </w:r>
      <w:r w:rsidRPr="004E053C">
        <w:rPr>
          <w:rFonts w:cstheme="majorHAnsi"/>
          <w:sz w:val="22"/>
          <w:szCs w:val="22"/>
          <w:lang w:val="en-GB"/>
        </w:rPr>
        <w:t>were</w:t>
      </w:r>
      <w:r w:rsidR="00F2183E" w:rsidRPr="004E053C">
        <w:rPr>
          <w:rFonts w:cstheme="majorHAnsi"/>
          <w:sz w:val="22"/>
          <w:szCs w:val="22"/>
          <w:lang w:val="en-GB"/>
        </w:rPr>
        <w:t xml:space="preserve"> portrayed as being overworked and overburdened by ASM, as well as confined to work that is dangerous, demanding and/or only marginally profitable, criticisms that are often aimed at women’s work and most income-earning activity found in informal spaces </w:t>
      </w:r>
      <w:r w:rsidR="00D75103"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{"citationItems":[{"id":"ITEM-1","itemData":{"author":[{"dropping-particle":"","family":"Lahiri-Dutt","given":"K","non-dropping-particle":"","parse-names":false,"suffix":""}],"container-title":"Women Miners in Developing Countries: Pit Women and Others","editor":[{"dropping-particle":"","family":"Lahiri-Dutt","given":"Kuntala","non-dropping-particle":"","parse-names":false,"suffix":""},{"dropping-particle":"","family":"Macintyre","given":"Martha","non-dropping-particle":"","parse-names":false,"suffix":""}],"id":"ITEM-1","issued":{"date-parts":[["2006"]]},"page":"349-369","publisher":"Ashgate Publishing Limited","publisher-place":"London, UK","title":"Globalization and women's work in the mine pits in east Kalimantan, Indonesia","type":"chapter"},"uris":["http://www.mendeley.com/documents/?uuid=4b30b8fe-d513-453c-9d78-0ad106929273"]},{"id":"ITEM-2","itemData":{"author":[{"dropping-particle":"","family":"Eftimie","given":"A","non-dropping-particle":"","parse-names":false,"suffix":""},{"dropping-particle":"","family":"Heller","given":"K","non-dropping-particle":"","parse-names":false,"suffix":""},{"dropping-particle":"","family":"Strongman","given":"J","non-dropping-particle":"","parse-names":false,"suffix":""},{"dropping-particle":"","family":"Hinton","given":"J","non-dropping-particle":"","parse-names":false,"suffix":""},{"dropping-particle":"","family":"Lahiri-Dutt","given":"K","non-dropping-particle":"","parse-names":false,"suffix":""},{"dropping-particle":"","family":"Mutemeri","given":"N","non-dropping-particle":"","parse-names":false,"suffix":""}],"id":"ITEM-2","issued":{"date-parts":[["2012"]]},"publisher-place":"Washington D.C.","title":"Gender Dimensions of Artisanal and Small-scale Mining: A Rapid Assessment Toolkit","type":"report"},"uris":["http://www.mendeley.com/documents/?uuid=bccd6b7a-0186-45cc-9f73-0cd0942d1615"]},{"id":"ITEM-3","itemData":{"abstract":"This paper critically examines how women employed in artisanal and small-scale mining (ASM)–low-tech mineral extraction and processing–in sub-Saharan Africa could be affected by moves made to formalize and support their activities under the Africa Mining Vision (AMV), ‘Africa’s own response to tackling the paradox of great mineral wealth existing side by side with pervasive poverty’. One of the main goals of the AMV is Boosting Artisanal and Small-Scale Mining, which requires signatories to devise strategies for ‘Harnessing the potential of small scale mining to improve rural livelihoods and integration into the rural and national economy’. Moves being made to achieve this, however, could have an adverse impact on many of the women working in ASM in sub-Saharan Africa. Findings from the literature and research being undertaken by the authors in Sierra Leone and Zambia suggest that whilst most women engaged in ASM in the region work informally and as a result, face very challenging circumstances daily, many have adapted to their surroundings and now generate far more money than they would earn from any other income-earning activity. Governments must study these dynamics before taking action under the auspices of the AMV to formalize and support women in ASM.","author":[{"dropping-particle":"","family":"Hilson","given":"G","non-dropping-particle":"","parse-names":false,"suffix":""},{"dropping-particle":"","family":"Hilson","given":"Abigail","non-dropping-particle":"","parse-names":false,"suffix":""},{"dropping-particle":"","family":"Siwale","given":"Agatha","non-dropping-particle":"","parse-names":false,"suffix":""},{"dropping-particle":"","family":"Maconachie","given":"Roy","non-dropping-particle":"","parse-names":false,"suffix":""}],"container-title":"Africa Journal of Management","id":"ITEM-3","issue":"3","issued":{"date-parts":[["2018"]]},"page":"306-346","title":"Female faces in informal ‘spaces’: women and artisanal and small-scale mining in sub-Saharan Africa","type":"article-journal","volume":"4"},"uris":["http://www.mendeley.com/documents/?uuid=8c396201-037f-411d-afa0-8374ef051e72"]}],"mendeley":{"formattedCitation":"(Eftimie et al., 2012; G Hilson, Hilson, Siwale, &amp; Maconachie, 2018; K Lahiri-Dutt, 2006)","manualFormatting":"(Eftimie et al., 2012; Hilson et al., 2018; Lahiri-Dutt, 2006)","plainTextFormattedCitation":"(Eftimie et al., 2012; G Hilson, Hilson, Siwale, &amp; Maconachie, 2018; K Lahiri-Dutt, 2006)","previouslyFormattedCitation":"(Eftimie et al., 2012; G Hilson, Hilson, Siwale, &amp; Maconachie, 2018; K Lahiri-Dutt, 2006)"},"properties":{"noteIndex":0},"schema":"https://github.com/citation-style-language/schema/raw/master/csl-citation.json"}</w:instrText>
      </w:r>
      <w:r w:rsidR="00D75103" w:rsidRPr="004E053C">
        <w:rPr>
          <w:rFonts w:cstheme="majorHAnsi"/>
          <w:sz w:val="22"/>
          <w:szCs w:val="22"/>
          <w:lang w:val="en-GB"/>
        </w:rPr>
        <w:fldChar w:fldCharType="separate"/>
      </w:r>
      <w:r w:rsidR="00D75103" w:rsidRPr="004E053C">
        <w:rPr>
          <w:rFonts w:cstheme="majorHAnsi"/>
          <w:noProof/>
          <w:sz w:val="22"/>
          <w:szCs w:val="22"/>
          <w:lang w:val="en-GB"/>
        </w:rPr>
        <w:t>(Eftimie et al., 2012; Hilson et al., 2018; Lahiri-Dutt, 2006)</w:t>
      </w:r>
      <w:r w:rsidR="00D75103" w:rsidRPr="004E053C">
        <w:rPr>
          <w:rFonts w:cstheme="majorHAnsi"/>
          <w:sz w:val="22"/>
          <w:szCs w:val="22"/>
          <w:lang w:val="en-GB"/>
        </w:rPr>
        <w:fldChar w:fldCharType="end"/>
      </w:r>
      <w:r w:rsidR="00F2183E" w:rsidRPr="004E053C">
        <w:rPr>
          <w:rFonts w:cstheme="majorHAnsi"/>
          <w:sz w:val="22"/>
          <w:szCs w:val="22"/>
          <w:lang w:val="en-GB"/>
        </w:rPr>
        <w:t>.</w:t>
      </w:r>
      <w:r w:rsidRPr="004E053C">
        <w:rPr>
          <w:rFonts w:cstheme="majorHAnsi"/>
          <w:sz w:val="22"/>
          <w:szCs w:val="22"/>
          <w:lang w:val="en-GB"/>
        </w:rPr>
        <w:t xml:space="preserve"> A review of the literature suggests that women relying on their husband’s engagement in ASM experience an entrenchment of male privilege and increasing economic dependence </w:t>
      </w:r>
      <w:r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{"citationItems":[{"id":"ITEM-1","itemData":{"author":[{"dropping-particle":"","family":"Jenkins","given":"K.","non-dropping-particle":"","parse-names":false,"suffix":""}],"container-title":"The Extractive Industries and Society","id":"ITEM-1","issue":"2","issued":{"date-parts":[["2014"]]},"page":"329-339","title":"Women, mining and development: an emerging research agenda","type":"article-journal","volume":"1"},"uris":["http://www.mendeley.com/documents/?uuid=76cd3f85-7688-4868-9a1e-e4d63b669a48"]}],"mendeley":{"formattedCitation":"(Jenkins, 2014)","plainTextFormattedCitation":"(Jenkins, 2014)","previouslyFormattedCitation":"(Jenkins,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(Jenkins, 2014)</w:t>
      </w:r>
      <w:r w:rsidRPr="004E053C">
        <w:rPr>
          <w:rFonts w:cstheme="majorHAnsi"/>
          <w:sz w:val="22"/>
          <w:szCs w:val="22"/>
          <w:lang w:val="en-GB"/>
        </w:rPr>
        <w:fldChar w:fldCharType="end"/>
      </w:r>
      <w:r w:rsidRPr="004E053C">
        <w:rPr>
          <w:rFonts w:cstheme="majorHAnsi"/>
          <w:sz w:val="22"/>
          <w:szCs w:val="22"/>
          <w:lang w:val="en-GB"/>
        </w:rPr>
        <w:t xml:space="preserve">. </w:t>
      </w:r>
      <w:r w:rsidR="0057339C" w:rsidRPr="004E053C">
        <w:rPr>
          <w:rFonts w:cstheme="majorHAnsi"/>
          <w:sz w:val="22"/>
          <w:szCs w:val="22"/>
          <w:lang w:val="en-GB"/>
        </w:rPr>
        <w:t xml:space="preserve">However, as Lahiri-Dutt </w:t>
      </w:r>
      <w:r w:rsidR="0057339C" w:rsidRPr="004E053C">
        <w:rPr>
          <w:rFonts w:cstheme="majorHAnsi"/>
          <w:sz w:val="22"/>
          <w:szCs w:val="22"/>
          <w:lang w:val="en-GB"/>
        </w:rPr>
        <w:fldChar w:fldCharType="begin" w:fldLock="1"/>
      </w:r>
      <w:r w:rsidR="0057339C" w:rsidRPr="004E053C">
        <w:rPr>
          <w:rFonts w:cstheme="majorHAnsi"/>
          <w:sz w:val="22"/>
          <w:szCs w:val="22"/>
          <w:lang w:val="en-GB"/>
        </w:rPr>
        <w:instrText>ADDIN CSL_CITATION {"citationItems":[{"id":"ITEM-1","itemData":{"author":[{"dropping-particle":"","family":"Lahiri-Dutt","given":"K","non-dropping-particle":"","parse-names":false,"suffix":""}],"container-title":"Geography Compass","id":"ITEM-1","issue":"9","issued":{"date-parts":[["2015"]]},"page":"523-541","title":"The feminization of mining","type":"article-journal","volume":"9"},"uris":["http://www.mendeley.com/documents/?uuid=a121d563-b344-42a8-ae53-d7ed3c92962a"]}],"mendeley":{"formattedCitation":"(K Lahiri-Dutt, 2015)","manualFormatting":"(2015)","plainTextFormattedCitation":"(K Lahiri-Dutt, 2015)","previouslyFormattedCitation":"(K Lahiri-Dutt, 2015)"},"properties":{"noteIndex":0},"schema":"https://github.com/citation-style-language/schema/raw/master/csl-citation.json"}</w:instrText>
      </w:r>
      <w:r w:rsidR="0057339C" w:rsidRPr="004E053C">
        <w:rPr>
          <w:rFonts w:cstheme="majorHAnsi"/>
          <w:sz w:val="22"/>
          <w:szCs w:val="22"/>
          <w:lang w:val="en-GB"/>
        </w:rPr>
        <w:fldChar w:fldCharType="separate"/>
      </w:r>
      <w:r w:rsidR="0057339C" w:rsidRPr="004E053C">
        <w:rPr>
          <w:rFonts w:cstheme="majorHAnsi"/>
          <w:noProof/>
          <w:sz w:val="22"/>
          <w:szCs w:val="22"/>
          <w:lang w:val="en-GB"/>
        </w:rPr>
        <w:t>(2015)</w:t>
      </w:r>
      <w:r w:rsidR="0057339C" w:rsidRPr="004E053C">
        <w:rPr>
          <w:rFonts w:cstheme="majorHAnsi"/>
          <w:sz w:val="22"/>
          <w:szCs w:val="22"/>
          <w:lang w:val="en-GB"/>
        </w:rPr>
        <w:fldChar w:fldCharType="end"/>
      </w:r>
      <w:r w:rsidR="00F2183E" w:rsidRPr="004E053C">
        <w:rPr>
          <w:rFonts w:cstheme="majorHAnsi"/>
          <w:sz w:val="22"/>
          <w:szCs w:val="22"/>
          <w:lang w:val="en-GB"/>
        </w:rPr>
        <w:t xml:space="preserve"> has noted, emphasising victimhood is patronising, and does not reflect the life of women in mining camps.</w:t>
      </w:r>
      <w:r w:rsidRPr="004E053C">
        <w:rPr>
          <w:rFonts w:cstheme="majorHAnsi"/>
          <w:sz w:val="22"/>
          <w:szCs w:val="22"/>
          <w:lang w:val="en-GB"/>
        </w:rPr>
        <w:t xml:space="preserve"> And indeed, recent work has a more positive stance, but evidence from </w:t>
      </w:r>
      <w:r w:rsidR="00DE4AE0" w:rsidRPr="004E053C">
        <w:rPr>
          <w:rFonts w:cstheme="majorHAnsi"/>
          <w:sz w:val="22"/>
          <w:szCs w:val="22"/>
          <w:lang w:val="en-GB"/>
        </w:rPr>
        <w:t>East and Central Africa</w:t>
      </w:r>
      <w:r w:rsidRPr="004E053C">
        <w:rPr>
          <w:rFonts w:cstheme="majorHAnsi"/>
          <w:sz w:val="22"/>
          <w:szCs w:val="22"/>
          <w:lang w:val="en-GB"/>
        </w:rPr>
        <w:t xml:space="preserve"> still suggests that women’s ability to access certain roles </w:t>
      </w:r>
      <w:r w:rsidRPr="004E053C">
        <w:rPr>
          <w:rFonts w:cstheme="majorHAnsi"/>
          <w:sz w:val="22"/>
          <w:szCs w:val="22"/>
          <w:lang w:val="en-GB"/>
        </w:rPr>
        <w:lastRenderedPageBreak/>
        <w:t xml:space="preserve">and ascend to the top of the labour hierarchy is often restricted by family responsibilities, cultural beliefs and a lack of education </w:t>
      </w:r>
      <w:r w:rsidR="00DE4AE0"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Buss","given":"D","non-dropping-particle":"","parse-names":false,"suffix":""},{"dropping-particle":"","family":"Rutherford","given":"B","non-dropping-particle":"","parse-names":false,"suffix":""},{"dropping-particle":"","family":"Hinton","given":"J","non-dropping-particle":"","parse-names":false,"suffix":""},{"dropping-particle":"","family":"Stewart","given":"J","non-dropping-particle":"","parse-names":false,"suffix":""},{"dropping-particle":"","family":"Lebert","given":"J","non-dropping-particle":"","parse-names":false,"suffix":""},{"dropping-particle":"","family":"Cote","given":"G.E","non-dropping-particle":"","parse-names":false,"suffix":""},{"dropping-particle":"","family":"Sebina-Zziwa","given":"A","non-dropping-particle":"","parse-names":false,"suffix":""},{"dropping-particle":"","family":"Kibombo","given":"R","non-dropping-particle":"","parse-names":false,"suffix":""},{"dropping-particle":"","family":"Kisekka","given":"F.","non-dropping-particle":"","parse-names":false,"suffix":""}],"id":"ITEM-1","issued":{"date-parts":[["2017"]]},"number":"Working Paper GWP-2017-2","publisher-place":"Ottawa","title":"Gender and artisanal and small-scale mining in Central and East Africa: barriers and benefits","type":"report"},"uris":["http://www.mendeley.com/documents/?uuid=fc2c33b3-ea68-425b-97cc-ad7705b6f1ae"]}],"mendeley":{"formattedCitation":"(Buss et al., 2017)","manualFormatting":"(Buss et al., 2017)","plainTextFormattedCitation":"(Buss et al., 2017)","previouslyFormattedCitation":"(Buss et al., 2017)"},"properties":{"noteIndex":0},"schema":"https://github.com/citation-style-language/schema/raw/master/csl-citation.json"}</w:instrText>
      </w:r>
      <w:r w:rsidR="00DE4AE0" w:rsidRPr="004E053C">
        <w:rPr>
          <w:rFonts w:cstheme="majorHAnsi"/>
          <w:sz w:val="22"/>
          <w:szCs w:val="22"/>
          <w:lang w:val="en-GB"/>
        </w:rPr>
        <w:fldChar w:fldCharType="separate"/>
      </w:r>
      <w:r w:rsidR="00DE4AE0" w:rsidRPr="004E053C">
        <w:rPr>
          <w:rFonts w:cstheme="majorHAnsi"/>
          <w:noProof/>
          <w:sz w:val="22"/>
          <w:szCs w:val="22"/>
          <w:lang w:val="en-GB"/>
        </w:rPr>
        <w:t>(Buss et al., 2017)</w:t>
      </w:r>
      <w:r w:rsidR="00DE4AE0" w:rsidRPr="004E053C">
        <w:rPr>
          <w:rFonts w:cstheme="majorHAnsi"/>
          <w:sz w:val="22"/>
          <w:szCs w:val="22"/>
          <w:lang w:val="en-GB"/>
        </w:rPr>
        <w:fldChar w:fldCharType="end"/>
      </w:r>
      <w:r w:rsidR="00DE4AE0" w:rsidRPr="004E053C">
        <w:rPr>
          <w:rFonts w:cstheme="majorHAnsi"/>
          <w:sz w:val="22"/>
          <w:szCs w:val="22"/>
          <w:lang w:val="en-GB"/>
        </w:rPr>
        <w:t>.</w:t>
      </w:r>
    </w:p>
    <w:p w14:paraId="6653BFD4" w14:textId="77777777" w:rsidR="00D35D90" w:rsidRPr="004E053C" w:rsidRDefault="00D35D90" w:rsidP="004E053C">
      <w:pPr>
        <w:spacing w:line="360" w:lineRule="auto"/>
        <w:jc w:val="both"/>
        <w:rPr>
          <w:rFonts w:cstheme="majorHAnsi"/>
          <w:sz w:val="22"/>
          <w:szCs w:val="22"/>
          <w:lang w:val="en-GB"/>
        </w:rPr>
      </w:pPr>
    </w:p>
    <w:p w14:paraId="1814E0DF"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As we saw in the previous section, in many of the interviewed households in Laberinto, the couple had met when they were already living in the mining settlements (either in Laberinto or nearby). The women from these households had therefore already initiated their own livelihood within the translocal ASM community. Similarly, </w:t>
      </w:r>
      <w:r w:rsidRPr="004E053C">
        <w:rPr>
          <w:rFonts w:cstheme="majorHAnsi"/>
          <w:sz w:val="22"/>
          <w:szCs w:val="22"/>
          <w:lang w:val="en-GB"/>
        </w:rPr>
        <w:t xml:space="preserve">those women </w:t>
      </w:r>
      <w:r w:rsidRPr="004E053C">
        <w:rPr>
          <w:rFonts w:eastAsia="Times New Roman" w:cstheme="majorHAnsi"/>
          <w:sz w:val="22"/>
          <w:szCs w:val="22"/>
          <w:lang w:val="en-GB"/>
        </w:rPr>
        <w:t xml:space="preserve">who arrived with or just after their husbands had found employment in some capacity within the ASM economy, thus contributing more to the ASM livelihoods than simply reproductive labour. During fieldwork in Laberinto, several women were interviewed who lived in mining settlements. All of these women were working and contributing in some way to household income. </w:t>
      </w:r>
    </w:p>
    <w:p w14:paraId="74039005" w14:textId="77777777" w:rsidR="00F2183E" w:rsidRPr="004E053C" w:rsidRDefault="00F2183E" w:rsidP="004E053C">
      <w:pPr>
        <w:spacing w:line="360" w:lineRule="auto"/>
        <w:jc w:val="both"/>
        <w:rPr>
          <w:rFonts w:eastAsia="Times New Roman" w:cstheme="majorHAnsi"/>
          <w:sz w:val="22"/>
          <w:szCs w:val="22"/>
          <w:lang w:val="en-GB"/>
        </w:rPr>
      </w:pPr>
    </w:p>
    <w:p w14:paraId="47B8F4D2" w14:textId="7F9AB317" w:rsidR="00F2183E" w:rsidRPr="004E053C" w:rsidRDefault="00923CFD" w:rsidP="004E053C">
      <w:pPr>
        <w:spacing w:line="360" w:lineRule="auto"/>
        <w:jc w:val="both"/>
        <w:rPr>
          <w:rFonts w:eastAsia="Times New Roman" w:cstheme="majorHAnsi"/>
          <w:b/>
          <w:bCs/>
          <w:sz w:val="22"/>
          <w:szCs w:val="22"/>
          <w:lang w:val="en-GB"/>
        </w:rPr>
      </w:pPr>
      <w:r w:rsidRPr="004E053C">
        <w:rPr>
          <w:rFonts w:eastAsia="Times New Roman" w:cstheme="majorHAnsi"/>
          <w:b/>
          <w:bCs/>
          <w:sz w:val="22"/>
          <w:szCs w:val="22"/>
          <w:lang w:val="en-GB"/>
        </w:rPr>
        <w:t>Table 7</w:t>
      </w:r>
      <w:r w:rsidR="00F2183E" w:rsidRPr="004E053C">
        <w:rPr>
          <w:rFonts w:eastAsia="Times New Roman" w:cstheme="majorHAnsi"/>
          <w:b/>
          <w:bCs/>
          <w:sz w:val="22"/>
          <w:szCs w:val="22"/>
          <w:lang w:val="en-GB"/>
        </w:rPr>
        <w:t>.4. Women interviewed in Laberinto, including ages, occupations and length of time in settlement</w:t>
      </w:r>
    </w:p>
    <w:p w14:paraId="1D94F070" w14:textId="77777777" w:rsidR="00F2183E" w:rsidRPr="004E053C" w:rsidRDefault="00F2183E" w:rsidP="004E053C">
      <w:pPr>
        <w:spacing w:line="360" w:lineRule="auto"/>
        <w:jc w:val="both"/>
        <w:rPr>
          <w:rFonts w:eastAsia="Times New Roman" w:cstheme="majorHAnsi"/>
          <w:sz w:val="22"/>
          <w:szCs w:val="22"/>
          <w:lang w:val="en-GB"/>
        </w:rPr>
      </w:pPr>
    </w:p>
    <w:tbl>
      <w:tblPr>
        <w:tblStyle w:val="TableGrid"/>
        <w:tblW w:w="0" w:type="auto"/>
        <w:tblLayout w:type="fixed"/>
        <w:tblLook w:val="04A0" w:firstRow="1" w:lastRow="0" w:firstColumn="1" w:lastColumn="0" w:noHBand="0" w:noVBand="1"/>
      </w:tblPr>
      <w:tblGrid>
        <w:gridCol w:w="1101"/>
        <w:gridCol w:w="1275"/>
        <w:gridCol w:w="2410"/>
        <w:gridCol w:w="1418"/>
        <w:gridCol w:w="2976"/>
      </w:tblGrid>
      <w:tr w:rsidR="00F2183E" w:rsidRPr="004E053C" w14:paraId="3BA225EF" w14:textId="77777777" w:rsidTr="008F5D01">
        <w:tc>
          <w:tcPr>
            <w:tcW w:w="1101" w:type="dxa"/>
          </w:tcPr>
          <w:p w14:paraId="75D8AB7C" w14:textId="77777777" w:rsidR="00F2183E" w:rsidRPr="004E053C" w:rsidRDefault="00F2183E"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Name</w:t>
            </w:r>
          </w:p>
        </w:tc>
        <w:tc>
          <w:tcPr>
            <w:tcW w:w="1275" w:type="dxa"/>
          </w:tcPr>
          <w:p w14:paraId="1437BA19" w14:textId="77777777" w:rsidR="00F2183E" w:rsidRPr="004E053C" w:rsidRDefault="00F2183E"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Age range</w:t>
            </w:r>
          </w:p>
        </w:tc>
        <w:tc>
          <w:tcPr>
            <w:tcW w:w="2410" w:type="dxa"/>
          </w:tcPr>
          <w:p w14:paraId="38EB02E9" w14:textId="77777777" w:rsidR="00F2183E" w:rsidRPr="004E053C" w:rsidRDefault="00F2183E"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Occupation</w:t>
            </w:r>
          </w:p>
        </w:tc>
        <w:tc>
          <w:tcPr>
            <w:tcW w:w="1418" w:type="dxa"/>
          </w:tcPr>
          <w:p w14:paraId="2ADB7678" w14:textId="77777777" w:rsidR="00F2183E" w:rsidRPr="004E053C" w:rsidRDefault="00F2183E"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Location</w:t>
            </w:r>
          </w:p>
        </w:tc>
        <w:tc>
          <w:tcPr>
            <w:tcW w:w="2976" w:type="dxa"/>
          </w:tcPr>
          <w:p w14:paraId="405C9A8F" w14:textId="21A3987E" w:rsidR="00F2183E" w:rsidRPr="004E053C" w:rsidRDefault="008F5D01"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T</w:t>
            </w:r>
            <w:r w:rsidR="00F2183E" w:rsidRPr="004E053C">
              <w:rPr>
                <w:rFonts w:eastAsia="Times New Roman" w:cstheme="majorHAnsi"/>
                <w:b/>
                <w:sz w:val="22"/>
                <w:szCs w:val="22"/>
                <w:lang w:val="en-GB"/>
              </w:rPr>
              <w:t>ime in M</w:t>
            </w:r>
            <w:r w:rsidR="00923CFD" w:rsidRPr="004E053C">
              <w:rPr>
                <w:rFonts w:eastAsia="Times New Roman" w:cstheme="majorHAnsi"/>
                <w:b/>
                <w:sz w:val="22"/>
                <w:szCs w:val="22"/>
                <w:lang w:val="en-GB"/>
              </w:rPr>
              <w:t>adre de Dios</w:t>
            </w:r>
          </w:p>
        </w:tc>
      </w:tr>
      <w:tr w:rsidR="00F2183E" w:rsidRPr="004E053C" w14:paraId="36671423" w14:textId="77777777" w:rsidTr="008F5D01">
        <w:trPr>
          <w:trHeight w:val="1229"/>
        </w:trPr>
        <w:tc>
          <w:tcPr>
            <w:tcW w:w="1101" w:type="dxa"/>
          </w:tcPr>
          <w:p w14:paraId="56960E53" w14:textId="6FE98E94" w:rsidR="00F2183E" w:rsidRPr="004E053C" w:rsidRDefault="00B21FF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Miriam</w:t>
            </w:r>
            <w:r w:rsidR="00F2183E" w:rsidRPr="004E053C">
              <w:rPr>
                <w:rFonts w:eastAsia="Times New Roman" w:cstheme="majorHAnsi"/>
                <w:sz w:val="22"/>
                <w:szCs w:val="22"/>
                <w:lang w:val="en-GB"/>
              </w:rPr>
              <w:t xml:space="preserve"> </w:t>
            </w:r>
          </w:p>
        </w:tc>
        <w:tc>
          <w:tcPr>
            <w:tcW w:w="1275" w:type="dxa"/>
          </w:tcPr>
          <w:p w14:paraId="55B07173"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20-30</w:t>
            </w:r>
          </w:p>
        </w:tc>
        <w:tc>
          <w:tcPr>
            <w:tcW w:w="2410" w:type="dxa"/>
          </w:tcPr>
          <w:p w14:paraId="46C6D1D4" w14:textId="6DCE3EBA"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Helps husband in the mine, cooking for him and his workers</w:t>
            </w:r>
          </w:p>
        </w:tc>
        <w:tc>
          <w:tcPr>
            <w:tcW w:w="1418" w:type="dxa"/>
          </w:tcPr>
          <w:p w14:paraId="546C8AF4"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Laberinto</w:t>
            </w:r>
          </w:p>
        </w:tc>
        <w:tc>
          <w:tcPr>
            <w:tcW w:w="2976" w:type="dxa"/>
          </w:tcPr>
          <w:p w14:paraId="631BA3C8"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Since 6 years old, but migrated away from age 18-24</w:t>
            </w:r>
          </w:p>
        </w:tc>
      </w:tr>
      <w:tr w:rsidR="00F2183E" w:rsidRPr="004E053C" w14:paraId="1C17C715" w14:textId="77777777" w:rsidTr="008F5D01">
        <w:tc>
          <w:tcPr>
            <w:tcW w:w="1101" w:type="dxa"/>
          </w:tcPr>
          <w:p w14:paraId="2B7C4C72" w14:textId="479A1E4B" w:rsidR="00F2183E" w:rsidRPr="004E053C" w:rsidRDefault="00B21FF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Kiara</w:t>
            </w:r>
          </w:p>
        </w:tc>
        <w:tc>
          <w:tcPr>
            <w:tcW w:w="1275" w:type="dxa"/>
          </w:tcPr>
          <w:p w14:paraId="5A8D8110"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50-60</w:t>
            </w:r>
          </w:p>
        </w:tc>
        <w:tc>
          <w:tcPr>
            <w:tcW w:w="2410" w:type="dxa"/>
          </w:tcPr>
          <w:p w14:paraId="019D1FE1"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Initially was a cook but now runs a small grocery store</w:t>
            </w:r>
          </w:p>
        </w:tc>
        <w:tc>
          <w:tcPr>
            <w:tcW w:w="1418" w:type="dxa"/>
          </w:tcPr>
          <w:p w14:paraId="03DC9EC8"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Boca Union</w:t>
            </w:r>
          </w:p>
        </w:tc>
        <w:tc>
          <w:tcPr>
            <w:tcW w:w="2976" w:type="dxa"/>
          </w:tcPr>
          <w:p w14:paraId="41C4204B"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Since 1981 – from Urcos</w:t>
            </w:r>
          </w:p>
        </w:tc>
      </w:tr>
      <w:tr w:rsidR="00F2183E" w:rsidRPr="004E053C" w14:paraId="7A10B344" w14:textId="77777777" w:rsidTr="008F5D01">
        <w:tc>
          <w:tcPr>
            <w:tcW w:w="1101" w:type="dxa"/>
          </w:tcPr>
          <w:p w14:paraId="573D1F15" w14:textId="1CDEA028" w:rsidR="00F2183E" w:rsidRPr="004E053C" w:rsidRDefault="001B115B"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Yara</w:t>
            </w:r>
          </w:p>
        </w:tc>
        <w:tc>
          <w:tcPr>
            <w:tcW w:w="1275" w:type="dxa"/>
          </w:tcPr>
          <w:p w14:paraId="5EDE5A25"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20-30</w:t>
            </w:r>
          </w:p>
        </w:tc>
        <w:tc>
          <w:tcPr>
            <w:tcW w:w="2410" w:type="dxa"/>
          </w:tcPr>
          <w:p w14:paraId="13351E67"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Works in a juice bar/cafe in the market</w:t>
            </w:r>
          </w:p>
        </w:tc>
        <w:tc>
          <w:tcPr>
            <w:tcW w:w="1418" w:type="dxa"/>
          </w:tcPr>
          <w:p w14:paraId="77DC0A8A"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Laberinto</w:t>
            </w:r>
          </w:p>
        </w:tc>
        <w:tc>
          <w:tcPr>
            <w:tcW w:w="2976" w:type="dxa"/>
          </w:tcPr>
          <w:p w14:paraId="4F8D4804"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6 months</w:t>
            </w:r>
          </w:p>
        </w:tc>
      </w:tr>
      <w:tr w:rsidR="00F2183E" w:rsidRPr="004E053C" w14:paraId="721452EF" w14:textId="77777777" w:rsidTr="008F5D01">
        <w:tc>
          <w:tcPr>
            <w:tcW w:w="1101" w:type="dxa"/>
          </w:tcPr>
          <w:p w14:paraId="6DBA3488" w14:textId="26430368" w:rsidR="00F2183E" w:rsidRPr="004E053C" w:rsidRDefault="00B21FF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Azucena</w:t>
            </w:r>
          </w:p>
        </w:tc>
        <w:tc>
          <w:tcPr>
            <w:tcW w:w="1275" w:type="dxa"/>
          </w:tcPr>
          <w:p w14:paraId="1B7E36ED"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40-50</w:t>
            </w:r>
          </w:p>
        </w:tc>
        <w:tc>
          <w:tcPr>
            <w:tcW w:w="2410" w:type="dxa"/>
          </w:tcPr>
          <w:p w14:paraId="540DDCC4"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Helps husband clearing away grasses –until they moved due to violence</w:t>
            </w:r>
          </w:p>
        </w:tc>
        <w:tc>
          <w:tcPr>
            <w:tcW w:w="1418" w:type="dxa"/>
          </w:tcPr>
          <w:p w14:paraId="32DB2DA9" w14:textId="6790D6F5" w:rsidR="00F2183E" w:rsidRPr="004E053C" w:rsidRDefault="008808B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Laberinto, previously</w:t>
            </w:r>
            <w:r w:rsidR="00F2183E" w:rsidRPr="004E053C">
              <w:rPr>
                <w:rFonts w:eastAsia="Times New Roman" w:cstheme="majorHAnsi"/>
                <w:sz w:val="22"/>
                <w:szCs w:val="22"/>
                <w:lang w:val="en-GB"/>
              </w:rPr>
              <w:t xml:space="preserve"> La Pampa</w:t>
            </w:r>
          </w:p>
        </w:tc>
        <w:tc>
          <w:tcPr>
            <w:tcW w:w="2976" w:type="dxa"/>
          </w:tcPr>
          <w:p w14:paraId="1D7379CC"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From elsewhere in MDD – but living in La Pampa for around 45 years</w:t>
            </w:r>
          </w:p>
        </w:tc>
      </w:tr>
      <w:tr w:rsidR="00F2183E" w:rsidRPr="004E053C" w14:paraId="5BDA3E64" w14:textId="77777777" w:rsidTr="008F5D01">
        <w:tc>
          <w:tcPr>
            <w:tcW w:w="1101" w:type="dxa"/>
          </w:tcPr>
          <w:p w14:paraId="10BE9423" w14:textId="2A68AA3D" w:rsidR="00F2183E" w:rsidRPr="004E053C" w:rsidRDefault="00B21FF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Lorena</w:t>
            </w:r>
          </w:p>
        </w:tc>
        <w:tc>
          <w:tcPr>
            <w:tcW w:w="1275" w:type="dxa"/>
          </w:tcPr>
          <w:p w14:paraId="7A45B92F"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40-50</w:t>
            </w:r>
          </w:p>
        </w:tc>
        <w:tc>
          <w:tcPr>
            <w:tcW w:w="2410" w:type="dxa"/>
          </w:tcPr>
          <w:p w14:paraId="5FDE424C"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Works in a juice bar/cafe on the plaza</w:t>
            </w:r>
          </w:p>
        </w:tc>
        <w:tc>
          <w:tcPr>
            <w:tcW w:w="1418" w:type="dxa"/>
          </w:tcPr>
          <w:p w14:paraId="6CA2521F"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Laberinto</w:t>
            </w:r>
          </w:p>
        </w:tc>
        <w:tc>
          <w:tcPr>
            <w:tcW w:w="2976" w:type="dxa"/>
          </w:tcPr>
          <w:p w14:paraId="2A355A69" w14:textId="4EE2046E"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6 months</w:t>
            </w:r>
            <w:r w:rsidR="00DC2965" w:rsidRPr="004E053C">
              <w:rPr>
                <w:rFonts w:eastAsia="Times New Roman" w:cstheme="majorHAnsi"/>
                <w:sz w:val="22"/>
                <w:szCs w:val="22"/>
                <w:lang w:val="en-GB"/>
              </w:rPr>
              <w:t xml:space="preserve"> in Laberinto, previously in Boc</w:t>
            </w:r>
            <w:r w:rsidRPr="004E053C">
              <w:rPr>
                <w:rFonts w:eastAsia="Times New Roman" w:cstheme="majorHAnsi"/>
                <w:sz w:val="22"/>
                <w:szCs w:val="22"/>
                <w:lang w:val="en-GB"/>
              </w:rPr>
              <w:t>a Colorado for 15 years</w:t>
            </w:r>
          </w:p>
        </w:tc>
      </w:tr>
      <w:tr w:rsidR="00F2183E" w:rsidRPr="004E053C" w14:paraId="2A2CBC16" w14:textId="77777777" w:rsidTr="008F5D01">
        <w:tc>
          <w:tcPr>
            <w:tcW w:w="1101" w:type="dxa"/>
          </w:tcPr>
          <w:p w14:paraId="5E9870C5" w14:textId="673C2C30" w:rsidR="00F2183E" w:rsidRPr="004E053C" w:rsidRDefault="00B21FF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Carla</w:t>
            </w:r>
            <w:r w:rsidR="00F2183E" w:rsidRPr="004E053C">
              <w:rPr>
                <w:rFonts w:eastAsia="Times New Roman" w:cstheme="majorHAnsi"/>
                <w:sz w:val="22"/>
                <w:szCs w:val="22"/>
                <w:lang w:val="en-GB"/>
              </w:rPr>
              <w:t xml:space="preserve"> </w:t>
            </w:r>
          </w:p>
        </w:tc>
        <w:tc>
          <w:tcPr>
            <w:tcW w:w="1275" w:type="dxa"/>
          </w:tcPr>
          <w:p w14:paraId="192B2BBB"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30-40</w:t>
            </w:r>
          </w:p>
        </w:tc>
        <w:tc>
          <w:tcPr>
            <w:tcW w:w="2410" w:type="dxa"/>
          </w:tcPr>
          <w:p w14:paraId="28396992"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Works in a hotel</w:t>
            </w:r>
          </w:p>
        </w:tc>
        <w:tc>
          <w:tcPr>
            <w:tcW w:w="1418" w:type="dxa"/>
          </w:tcPr>
          <w:p w14:paraId="3D93C834"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Laberinto</w:t>
            </w:r>
          </w:p>
        </w:tc>
        <w:tc>
          <w:tcPr>
            <w:tcW w:w="2976" w:type="dxa"/>
          </w:tcPr>
          <w:p w14:paraId="69743546"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10 years</w:t>
            </w:r>
          </w:p>
        </w:tc>
      </w:tr>
      <w:tr w:rsidR="00F2183E" w:rsidRPr="004E053C" w14:paraId="6E7DC0D0" w14:textId="77777777" w:rsidTr="008F5D01">
        <w:tc>
          <w:tcPr>
            <w:tcW w:w="1101" w:type="dxa"/>
          </w:tcPr>
          <w:p w14:paraId="113862EC" w14:textId="3DA26F3D" w:rsidR="00F2183E" w:rsidRPr="004E053C" w:rsidRDefault="00B21FF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Rosaria</w:t>
            </w:r>
          </w:p>
        </w:tc>
        <w:tc>
          <w:tcPr>
            <w:tcW w:w="1275" w:type="dxa"/>
          </w:tcPr>
          <w:p w14:paraId="3B37C3CA" w14:textId="77777777" w:rsidR="00F2183E" w:rsidRPr="004E053C" w:rsidRDefault="00F2183E" w:rsidP="004E053C">
            <w:pPr>
              <w:spacing w:line="360" w:lineRule="auto"/>
              <w:jc w:val="both"/>
              <w:rPr>
                <w:rFonts w:eastAsia="Times New Roman" w:cstheme="majorHAnsi"/>
                <w:sz w:val="22"/>
                <w:szCs w:val="22"/>
                <w:lang w:val="en-GB"/>
              </w:rPr>
            </w:pPr>
          </w:p>
        </w:tc>
        <w:tc>
          <w:tcPr>
            <w:tcW w:w="2410" w:type="dxa"/>
          </w:tcPr>
          <w:p w14:paraId="655EDDDE"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Works in a hotel</w:t>
            </w:r>
          </w:p>
        </w:tc>
        <w:tc>
          <w:tcPr>
            <w:tcW w:w="1418" w:type="dxa"/>
          </w:tcPr>
          <w:p w14:paraId="0372846A" w14:textId="41F0D2DF" w:rsidR="00F2183E" w:rsidRPr="004E053C" w:rsidRDefault="008808BD"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P</w:t>
            </w:r>
            <w:r w:rsidR="00F2183E" w:rsidRPr="004E053C">
              <w:rPr>
                <w:rFonts w:eastAsia="Times New Roman" w:cstheme="majorHAnsi"/>
                <w:sz w:val="22"/>
                <w:szCs w:val="22"/>
                <w:lang w:val="en-GB"/>
              </w:rPr>
              <w:t>reviously in La Pampa</w:t>
            </w:r>
          </w:p>
        </w:tc>
        <w:tc>
          <w:tcPr>
            <w:tcW w:w="2976" w:type="dxa"/>
          </w:tcPr>
          <w:p w14:paraId="5B4E8629"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10 years</w:t>
            </w:r>
          </w:p>
        </w:tc>
      </w:tr>
    </w:tbl>
    <w:p w14:paraId="695AD74F" w14:textId="77777777" w:rsidR="00F2183E" w:rsidRPr="004E053C" w:rsidRDefault="00F2183E" w:rsidP="004E053C">
      <w:pPr>
        <w:spacing w:line="360" w:lineRule="auto"/>
        <w:jc w:val="both"/>
        <w:rPr>
          <w:rFonts w:cstheme="majorHAnsi"/>
          <w:b/>
          <w:sz w:val="22"/>
          <w:szCs w:val="22"/>
          <w:lang w:val="en-GB"/>
        </w:rPr>
      </w:pPr>
    </w:p>
    <w:p w14:paraId="5D02D354"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lastRenderedPageBreak/>
        <w:t xml:space="preserve">As table 6.4 shows, two of the women were involved directly in ASM, three in small shops or restaurants and two in hotels. In the following section, the various roles that women play in ASM activities will be discussed, before highlighting the various other ways they support the wider ASM community through their productive labour. </w:t>
      </w:r>
    </w:p>
    <w:p w14:paraId="5072315B" w14:textId="77777777" w:rsidR="00F2183E" w:rsidRPr="004E053C" w:rsidRDefault="00F2183E" w:rsidP="004E053C">
      <w:pPr>
        <w:spacing w:line="360" w:lineRule="auto"/>
        <w:jc w:val="both"/>
        <w:rPr>
          <w:rFonts w:cstheme="majorHAnsi"/>
          <w:sz w:val="22"/>
          <w:szCs w:val="22"/>
          <w:lang w:val="en-GB"/>
        </w:rPr>
      </w:pPr>
    </w:p>
    <w:p w14:paraId="47DC42DB" w14:textId="77777777" w:rsidR="00F2183E" w:rsidRPr="004E053C" w:rsidRDefault="00F2183E" w:rsidP="004E053C">
      <w:pPr>
        <w:pStyle w:val="NoSpacing"/>
        <w:spacing w:line="360" w:lineRule="auto"/>
        <w:jc w:val="both"/>
        <w:rPr>
          <w:rFonts w:cstheme="majorHAnsi"/>
          <w:sz w:val="22"/>
          <w:szCs w:val="22"/>
          <w:u w:val="single"/>
          <w:lang w:val="en-GB"/>
        </w:rPr>
      </w:pPr>
      <w:r w:rsidRPr="004E053C">
        <w:rPr>
          <w:rFonts w:cstheme="majorHAnsi"/>
          <w:sz w:val="22"/>
          <w:szCs w:val="22"/>
          <w:u w:val="single"/>
          <w:lang w:val="en-GB"/>
        </w:rPr>
        <w:t>Directly in ASM activities</w:t>
      </w:r>
    </w:p>
    <w:p w14:paraId="67FD9A62" w14:textId="77777777" w:rsidR="00F2183E" w:rsidRPr="004E053C" w:rsidRDefault="00F2183E" w:rsidP="004E053C">
      <w:pPr>
        <w:pStyle w:val="NoSpacing"/>
        <w:spacing w:line="360" w:lineRule="auto"/>
        <w:jc w:val="both"/>
        <w:rPr>
          <w:rFonts w:cstheme="majorHAnsi"/>
          <w:sz w:val="22"/>
          <w:szCs w:val="22"/>
          <w:lang w:val="en-GB"/>
        </w:rPr>
      </w:pPr>
    </w:p>
    <w:p w14:paraId="07187EBE" w14:textId="6B465045"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Much of the literature that does discuss the roles of women in ASM communities fails to consider them as miners. However, two of the female respondents listed in the above table considered themselves to be miners. One of the male respondents also referred to his wife as a miner while two men mentioned female friends who were </w:t>
      </w:r>
      <w:r w:rsidRPr="004E053C">
        <w:rPr>
          <w:rFonts w:cstheme="majorHAnsi"/>
          <w:i/>
          <w:sz w:val="22"/>
          <w:szCs w:val="22"/>
          <w:lang w:val="en-GB"/>
        </w:rPr>
        <w:t>concessionarios</w:t>
      </w:r>
      <w:r w:rsidRPr="004E053C">
        <w:rPr>
          <w:rFonts w:cstheme="majorHAnsi"/>
          <w:sz w:val="22"/>
          <w:szCs w:val="22"/>
          <w:lang w:val="en-GB"/>
        </w:rPr>
        <w:t xml:space="preserve">. It is clear therefore that women in Laberinto can be recognised within the community as being miners, more so than the male </w:t>
      </w:r>
      <w:r w:rsidRPr="004E053C">
        <w:rPr>
          <w:rFonts w:cstheme="majorHAnsi"/>
          <w:i/>
          <w:sz w:val="22"/>
          <w:szCs w:val="22"/>
          <w:lang w:val="en-GB"/>
        </w:rPr>
        <w:t xml:space="preserve">obreros </w:t>
      </w:r>
      <w:r w:rsidRPr="004E053C">
        <w:rPr>
          <w:rFonts w:cstheme="majorHAnsi"/>
          <w:sz w:val="22"/>
          <w:szCs w:val="22"/>
          <w:lang w:val="en-GB"/>
        </w:rPr>
        <w:t xml:space="preserve">who do not own any mining equipment of their own. While women are not usually employed to be </w:t>
      </w:r>
      <w:r w:rsidRPr="004E053C">
        <w:rPr>
          <w:rFonts w:cstheme="majorHAnsi"/>
          <w:i/>
          <w:sz w:val="22"/>
          <w:szCs w:val="22"/>
          <w:lang w:val="en-GB"/>
        </w:rPr>
        <w:t xml:space="preserve">obreros </w:t>
      </w:r>
      <w:r w:rsidRPr="004E053C">
        <w:rPr>
          <w:rFonts w:cstheme="majorHAnsi"/>
          <w:sz w:val="22"/>
          <w:szCs w:val="22"/>
          <w:lang w:val="en-GB"/>
        </w:rPr>
        <w:t xml:space="preserve">they are able to hold concessions or work within a family run businesses – which may or may not involve holding a concession – their roles tend to be quite different from that of their husbands. The roles of husband and wife in a jointly run business are complementary, but some women are more involved than others, and may see their role in a different light. For example, </w:t>
      </w:r>
      <w:r w:rsidR="00B21FFD" w:rsidRPr="004E053C">
        <w:rPr>
          <w:rFonts w:cstheme="majorHAnsi"/>
          <w:sz w:val="22"/>
          <w:szCs w:val="22"/>
          <w:lang w:val="en-GB"/>
        </w:rPr>
        <w:t>Azucena</w:t>
      </w:r>
      <w:r w:rsidRPr="004E053C">
        <w:rPr>
          <w:rFonts w:cstheme="majorHAnsi"/>
          <w:sz w:val="22"/>
          <w:szCs w:val="22"/>
          <w:lang w:val="en-GB"/>
        </w:rPr>
        <w:t xml:space="preserve"> stressed the importance of her role and discussed in detail how her and her husband worked in a partnership:</w:t>
      </w:r>
    </w:p>
    <w:p w14:paraId="51C2EA08" w14:textId="77777777" w:rsidR="00F2183E" w:rsidRPr="004E053C" w:rsidRDefault="00F2183E" w:rsidP="004E053C">
      <w:pPr>
        <w:spacing w:line="360" w:lineRule="auto"/>
        <w:jc w:val="both"/>
        <w:rPr>
          <w:rFonts w:cstheme="majorHAnsi"/>
          <w:sz w:val="22"/>
          <w:szCs w:val="22"/>
          <w:lang w:val="en-GB"/>
        </w:rPr>
      </w:pPr>
    </w:p>
    <w:p w14:paraId="3D9918C9" w14:textId="7DF5498B" w:rsidR="00F2183E" w:rsidRPr="004E053C" w:rsidRDefault="00F2183E" w:rsidP="004E053C">
      <w:pPr>
        <w:ind w:left="720"/>
        <w:jc w:val="both"/>
        <w:rPr>
          <w:rFonts w:eastAsia="Times New Roman" w:cstheme="majorHAnsi"/>
          <w:i/>
          <w:sz w:val="22"/>
          <w:szCs w:val="22"/>
          <w:lang w:val="en-GB"/>
        </w:rPr>
      </w:pPr>
      <w:r w:rsidRPr="004E053C">
        <w:rPr>
          <w:rFonts w:eastAsia="Times New Roman" w:cstheme="majorHAnsi"/>
          <w:sz w:val="22"/>
          <w:szCs w:val="22"/>
          <w:lang w:val="en-GB"/>
        </w:rPr>
        <w:t>‘</w:t>
      </w:r>
      <w:r w:rsidRPr="004E053C">
        <w:rPr>
          <w:rFonts w:eastAsia="Times New Roman" w:cstheme="majorHAnsi"/>
          <w:i/>
          <w:sz w:val="22"/>
          <w:szCs w:val="22"/>
          <w:lang w:val="en-GB"/>
        </w:rPr>
        <w:t xml:space="preserve">When we wake up, I cook while my husband worked in the mining. Right after, I used to take the food to my husband and he would eat while I got a machete and cleaned the area, pulling all the stones and branches, leaves, everything out of the way. Women used to do all this cleaning and cutting. At 11am I went back to cook lunch, and then in the afternoon I would do the same, bring him lunch and clean the area. It’s a mining team’ </w:t>
      </w:r>
      <w:r w:rsidRPr="004E053C">
        <w:rPr>
          <w:rFonts w:eastAsia="Times New Roman" w:cstheme="majorHAnsi"/>
          <w:sz w:val="22"/>
          <w:szCs w:val="22"/>
          <w:lang w:val="en-GB"/>
        </w:rPr>
        <w:t>(</w:t>
      </w:r>
      <w:r w:rsidR="00B21FFD" w:rsidRPr="004E053C">
        <w:rPr>
          <w:rFonts w:eastAsia="Times New Roman" w:cstheme="majorHAnsi"/>
          <w:sz w:val="22"/>
          <w:szCs w:val="22"/>
          <w:lang w:val="en-GB"/>
        </w:rPr>
        <w:t>Azucena</w:t>
      </w:r>
      <w:r w:rsidRPr="004E053C">
        <w:rPr>
          <w:rFonts w:eastAsia="Times New Roman" w:cstheme="majorHAnsi"/>
          <w:sz w:val="22"/>
          <w:szCs w:val="22"/>
          <w:lang w:val="en-GB"/>
        </w:rPr>
        <w:t>, ASM miner, Laberinto)</w:t>
      </w:r>
      <w:r w:rsidR="00D35D90" w:rsidRPr="004E053C">
        <w:rPr>
          <w:rFonts w:eastAsia="Times New Roman" w:cstheme="majorHAnsi"/>
          <w:sz w:val="22"/>
          <w:szCs w:val="22"/>
          <w:lang w:val="en-GB"/>
        </w:rPr>
        <w:t xml:space="preserve">. </w:t>
      </w:r>
    </w:p>
    <w:p w14:paraId="3558B5BB" w14:textId="77777777" w:rsidR="00F2183E" w:rsidRPr="004E053C" w:rsidRDefault="00F2183E" w:rsidP="004E053C">
      <w:pPr>
        <w:spacing w:line="360" w:lineRule="auto"/>
        <w:jc w:val="both"/>
        <w:rPr>
          <w:rFonts w:cstheme="majorHAnsi"/>
          <w:sz w:val="22"/>
          <w:szCs w:val="22"/>
          <w:lang w:val="en-GB"/>
        </w:rPr>
      </w:pPr>
    </w:p>
    <w:p w14:paraId="27409130" w14:textId="6C2944E4"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In contrast to </w:t>
      </w:r>
      <w:r w:rsidR="00B21FFD" w:rsidRPr="004E053C">
        <w:rPr>
          <w:rFonts w:cstheme="majorHAnsi"/>
          <w:sz w:val="22"/>
          <w:szCs w:val="22"/>
          <w:lang w:val="en-GB"/>
        </w:rPr>
        <w:t>Azucena</w:t>
      </w:r>
      <w:r w:rsidRPr="004E053C">
        <w:rPr>
          <w:rFonts w:cstheme="majorHAnsi"/>
          <w:sz w:val="22"/>
          <w:szCs w:val="22"/>
          <w:lang w:val="en-GB"/>
        </w:rPr>
        <w:t>, the other female miner emphasised her husband’s role in the mining partnership over her own –‘</w:t>
      </w:r>
      <w:r w:rsidRPr="004E053C">
        <w:rPr>
          <w:rFonts w:cstheme="majorHAnsi"/>
          <w:i/>
          <w:sz w:val="22"/>
          <w:szCs w:val="22"/>
          <w:lang w:val="en-GB"/>
        </w:rPr>
        <w:t xml:space="preserve">Where your husband goes you need to go, because you are the wife’. </w:t>
      </w:r>
      <w:r w:rsidRPr="004E053C">
        <w:rPr>
          <w:rFonts w:cstheme="majorHAnsi"/>
          <w:sz w:val="22"/>
          <w:szCs w:val="22"/>
          <w:lang w:val="en-GB"/>
        </w:rPr>
        <w:t xml:space="preserve">Her role involved cooking for her husband and the four </w:t>
      </w:r>
      <w:r w:rsidRPr="004E053C">
        <w:rPr>
          <w:rFonts w:cstheme="majorHAnsi"/>
          <w:i/>
          <w:sz w:val="22"/>
          <w:szCs w:val="22"/>
          <w:lang w:val="en-GB"/>
        </w:rPr>
        <w:t>obreros</w:t>
      </w:r>
      <w:r w:rsidRPr="004E053C">
        <w:rPr>
          <w:rFonts w:cstheme="majorHAnsi"/>
          <w:sz w:val="22"/>
          <w:szCs w:val="22"/>
          <w:lang w:val="en-GB"/>
        </w:rPr>
        <w:t xml:space="preserve"> that worked for him when they were in the mining camps, but this direct involvement in the mines and the fact that her husband was in charge of the mine in the absence of the </w:t>
      </w:r>
      <w:r w:rsidRPr="004E053C">
        <w:rPr>
          <w:rFonts w:cstheme="majorHAnsi"/>
          <w:i/>
          <w:sz w:val="22"/>
          <w:szCs w:val="22"/>
          <w:lang w:val="en-GB"/>
        </w:rPr>
        <w:t>concessionario</w:t>
      </w:r>
      <w:r w:rsidRPr="004E053C">
        <w:rPr>
          <w:rFonts w:cstheme="majorHAnsi"/>
          <w:sz w:val="22"/>
          <w:szCs w:val="22"/>
          <w:lang w:val="en-GB"/>
        </w:rPr>
        <w:t xml:space="preserve"> meant that she was considered to be a miner. The key difference here seems to be that </w:t>
      </w:r>
      <w:r w:rsidR="00B21FFD" w:rsidRPr="004E053C">
        <w:rPr>
          <w:rFonts w:cstheme="majorHAnsi"/>
          <w:sz w:val="22"/>
          <w:szCs w:val="22"/>
          <w:lang w:val="en-GB"/>
        </w:rPr>
        <w:t>Azucena</w:t>
      </w:r>
      <w:r w:rsidRPr="004E053C">
        <w:rPr>
          <w:rFonts w:cstheme="majorHAnsi"/>
          <w:sz w:val="22"/>
          <w:szCs w:val="22"/>
          <w:lang w:val="en-GB"/>
        </w:rPr>
        <w:t xml:space="preserve"> and her husband embarked on the mining business together, having previously ferried groceries to people mining in the remote area that is now La Pampa. In contrast, </w:t>
      </w:r>
      <w:r w:rsidR="00B21FFD" w:rsidRPr="004E053C">
        <w:rPr>
          <w:rFonts w:cstheme="majorHAnsi"/>
          <w:sz w:val="22"/>
          <w:szCs w:val="22"/>
          <w:lang w:val="en-GB"/>
        </w:rPr>
        <w:t>Miriam</w:t>
      </w:r>
      <w:r w:rsidRPr="004E053C">
        <w:rPr>
          <w:rFonts w:cstheme="majorHAnsi"/>
          <w:sz w:val="22"/>
          <w:szCs w:val="22"/>
          <w:lang w:val="en-GB"/>
        </w:rPr>
        <w:t xml:space="preserve"> had moved back to Laberinto to live with her parents when she met her husband, who was already mining. She only became involved because she wanted to help him but then the </w:t>
      </w:r>
      <w:r w:rsidRPr="004E053C">
        <w:rPr>
          <w:rFonts w:cstheme="majorHAnsi"/>
          <w:i/>
          <w:iCs/>
          <w:sz w:val="22"/>
          <w:szCs w:val="22"/>
          <w:lang w:val="en-GB"/>
        </w:rPr>
        <w:t>obreros</w:t>
      </w:r>
      <w:r w:rsidRPr="004E053C">
        <w:rPr>
          <w:rFonts w:cstheme="majorHAnsi"/>
          <w:sz w:val="22"/>
          <w:szCs w:val="22"/>
          <w:lang w:val="en-GB"/>
        </w:rPr>
        <w:t xml:space="preserve"> got used to her coming to cook for them. The roles of these women reflect </w:t>
      </w:r>
      <w:r w:rsidRPr="004E053C">
        <w:rPr>
          <w:rFonts w:cstheme="majorHAnsi"/>
          <w:sz w:val="22"/>
          <w:szCs w:val="22"/>
          <w:lang w:val="en-GB"/>
        </w:rPr>
        <w:lastRenderedPageBreak/>
        <w:t>Buss</w:t>
      </w:r>
      <w:r w:rsidR="0057339C" w:rsidRPr="004E053C">
        <w:rPr>
          <w:rFonts w:cstheme="majorHAnsi"/>
          <w:sz w:val="22"/>
          <w:szCs w:val="22"/>
          <w:lang w:val="en-GB"/>
        </w:rPr>
        <w:t xml:space="preserve"> et al</w:t>
      </w:r>
      <w:r w:rsidRPr="004E053C">
        <w:rPr>
          <w:rFonts w:cstheme="majorHAnsi"/>
          <w:sz w:val="22"/>
          <w:szCs w:val="22"/>
          <w:lang w:val="en-GB"/>
        </w:rPr>
        <w:t xml:space="preserve">’s </w:t>
      </w:r>
      <w:r w:rsidR="0057339C"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uthor":[{"dropping-particle":"","family":"Buss","given":"D","non-dropping-particle":"","parse-names":false,"suffix":""},{"dropping-particle":"","family":"Rutherford","given":"B","non-dropping-particle":"","parse-names":false,"suffix":""},{"dropping-particle":"","family":"Hinton","given":"J","non-dropping-particle":"","parse-names":false,"suffix":""},{"dropping-particle":"","family":"Stewart","given":"J","non-dropping-particle":"","parse-names":false,"suffix":""},{"dropping-particle":"","family":"Lebert","given":"J","non-dropping-particle":"","parse-names":false,"suffix":""},{"dropping-particle":"","family":"Cote","given":"G.E","non-dropping-particle":"","parse-names":false,"suffix":""},{"dropping-particle":"","family":"Sebina-Zziwa","given":"A","non-dropping-particle":"","parse-names":false,"suffix":""},{"dropping-particle":"","family":"Kibombo","given":"R","non-dropping-particle":"","parse-names":false,"suffix":""},{"dropping-particle":"","family":"Kisekka","given":"F.","non-dropping-particle":"","parse-names":false,"suffix":""}],"id":"ITEM-1","issued":{"date-parts":[["2017"]]},"number":"Working Paper GWP-2017-2","publisher-place":"Ottawa","title":"Gender and artisanal and small-scale mining in Central and East Africa: barriers and benefits","type":"report"},"uris":["http://www.mendeley.com/documents/?uuid=fc2c33b3-ea68-425b-97cc-ad7705b6f1ae"]}],"mendeley":{"formattedCitation":"(Buss et al., 2017)","manualFormatting":"(2017)","plainTextFormattedCitation":"(Buss et al., 2017)","previouslyFormattedCitation":"(Buss et al., 2017)"},"properties":{"noteIndex":0},"schema":"https://github.com/citation-style-language/schema/raw/master/csl-citation.json"}</w:instrText>
      </w:r>
      <w:r w:rsidR="0057339C" w:rsidRPr="004E053C">
        <w:rPr>
          <w:rFonts w:cstheme="majorHAnsi"/>
          <w:sz w:val="22"/>
          <w:szCs w:val="22"/>
          <w:lang w:val="en-GB"/>
        </w:rPr>
        <w:fldChar w:fldCharType="separate"/>
      </w:r>
      <w:r w:rsidR="0057339C" w:rsidRPr="004E053C">
        <w:rPr>
          <w:rFonts w:cstheme="majorHAnsi"/>
          <w:noProof/>
          <w:sz w:val="22"/>
          <w:szCs w:val="22"/>
          <w:lang w:val="en-GB"/>
        </w:rPr>
        <w:t>(2017)</w:t>
      </w:r>
      <w:r w:rsidR="0057339C" w:rsidRPr="004E053C">
        <w:rPr>
          <w:rFonts w:cstheme="majorHAnsi"/>
          <w:sz w:val="22"/>
          <w:szCs w:val="22"/>
          <w:lang w:val="en-GB"/>
        </w:rPr>
        <w:fldChar w:fldCharType="end"/>
      </w:r>
      <w:r w:rsidRPr="004E053C">
        <w:rPr>
          <w:rFonts w:cstheme="majorHAnsi"/>
          <w:sz w:val="22"/>
          <w:szCs w:val="22"/>
          <w:lang w:val="en-GB"/>
        </w:rPr>
        <w:t xml:space="preserve"> assertion that the participation </w:t>
      </w:r>
      <w:r w:rsidR="00DA2C5F" w:rsidRPr="004E053C">
        <w:rPr>
          <w:rFonts w:cstheme="majorHAnsi"/>
          <w:sz w:val="22"/>
          <w:szCs w:val="22"/>
          <w:lang w:val="en-GB"/>
        </w:rPr>
        <w:t xml:space="preserve">of women </w:t>
      </w:r>
      <w:r w:rsidRPr="004E053C">
        <w:rPr>
          <w:rFonts w:cstheme="majorHAnsi"/>
          <w:sz w:val="22"/>
          <w:szCs w:val="22"/>
          <w:lang w:val="en-GB"/>
        </w:rPr>
        <w:t xml:space="preserve">in ASM </w:t>
      </w:r>
      <w:r w:rsidR="00DA2C5F" w:rsidRPr="004E053C">
        <w:rPr>
          <w:rFonts w:cstheme="majorHAnsi"/>
          <w:sz w:val="22"/>
          <w:szCs w:val="22"/>
          <w:lang w:val="en-GB"/>
        </w:rPr>
        <w:t xml:space="preserve">in East Africa </w:t>
      </w:r>
      <w:r w:rsidRPr="004E053C">
        <w:rPr>
          <w:rFonts w:cstheme="majorHAnsi"/>
          <w:sz w:val="22"/>
          <w:szCs w:val="22"/>
          <w:lang w:val="en-GB"/>
        </w:rPr>
        <w:t>is shaped by a combination of productive and reproductive roles, as they do reflect women’s traditional reproductive responsibilities. However, through discussions with the community in Laberinto it is clear that these supportive roles are highly valued and are often thought to constitute mining. In some ways, the gendered roles in ASM is reminiscent of rural Andean livelihoods,</w:t>
      </w:r>
      <w:r w:rsidR="008F5D01" w:rsidRPr="004E053C">
        <w:rPr>
          <w:rFonts w:cstheme="majorHAnsi"/>
          <w:sz w:val="22"/>
          <w:szCs w:val="22"/>
          <w:lang w:val="en-GB"/>
        </w:rPr>
        <w:t xml:space="preserve"> which were traditionally comple</w:t>
      </w:r>
      <w:r w:rsidRPr="004E053C">
        <w:rPr>
          <w:rFonts w:cstheme="majorHAnsi"/>
          <w:sz w:val="22"/>
          <w:szCs w:val="22"/>
          <w:lang w:val="en-GB"/>
        </w:rPr>
        <w:t xml:space="preserve">mentary despite the gender split </w:t>
      </w:r>
      <w:r w:rsidR="0057339C" w:rsidRPr="004E053C">
        <w:rPr>
          <w:rFonts w:cstheme="majorHAnsi"/>
          <w:sz w:val="22"/>
          <w:szCs w:val="22"/>
          <w:lang w:val="en-GB"/>
        </w:rPr>
        <w:fldChar w:fldCharType="begin" w:fldLock="1"/>
      </w:r>
      <w:r w:rsidR="0057339C" w:rsidRPr="004E053C">
        <w:rPr>
          <w:rFonts w:cstheme="majorHAnsi"/>
          <w:sz w:val="22"/>
          <w:szCs w:val="22"/>
          <w:lang w:val="en-GB"/>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1997)","manualFormatting":"(Paerregaard, 1997, p.78)","plainTextFormattedCitation":"(Paerregaard, 1997)","previouslyFormattedCitation":"(Paerregaard, 1997)"},"properties":{"noteIndex":0},"schema":"https://github.com/citation-style-language/schema/raw/master/csl-citation.json"}</w:instrText>
      </w:r>
      <w:r w:rsidR="0057339C" w:rsidRPr="004E053C">
        <w:rPr>
          <w:rFonts w:cstheme="majorHAnsi"/>
          <w:sz w:val="22"/>
          <w:szCs w:val="22"/>
          <w:lang w:val="en-GB"/>
        </w:rPr>
        <w:fldChar w:fldCharType="separate"/>
      </w:r>
      <w:r w:rsidR="0057339C" w:rsidRPr="004E053C">
        <w:rPr>
          <w:rFonts w:cstheme="majorHAnsi"/>
          <w:noProof/>
          <w:sz w:val="22"/>
          <w:szCs w:val="22"/>
          <w:lang w:val="en-GB"/>
        </w:rPr>
        <w:t>(Paerregaard, 1997, p.78)</w:t>
      </w:r>
      <w:r w:rsidR="0057339C" w:rsidRPr="004E053C">
        <w:rPr>
          <w:rFonts w:cstheme="majorHAnsi"/>
          <w:sz w:val="22"/>
          <w:szCs w:val="22"/>
          <w:lang w:val="en-GB"/>
        </w:rPr>
        <w:fldChar w:fldCharType="end"/>
      </w:r>
      <w:r w:rsidRPr="004E053C">
        <w:rPr>
          <w:rFonts w:cstheme="majorHAnsi"/>
          <w:sz w:val="22"/>
          <w:szCs w:val="22"/>
          <w:lang w:val="en-GB"/>
        </w:rPr>
        <w:t xml:space="preserve">, although at the same time, the engagement of women in other activities also reflects urban life, where ‘everyone, regardless of age or sex, shares in the struggle to make a living’ </w:t>
      </w:r>
      <w:r w:rsidR="0057339C" w:rsidRPr="004E053C">
        <w:rPr>
          <w:rFonts w:cstheme="majorHAnsi"/>
          <w:sz w:val="22"/>
          <w:szCs w:val="22"/>
          <w:lang w:val="en-GB"/>
        </w:rPr>
        <w:fldChar w:fldCharType="begin" w:fldLock="1"/>
      </w:r>
      <w:r w:rsidR="00B67ED4" w:rsidRPr="004E053C">
        <w:rPr>
          <w:rFonts w:cstheme="majorHAnsi"/>
          <w:sz w:val="22"/>
          <w:szCs w:val="22"/>
          <w:lang w:val="en-GB"/>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1997)","manualFormatting":"(Ibid., p74)","plainTextFormattedCitation":"(Paerregaard, 1997)","previouslyFormattedCitation":"(Paerregaard, 1997)"},"properties":{"noteIndex":0},"schema":"https://github.com/citation-style-language/schema/raw/master/csl-citation.json"}</w:instrText>
      </w:r>
      <w:r w:rsidR="0057339C" w:rsidRPr="004E053C">
        <w:rPr>
          <w:rFonts w:cstheme="majorHAnsi"/>
          <w:sz w:val="22"/>
          <w:szCs w:val="22"/>
          <w:lang w:val="en-GB"/>
        </w:rPr>
        <w:fldChar w:fldCharType="separate"/>
      </w:r>
      <w:r w:rsidR="00676E34" w:rsidRPr="004E053C">
        <w:rPr>
          <w:rFonts w:cstheme="majorHAnsi"/>
          <w:noProof/>
          <w:sz w:val="22"/>
          <w:szCs w:val="22"/>
          <w:lang w:val="en-GB"/>
        </w:rPr>
        <w:t>(Ibi</w:t>
      </w:r>
      <w:r w:rsidR="00830084" w:rsidRPr="004E053C">
        <w:rPr>
          <w:rFonts w:cstheme="majorHAnsi"/>
          <w:noProof/>
          <w:sz w:val="22"/>
          <w:szCs w:val="22"/>
          <w:lang w:val="en-GB"/>
        </w:rPr>
        <w:t>d</w:t>
      </w:r>
      <w:r w:rsidR="00EC4FAE" w:rsidRPr="004E053C">
        <w:rPr>
          <w:rFonts w:cstheme="majorHAnsi"/>
          <w:noProof/>
          <w:sz w:val="22"/>
          <w:szCs w:val="22"/>
          <w:lang w:val="en-GB"/>
        </w:rPr>
        <w:t>.</w:t>
      </w:r>
      <w:r w:rsidR="00830084" w:rsidRPr="004E053C">
        <w:rPr>
          <w:rFonts w:cstheme="majorHAnsi"/>
          <w:noProof/>
          <w:sz w:val="22"/>
          <w:szCs w:val="22"/>
          <w:lang w:val="en-GB"/>
        </w:rPr>
        <w:t>,</w:t>
      </w:r>
      <w:r w:rsidR="00676E34" w:rsidRPr="004E053C">
        <w:rPr>
          <w:rFonts w:cstheme="majorHAnsi"/>
          <w:noProof/>
          <w:sz w:val="22"/>
          <w:szCs w:val="22"/>
          <w:lang w:val="en-GB"/>
        </w:rPr>
        <w:t xml:space="preserve"> p74</w:t>
      </w:r>
      <w:r w:rsidR="0057339C" w:rsidRPr="004E053C">
        <w:rPr>
          <w:rFonts w:cstheme="majorHAnsi"/>
          <w:noProof/>
          <w:sz w:val="22"/>
          <w:szCs w:val="22"/>
          <w:lang w:val="en-GB"/>
        </w:rPr>
        <w:t>)</w:t>
      </w:r>
      <w:r w:rsidR="0057339C" w:rsidRPr="004E053C">
        <w:rPr>
          <w:rFonts w:cstheme="majorHAnsi"/>
          <w:sz w:val="22"/>
          <w:szCs w:val="22"/>
          <w:lang w:val="en-GB"/>
        </w:rPr>
        <w:fldChar w:fldCharType="end"/>
      </w:r>
      <w:r w:rsidRPr="004E053C">
        <w:rPr>
          <w:rFonts w:cstheme="majorHAnsi"/>
          <w:sz w:val="22"/>
          <w:szCs w:val="22"/>
          <w:lang w:val="en-GB"/>
        </w:rPr>
        <w:t xml:space="preserve">. </w:t>
      </w:r>
    </w:p>
    <w:p w14:paraId="730EB880" w14:textId="77777777" w:rsidR="00F2183E" w:rsidRPr="004E053C" w:rsidRDefault="00F2183E" w:rsidP="004E053C">
      <w:pPr>
        <w:spacing w:line="360" w:lineRule="auto"/>
        <w:jc w:val="both"/>
        <w:rPr>
          <w:rFonts w:cstheme="majorHAnsi"/>
          <w:sz w:val="22"/>
          <w:szCs w:val="22"/>
          <w:lang w:val="en-GB"/>
        </w:rPr>
      </w:pPr>
    </w:p>
    <w:p w14:paraId="16C8ED14" w14:textId="77777777" w:rsidR="00F2183E" w:rsidRPr="004E053C" w:rsidRDefault="00F2183E" w:rsidP="004E053C">
      <w:pPr>
        <w:pStyle w:val="NoSpacing"/>
        <w:spacing w:line="360" w:lineRule="auto"/>
        <w:jc w:val="both"/>
        <w:rPr>
          <w:rFonts w:cstheme="majorHAnsi"/>
          <w:sz w:val="22"/>
          <w:szCs w:val="22"/>
          <w:u w:val="single"/>
          <w:lang w:val="en-GB"/>
        </w:rPr>
      </w:pPr>
      <w:r w:rsidRPr="004E053C">
        <w:rPr>
          <w:rFonts w:cstheme="majorHAnsi"/>
          <w:sz w:val="22"/>
          <w:szCs w:val="22"/>
          <w:u w:val="single"/>
          <w:lang w:val="en-GB"/>
        </w:rPr>
        <w:t>Indirectly in ASM communities</w:t>
      </w:r>
    </w:p>
    <w:p w14:paraId="353BE55E" w14:textId="77777777" w:rsidR="00F2183E" w:rsidRPr="004E053C" w:rsidRDefault="00F2183E" w:rsidP="004E053C">
      <w:pPr>
        <w:pStyle w:val="NoSpacing"/>
        <w:spacing w:line="360" w:lineRule="auto"/>
        <w:jc w:val="both"/>
        <w:rPr>
          <w:rFonts w:cstheme="majorHAnsi"/>
          <w:lang w:val="en-GB"/>
        </w:rPr>
      </w:pPr>
    </w:p>
    <w:p w14:paraId="55DB1D77"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In the majority of households interviewed in Laberinto, the women remain in the town while their husbands do mining operations in the camps. However, they are all still actively engaged in the local economy through the provision of services that support ASM activity and the transient miner population. One of the key roles for women in Laberinto is working as cooks in the mining sites. While some of these women may be based in Laberinto, often the women will have to spend at least some days a week based in the camps. It was noted above that three of the women from Ocongate had worked temporarily as cooks in the mining area. In addition to working as cooks, the vast majority of market-stalls, shops and restaurants are staffed by women, while others sell drinks or snacks on the side of the road. Such roles are not without risks for single women. One interview respondent in Ocongate said that while cooks were paid more now in La Pampa, the growing violence meant that sometimes women were killed. </w:t>
      </w:r>
    </w:p>
    <w:p w14:paraId="520641A9" w14:textId="77777777" w:rsidR="00F2183E" w:rsidRPr="004E053C" w:rsidRDefault="00F2183E" w:rsidP="004E053C">
      <w:pPr>
        <w:spacing w:line="360" w:lineRule="auto"/>
        <w:jc w:val="both"/>
        <w:rPr>
          <w:rFonts w:eastAsia="Times New Roman" w:cstheme="majorHAnsi"/>
          <w:sz w:val="22"/>
          <w:szCs w:val="22"/>
          <w:lang w:val="en-GB"/>
        </w:rPr>
      </w:pPr>
    </w:p>
    <w:p w14:paraId="5511CBA8"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Of the interviewed women, one worked in a small café on the plaza and another ran a stall in the market. These women had both found these jobs after arrival in the town and did not own the business themselves. They both said that work had been relatively easy to find, but this may be because they had both gained relevant experience doing similar work previously. Another of the women worked in a local hotel, which is a viable option for many women given the prevalence of floating miners in the community. As was noted in the previous chapter, a key challenge for all of these jobs is the insecurity of ASM activities, through finite deposits and increasing government clampdowns, which reduces both the miner’s disposable income and the amount of time they spend in the town. Furthermore, such roles do not pay as much as mining activity. Households are considerably less well off if at least one of the members does not engage directly in ASM. A couple of </w:t>
      </w:r>
      <w:r w:rsidRPr="004E053C">
        <w:rPr>
          <w:rFonts w:eastAsia="Times New Roman" w:cstheme="majorHAnsi"/>
          <w:sz w:val="22"/>
          <w:szCs w:val="22"/>
          <w:lang w:val="en-GB"/>
        </w:rPr>
        <w:lastRenderedPageBreak/>
        <w:t>the interviewed households had invested in larger businesses for the women to manage, including one a</w:t>
      </w:r>
      <w:r w:rsidRPr="004E053C">
        <w:rPr>
          <w:rFonts w:eastAsia="Times New Roman" w:cstheme="majorHAnsi"/>
          <w:i/>
          <w:iCs/>
          <w:sz w:val="22"/>
          <w:szCs w:val="22"/>
          <w:lang w:val="en-GB"/>
        </w:rPr>
        <w:t xml:space="preserve"> chifa</w:t>
      </w:r>
      <w:r w:rsidRPr="004E053C">
        <w:rPr>
          <w:rStyle w:val="FootnoteReference"/>
          <w:rFonts w:eastAsia="Times New Roman" w:cstheme="majorHAnsi"/>
          <w:i/>
          <w:iCs/>
          <w:sz w:val="22"/>
          <w:szCs w:val="22"/>
          <w:lang w:val="en-GB"/>
        </w:rPr>
        <w:footnoteReference w:id="5"/>
      </w:r>
      <w:r w:rsidRPr="004E053C">
        <w:rPr>
          <w:rFonts w:eastAsia="Times New Roman" w:cstheme="majorHAnsi"/>
          <w:sz w:val="22"/>
          <w:szCs w:val="22"/>
          <w:lang w:val="en-GB"/>
        </w:rPr>
        <w:t xml:space="preserve"> restaurant and another, a shop. </w:t>
      </w:r>
    </w:p>
    <w:p w14:paraId="26BECF03" w14:textId="77777777" w:rsidR="00F2183E" w:rsidRPr="004E053C" w:rsidRDefault="00F2183E" w:rsidP="004E053C">
      <w:pPr>
        <w:spacing w:line="360" w:lineRule="auto"/>
        <w:jc w:val="both"/>
        <w:rPr>
          <w:rFonts w:cstheme="majorHAnsi"/>
          <w:b/>
          <w:sz w:val="22"/>
          <w:szCs w:val="22"/>
          <w:lang w:val="en-GB"/>
        </w:rPr>
      </w:pPr>
    </w:p>
    <w:p w14:paraId="01187DE9" w14:textId="6D628445"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It is also important to stress that there are many women working in Madre de Dios working as prostitutes, many of whom are forced to stay there against their will. Both male and female respondents discussed the presence of prostitutes in Laberinto, La Pampa and the surrounding area, noting that it had become more prevalent in recent years. The NGOs and policy makers interview respondents all stressed that the risks posed </w:t>
      </w:r>
      <w:r w:rsidR="008F5D01" w:rsidRPr="004E053C">
        <w:rPr>
          <w:rFonts w:cstheme="majorHAnsi"/>
          <w:sz w:val="22"/>
          <w:szCs w:val="22"/>
          <w:lang w:val="en-GB"/>
        </w:rPr>
        <w:t xml:space="preserve">to women as a result of the sex </w:t>
      </w:r>
      <w:r w:rsidRPr="004E053C">
        <w:rPr>
          <w:rFonts w:cstheme="majorHAnsi"/>
          <w:sz w:val="22"/>
          <w:szCs w:val="22"/>
          <w:lang w:val="en-GB"/>
        </w:rPr>
        <w:t xml:space="preserve">trade were all linked to the illegality of ASM and the failure of the state to formalise. </w:t>
      </w:r>
    </w:p>
    <w:p w14:paraId="461351C2" w14:textId="77777777" w:rsidR="00D35D90" w:rsidRPr="004E053C" w:rsidRDefault="00D35D90" w:rsidP="004E053C">
      <w:pPr>
        <w:spacing w:line="360" w:lineRule="auto"/>
        <w:jc w:val="both"/>
        <w:rPr>
          <w:rFonts w:cstheme="majorHAnsi"/>
          <w:color w:val="000000"/>
          <w:sz w:val="22"/>
          <w:szCs w:val="22"/>
          <w:lang w:val="en-GB"/>
        </w:rPr>
      </w:pPr>
    </w:p>
    <w:p w14:paraId="23A302A0" w14:textId="6E34477B" w:rsidR="00F2183E" w:rsidRPr="004E053C" w:rsidRDefault="003B5DCB" w:rsidP="004E053C">
      <w:pPr>
        <w:ind w:left="720"/>
        <w:jc w:val="both"/>
        <w:rPr>
          <w:rFonts w:cstheme="majorHAnsi"/>
          <w:sz w:val="22"/>
          <w:szCs w:val="22"/>
          <w:lang w:val="en-GB"/>
        </w:rPr>
      </w:pPr>
      <w:r w:rsidRPr="004E053C">
        <w:rPr>
          <w:rFonts w:cstheme="majorHAnsi"/>
          <w:i/>
          <w:sz w:val="22"/>
          <w:szCs w:val="22"/>
          <w:lang w:val="en-GB"/>
        </w:rPr>
        <w:t>‘</w:t>
      </w:r>
      <w:r w:rsidR="00F2183E" w:rsidRPr="004E053C">
        <w:rPr>
          <w:rFonts w:cstheme="majorHAnsi"/>
          <w:i/>
          <w:sz w:val="22"/>
          <w:szCs w:val="22"/>
          <w:lang w:val="en-GB"/>
        </w:rPr>
        <w:t>The mining is the base of so many different crimes; robbery, murder, human trafficking, prostitution, violence, even there are even groups of people who control small areas in the jungle on the highway and kill people. These are the impacts of illegal mining in MDD; violence, death and sexual abuse</w:t>
      </w:r>
      <w:r w:rsidRPr="004E053C">
        <w:rPr>
          <w:rFonts w:cstheme="majorHAnsi"/>
          <w:sz w:val="22"/>
          <w:szCs w:val="22"/>
          <w:lang w:val="en-GB"/>
        </w:rPr>
        <w:t>’</w:t>
      </w:r>
      <w:r w:rsidR="00F2183E" w:rsidRPr="004E053C">
        <w:rPr>
          <w:rFonts w:cstheme="majorHAnsi"/>
          <w:sz w:val="22"/>
          <w:szCs w:val="22"/>
          <w:lang w:val="en-GB"/>
        </w:rPr>
        <w:t xml:space="preserve"> (Government representative, Puerto Maldonado)</w:t>
      </w:r>
      <w:r w:rsidR="00D35D90" w:rsidRPr="004E053C">
        <w:rPr>
          <w:rFonts w:cstheme="majorHAnsi"/>
          <w:sz w:val="22"/>
          <w:szCs w:val="22"/>
          <w:lang w:val="en-GB"/>
        </w:rPr>
        <w:t xml:space="preserve">. </w:t>
      </w:r>
    </w:p>
    <w:p w14:paraId="3FA889B2" w14:textId="77777777" w:rsidR="00F2183E" w:rsidRPr="004E053C" w:rsidRDefault="00F2183E" w:rsidP="004E053C">
      <w:pPr>
        <w:spacing w:line="360" w:lineRule="auto"/>
        <w:jc w:val="both"/>
        <w:rPr>
          <w:rFonts w:cstheme="majorHAnsi"/>
          <w:sz w:val="22"/>
          <w:szCs w:val="22"/>
          <w:lang w:val="en-GB"/>
        </w:rPr>
      </w:pPr>
    </w:p>
    <w:p w14:paraId="3FB74147" w14:textId="4C65ED42" w:rsidR="00F2183E" w:rsidRPr="004E053C" w:rsidRDefault="003B5DCB" w:rsidP="004E053C">
      <w:pPr>
        <w:ind w:left="720"/>
        <w:jc w:val="both"/>
        <w:rPr>
          <w:rFonts w:cstheme="majorHAnsi"/>
          <w:sz w:val="22"/>
          <w:szCs w:val="22"/>
          <w:lang w:val="en-GB"/>
        </w:rPr>
      </w:pPr>
      <w:r w:rsidRPr="004E053C">
        <w:rPr>
          <w:rFonts w:cstheme="majorHAnsi"/>
          <w:i/>
          <w:sz w:val="22"/>
          <w:szCs w:val="22"/>
          <w:lang w:val="en-GB"/>
        </w:rPr>
        <w:t>‘</w:t>
      </w:r>
      <w:r w:rsidR="00F2183E" w:rsidRPr="004E053C">
        <w:rPr>
          <w:rFonts w:cstheme="majorHAnsi"/>
          <w:i/>
          <w:sz w:val="22"/>
          <w:szCs w:val="22"/>
          <w:lang w:val="en-GB"/>
        </w:rPr>
        <w:t>The illegality of (ASM) attracts other illegal activities – this happens everywhere. It happens because the majority of people that are working in mining just work in the day, and at night they want to have fun, and they spend their money on alcohol and sex. The women are the owners of these bars also</w:t>
      </w:r>
      <w:r w:rsidRPr="004E053C">
        <w:rPr>
          <w:rFonts w:cstheme="majorHAnsi"/>
          <w:sz w:val="22"/>
          <w:szCs w:val="22"/>
          <w:lang w:val="en-GB"/>
        </w:rPr>
        <w:t>’</w:t>
      </w:r>
      <w:r w:rsidR="00F2183E" w:rsidRPr="004E053C">
        <w:rPr>
          <w:rFonts w:cstheme="majorHAnsi"/>
          <w:sz w:val="22"/>
          <w:szCs w:val="22"/>
          <w:lang w:val="en-GB"/>
        </w:rPr>
        <w:t xml:space="preserve"> (NGO chairman, Puerto Maldonado)</w:t>
      </w:r>
      <w:r w:rsidR="00D35D90" w:rsidRPr="004E053C">
        <w:rPr>
          <w:rFonts w:cstheme="majorHAnsi"/>
          <w:sz w:val="22"/>
          <w:szCs w:val="22"/>
          <w:lang w:val="en-GB"/>
        </w:rPr>
        <w:t xml:space="preserve">. </w:t>
      </w:r>
    </w:p>
    <w:p w14:paraId="74500739" w14:textId="77777777" w:rsidR="00F2183E" w:rsidRPr="004E053C" w:rsidRDefault="00F2183E" w:rsidP="004E053C">
      <w:pPr>
        <w:spacing w:line="360" w:lineRule="auto"/>
        <w:jc w:val="both"/>
        <w:rPr>
          <w:rFonts w:cstheme="majorHAnsi"/>
          <w:sz w:val="22"/>
          <w:szCs w:val="22"/>
          <w:lang w:val="en-GB"/>
        </w:rPr>
      </w:pPr>
    </w:p>
    <w:p w14:paraId="3D320C05"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Although the violence in La Pampa mostly affects the temporary and floating male miners who choose to work there, the above quotes highlight how the violence that becomes incorporated into the translocal mining community through its illegality is also gendered. Furthermore, although the poverty that underscores the ASM livelihoods puts both men and women at risk of modern slavery, there is a gender dimension to this vulnerability as women are more likely to be trafficked into sex-work. </w:t>
      </w:r>
    </w:p>
    <w:p w14:paraId="4403EE76" w14:textId="77777777" w:rsidR="00F2183E" w:rsidRPr="004E053C" w:rsidRDefault="00F2183E" w:rsidP="004E053C">
      <w:pPr>
        <w:spacing w:line="360" w:lineRule="auto"/>
        <w:jc w:val="both"/>
        <w:rPr>
          <w:rFonts w:cstheme="majorHAnsi"/>
          <w:sz w:val="22"/>
          <w:szCs w:val="22"/>
          <w:lang w:val="en-GB"/>
        </w:rPr>
      </w:pPr>
    </w:p>
    <w:p w14:paraId="65E00C1E" w14:textId="5F874405"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Prostitution is often listed as one of ‘impacts of ASM on women’ as though it is self-evidently negative. This presents an overly simplistic picture of women’s actual diverse relationships to the sex industry </w:t>
      </w:r>
      <w:r w:rsidR="00676E3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{"citationItems":[{"id":"ITEM-1","itemData":{"author":[{"dropping-particle":"","family":"Mahy","given":"Petra","non-dropping-particle":"","parse-names":false,"suffix":""}],"chapter-number":"4","container-title":"Gendering the Field: Towards Sustainable Livelihoods for Mining Communities","id":"ITEM-1","issued":{"date-parts":[["2011"]]},"page":"49-65","publisher":"ANU Press","publisher-place":"Canberra","title":"Sex work and livelihoods: beyond the ʹnegative impacts on womenʹ in Indonesian mining","type":"chapter"},"uris":["http://www.mendeley.com/documents/?uuid=49e1ed40-2731-4f50-91b5-0e8b5687ee7d"]}],"mendeley":{"formattedCitation":"(Mahy, 2011)","plainTextFormattedCitation":"(Mahy, 2011)","previouslyFormattedCitation":"(Mahy, 2011)"},"properties":{"noteIndex":0},"schema":"https://github.com/citation-style-language/schema/raw/master/csl-citation.json"}</w:instrText>
      </w:r>
      <w:r w:rsidR="00676E34" w:rsidRPr="004E053C">
        <w:rPr>
          <w:rFonts w:cstheme="majorHAnsi"/>
          <w:sz w:val="22"/>
          <w:szCs w:val="22"/>
          <w:lang w:val="en-GB"/>
        </w:rPr>
        <w:fldChar w:fldCharType="separate"/>
      </w:r>
      <w:r w:rsidR="00676E34" w:rsidRPr="004E053C">
        <w:rPr>
          <w:rFonts w:cstheme="majorHAnsi"/>
          <w:noProof/>
          <w:sz w:val="22"/>
          <w:szCs w:val="22"/>
          <w:lang w:val="en-GB"/>
        </w:rPr>
        <w:t>(Mahy, 2011)</w:t>
      </w:r>
      <w:r w:rsidR="00676E34" w:rsidRPr="004E053C">
        <w:rPr>
          <w:rFonts w:cstheme="majorHAnsi"/>
          <w:sz w:val="22"/>
          <w:szCs w:val="22"/>
          <w:lang w:val="en-GB"/>
        </w:rPr>
        <w:fldChar w:fldCharType="end"/>
      </w:r>
      <w:r w:rsidRPr="004E053C">
        <w:rPr>
          <w:rFonts w:cstheme="majorHAnsi"/>
          <w:sz w:val="22"/>
          <w:szCs w:val="22"/>
          <w:lang w:val="en-GB"/>
        </w:rPr>
        <w:t>. While some Andean women become victims of human trafficking</w:t>
      </w:r>
      <w:r w:rsidR="008F5D01" w:rsidRPr="004E053C">
        <w:rPr>
          <w:rFonts w:cstheme="majorHAnsi"/>
          <w:sz w:val="22"/>
          <w:szCs w:val="22"/>
          <w:lang w:val="en-GB"/>
        </w:rPr>
        <w:t xml:space="preserve"> or are forced to engage in sex </w:t>
      </w:r>
      <w:r w:rsidRPr="004E053C">
        <w:rPr>
          <w:rFonts w:cstheme="majorHAnsi"/>
          <w:sz w:val="22"/>
          <w:szCs w:val="22"/>
          <w:lang w:val="en-GB"/>
        </w:rPr>
        <w:t xml:space="preserve">work to pay the debt off, others may migrate to work as cooks and supplement their income doing sex work </w:t>
      </w:r>
      <w:r w:rsidR="00676E34" w:rsidRPr="004E053C">
        <w:rPr>
          <w:rFonts w:cstheme="majorHAnsi"/>
          <w:sz w:val="22"/>
          <w:szCs w:val="22"/>
          <w:lang w:val="en-GB"/>
        </w:rPr>
        <w:fldChar w:fldCharType="begin" w:fldLock="1"/>
      </w:r>
      <w:r w:rsidR="00676E34" w:rsidRPr="004E053C">
        <w:rPr>
          <w:rFonts w:cstheme="majorHAnsi"/>
          <w:sz w:val="22"/>
          <w:szCs w:val="22"/>
          <w:lang w:val="en-GB"/>
        </w:rPr>
        <w:instrText>ADDIN CSL_CITATION {"citationItems":[{"id":"ITEM-1","itemData":{"author":[{"dropping-particle":"","family":"Hinton","given":"Jennifer Jean","non-dropping-particle":"","parse-names":false,"suffix":""},{"dropping-particle":"","family":"Veiga","given":"Marcello M","non-dropping-particle":"","parse-names":false,"suffix":""},{"dropping-particle":"","family":"Beinhoff","given":"Christian","non-dropping-particle":"","parse-names":false,"suffix":""}],"chapter-number":"11","container-title":"Socio-economic Impacts of Artisanal and Small-scale Mining in Developing Countries","editor":[{"dropping-particle":"","family":"Hilson","given":"Gavin","non-dropping-particle":"","parse-names":false,"suffix":""}],"id":"ITEM-1","issued":{"date-parts":[["2003"]]},"publisher":"CRC Press","publisher-place":"Boca Raton, FL","title":"Women and artisanal mining: gender roles and the road ahead","type":"chapter"},"uris":["http://www.mendeley.com/documents/?uuid=f9b78383-9b62-4509-a8a9-d75f9d188391"]}],"mendeley":{"formattedCitation":"(Jennifer Jean Hinton et al., 2003)","manualFormatting":"(Hinton et al., 2003)","plainTextFormattedCitation":"(Jennifer Jean Hinton et al., 2003)","previouslyFormattedCitation":"(Jennifer Jean Hinton et al., 2003)"},"properties":{"noteIndex":0},"schema":"https://github.com/citation-style-language/schema/raw/master/csl-citation.json"}</w:instrText>
      </w:r>
      <w:r w:rsidR="00676E34" w:rsidRPr="004E053C">
        <w:rPr>
          <w:rFonts w:cstheme="majorHAnsi"/>
          <w:sz w:val="22"/>
          <w:szCs w:val="22"/>
          <w:lang w:val="en-GB"/>
        </w:rPr>
        <w:fldChar w:fldCharType="separate"/>
      </w:r>
      <w:r w:rsidR="00676E34" w:rsidRPr="004E053C">
        <w:rPr>
          <w:rFonts w:cstheme="majorHAnsi"/>
          <w:noProof/>
          <w:sz w:val="22"/>
          <w:szCs w:val="22"/>
          <w:lang w:val="en-GB"/>
        </w:rPr>
        <w:t>(Hinton et al., 2003)</w:t>
      </w:r>
      <w:r w:rsidR="00676E34" w:rsidRPr="004E053C">
        <w:rPr>
          <w:rFonts w:cstheme="majorHAnsi"/>
          <w:sz w:val="22"/>
          <w:szCs w:val="22"/>
          <w:lang w:val="en-GB"/>
        </w:rPr>
        <w:fldChar w:fldCharType="end"/>
      </w:r>
      <w:r w:rsidRPr="004E053C">
        <w:rPr>
          <w:rFonts w:cstheme="majorHAnsi"/>
          <w:sz w:val="22"/>
          <w:szCs w:val="22"/>
          <w:lang w:val="en-GB"/>
        </w:rPr>
        <w:t>, while yet others migrate to mining areas specifically to work in the sex trade. Howe</w:t>
      </w:r>
      <w:r w:rsidR="008F5D01" w:rsidRPr="004E053C">
        <w:rPr>
          <w:rFonts w:cstheme="majorHAnsi"/>
          <w:sz w:val="22"/>
          <w:szCs w:val="22"/>
          <w:lang w:val="en-GB"/>
        </w:rPr>
        <w:t xml:space="preserve">ver, often the realities of sex </w:t>
      </w:r>
      <w:r w:rsidRPr="004E053C">
        <w:rPr>
          <w:rFonts w:cstheme="majorHAnsi"/>
          <w:sz w:val="22"/>
          <w:szCs w:val="22"/>
          <w:lang w:val="en-GB"/>
        </w:rPr>
        <w:t>work can be obscured, s</w:t>
      </w:r>
      <w:r w:rsidR="008F5D01" w:rsidRPr="004E053C">
        <w:rPr>
          <w:rFonts w:cstheme="majorHAnsi"/>
          <w:sz w:val="22"/>
          <w:szCs w:val="22"/>
          <w:lang w:val="en-GB"/>
        </w:rPr>
        <w:t>o that a dichotomy is created of</w:t>
      </w:r>
      <w:r w:rsidRPr="004E053C">
        <w:rPr>
          <w:rFonts w:cstheme="majorHAnsi"/>
          <w:sz w:val="22"/>
          <w:szCs w:val="22"/>
          <w:lang w:val="en-GB"/>
        </w:rPr>
        <w:t xml:space="preserve"> innocent women forced into prostitution and opportunistic migrants who voluntarily choose work engage in it </w:t>
      </w:r>
      <w:r w:rsidR="00676E3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{"citationItems":[{"id":"ITEM-1","itemData":{"author":[{"dropping-particle":"","family":"Mahy","given":"Petra","non-dropping-particle":"","parse-names":false,"suffix":""}],"chapter-number":"4","container-title":"Gendering the Field: Towards Sustainable Livelihoods for Mining Communities","id":"ITEM-1","issued":{"date-parts":[["2011"]]},"page":"49-65","publisher":"ANU Press","publisher-place":"Canberra","title":"Sex work and livelihoods: beyond the ʹnegative impacts on womenʹ in Indonesian mining","type":"chapter"},"uris":["http://www.mendeley.com/documents/?uuid=49e1ed40-2731-4f50-91b5-0e8b5687ee7d"]}],"mendeley":{"formattedCitation":"(Mahy, 2011)","plainTextFormattedCitation":"(Mahy, 2011)","previouslyFormattedCitation":"(Mahy, 2011)"},"properties":{"noteIndex":0},"schema":"https://github.com/citation-style-language/schema/raw/master/csl-citation.json"}</w:instrText>
      </w:r>
      <w:r w:rsidR="00676E34" w:rsidRPr="004E053C">
        <w:rPr>
          <w:rFonts w:cstheme="majorHAnsi"/>
          <w:sz w:val="22"/>
          <w:szCs w:val="22"/>
          <w:lang w:val="en-GB"/>
        </w:rPr>
        <w:fldChar w:fldCharType="separate"/>
      </w:r>
      <w:r w:rsidR="00676E34" w:rsidRPr="004E053C">
        <w:rPr>
          <w:rFonts w:cstheme="majorHAnsi"/>
          <w:noProof/>
          <w:sz w:val="22"/>
          <w:szCs w:val="22"/>
          <w:lang w:val="en-GB"/>
        </w:rPr>
        <w:t>(Mahy, 2011)</w:t>
      </w:r>
      <w:r w:rsidR="00676E34" w:rsidRPr="004E053C">
        <w:rPr>
          <w:rFonts w:cstheme="majorHAnsi"/>
          <w:sz w:val="22"/>
          <w:szCs w:val="22"/>
          <w:lang w:val="en-GB"/>
        </w:rPr>
        <w:fldChar w:fldCharType="end"/>
      </w:r>
      <w:r w:rsidRPr="004E053C">
        <w:rPr>
          <w:rFonts w:cstheme="majorHAnsi"/>
          <w:sz w:val="22"/>
          <w:szCs w:val="22"/>
          <w:lang w:val="en-GB"/>
        </w:rPr>
        <w:t>. In reality, participation in the sex</w:t>
      </w:r>
      <w:r w:rsidR="00130A52">
        <w:rPr>
          <w:rFonts w:cstheme="majorHAnsi"/>
          <w:sz w:val="22"/>
          <w:szCs w:val="22"/>
          <w:lang w:val="en-GB"/>
        </w:rPr>
        <w:t xml:space="preserve"> </w:t>
      </w:r>
      <w:r w:rsidRPr="004E053C">
        <w:rPr>
          <w:rFonts w:cstheme="majorHAnsi"/>
          <w:sz w:val="22"/>
          <w:szCs w:val="22"/>
          <w:lang w:val="en-GB"/>
        </w:rPr>
        <w:lastRenderedPageBreak/>
        <w:t>trade can be more fluid, as women who s</w:t>
      </w:r>
      <w:r w:rsidR="00130A52">
        <w:rPr>
          <w:rFonts w:cstheme="majorHAnsi"/>
          <w:sz w:val="22"/>
          <w:szCs w:val="22"/>
          <w:lang w:val="en-GB"/>
        </w:rPr>
        <w:t xml:space="preserve">upplement their income with sex </w:t>
      </w:r>
      <w:r w:rsidRPr="004E053C">
        <w:rPr>
          <w:rFonts w:cstheme="majorHAnsi"/>
          <w:sz w:val="22"/>
          <w:szCs w:val="22"/>
          <w:lang w:val="en-GB"/>
        </w:rPr>
        <w:t xml:space="preserve">work may stop doing so when they find a long-term partner in the mining settlement.  </w:t>
      </w:r>
    </w:p>
    <w:p w14:paraId="5F3DC046" w14:textId="77777777" w:rsidR="00F2183E" w:rsidRPr="004E053C" w:rsidRDefault="00F2183E" w:rsidP="004E053C">
      <w:pPr>
        <w:spacing w:line="360" w:lineRule="auto"/>
        <w:jc w:val="both"/>
        <w:rPr>
          <w:rStyle w:val="fontstyle01"/>
          <w:rFonts w:asciiTheme="minorHAnsi" w:hAnsiTheme="minorHAnsi" w:cstheme="majorHAnsi"/>
          <w:sz w:val="22"/>
          <w:szCs w:val="22"/>
          <w:lang w:val="en-GB"/>
        </w:rPr>
      </w:pPr>
    </w:p>
    <w:p w14:paraId="5F06346A" w14:textId="0DF429EF" w:rsidR="00F2183E" w:rsidRPr="004E053C" w:rsidRDefault="00EA7F83" w:rsidP="004E053C">
      <w:pPr>
        <w:pStyle w:val="Heading3"/>
        <w:rPr>
          <w:rFonts w:asciiTheme="minorHAnsi" w:hAnsiTheme="minorHAnsi"/>
        </w:rPr>
      </w:pPr>
      <w:r w:rsidRPr="004E053C">
        <w:rPr>
          <w:rFonts w:asciiTheme="minorHAnsi" w:hAnsiTheme="minorHAnsi"/>
        </w:rPr>
        <w:t>7</w:t>
      </w:r>
      <w:r w:rsidR="004A3EF1" w:rsidRPr="004E053C">
        <w:rPr>
          <w:rFonts w:asciiTheme="minorHAnsi" w:hAnsiTheme="minorHAnsi"/>
        </w:rPr>
        <w:t>.3.2. Involvement in translocal ASM l</w:t>
      </w:r>
      <w:r w:rsidR="00F2183E" w:rsidRPr="004E053C">
        <w:rPr>
          <w:rFonts w:asciiTheme="minorHAnsi" w:hAnsiTheme="minorHAnsi"/>
        </w:rPr>
        <w:t>ivelihoods</w:t>
      </w:r>
    </w:p>
    <w:p w14:paraId="0C15B16F" w14:textId="77777777" w:rsidR="00F2183E" w:rsidRPr="004E053C" w:rsidRDefault="00F2183E" w:rsidP="004E053C">
      <w:pPr>
        <w:spacing w:line="360" w:lineRule="auto"/>
        <w:jc w:val="both"/>
        <w:rPr>
          <w:rFonts w:cstheme="majorHAnsi"/>
          <w:sz w:val="22"/>
          <w:szCs w:val="22"/>
          <w:lang w:val="en-GB"/>
        </w:rPr>
      </w:pPr>
    </w:p>
    <w:p w14:paraId="3744AA85"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While the above section has dealt with women who live in mining towns, this section will consider those women who are currently reside in origin communities. Viewing ASM livelihoods and communities through a translocal lens allows for an understanding of how all members of those households that engage in ASM on a seasonal or temporary basis are involved in ensuring the success of their livelihood strategy. As was highlighted above, in ASM it is women who tend to stay behind in the origin community, but this does not mean that they do not play an active role. Rather, it is their existence in that community and the activities that they carry out while they are there that allows for the creation of the translocal livelihood. Translocal livelihoods imply a diversification of livelihood activities across space. In Ocongate, a key role for women was maintaining the other livelihood activities, either that the household conducted before migration, such as potato farming and alpaca rearing, or new activities that were initiated with the money earned from ASM. </w:t>
      </w:r>
    </w:p>
    <w:p w14:paraId="604E76D3" w14:textId="77777777" w:rsidR="00F2183E" w:rsidRPr="004E053C" w:rsidRDefault="00F2183E" w:rsidP="004E053C">
      <w:pPr>
        <w:spacing w:line="360" w:lineRule="auto"/>
        <w:jc w:val="both"/>
        <w:rPr>
          <w:rFonts w:cstheme="majorHAnsi"/>
          <w:sz w:val="22"/>
          <w:szCs w:val="22"/>
          <w:lang w:val="en-GB"/>
        </w:rPr>
      </w:pPr>
    </w:p>
    <w:p w14:paraId="3D315392" w14:textId="74105B22"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The management of remittances is important and the majority is spent on food and children’s education. The feminist migration literature has pointed out that some neoliberal policymake</w:t>
      </w:r>
      <w:r w:rsidR="00676E34" w:rsidRPr="004E053C">
        <w:rPr>
          <w:rFonts w:cstheme="majorHAnsi"/>
          <w:sz w:val="22"/>
          <w:szCs w:val="22"/>
          <w:lang w:val="en-GB"/>
        </w:rPr>
        <w:t>rs derisively label this as an ‘unproductive’</w:t>
      </w:r>
      <w:r w:rsidRPr="004E053C">
        <w:rPr>
          <w:rFonts w:cstheme="majorHAnsi"/>
          <w:sz w:val="22"/>
          <w:szCs w:val="22"/>
          <w:lang w:val="en-GB"/>
        </w:rPr>
        <w:t xml:space="preserve"> use of remittances, which effectively criticises female-headed household</w:t>
      </w:r>
      <w:r w:rsidR="008F5D01" w:rsidRPr="004E053C">
        <w:rPr>
          <w:rFonts w:cstheme="majorHAnsi"/>
          <w:sz w:val="22"/>
          <w:szCs w:val="22"/>
          <w:lang w:val="en-GB"/>
        </w:rPr>
        <w:t>s</w:t>
      </w:r>
      <w:r w:rsidRPr="004E053C">
        <w:rPr>
          <w:rFonts w:cstheme="majorHAnsi"/>
          <w:sz w:val="22"/>
          <w:szCs w:val="22"/>
          <w:lang w:val="en-GB"/>
        </w:rPr>
        <w:t xml:space="preserve"> for prioritising the needs of their dependents </w:t>
      </w:r>
      <w:r w:rsidR="00676E3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Mahler","given":"S.J","non-dropping-particle":"","parse-names":false,"suffix":""},{"dropping-particle":"","family":"Pessar","given":"P.R","non-dropping-particle":"","parse-names":false,"suffix":""}],"container-title":"International Migration Review","id":"ITEM-1","issue":"1","issued":{"date-parts":[["2006"]]},"page":"27-63","title":"Gender matters: ethnographers bring gender from the periphery toward the core of migration studies","type":"article-journal","volume":"40"},"uris":["http://www.mendeley.com/documents/?uuid=6d5e8988-e3e9-4fdd-818e-d8f6617618dd"]}],"mendeley":{"formattedCitation":"(Mahler &amp; Pessar, 2006)","plainTextFormattedCitation":"(Mahler &amp; Pessar, 2006)","previouslyFormattedCitation":"(Mahler &amp; Pessar, 2006)"},"properties":{"noteIndex":0},"schema":"https://github.com/citation-style-language/schema/raw/master/csl-citation.json"}</w:instrText>
      </w:r>
      <w:r w:rsidR="00676E34" w:rsidRPr="004E053C">
        <w:rPr>
          <w:rFonts w:cstheme="majorHAnsi"/>
          <w:sz w:val="22"/>
          <w:szCs w:val="22"/>
          <w:lang w:val="en-GB"/>
        </w:rPr>
        <w:fldChar w:fldCharType="separate"/>
      </w:r>
      <w:r w:rsidR="00DE4AE0" w:rsidRPr="004E053C">
        <w:rPr>
          <w:rFonts w:cstheme="majorHAnsi"/>
          <w:noProof/>
          <w:sz w:val="22"/>
          <w:szCs w:val="22"/>
          <w:lang w:val="en-GB"/>
        </w:rPr>
        <w:t>(Mahler &amp; Pessar, 2006</w:t>
      </w:r>
      <w:r w:rsidR="00676E34" w:rsidRPr="004E053C">
        <w:rPr>
          <w:rFonts w:cstheme="majorHAnsi"/>
          <w:noProof/>
          <w:sz w:val="22"/>
          <w:szCs w:val="22"/>
          <w:lang w:val="en-GB"/>
        </w:rPr>
        <w:t>)</w:t>
      </w:r>
      <w:r w:rsidR="00676E34" w:rsidRPr="004E053C">
        <w:rPr>
          <w:rFonts w:cstheme="majorHAnsi"/>
          <w:sz w:val="22"/>
          <w:szCs w:val="22"/>
          <w:lang w:val="en-GB"/>
        </w:rPr>
        <w:fldChar w:fldCharType="end"/>
      </w:r>
      <w:r w:rsidRPr="004E053C">
        <w:rPr>
          <w:rFonts w:cstheme="majorHAnsi"/>
          <w:sz w:val="22"/>
          <w:szCs w:val="22"/>
          <w:lang w:val="en-GB"/>
        </w:rPr>
        <w:t xml:space="preserve">. However, it was observed amongst the respondent households that if they were able to save enough income from ASM, the money was invested in a </w:t>
      </w:r>
      <w:r w:rsidR="00676E34" w:rsidRPr="004E053C">
        <w:rPr>
          <w:rFonts w:cstheme="majorHAnsi"/>
          <w:sz w:val="22"/>
          <w:szCs w:val="22"/>
          <w:lang w:val="en-GB"/>
        </w:rPr>
        <w:t>business. Investments in these ‘productive’</w:t>
      </w:r>
      <w:r w:rsidRPr="004E053C">
        <w:rPr>
          <w:rFonts w:cstheme="majorHAnsi"/>
          <w:sz w:val="22"/>
          <w:szCs w:val="22"/>
          <w:lang w:val="en-GB"/>
        </w:rPr>
        <w:t xml:space="preserve"> assets often occur translocally - with a translocal investment being defined as one which takes place away from the location in which it is earned – and it is in their management that the women’s role in the translocal livelihood becomes most obvious. </w:t>
      </w:r>
    </w:p>
    <w:p w14:paraId="285FD67E" w14:textId="77777777" w:rsidR="00F2183E" w:rsidRPr="004E053C" w:rsidRDefault="00F2183E" w:rsidP="004E053C">
      <w:pPr>
        <w:spacing w:line="360" w:lineRule="auto"/>
        <w:jc w:val="both"/>
        <w:rPr>
          <w:rFonts w:cstheme="majorHAnsi"/>
          <w:sz w:val="22"/>
          <w:szCs w:val="22"/>
          <w:lang w:val="en-GB"/>
        </w:rPr>
      </w:pPr>
    </w:p>
    <w:p w14:paraId="7FB45A10" w14:textId="14CC69A7" w:rsidR="00F2183E" w:rsidRPr="004E053C" w:rsidRDefault="008F5D01" w:rsidP="004E053C">
      <w:pPr>
        <w:spacing w:line="360" w:lineRule="auto"/>
        <w:jc w:val="both"/>
        <w:rPr>
          <w:rFonts w:cstheme="majorHAnsi"/>
          <w:color w:val="FF0000"/>
          <w:sz w:val="22"/>
          <w:szCs w:val="22"/>
          <w:lang w:val="en-GB"/>
        </w:rPr>
      </w:pPr>
      <w:r w:rsidRPr="004E053C">
        <w:rPr>
          <w:rFonts w:cstheme="majorHAnsi"/>
          <w:sz w:val="22"/>
          <w:szCs w:val="22"/>
          <w:lang w:val="en-GB"/>
        </w:rPr>
        <w:t>Table 7</w:t>
      </w:r>
      <w:r w:rsidR="00F2183E" w:rsidRPr="004E053C">
        <w:rPr>
          <w:rFonts w:cstheme="majorHAnsi"/>
          <w:sz w:val="22"/>
          <w:szCs w:val="22"/>
          <w:lang w:val="en-GB"/>
        </w:rPr>
        <w:t>.5 below shows that four of these translocal business investments in Ocongate have been in the form of small shops. In all cases, women had full responsibility for running the shops. Although the man may take over the running of the business to some extent if/when he returns to live in the community, while the household is engaged in the ASM livelihood, women have full control over the day-t</w:t>
      </w:r>
      <w:r w:rsidRPr="004E053C">
        <w:rPr>
          <w:rFonts w:cstheme="majorHAnsi"/>
          <w:sz w:val="22"/>
          <w:szCs w:val="22"/>
          <w:lang w:val="en-GB"/>
        </w:rPr>
        <w:t>o-day running of the business. While i</w:t>
      </w:r>
      <w:r w:rsidR="00F2183E" w:rsidRPr="004E053C">
        <w:rPr>
          <w:rFonts w:cstheme="majorHAnsi"/>
          <w:sz w:val="22"/>
          <w:szCs w:val="22"/>
          <w:lang w:val="en-GB"/>
        </w:rPr>
        <w:t>t is not unusual to see Andea</w:t>
      </w:r>
      <w:r w:rsidRPr="004E053C">
        <w:rPr>
          <w:rFonts w:cstheme="majorHAnsi"/>
          <w:sz w:val="22"/>
          <w:szCs w:val="22"/>
          <w:lang w:val="en-GB"/>
        </w:rPr>
        <w:t xml:space="preserve">n women running businesses, it is still an important step </w:t>
      </w:r>
      <w:r w:rsidR="00F2183E" w:rsidRPr="004E053C">
        <w:rPr>
          <w:rFonts w:cstheme="majorHAnsi"/>
          <w:sz w:val="22"/>
          <w:szCs w:val="22"/>
          <w:lang w:val="en-GB"/>
        </w:rPr>
        <w:t>for a woman in a previously poverty-stricken household to ga</w:t>
      </w:r>
      <w:r w:rsidR="00130A52">
        <w:rPr>
          <w:rFonts w:cstheme="majorHAnsi"/>
          <w:sz w:val="22"/>
          <w:szCs w:val="22"/>
          <w:lang w:val="en-GB"/>
        </w:rPr>
        <w:t xml:space="preserve">in some form of direct economic </w:t>
      </w:r>
      <w:r w:rsidR="00F2183E" w:rsidRPr="004E053C">
        <w:rPr>
          <w:rFonts w:cstheme="majorHAnsi"/>
          <w:sz w:val="22"/>
          <w:szCs w:val="22"/>
          <w:lang w:val="en-GB"/>
        </w:rPr>
        <w:t xml:space="preserve">empowerment through her </w:t>
      </w:r>
      <w:r w:rsidRPr="004E053C">
        <w:rPr>
          <w:rFonts w:cstheme="majorHAnsi"/>
          <w:sz w:val="22"/>
          <w:szCs w:val="22"/>
          <w:lang w:val="en-GB"/>
        </w:rPr>
        <w:t>household’s engagement in ASM</w:t>
      </w:r>
      <w:r w:rsidR="00F2183E" w:rsidRPr="004E053C">
        <w:rPr>
          <w:rFonts w:cstheme="majorHAnsi"/>
          <w:sz w:val="22"/>
          <w:szCs w:val="22"/>
          <w:lang w:val="en-GB"/>
        </w:rPr>
        <w:t xml:space="preserve">. </w:t>
      </w:r>
    </w:p>
    <w:p w14:paraId="44F02427" w14:textId="00D73731" w:rsidR="00F2183E" w:rsidRPr="004E053C" w:rsidRDefault="008F5D01" w:rsidP="004E053C">
      <w:pPr>
        <w:spacing w:line="360" w:lineRule="auto"/>
        <w:jc w:val="both"/>
        <w:rPr>
          <w:rFonts w:cstheme="majorHAnsi"/>
          <w:b/>
          <w:bCs/>
          <w:sz w:val="22"/>
          <w:szCs w:val="22"/>
          <w:lang w:val="en-GB"/>
        </w:rPr>
      </w:pPr>
      <w:r w:rsidRPr="004E053C">
        <w:rPr>
          <w:rFonts w:cstheme="majorHAnsi"/>
          <w:b/>
          <w:bCs/>
          <w:sz w:val="22"/>
          <w:szCs w:val="22"/>
          <w:lang w:val="en-GB"/>
        </w:rPr>
        <w:lastRenderedPageBreak/>
        <w:t>Table 7</w:t>
      </w:r>
      <w:r w:rsidR="00F2183E" w:rsidRPr="004E053C">
        <w:rPr>
          <w:rFonts w:cstheme="majorHAnsi"/>
          <w:b/>
          <w:bCs/>
          <w:sz w:val="22"/>
          <w:szCs w:val="22"/>
          <w:lang w:val="en-GB"/>
        </w:rPr>
        <w:t>.5. Business Investments in Ocongate with ASM</w:t>
      </w:r>
    </w:p>
    <w:p w14:paraId="4BA7CE40" w14:textId="77777777" w:rsidR="00F2183E" w:rsidRPr="004E053C" w:rsidRDefault="00F2183E" w:rsidP="004E053C">
      <w:pPr>
        <w:spacing w:line="360" w:lineRule="auto"/>
        <w:jc w:val="both"/>
        <w:rPr>
          <w:rFonts w:cstheme="majorHAnsi"/>
          <w:sz w:val="22"/>
          <w:szCs w:val="22"/>
          <w:lang w:val="en-GB"/>
        </w:rPr>
      </w:pPr>
    </w:p>
    <w:tbl>
      <w:tblPr>
        <w:tblStyle w:val="TableGrid"/>
        <w:tblW w:w="0" w:type="auto"/>
        <w:tblLook w:val="04A0" w:firstRow="1" w:lastRow="0" w:firstColumn="1" w:lastColumn="0" w:noHBand="0" w:noVBand="1"/>
      </w:tblPr>
      <w:tblGrid>
        <w:gridCol w:w="6771"/>
        <w:gridCol w:w="2268"/>
      </w:tblGrid>
      <w:tr w:rsidR="00F2183E" w:rsidRPr="004E053C" w14:paraId="19962005" w14:textId="77777777" w:rsidTr="00D35D90">
        <w:trPr>
          <w:trHeight w:val="531"/>
        </w:trPr>
        <w:tc>
          <w:tcPr>
            <w:tcW w:w="6771" w:type="dxa"/>
          </w:tcPr>
          <w:p w14:paraId="7FA03E2B" w14:textId="77777777" w:rsidR="00F2183E" w:rsidRPr="004E053C" w:rsidRDefault="00F2183E"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Business Investment</w:t>
            </w:r>
          </w:p>
        </w:tc>
        <w:tc>
          <w:tcPr>
            <w:tcW w:w="2268" w:type="dxa"/>
          </w:tcPr>
          <w:p w14:paraId="417DFE6B" w14:textId="77777777" w:rsidR="00F2183E" w:rsidRPr="004E053C" w:rsidRDefault="00F2183E" w:rsidP="004E053C">
            <w:pPr>
              <w:spacing w:line="360" w:lineRule="auto"/>
              <w:jc w:val="both"/>
              <w:rPr>
                <w:rFonts w:eastAsia="Times New Roman" w:cstheme="majorHAnsi"/>
                <w:b/>
                <w:sz w:val="22"/>
                <w:szCs w:val="22"/>
                <w:lang w:val="en-GB"/>
              </w:rPr>
            </w:pPr>
            <w:r w:rsidRPr="004E053C">
              <w:rPr>
                <w:rFonts w:eastAsia="Times New Roman" w:cstheme="majorHAnsi"/>
                <w:b/>
                <w:sz w:val="22"/>
                <w:szCs w:val="22"/>
                <w:lang w:val="en-GB"/>
              </w:rPr>
              <w:t>No of households</w:t>
            </w:r>
          </w:p>
        </w:tc>
      </w:tr>
      <w:tr w:rsidR="00F2183E" w:rsidRPr="004E053C" w14:paraId="3D57DFA2" w14:textId="77777777" w:rsidTr="00D35D90">
        <w:trPr>
          <w:trHeight w:val="531"/>
        </w:trPr>
        <w:tc>
          <w:tcPr>
            <w:tcW w:w="6771" w:type="dxa"/>
          </w:tcPr>
          <w:p w14:paraId="2F572ECB"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Livestock – alpacas and sheep</w:t>
            </w:r>
          </w:p>
        </w:tc>
        <w:tc>
          <w:tcPr>
            <w:tcW w:w="2268" w:type="dxa"/>
          </w:tcPr>
          <w:p w14:paraId="3EAAE675"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2</w:t>
            </w:r>
          </w:p>
        </w:tc>
      </w:tr>
      <w:tr w:rsidR="00F2183E" w:rsidRPr="004E053C" w14:paraId="47BD12FF" w14:textId="77777777" w:rsidTr="00D35D90">
        <w:trPr>
          <w:trHeight w:val="531"/>
        </w:trPr>
        <w:tc>
          <w:tcPr>
            <w:tcW w:w="6771" w:type="dxa"/>
          </w:tcPr>
          <w:p w14:paraId="66A2FC59" w14:textId="1ACBE462"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Artisanal crafts</w:t>
            </w:r>
          </w:p>
        </w:tc>
        <w:tc>
          <w:tcPr>
            <w:tcW w:w="2268" w:type="dxa"/>
          </w:tcPr>
          <w:p w14:paraId="15B7D041"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3</w:t>
            </w:r>
          </w:p>
        </w:tc>
      </w:tr>
      <w:tr w:rsidR="00F2183E" w:rsidRPr="004E053C" w14:paraId="73EC1982" w14:textId="77777777" w:rsidTr="00D35D90">
        <w:trPr>
          <w:trHeight w:val="531"/>
        </w:trPr>
        <w:tc>
          <w:tcPr>
            <w:tcW w:w="6771" w:type="dxa"/>
          </w:tcPr>
          <w:p w14:paraId="3B8EA21E"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Transport based business – motorbike/car</w:t>
            </w:r>
          </w:p>
        </w:tc>
        <w:tc>
          <w:tcPr>
            <w:tcW w:w="2268" w:type="dxa"/>
          </w:tcPr>
          <w:p w14:paraId="69EE3ECC"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3</w:t>
            </w:r>
          </w:p>
        </w:tc>
      </w:tr>
      <w:tr w:rsidR="00F2183E" w:rsidRPr="004E053C" w14:paraId="3A76A1B2" w14:textId="77777777" w:rsidTr="00D35D90">
        <w:trPr>
          <w:trHeight w:val="531"/>
        </w:trPr>
        <w:tc>
          <w:tcPr>
            <w:tcW w:w="6771" w:type="dxa"/>
          </w:tcPr>
          <w:p w14:paraId="439B84AA"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Small shop</w:t>
            </w:r>
          </w:p>
        </w:tc>
        <w:tc>
          <w:tcPr>
            <w:tcW w:w="2268" w:type="dxa"/>
          </w:tcPr>
          <w:p w14:paraId="0B82F827" w14:textId="31F3ADE1"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4</w:t>
            </w:r>
          </w:p>
        </w:tc>
      </w:tr>
      <w:tr w:rsidR="00F2183E" w:rsidRPr="004E053C" w14:paraId="29D44BC2" w14:textId="77777777" w:rsidTr="00D35D90">
        <w:trPr>
          <w:trHeight w:val="531"/>
        </w:trPr>
        <w:tc>
          <w:tcPr>
            <w:tcW w:w="6771" w:type="dxa"/>
          </w:tcPr>
          <w:p w14:paraId="742605F9" w14:textId="77777777"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Future investment planned in Ocongate – small business</w:t>
            </w:r>
          </w:p>
        </w:tc>
        <w:tc>
          <w:tcPr>
            <w:tcW w:w="2268" w:type="dxa"/>
          </w:tcPr>
          <w:p w14:paraId="719630A0" w14:textId="1B0535F5"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1</w:t>
            </w:r>
          </w:p>
        </w:tc>
      </w:tr>
    </w:tbl>
    <w:p w14:paraId="506B1F07" w14:textId="77777777" w:rsidR="00F2183E" w:rsidRPr="004E053C" w:rsidRDefault="00F2183E" w:rsidP="004E053C">
      <w:pPr>
        <w:spacing w:line="360" w:lineRule="auto"/>
        <w:jc w:val="both"/>
        <w:rPr>
          <w:rFonts w:cstheme="majorHAnsi"/>
          <w:sz w:val="22"/>
          <w:szCs w:val="22"/>
          <w:lang w:val="en-GB"/>
        </w:rPr>
      </w:pPr>
    </w:p>
    <w:p w14:paraId="3892294F" w14:textId="7DE8BD48"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The table shows that a further three households invested in materials with which the woman could produce artisanal crafts, while another two invested in agricultural inputs for which the wo</w:t>
      </w:r>
      <w:r w:rsidR="008F5D01" w:rsidRPr="004E053C">
        <w:rPr>
          <w:rFonts w:cstheme="majorHAnsi"/>
          <w:sz w:val="22"/>
          <w:szCs w:val="22"/>
          <w:lang w:val="en-GB"/>
        </w:rPr>
        <w:t>men had primary responsibility. W</w:t>
      </w:r>
      <w:r w:rsidRPr="004E053C">
        <w:rPr>
          <w:rFonts w:cstheme="majorHAnsi"/>
          <w:sz w:val="22"/>
          <w:szCs w:val="22"/>
          <w:lang w:val="en-GB"/>
        </w:rPr>
        <w:t xml:space="preserve">omen did not have a role in the three businesses that involved providing transportation, as this is a male-dominated livelihood activity in Andean communities. However, one of these households invested in a small shop as well as a motorbike, thus providing alternative livelihood options for both husband and wife. This ability for women to earn in the absence of their husbands is very much opposed to the findings that suggest women become more financially dependent on men as a result of migration </w:t>
      </w:r>
      <w:r w:rsidR="00676E3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{"citationItems":[{"id":"ITEM-1","itemData":{"abstract":"When analysing migration processes, particular problems arise due to the phenomenon of migration rarely being addressed holistically – largely because of its complexity. This is evident in the study of South–North migrations, where the majority of existing research has been through an economic perspective often neglecting the sociocultural dimensions. In this article, we consider the situation of men and women in West Africa who do not migrate despite living in communities saturated by intense emigration to European or other Northern countries. We review the existing literature on ‘those left behind’ in general, and more specifically in the West African context and then, based on a case study in Senegal, we examine the processes that lead some people to stay behind, while others migrate. In this article, we discuss and deconstruct the label ‘left-behind’ as found in the literature and discuss it based on qualitative interviews conducted in a community in Senegal.","author":[{"dropping-particle":"","family":"Mondain","given":"Nathalie","non-dropping-particle":"","parse-names":false,"suffix":""},{"dropping-particle":"","family":"Daigne","given":"Alioune","non-dropping-particle":"","parse-names":false,"suffix":""}],"container-title":"Journal of Intercultural Studies","id":"ITEM-1","issue":"5","issued":{"date-parts":[["2013"]]},"page":"503-516","title":"Discerning the reality of ‘those left behind’ in contemporary migration processes in sub-Saharan Africa: some theoretical reflections in the light of data from Senegal","type":"article-journal","volume":"34"},"uris":["http://www.mendeley.com/documents/?uuid=808438ab-7a72-44d3-b9db-0cdc5adb0872"]}],"mendeley":{"formattedCitation":"(Mondain &amp; Daigne, 2013)","plainTextFormattedCitation":"(Mondain &amp; Daigne, 2013)","previouslyFormattedCitation":"(Mondain &amp; Daigne, 2013)"},"properties":{"noteIndex":0},"schema":"https://github.com/citation-style-language/schema/raw/master/csl-citation.json"}</w:instrText>
      </w:r>
      <w:r w:rsidR="00676E34" w:rsidRPr="004E053C">
        <w:rPr>
          <w:rFonts w:cstheme="majorHAnsi"/>
          <w:sz w:val="22"/>
          <w:szCs w:val="22"/>
          <w:lang w:val="en-GB"/>
        </w:rPr>
        <w:fldChar w:fldCharType="separate"/>
      </w:r>
      <w:r w:rsidR="00676E34" w:rsidRPr="004E053C">
        <w:rPr>
          <w:rFonts w:cstheme="majorHAnsi"/>
          <w:noProof/>
          <w:sz w:val="22"/>
          <w:szCs w:val="22"/>
          <w:lang w:val="en-GB"/>
        </w:rPr>
        <w:t>(Mondain &amp; Daigne, 2013)</w:t>
      </w:r>
      <w:r w:rsidR="00676E34" w:rsidRPr="004E053C">
        <w:rPr>
          <w:rFonts w:cstheme="majorHAnsi"/>
          <w:sz w:val="22"/>
          <w:szCs w:val="22"/>
          <w:lang w:val="en-GB"/>
        </w:rPr>
        <w:fldChar w:fldCharType="end"/>
      </w:r>
      <w:r w:rsidRPr="004E053C">
        <w:rPr>
          <w:rFonts w:cstheme="majorHAnsi"/>
          <w:sz w:val="22"/>
          <w:szCs w:val="22"/>
          <w:lang w:val="en-GB"/>
        </w:rPr>
        <w:t xml:space="preserve">. Rather, the findings lend support to Hinton et al’s </w:t>
      </w:r>
      <w:r w:rsidR="00676E34" w:rsidRPr="004E053C">
        <w:rPr>
          <w:rFonts w:cstheme="majorHAnsi"/>
          <w:sz w:val="22"/>
          <w:szCs w:val="22"/>
          <w:lang w:val="en-GB"/>
        </w:rPr>
        <w:fldChar w:fldCharType="begin" w:fldLock="1"/>
      </w:r>
      <w:r w:rsidR="00676E34" w:rsidRPr="004E053C">
        <w:rPr>
          <w:rFonts w:cstheme="majorHAnsi"/>
          <w:sz w:val="22"/>
          <w:szCs w:val="22"/>
          <w:lang w:val="en-GB"/>
        </w:rPr>
        <w:instrText>ADDIN CSL_CITATION {"citationItems":[{"id":"ITEM-1","itemData":{"author":[{"dropping-particle":"","family":"Hinton","given":"Jennifer Jean","non-dropping-particle":"","parse-names":false,"suffix":""},{"dropping-particle":"","family":"Veiga","given":"Marcello M","non-dropping-particle":"","parse-names":false,"suffix":""},{"dropping-particle":"","family":"Beinhoff","given":"Christian","non-dropping-particle":"","parse-names":false,"suffix":""}],"chapter-number":"11","container-title":"Socio-economic Impacts of Artisanal and Small-scale Mining in Developing Countries","editor":[{"dropping-particle":"","family":"Hilson","given":"Gavin","non-dropping-particle":"","parse-names":false,"suffix":""}],"id":"ITEM-1","issued":{"date-parts":[["2003"]]},"publisher":"CRC Press","publisher-place":"Boca Raton, FL","title":"Women and artisanal mining: gender roles and the road ahead","type":"chapter"},"uris":["http://www.mendeley.com/documents/?uuid=f9b78383-9b62-4509-a8a9-d75f9d188391"]}],"mendeley":{"formattedCitation":"(Jennifer Jean Hinton et al., 2003)","manualFormatting":"(2003)","plainTextFormattedCitation":"(Jennifer Jean Hinton et al., 2003)","previouslyFormattedCitation":"(Jennifer Jean Hinton et al., 2003)"},"properties":{"noteIndex":0},"schema":"https://github.com/citation-style-language/schema/raw/master/csl-citation.json"}</w:instrText>
      </w:r>
      <w:r w:rsidR="00676E34" w:rsidRPr="004E053C">
        <w:rPr>
          <w:rFonts w:cstheme="majorHAnsi"/>
          <w:sz w:val="22"/>
          <w:szCs w:val="22"/>
          <w:lang w:val="en-GB"/>
        </w:rPr>
        <w:fldChar w:fldCharType="separate"/>
      </w:r>
      <w:r w:rsidR="00676E34" w:rsidRPr="004E053C">
        <w:rPr>
          <w:rFonts w:cstheme="majorHAnsi"/>
          <w:noProof/>
          <w:sz w:val="22"/>
          <w:szCs w:val="22"/>
          <w:lang w:val="en-GB"/>
        </w:rPr>
        <w:t>(2003)</w:t>
      </w:r>
      <w:r w:rsidR="00676E34" w:rsidRPr="004E053C">
        <w:rPr>
          <w:rFonts w:cstheme="majorHAnsi"/>
          <w:sz w:val="22"/>
          <w:szCs w:val="22"/>
          <w:lang w:val="en-GB"/>
        </w:rPr>
        <w:fldChar w:fldCharType="end"/>
      </w:r>
      <w:r w:rsidRPr="004E053C">
        <w:rPr>
          <w:rFonts w:cstheme="majorHAnsi"/>
          <w:sz w:val="22"/>
          <w:szCs w:val="22"/>
          <w:lang w:val="en-GB"/>
        </w:rPr>
        <w:t xml:space="preserve"> argument that through reducing women’s dependency on men, ASM can actually weaken traditional gender roles. </w:t>
      </w:r>
    </w:p>
    <w:p w14:paraId="0F0913E1" w14:textId="77777777" w:rsidR="00206FDD" w:rsidRPr="004E053C" w:rsidRDefault="00206FDD" w:rsidP="004E053C">
      <w:pPr>
        <w:pStyle w:val="NoSpacing"/>
        <w:spacing w:line="360" w:lineRule="auto"/>
        <w:jc w:val="both"/>
        <w:rPr>
          <w:lang w:val="en-GB"/>
        </w:rPr>
      </w:pPr>
    </w:p>
    <w:p w14:paraId="04FBFAEF" w14:textId="1E7ABCD8"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In many countries, households in which a man migrates to work in mining areas can be the poorest in rural areas. However, in some contexts, such as Suriname, men are actually encouraged by their wives to migrate as they think it is likely to improve the household’s economic situation </w:t>
      </w:r>
      <w:r w:rsidR="00676E34" w:rsidRPr="004E053C">
        <w:rPr>
          <w:rFonts w:cstheme="majorHAnsi"/>
          <w:sz w:val="22"/>
          <w:szCs w:val="22"/>
          <w:lang w:val="en-GB"/>
        </w:rPr>
        <w:fldChar w:fldCharType="begin" w:fldLock="1"/>
      </w:r>
      <w:r w:rsidR="00676E34" w:rsidRPr="004E053C">
        <w:rPr>
          <w:rFonts w:cstheme="majorHAnsi"/>
          <w:sz w:val="22"/>
          <w:szCs w:val="22"/>
          <w:lang w:val="en-GB"/>
        </w:rPr>
        <w:instrText>ADDIN CSL_CITATION {"citationItems":[{"id":"ITEM-1","itemData":{"author":[{"dropping-particle":"","family":"Heemskerek","given":"Marieke","non-dropping-particle":"","parse-names":false,"suffix":""}],"collection-title":"Women and International Development","id":"ITEM-1","issued":{"date-parts":[["2000"]]},"number":"269","publisher-place":"East Lansing, MI","title":"Gender and Gold Mining: The Case of the Maroons of Suriname","type":"report"},"uris":["http://www.mendeley.com/documents/?uuid=22538ed4-9be1-4e65-bfac-9780dd88806e"]}],"mendeley":{"formattedCitation":"(Heemskerek, 2000)","plainTextFormattedCitation":"(Heemskerek, 2000)","previouslyFormattedCitation":"(Heemskerek, 2000)"},"properties":{"noteIndex":0},"schema":"https://github.com/citation-style-language/schema/raw/master/csl-citation.json"}</w:instrText>
      </w:r>
      <w:r w:rsidR="00676E34" w:rsidRPr="004E053C">
        <w:rPr>
          <w:rFonts w:cstheme="majorHAnsi"/>
          <w:sz w:val="22"/>
          <w:szCs w:val="22"/>
          <w:lang w:val="en-GB"/>
        </w:rPr>
        <w:fldChar w:fldCharType="separate"/>
      </w:r>
      <w:r w:rsidR="00676E34" w:rsidRPr="004E053C">
        <w:rPr>
          <w:rFonts w:cstheme="majorHAnsi"/>
          <w:noProof/>
          <w:sz w:val="22"/>
          <w:szCs w:val="22"/>
          <w:lang w:val="en-GB"/>
        </w:rPr>
        <w:t>(Heemskerek, 2000)</w:t>
      </w:r>
      <w:r w:rsidR="00676E34" w:rsidRPr="004E053C">
        <w:rPr>
          <w:rFonts w:cstheme="majorHAnsi"/>
          <w:sz w:val="22"/>
          <w:szCs w:val="22"/>
          <w:lang w:val="en-GB"/>
        </w:rPr>
        <w:fldChar w:fldCharType="end"/>
      </w:r>
      <w:r w:rsidRPr="004E053C">
        <w:rPr>
          <w:rFonts w:cstheme="majorHAnsi"/>
          <w:sz w:val="22"/>
          <w:szCs w:val="22"/>
          <w:lang w:val="en-GB"/>
        </w:rPr>
        <w:t xml:space="preserve">. Success does however depend on the way the household manages the translocal livelihood. As discussed earlier </w:t>
      </w:r>
      <w:r w:rsidR="00676E34" w:rsidRPr="004E053C">
        <w:rPr>
          <w:rFonts w:cstheme="majorHAnsi"/>
          <w:sz w:val="22"/>
          <w:szCs w:val="22"/>
          <w:lang w:val="en-GB"/>
        </w:rPr>
        <w:t>in this thesis, the concept of ‘livelihood’</w:t>
      </w:r>
      <w:r w:rsidRPr="004E053C">
        <w:rPr>
          <w:rFonts w:cstheme="majorHAnsi"/>
          <w:sz w:val="22"/>
          <w:szCs w:val="22"/>
          <w:lang w:val="en-GB"/>
        </w:rPr>
        <w:t xml:space="preserve"> encompasses far more than direct income-generating activities and also refers to the gender relations required to support and sustain a certain standard of living </w:t>
      </w:r>
      <w:r w:rsidR="00676E34" w:rsidRPr="004E053C">
        <w:rPr>
          <w:rFonts w:cstheme="majorHAnsi"/>
          <w:sz w:val="22"/>
          <w:szCs w:val="22"/>
          <w:lang w:val="en-GB"/>
        </w:rPr>
        <w:fldChar w:fldCharType="begin" w:fldLock="1"/>
      </w:r>
      <w:r w:rsidR="00676E34" w:rsidRPr="004E053C">
        <w:rPr>
          <w:rFonts w:cstheme="majorHAnsi"/>
          <w:sz w:val="22"/>
          <w:szCs w:val="22"/>
          <w:lang w:val="en-GB"/>
        </w:rPr>
        <w:instrText>ADDIN CSL_CITATION {"citationItems":[{"id":"ITEM-1","itemData":{"author":[{"dropping-particle":"","family":"Ellis","given":"Frank","non-dropping-particle":"","parse-names":false,"suffix":""}],"id":"ITEM-1","issued":{"date-parts":[["2003"]]},"number-of-pages":"21","publisher-place":"London, UK","title":"A livelihoods Approach to Migration and Poverty Reduction","type":"report"},"uris":["http://www.mendeley.com/documents/?uuid=892c69ea-8863-47f6-bdfc-c529056562ec"]}],"mendeley":{"formattedCitation":"(Ellis, 2003)","plainTextFormattedCitation":"(Ellis, 2003)","previouslyFormattedCitation":"(Ellis, 2003)"},"properties":{"noteIndex":0},"schema":"https://github.com/citation-style-language/schema/raw/master/csl-citation.json"}</w:instrText>
      </w:r>
      <w:r w:rsidR="00676E34" w:rsidRPr="004E053C">
        <w:rPr>
          <w:rFonts w:cstheme="majorHAnsi"/>
          <w:sz w:val="22"/>
          <w:szCs w:val="22"/>
          <w:lang w:val="en-GB"/>
        </w:rPr>
        <w:fldChar w:fldCharType="separate"/>
      </w:r>
      <w:r w:rsidR="00676E34" w:rsidRPr="004E053C">
        <w:rPr>
          <w:rFonts w:cstheme="majorHAnsi"/>
          <w:noProof/>
          <w:sz w:val="22"/>
          <w:szCs w:val="22"/>
          <w:lang w:val="en-GB"/>
        </w:rPr>
        <w:t>(Ellis, 2003)</w:t>
      </w:r>
      <w:r w:rsidR="00676E34" w:rsidRPr="004E053C">
        <w:rPr>
          <w:rFonts w:cstheme="majorHAnsi"/>
          <w:sz w:val="22"/>
          <w:szCs w:val="22"/>
          <w:lang w:val="en-GB"/>
        </w:rPr>
        <w:fldChar w:fldCharType="end"/>
      </w:r>
      <w:r w:rsidRPr="004E053C">
        <w:rPr>
          <w:rFonts w:cstheme="majorHAnsi"/>
          <w:sz w:val="22"/>
          <w:szCs w:val="22"/>
          <w:lang w:val="en-GB"/>
        </w:rPr>
        <w:t>. For women involved in supporting translocal ASM livelihood</w:t>
      </w:r>
      <w:r w:rsidR="008F5D01" w:rsidRPr="004E053C">
        <w:rPr>
          <w:rFonts w:cstheme="majorHAnsi"/>
          <w:sz w:val="22"/>
          <w:szCs w:val="22"/>
          <w:lang w:val="en-GB"/>
        </w:rPr>
        <w:t>s</w:t>
      </w:r>
      <w:r w:rsidRPr="004E053C">
        <w:rPr>
          <w:rFonts w:cstheme="majorHAnsi"/>
          <w:sz w:val="22"/>
          <w:szCs w:val="22"/>
          <w:lang w:val="en-GB"/>
        </w:rPr>
        <w:t>, added to the problem of the spatial divide are the risks inherent in ASM. Firstly, the levels of both wages and remittances are not guaranteed. As ASM is informal, miners lack labour rights, they have no fixed wages and if artisanal miners only find enough gold to cover their own expenses, they are unable to send any money home. As they lack rights, sometimes miners are not paid what they are owed</w:t>
      </w:r>
      <w:r w:rsidR="008F5D01" w:rsidRPr="004E053C">
        <w:rPr>
          <w:rFonts w:eastAsia="Times New Roman" w:cstheme="majorHAnsi"/>
          <w:sz w:val="22"/>
          <w:szCs w:val="22"/>
          <w:lang w:val="en-GB"/>
        </w:rPr>
        <w:t>, or at other times they spend</w:t>
      </w:r>
      <w:r w:rsidRPr="004E053C">
        <w:rPr>
          <w:rFonts w:eastAsia="Times New Roman" w:cstheme="majorHAnsi"/>
          <w:sz w:val="22"/>
          <w:szCs w:val="22"/>
          <w:lang w:val="en-GB"/>
        </w:rPr>
        <w:t xml:space="preserve"> money </w:t>
      </w:r>
      <w:r w:rsidR="008F5D01" w:rsidRPr="004E053C">
        <w:rPr>
          <w:rFonts w:eastAsia="Times New Roman" w:cstheme="majorHAnsi"/>
          <w:sz w:val="22"/>
          <w:szCs w:val="22"/>
          <w:lang w:val="en-GB"/>
        </w:rPr>
        <w:t>o</w:t>
      </w:r>
      <w:r w:rsidR="0041449D">
        <w:rPr>
          <w:rFonts w:eastAsia="Times New Roman" w:cstheme="majorHAnsi"/>
          <w:sz w:val="22"/>
          <w:szCs w:val="22"/>
          <w:lang w:val="en-GB"/>
        </w:rPr>
        <w:t>n</w:t>
      </w:r>
      <w:r w:rsidRPr="004E053C">
        <w:rPr>
          <w:rFonts w:eastAsia="Times New Roman" w:cstheme="majorHAnsi"/>
          <w:sz w:val="22"/>
          <w:szCs w:val="22"/>
          <w:lang w:val="en-GB"/>
        </w:rPr>
        <w:t xml:space="preserve"> extravagant consumption</w:t>
      </w:r>
      <w:r w:rsidR="0041449D">
        <w:rPr>
          <w:rFonts w:eastAsia="Times New Roman" w:cstheme="majorHAnsi"/>
          <w:sz w:val="22"/>
          <w:szCs w:val="22"/>
          <w:lang w:val="en-GB"/>
        </w:rPr>
        <w:t xml:space="preserve">, </w:t>
      </w:r>
      <w:r w:rsidR="0041449D">
        <w:rPr>
          <w:rFonts w:eastAsia="Times New Roman" w:cstheme="majorHAnsi"/>
          <w:sz w:val="22"/>
          <w:szCs w:val="22"/>
          <w:lang w:val="en-GB"/>
        </w:rPr>
        <w:lastRenderedPageBreak/>
        <w:t>leaving</w:t>
      </w:r>
      <w:r w:rsidRPr="004E053C">
        <w:rPr>
          <w:rFonts w:eastAsia="Times New Roman" w:cstheme="majorHAnsi"/>
          <w:sz w:val="22"/>
          <w:szCs w:val="22"/>
          <w:lang w:val="en-GB"/>
        </w:rPr>
        <w:t xml:space="preserve"> them less to send home as remittances. In addition, if their visits home are infrequent, the women have to go a longer period with no income. As a result, several of the women reported periods of time when they did not have enough money to buy food. </w:t>
      </w:r>
      <w:r w:rsidRPr="004E053C">
        <w:rPr>
          <w:rFonts w:cstheme="majorHAnsi"/>
          <w:sz w:val="22"/>
          <w:szCs w:val="22"/>
          <w:lang w:val="en-GB"/>
        </w:rPr>
        <w:t xml:space="preserve">Secondly, ASM is an inherently risky livelihood activity and carries the risk of injury or death. For example, one of the Ocongate miners had suffered a bad accident and had been unable to continue working in ASM, while one miner’s father had been killed in a mining site when he was run over by a truck. In such instances, women must devise coping strategies to deal with the absence of a steady stream of income. The diversification strategies as noted above will help with this. This productive work undertaken to support their household's engagement in ASM is overlooked in the literature due to a lack of focus on the translocality of the households’ livelihood. </w:t>
      </w:r>
    </w:p>
    <w:p w14:paraId="10115617" w14:textId="77777777" w:rsidR="00206FDD" w:rsidRPr="004E053C" w:rsidRDefault="00206FDD" w:rsidP="004E053C">
      <w:pPr>
        <w:spacing w:line="360" w:lineRule="auto"/>
        <w:jc w:val="both"/>
        <w:rPr>
          <w:rFonts w:cstheme="majorHAnsi"/>
          <w:sz w:val="22"/>
          <w:szCs w:val="22"/>
          <w:lang w:val="en-GB"/>
        </w:rPr>
      </w:pPr>
    </w:p>
    <w:p w14:paraId="0E4C6AC4" w14:textId="042074FE" w:rsidR="00830084" w:rsidRPr="004E053C" w:rsidRDefault="00F2183E" w:rsidP="004E053C">
      <w:pPr>
        <w:spacing w:line="360" w:lineRule="auto"/>
        <w:jc w:val="both"/>
        <w:rPr>
          <w:rStyle w:val="fontstyle01"/>
          <w:rFonts w:asciiTheme="minorHAnsi" w:hAnsiTheme="minorHAnsi" w:cstheme="majorHAnsi"/>
          <w:sz w:val="22"/>
          <w:szCs w:val="22"/>
          <w:lang w:val="en-GB"/>
        </w:rPr>
      </w:pPr>
      <w:r w:rsidRPr="004E053C">
        <w:rPr>
          <w:rFonts w:cstheme="majorHAnsi"/>
          <w:sz w:val="22"/>
          <w:szCs w:val="22"/>
          <w:lang w:val="en-GB"/>
        </w:rPr>
        <w:t xml:space="preserve">Women need to draw on support from family and neighbours in the absence of their husband, particularly if there are problems with income. Thus, their ability to build their own social networks within the community of origin is crucial for the success of translocal ASM livelihoods. This has been noted previously in the migration literature, as women are seen to have a disposition for social capital maintenance in comparison with men </w:t>
      </w:r>
      <w:r w:rsidR="00676E34" w:rsidRPr="004E053C">
        <w:rPr>
          <w:rFonts w:cstheme="majorHAnsi"/>
          <w:sz w:val="22"/>
          <w:szCs w:val="22"/>
          <w:lang w:val="en-GB"/>
        </w:rPr>
        <w:fldChar w:fldCharType="begin" w:fldLock="1"/>
      </w:r>
      <w:r w:rsidR="00445A8A" w:rsidRPr="004E053C">
        <w:rPr>
          <w:rFonts w:cstheme="majorHAnsi"/>
          <w:sz w:val="22"/>
          <w:szCs w:val="22"/>
          <w:lang w:val="en-GB"/>
        </w:rPr>
        <w:instrText>ADDIN CSL_CITATION {"citationItems":[{"id":"ITEM-1","itemData":{"author":[{"dropping-particle":"","family":"Molyneux","given":"Maxine","non-dropping-particle":"","parse-names":false,"suffix":""}],"container-title":"Development and Change","id":"ITEM-1","issue":"2","issued":{"date-parts":[["2002"]]},"page":"167-188","title":"Gender and the silences of social capital: lessons from Latin America","type":"article-journal","volume":"33"},"uris":["http://www.mendeley.com/documents/?uuid=f5e7dbc8-4cfa-46d8-9595-b98d63131729"]}],"mendeley":{"formattedCitation":"(Molyneux, 2002)","plainTextFormattedCitation":"(Molyneux, 2002)","previouslyFormattedCitation":"(Molyneux, 2002)"},"properties":{"noteIndex":0},"schema":"https://github.com/citation-style-language/schema/raw/master/csl-citation.json"}</w:instrText>
      </w:r>
      <w:r w:rsidR="00676E34" w:rsidRPr="004E053C">
        <w:rPr>
          <w:rFonts w:cstheme="majorHAnsi"/>
          <w:sz w:val="22"/>
          <w:szCs w:val="22"/>
          <w:lang w:val="en-GB"/>
        </w:rPr>
        <w:fldChar w:fldCharType="separate"/>
      </w:r>
      <w:r w:rsidR="00676E34" w:rsidRPr="004E053C">
        <w:rPr>
          <w:rFonts w:cstheme="majorHAnsi"/>
          <w:noProof/>
          <w:sz w:val="22"/>
          <w:szCs w:val="22"/>
          <w:lang w:val="en-GB"/>
        </w:rPr>
        <w:t>(Molyneux, 2002)</w:t>
      </w:r>
      <w:r w:rsidR="00676E34" w:rsidRPr="004E053C">
        <w:rPr>
          <w:rFonts w:cstheme="majorHAnsi"/>
          <w:sz w:val="22"/>
          <w:szCs w:val="22"/>
          <w:lang w:val="en-GB"/>
        </w:rPr>
        <w:fldChar w:fldCharType="end"/>
      </w:r>
      <w:r w:rsidRPr="004E053C">
        <w:rPr>
          <w:rFonts w:cstheme="majorHAnsi"/>
          <w:sz w:val="22"/>
          <w:szCs w:val="22"/>
          <w:lang w:val="en-GB"/>
        </w:rPr>
        <w:t>. Inter</w:t>
      </w:r>
      <w:r w:rsidR="00445A8A" w:rsidRPr="004E053C">
        <w:rPr>
          <w:rFonts w:cstheme="majorHAnsi"/>
          <w:sz w:val="22"/>
          <w:szCs w:val="22"/>
          <w:lang w:val="en-GB"/>
        </w:rPr>
        <w:t>estingly though, while women’s ‘calming’</w:t>
      </w:r>
      <w:r w:rsidRPr="004E053C">
        <w:rPr>
          <w:rFonts w:cstheme="majorHAnsi"/>
          <w:sz w:val="22"/>
          <w:szCs w:val="22"/>
          <w:lang w:val="en-GB"/>
        </w:rPr>
        <w:t xml:space="preserve"> effect is seen as being important for the survival of ASM communities, the ASM literature has not considered this in relation to origin communities. As </w:t>
      </w:r>
      <w:r w:rsidRPr="004E053C">
        <w:rPr>
          <w:rStyle w:val="fontstyle01"/>
          <w:rFonts w:asciiTheme="minorHAnsi" w:hAnsiTheme="minorHAnsi" w:cstheme="majorHAnsi"/>
          <w:sz w:val="22"/>
          <w:szCs w:val="22"/>
          <w:lang w:val="en-GB"/>
        </w:rPr>
        <w:t>women are left to deal with the community and ensure supportive networks do not breakdown, they can effective</w:t>
      </w:r>
      <w:r w:rsidR="00445A8A" w:rsidRPr="004E053C">
        <w:rPr>
          <w:rStyle w:val="fontstyle01"/>
          <w:rFonts w:asciiTheme="minorHAnsi" w:hAnsiTheme="minorHAnsi" w:cstheme="majorHAnsi"/>
          <w:sz w:val="22"/>
          <w:szCs w:val="22"/>
          <w:lang w:val="en-GB"/>
        </w:rPr>
        <w:t xml:space="preserve">ly be seen as the lynchpin and ‘anchor’ </w:t>
      </w:r>
      <w:r w:rsidRPr="004E053C">
        <w:rPr>
          <w:rStyle w:val="fontstyle01"/>
          <w:rFonts w:asciiTheme="minorHAnsi" w:hAnsiTheme="minorHAnsi" w:cstheme="majorHAnsi"/>
          <w:sz w:val="22"/>
          <w:szCs w:val="22"/>
          <w:lang w:val="en-GB"/>
        </w:rPr>
        <w:t xml:space="preserve">in the translocal ASM livelihood. These issues will be illustrated in the following two sections. </w:t>
      </w:r>
    </w:p>
    <w:p w14:paraId="6C34F66F" w14:textId="77777777" w:rsidR="00206FDD" w:rsidRPr="004E053C" w:rsidRDefault="00206FDD" w:rsidP="004E053C">
      <w:pPr>
        <w:pStyle w:val="NoSpacing"/>
        <w:spacing w:line="360" w:lineRule="auto"/>
        <w:jc w:val="both"/>
        <w:rPr>
          <w:lang w:val="en-GB"/>
        </w:rPr>
      </w:pPr>
    </w:p>
    <w:p w14:paraId="24EDAE57" w14:textId="68F3C234" w:rsidR="00F2183E" w:rsidRPr="004E053C" w:rsidRDefault="00EA7F83" w:rsidP="004E053C">
      <w:pPr>
        <w:pStyle w:val="Heading2"/>
        <w:spacing w:before="0" w:line="360" w:lineRule="auto"/>
        <w:jc w:val="both"/>
        <w:rPr>
          <w:rFonts w:cstheme="majorHAnsi"/>
          <w:lang w:val="en-GB"/>
        </w:rPr>
      </w:pPr>
      <w:bookmarkStart w:id="84" w:name="_Toc424671908"/>
      <w:bookmarkStart w:id="85" w:name="_Toc33293118"/>
      <w:r w:rsidRPr="004E053C">
        <w:rPr>
          <w:rFonts w:cstheme="majorHAnsi"/>
          <w:lang w:val="en-GB"/>
        </w:rPr>
        <w:t>7</w:t>
      </w:r>
      <w:r w:rsidR="004A3EF1" w:rsidRPr="004E053C">
        <w:rPr>
          <w:rFonts w:cstheme="majorHAnsi"/>
          <w:lang w:val="en-GB"/>
        </w:rPr>
        <w:t>.4. Gendered impacts of translocal ASM l</w:t>
      </w:r>
      <w:r w:rsidR="00F2183E" w:rsidRPr="004E053C">
        <w:rPr>
          <w:rFonts w:cstheme="majorHAnsi"/>
          <w:lang w:val="en-GB"/>
        </w:rPr>
        <w:t>ivelihoods</w:t>
      </w:r>
      <w:bookmarkEnd w:id="84"/>
      <w:bookmarkEnd w:id="85"/>
    </w:p>
    <w:p w14:paraId="4D45F9D3" w14:textId="77777777" w:rsidR="00F2183E" w:rsidRPr="004E053C" w:rsidRDefault="00F2183E" w:rsidP="004E053C">
      <w:pPr>
        <w:spacing w:line="360" w:lineRule="auto"/>
        <w:jc w:val="both"/>
        <w:rPr>
          <w:rFonts w:cstheme="majorHAnsi"/>
          <w:sz w:val="22"/>
          <w:szCs w:val="22"/>
          <w:lang w:val="en-GB"/>
        </w:rPr>
      </w:pPr>
    </w:p>
    <w:p w14:paraId="108DF2AA" w14:textId="122B17B9"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This chapter has so far looked at the various ways that women contribute to the maintenance and success of translocal ASM livelihoods. However, it is also important to understand the impacts of ASM, particularly as they are likely to have gendered implications that have remained thus far unexplored in the literature. This </w:t>
      </w:r>
      <w:r w:rsidR="00DA2C5F" w:rsidRPr="004E053C">
        <w:rPr>
          <w:rFonts w:cstheme="majorHAnsi"/>
          <w:sz w:val="22"/>
          <w:szCs w:val="22"/>
          <w:lang w:val="en-GB"/>
        </w:rPr>
        <w:t>section starts</w:t>
      </w:r>
      <w:r w:rsidRPr="004E053C">
        <w:rPr>
          <w:rFonts w:cstheme="majorHAnsi"/>
          <w:sz w:val="22"/>
          <w:szCs w:val="22"/>
          <w:lang w:val="en-GB"/>
        </w:rPr>
        <w:t xml:space="preserve"> by first considering the impacts of household fragmentation. In doing so it highlights links with some existing work within feminist geography regarding the emotional labour that underpins mobility </w:t>
      </w:r>
      <w:r w:rsidR="00445A8A"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onradson","given":"David","non-dropping-particle":"","parse-names":false,"suffix":""},{"dropping-particle":"","family":"Mckay","given":"Deirdre","non-dropping-particle":"","parse-names":false,"suffix":""}],"container-title":"Mobilities","id":"ITEM-1","issue":"2","issued":{"date-parts":[["2007"]]},"page":"167-174","title":"Translocal subjectivities: mobility, connection, emotion","type":"article-journal","volume":"2"},"uris":["http://www.mendeley.com/documents/?uuid=0815ca70-6691-47cc-a6d2-228c076552d2"]}],"mendeley":{"formattedCitation":"(Conradson &amp; Mckay, 2007)","plainTextFormattedCitation":"(Conradson &amp; Mckay, 2007)","previouslyFormattedCitation":"(Conradson &amp; Mckay, 2007)"},"properties":{"noteIndex":0},"schema":"https://github.com/citation-style-language/schema/raw/master/csl-citation.json"}</w:instrText>
      </w:r>
      <w:r w:rsidR="00445A8A" w:rsidRPr="004E053C">
        <w:rPr>
          <w:rFonts w:cstheme="majorHAnsi"/>
          <w:sz w:val="22"/>
          <w:szCs w:val="22"/>
          <w:lang w:val="en-GB"/>
        </w:rPr>
        <w:fldChar w:fldCharType="separate"/>
      </w:r>
      <w:r w:rsidR="00445A8A" w:rsidRPr="004E053C">
        <w:rPr>
          <w:rFonts w:cstheme="majorHAnsi"/>
          <w:noProof/>
          <w:sz w:val="22"/>
          <w:szCs w:val="22"/>
          <w:lang w:val="en-GB"/>
        </w:rPr>
        <w:t>(Conradson &amp; Mckay, 2007)</w:t>
      </w:r>
      <w:r w:rsidR="00445A8A" w:rsidRPr="004E053C">
        <w:rPr>
          <w:rFonts w:cstheme="majorHAnsi"/>
          <w:sz w:val="22"/>
          <w:szCs w:val="22"/>
          <w:lang w:val="en-GB"/>
        </w:rPr>
        <w:fldChar w:fldCharType="end"/>
      </w:r>
      <w:r w:rsidRPr="004E053C">
        <w:rPr>
          <w:rFonts w:cstheme="majorHAnsi"/>
          <w:sz w:val="22"/>
          <w:szCs w:val="22"/>
          <w:lang w:val="en-GB"/>
        </w:rPr>
        <w:t>. It then goes on to discuss communication and flows of information, as this is crucial for maintaining households and livelihoods across sp</w:t>
      </w:r>
      <w:r w:rsidR="008F5D01" w:rsidRPr="004E053C">
        <w:rPr>
          <w:rFonts w:cstheme="majorHAnsi"/>
          <w:sz w:val="22"/>
          <w:szCs w:val="22"/>
          <w:lang w:val="en-GB"/>
        </w:rPr>
        <w:t>atial divides. Lastly, section 7</w:t>
      </w:r>
      <w:r w:rsidRPr="004E053C">
        <w:rPr>
          <w:rFonts w:cstheme="majorHAnsi"/>
          <w:sz w:val="22"/>
          <w:szCs w:val="22"/>
          <w:lang w:val="en-GB"/>
        </w:rPr>
        <w:t xml:space="preserve">.4.3 moves on to discuss the impacts of excessive consumption in mining sites, which has been discussed at length in relation to the men who partake in it </w:t>
      </w:r>
      <w:r w:rsidR="00445A8A"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town","type":"article-journal","volume":"30"},"uris":["http://www.mendeley.com/documents/?uuid=e221bdbc-373c-4a27-aef2-b563e761557e"]},{"id":"ITEM-2","itemData":{"abstract":"The article addresses friendship relations among male artisanal gold miners in West Africa, exemplified by case studies from Northern Benin. I will argue that friendship is an important element in understanding the fluid social configurations in the mining region. In the new social environment, immigrants develop new ties among themselves and to the local societies. I will explore the general logic of friendship bonds in that area and discuss their integrative strength as well as their limits. In the context of gold mining, strategies of economic as well as social risk minimisation incline many migrants to create friendship bonds. Parity in income sharing is more likely to be established among friends than among kinsmen. Friendship is specifically relevant to integrate people of very different regional, ethnic and social backgrounds. Despite the many divergent interests between different economic actors, locals and immigrants, there are multiple bonds which give rise to different levels of social integration","author":[{"dropping-particle":"","family":"Grätz","given":"Tilo","non-dropping-particle":"","parse-names":false,"suffix":""}],"container-title":"Africa Spectrum","id":"ITEM-2","issue":"1","issued":{"date-parts":[["2004"]]},"page":"95-117","title":"Friendship ties among young artisanal gold miners in northern Benin","type":"article-journal","volume":"39"},"uris":["http://www.mendeley.com/documents/?uuid=631c2928-d206-4553-9dc8-cdef02d54887"]}],"mendeley":{"formattedCitation":"(Grätz, 2004a; Walsh, 2003)","manualFormatting":"(e.g. Grätz, 2004a; Walsh, 2003)","plainTextFormattedCitation":"(Grätz, 2004a; Walsh, 2003)","previouslyFormattedCitation":"(Grätz, 2004a; Walsh, 2003)"},"properties":{"noteIndex":0},"schema":"https://github.com/citation-style-language/schema/raw/master/csl-citation.json"}</w:instrText>
      </w:r>
      <w:r w:rsidR="00445A8A" w:rsidRPr="004E053C">
        <w:rPr>
          <w:rFonts w:cstheme="majorHAnsi"/>
          <w:sz w:val="22"/>
          <w:szCs w:val="22"/>
          <w:lang w:val="en-GB"/>
        </w:rPr>
        <w:fldChar w:fldCharType="separate"/>
      </w:r>
      <w:r w:rsidR="00445A8A" w:rsidRPr="004E053C">
        <w:rPr>
          <w:rFonts w:cstheme="majorHAnsi"/>
          <w:noProof/>
          <w:sz w:val="22"/>
          <w:szCs w:val="22"/>
          <w:lang w:val="en-GB"/>
        </w:rPr>
        <w:t>(e.g. Grätz, 2004a; Walsh, 2003)</w:t>
      </w:r>
      <w:r w:rsidR="00445A8A" w:rsidRPr="004E053C">
        <w:rPr>
          <w:rFonts w:cstheme="majorHAnsi"/>
          <w:sz w:val="22"/>
          <w:szCs w:val="22"/>
          <w:lang w:val="en-GB"/>
        </w:rPr>
        <w:fldChar w:fldCharType="end"/>
      </w:r>
      <w:r w:rsidRPr="004E053C">
        <w:rPr>
          <w:rFonts w:cstheme="majorHAnsi"/>
          <w:sz w:val="22"/>
          <w:szCs w:val="22"/>
          <w:lang w:val="en-GB"/>
        </w:rPr>
        <w:t xml:space="preserve">, but the implications for women have rarely been considered. </w:t>
      </w:r>
    </w:p>
    <w:p w14:paraId="30A32386" w14:textId="77777777" w:rsidR="00F2183E" w:rsidRPr="004E053C" w:rsidRDefault="00F2183E" w:rsidP="004E053C">
      <w:pPr>
        <w:spacing w:line="360" w:lineRule="auto"/>
        <w:jc w:val="both"/>
        <w:rPr>
          <w:rFonts w:cstheme="majorHAnsi"/>
          <w:sz w:val="22"/>
          <w:szCs w:val="22"/>
          <w:lang w:val="en-GB"/>
        </w:rPr>
      </w:pPr>
    </w:p>
    <w:p w14:paraId="7D969541" w14:textId="6FC48A99" w:rsidR="00F2183E" w:rsidRPr="004E053C" w:rsidRDefault="00EA7F83" w:rsidP="004E053C">
      <w:pPr>
        <w:pStyle w:val="Heading3"/>
        <w:rPr>
          <w:rFonts w:asciiTheme="minorHAnsi" w:hAnsiTheme="minorHAnsi"/>
        </w:rPr>
      </w:pPr>
      <w:r w:rsidRPr="004E053C">
        <w:rPr>
          <w:rFonts w:asciiTheme="minorHAnsi" w:hAnsiTheme="minorHAnsi"/>
        </w:rPr>
        <w:t>7</w:t>
      </w:r>
      <w:r w:rsidR="004A3EF1" w:rsidRPr="004E053C">
        <w:rPr>
          <w:rFonts w:asciiTheme="minorHAnsi" w:hAnsiTheme="minorHAnsi"/>
        </w:rPr>
        <w:t>.4.1. Household f</w:t>
      </w:r>
      <w:r w:rsidR="00F2183E" w:rsidRPr="004E053C">
        <w:rPr>
          <w:rFonts w:asciiTheme="minorHAnsi" w:hAnsiTheme="minorHAnsi"/>
        </w:rPr>
        <w:t>ragmentation</w:t>
      </w:r>
    </w:p>
    <w:p w14:paraId="14E8ED0E" w14:textId="77777777" w:rsidR="00F2183E" w:rsidRPr="004E053C" w:rsidRDefault="00F2183E" w:rsidP="004E053C">
      <w:pPr>
        <w:spacing w:line="360" w:lineRule="auto"/>
        <w:jc w:val="both"/>
        <w:rPr>
          <w:rFonts w:cstheme="majorHAnsi"/>
          <w:sz w:val="22"/>
          <w:szCs w:val="22"/>
          <w:lang w:val="en-GB"/>
        </w:rPr>
      </w:pPr>
    </w:p>
    <w:p w14:paraId="46DAF11A" w14:textId="6955226C"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Translocal livelihoods often involve some level of household fragmentation, as household members become separated across spatial divides. Of the eleven households in Ocongate currently engaging in ASM, this engagement involve</w:t>
      </w:r>
      <w:r w:rsidR="008F5D01" w:rsidRPr="004E053C">
        <w:rPr>
          <w:rFonts w:cstheme="majorHAnsi"/>
          <w:sz w:val="22"/>
          <w:szCs w:val="22"/>
          <w:lang w:val="en-GB"/>
        </w:rPr>
        <w:t>s</w:t>
      </w:r>
      <w:r w:rsidRPr="004E053C">
        <w:rPr>
          <w:rFonts w:cstheme="majorHAnsi"/>
          <w:sz w:val="22"/>
          <w:szCs w:val="22"/>
          <w:lang w:val="en-GB"/>
        </w:rPr>
        <w:t xml:space="preserve"> the husband working in mining sites for at least three months of the year whilst women remained in Ocongate with their children. Of the five not currently involved in ASM, either because they had been able to invest in alternative livelihoods in Ocongate or because the husband was now too ill or deceased, all but one experienced periods of household fragmentation. Even in Laberinto, in four of the interviewed households, the wife lived in the nearby city of Puerto Maldonado where the children attended school. In two households although the wife lived permanently in Laberinto the husband often remained in mining camps for extended periods. For almost all the households in the sample there had been some experience of household fragmentation, which is to be expected as a feature of a translocal community.</w:t>
      </w:r>
    </w:p>
    <w:p w14:paraId="58604311" w14:textId="77777777" w:rsidR="00F2183E" w:rsidRPr="004E053C" w:rsidRDefault="00F2183E" w:rsidP="004E053C">
      <w:pPr>
        <w:spacing w:line="360" w:lineRule="auto"/>
        <w:jc w:val="both"/>
        <w:rPr>
          <w:rFonts w:cstheme="majorHAnsi"/>
          <w:sz w:val="22"/>
          <w:szCs w:val="22"/>
          <w:lang w:val="en-GB"/>
        </w:rPr>
      </w:pPr>
    </w:p>
    <w:p w14:paraId="7FF9CE18" w14:textId="036CF22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Migration and movements through places are associated with complex sets of emotions </w:t>
      </w:r>
      <w:r w:rsidR="00445A8A"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Davidson","given":"J","non-dropping-particle":"","parse-names":false,"suffix":""},{"dropping-particle":"","family":"Bondi","given":"L","non-dropping-particle":"","parse-names":false,"suffix":""},{"dropping-particle":"","family":"Smith","given":"M","non-dropping-particle":"","parse-names":false,"suffix":""}],"id":"ITEM-1","issued":{"date-parts":[["2005"]]},"publisher":"Ashgate","publisher-place":"Aldershot, UK","title":"Emotional Geographies","type":"book"},"uris":["http://www.mendeley.com/documents/?uuid=49533a9b-ac52-4384-bf55-9ff3b7630f00"]},{"id":"ITEM-2","itemData":{"author":[{"dropping-particle":"","family":"Conradson","given":"David","non-dropping-particle":"","parse-names":false,"suffix":""},{"dropping-particle":"","family":"Mckay","given":"Deirdre","non-dropping-particle":"","parse-names":false,"suffix":""}],"container-title":"Mobilities","id":"ITEM-2","issue":"2","issued":{"date-parts":[["2007"]]},"page":"167-174","title":"Translocal subjectivities: mobility, connection, emotion","type":"article-journal","volume":"2"},"uris":["http://www.mendeley.com/documents/?uuid=0815ca70-6691-47cc-a6d2-228c076552d2"]}],"mendeley":{"formattedCitation":"(Conradson &amp; Mckay, 2007; Davidson, Bondi, &amp; Smith, 2005)","manualFormatting":"(Davidson et al, 2005)","plainTextFormattedCitation":"(Conradson &amp; Mckay, 2007; Davidson, Bondi, &amp; Smith, 2005)","previouslyFormattedCitation":"(Conradson &amp; Mckay, 2007; Davidson, Bondi, &amp; Smith, 2005)"},"properties":{"noteIndex":0},"schema":"https://github.com/citation-style-language/schema/raw/master/csl-citation.json"}</w:instrText>
      </w:r>
      <w:r w:rsidR="00445A8A" w:rsidRPr="004E053C">
        <w:rPr>
          <w:rFonts w:cstheme="majorHAnsi"/>
          <w:sz w:val="22"/>
          <w:szCs w:val="22"/>
          <w:lang w:val="en-GB"/>
        </w:rPr>
        <w:fldChar w:fldCharType="separate"/>
      </w:r>
      <w:r w:rsidR="00445A8A" w:rsidRPr="004E053C">
        <w:rPr>
          <w:rFonts w:cstheme="majorHAnsi"/>
          <w:noProof/>
          <w:sz w:val="22"/>
          <w:szCs w:val="22"/>
          <w:lang w:val="en-GB"/>
        </w:rPr>
        <w:t>(Davidson et al, 2005)</w:t>
      </w:r>
      <w:r w:rsidR="00445A8A" w:rsidRPr="004E053C">
        <w:rPr>
          <w:rFonts w:cstheme="majorHAnsi"/>
          <w:sz w:val="22"/>
          <w:szCs w:val="22"/>
          <w:lang w:val="en-GB"/>
        </w:rPr>
        <w:fldChar w:fldCharType="end"/>
      </w:r>
      <w:r w:rsidRPr="004E053C">
        <w:rPr>
          <w:rFonts w:cstheme="majorHAnsi"/>
          <w:sz w:val="22"/>
          <w:szCs w:val="22"/>
          <w:lang w:val="en-GB"/>
        </w:rPr>
        <w:t xml:space="preserve"> and these are seen as a key dimension of translocal subjectivi</w:t>
      </w:r>
      <w:r w:rsidR="0084363F" w:rsidRPr="004E053C">
        <w:rPr>
          <w:rFonts w:cstheme="majorHAnsi"/>
          <w:sz w:val="22"/>
          <w:szCs w:val="22"/>
          <w:lang w:val="en-GB"/>
        </w:rPr>
        <w:t xml:space="preserve">ties </w:t>
      </w:r>
      <w:r w:rsidR="0084363F"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onradson","given":"David","non-dropping-particle":"","parse-names":false,"suffix":""},{"dropping-particle":"","family":"Mckay","given":"Deirdre","non-dropping-particle":"","parse-names":false,"suffix":""}],"container-title":"Mobilities","id":"ITEM-1","issue":"2","issued":{"date-parts":[["2007"]]},"page":"167-174","title":"Translocal subjectivities: mobility, connection, emotion","type":"article-journal","volume":"2"},"uris":["http://www.mendeley.com/documents/?uuid=0815ca70-6691-47cc-a6d2-228c076552d2"]}],"mendeley":{"formattedCitation":"(Conradson &amp; Mckay, 2007)","plainTextFormattedCitation":"(Conradson &amp; Mckay, 2007)","previouslyFormattedCitation":"(Conradson &amp; Mckay, 2007)"},"properties":{"noteIndex":0},"schema":"https://github.com/citation-style-language/schema/raw/master/csl-citation.json"}</w:instrText>
      </w:r>
      <w:r w:rsidR="0084363F" w:rsidRPr="004E053C">
        <w:rPr>
          <w:rFonts w:cstheme="majorHAnsi"/>
          <w:sz w:val="22"/>
          <w:szCs w:val="22"/>
          <w:lang w:val="en-GB"/>
        </w:rPr>
        <w:fldChar w:fldCharType="separate"/>
      </w:r>
      <w:r w:rsidR="0084363F" w:rsidRPr="004E053C">
        <w:rPr>
          <w:rFonts w:cstheme="majorHAnsi"/>
          <w:noProof/>
          <w:sz w:val="22"/>
          <w:szCs w:val="22"/>
          <w:lang w:val="en-GB"/>
        </w:rPr>
        <w:t>(Conradson &amp; Mckay, 2007)</w:t>
      </w:r>
      <w:r w:rsidR="0084363F" w:rsidRPr="004E053C">
        <w:rPr>
          <w:rFonts w:cstheme="majorHAnsi"/>
          <w:sz w:val="22"/>
          <w:szCs w:val="22"/>
          <w:lang w:val="en-GB"/>
        </w:rPr>
        <w:fldChar w:fldCharType="end"/>
      </w:r>
      <w:r w:rsidRPr="004E053C">
        <w:rPr>
          <w:rFonts w:cstheme="majorHAnsi"/>
          <w:sz w:val="22"/>
          <w:szCs w:val="22"/>
          <w:lang w:val="en-GB"/>
        </w:rPr>
        <w:t xml:space="preserve">. Considering this, it is not surprising that the </w:t>
      </w:r>
      <w:r w:rsidRPr="004E053C">
        <w:rPr>
          <w:rFonts w:eastAsia="Times New Roman" w:cstheme="majorHAnsi"/>
          <w:sz w:val="22"/>
          <w:szCs w:val="22"/>
          <w:lang w:val="en-GB"/>
        </w:rPr>
        <w:t xml:space="preserve">majority of the female respondents in Ocongate reported emotional distress as a result of separation. </w:t>
      </w:r>
      <w:r w:rsidRPr="004E053C">
        <w:rPr>
          <w:rFonts w:cstheme="majorHAnsi"/>
          <w:sz w:val="22"/>
          <w:szCs w:val="22"/>
          <w:lang w:val="en-GB"/>
        </w:rPr>
        <w:t xml:space="preserve">For some, the separation seems to have had a lasting impact on both their mental health and their marital relationship. </w:t>
      </w:r>
      <w:r w:rsidR="001B115B" w:rsidRPr="004E053C">
        <w:rPr>
          <w:rFonts w:cstheme="majorHAnsi"/>
          <w:sz w:val="22"/>
          <w:szCs w:val="22"/>
          <w:lang w:val="en-GB"/>
        </w:rPr>
        <w:t>Chaska</w:t>
      </w:r>
      <w:r w:rsidRPr="004E053C">
        <w:rPr>
          <w:rFonts w:cstheme="majorHAnsi"/>
          <w:sz w:val="22"/>
          <w:szCs w:val="22"/>
          <w:lang w:val="en-GB"/>
        </w:rPr>
        <w:t xml:space="preserve"> said she was always incredibly lonely and depressed when her husband was away and noted that not only did he not come back as frequently as he was supposed to, but when he did return he was irritable and jealous. She said she almost prefers it when he is away as he is not around to upset her, but conceded that at least when he comes home he brings money back with him. </w:t>
      </w:r>
      <w:r w:rsidRPr="004E053C">
        <w:rPr>
          <w:rFonts w:eastAsia="Times New Roman" w:cstheme="majorHAnsi"/>
          <w:sz w:val="22"/>
          <w:szCs w:val="22"/>
          <w:lang w:val="en-GB"/>
        </w:rPr>
        <w:t xml:space="preserve">However, the majority of the women reported adopting various coping mechanisms to help them deal with the temporary separation from their husband. Two of the women talked about purposefully keeping themselves busy looking after their children and tending to their farm or shop, while another, </w:t>
      </w:r>
      <w:r w:rsidR="00EA7F80" w:rsidRPr="004E053C">
        <w:rPr>
          <w:rFonts w:eastAsia="Times New Roman" w:cstheme="majorHAnsi"/>
          <w:sz w:val="22"/>
          <w:szCs w:val="22"/>
          <w:lang w:val="en-GB"/>
        </w:rPr>
        <w:t>Paola</w:t>
      </w:r>
      <w:r w:rsidRPr="004E053C">
        <w:rPr>
          <w:rFonts w:eastAsia="Times New Roman" w:cstheme="majorHAnsi"/>
          <w:sz w:val="22"/>
          <w:szCs w:val="22"/>
          <w:lang w:val="en-GB"/>
        </w:rPr>
        <w:t xml:space="preserve">, said she </w:t>
      </w:r>
      <w:r w:rsidRPr="004E053C">
        <w:rPr>
          <w:rFonts w:cstheme="majorHAnsi"/>
          <w:sz w:val="22"/>
          <w:szCs w:val="22"/>
          <w:lang w:val="en-GB"/>
        </w:rPr>
        <w:t xml:space="preserve">drew on the support of her family and ate meals with them often. Fortunately for </w:t>
      </w:r>
      <w:r w:rsidR="00EA7F80" w:rsidRPr="004E053C">
        <w:rPr>
          <w:rFonts w:cstheme="majorHAnsi"/>
          <w:sz w:val="22"/>
          <w:szCs w:val="22"/>
          <w:lang w:val="en-GB"/>
        </w:rPr>
        <w:t>Paola</w:t>
      </w:r>
      <w:r w:rsidRPr="004E053C">
        <w:rPr>
          <w:rFonts w:cstheme="majorHAnsi"/>
          <w:sz w:val="22"/>
          <w:szCs w:val="22"/>
          <w:lang w:val="en-GB"/>
        </w:rPr>
        <w:t xml:space="preserve">, her husband works alongside her brother, so he is also able to keep an eye on her husband’s </w:t>
      </w:r>
      <w:r w:rsidR="008C68C5" w:rsidRPr="004E053C">
        <w:rPr>
          <w:rFonts w:cstheme="majorHAnsi"/>
          <w:sz w:val="22"/>
          <w:szCs w:val="22"/>
          <w:lang w:val="en-GB"/>
        </w:rPr>
        <w:t>behaviour</w:t>
      </w:r>
      <w:r w:rsidRPr="004E053C">
        <w:rPr>
          <w:rFonts w:cstheme="majorHAnsi"/>
          <w:sz w:val="22"/>
          <w:szCs w:val="22"/>
          <w:lang w:val="en-GB"/>
        </w:rPr>
        <w:t xml:space="preserve">. </w:t>
      </w:r>
    </w:p>
    <w:p w14:paraId="2D6476A4" w14:textId="77777777" w:rsidR="00F2183E" w:rsidRPr="004E053C" w:rsidRDefault="00F2183E" w:rsidP="004E053C">
      <w:pPr>
        <w:spacing w:line="360" w:lineRule="auto"/>
        <w:jc w:val="both"/>
        <w:rPr>
          <w:rFonts w:cstheme="majorHAnsi"/>
          <w:sz w:val="22"/>
          <w:szCs w:val="22"/>
          <w:lang w:val="en-GB"/>
        </w:rPr>
      </w:pPr>
    </w:p>
    <w:p w14:paraId="0228383D" w14:textId="3C521B63"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Household fragmentation does not always leads to emotional distress however. Two of the women in Ocongate reported an improvement in their relationship since their husband started working in </w:t>
      </w:r>
      <w:r w:rsidR="008F5D01" w:rsidRPr="004E053C">
        <w:rPr>
          <w:rFonts w:cstheme="majorHAnsi"/>
          <w:sz w:val="22"/>
          <w:szCs w:val="22"/>
          <w:lang w:val="en-GB"/>
        </w:rPr>
        <w:t>ASM.</w:t>
      </w:r>
      <w:r w:rsidRPr="004E053C">
        <w:rPr>
          <w:rFonts w:cstheme="majorHAnsi"/>
          <w:sz w:val="22"/>
          <w:szCs w:val="22"/>
          <w:lang w:val="en-GB"/>
        </w:rPr>
        <w:t xml:space="preserve"> </w:t>
      </w:r>
      <w:r w:rsidR="008F5D01" w:rsidRPr="004E053C">
        <w:rPr>
          <w:rFonts w:cstheme="majorHAnsi"/>
          <w:sz w:val="22"/>
          <w:szCs w:val="22"/>
          <w:lang w:val="en-GB"/>
        </w:rPr>
        <w:t xml:space="preserve">Sandra </w:t>
      </w:r>
      <w:r w:rsidRPr="004E053C">
        <w:rPr>
          <w:rFonts w:cstheme="majorHAnsi"/>
          <w:sz w:val="22"/>
          <w:szCs w:val="22"/>
          <w:lang w:val="en-GB"/>
        </w:rPr>
        <w:t xml:space="preserve">said that the serious financial problems the family had suffered before their engagement in ASM had caused her husband to drink a lot, which led to emotional and physical </w:t>
      </w:r>
      <w:r w:rsidRPr="004E053C">
        <w:rPr>
          <w:rFonts w:cstheme="majorHAnsi"/>
          <w:sz w:val="22"/>
          <w:szCs w:val="22"/>
          <w:lang w:val="en-GB"/>
        </w:rPr>
        <w:lastRenderedPageBreak/>
        <w:t xml:space="preserve">abuse. However, since the family has improved their standard of living through working in ASM her husband no longer drinks. Now, when he travels away for work he keeps in constant contact and their relationship has improved dramatically. For </w:t>
      </w:r>
      <w:r w:rsidR="001B115B" w:rsidRPr="004E053C">
        <w:rPr>
          <w:rFonts w:cstheme="majorHAnsi"/>
          <w:sz w:val="22"/>
          <w:szCs w:val="22"/>
          <w:lang w:val="en-GB"/>
        </w:rPr>
        <w:t>Mayu</w:t>
      </w:r>
      <w:r w:rsidRPr="004E053C">
        <w:rPr>
          <w:rFonts w:cstheme="majorHAnsi"/>
          <w:sz w:val="22"/>
          <w:szCs w:val="22"/>
          <w:lang w:val="en-GB"/>
        </w:rPr>
        <w:t xml:space="preserve">, although there has been no improvement in her relationship with her husband, she says her emotional wellbeing has improved because she does not have to put up with her husband being irritable </w:t>
      </w:r>
      <w:r w:rsidR="003B5DCB" w:rsidRPr="004E053C">
        <w:rPr>
          <w:rFonts w:cstheme="majorHAnsi"/>
          <w:sz w:val="22"/>
          <w:szCs w:val="22"/>
          <w:lang w:val="en-GB"/>
        </w:rPr>
        <w:t>–</w:t>
      </w:r>
      <w:r w:rsidRPr="004E053C">
        <w:rPr>
          <w:rFonts w:cstheme="majorHAnsi"/>
          <w:sz w:val="22"/>
          <w:szCs w:val="22"/>
          <w:lang w:val="en-GB"/>
        </w:rPr>
        <w:t xml:space="preserve"> </w:t>
      </w:r>
      <w:r w:rsidR="003B5DCB" w:rsidRPr="004E053C">
        <w:rPr>
          <w:rFonts w:cstheme="majorHAnsi"/>
          <w:sz w:val="22"/>
          <w:szCs w:val="22"/>
          <w:lang w:val="en-GB"/>
        </w:rPr>
        <w:t>‘</w:t>
      </w:r>
      <w:r w:rsidRPr="004E053C">
        <w:rPr>
          <w:rFonts w:cstheme="majorHAnsi"/>
          <w:i/>
          <w:iCs/>
          <w:sz w:val="22"/>
          <w:szCs w:val="22"/>
          <w:lang w:val="en-GB"/>
        </w:rPr>
        <w:t>everyone is calm now that my husband goes to the mine for the whole year</w:t>
      </w:r>
      <w:r w:rsidR="003B5DCB" w:rsidRPr="004E053C">
        <w:rPr>
          <w:rFonts w:cstheme="majorHAnsi"/>
          <w:sz w:val="22"/>
          <w:szCs w:val="22"/>
          <w:lang w:val="en-GB"/>
        </w:rPr>
        <w:t>’</w:t>
      </w:r>
      <w:r w:rsidRPr="004E053C">
        <w:rPr>
          <w:rFonts w:cstheme="majorHAnsi"/>
          <w:sz w:val="22"/>
          <w:szCs w:val="22"/>
          <w:lang w:val="en-GB"/>
        </w:rPr>
        <w:t xml:space="preserve">. Assuming that household fragmentation across the translocal community always results in emotional distress does not consider those situations in which there was a certain level of emotional abuse prior to engagement in ASM. </w:t>
      </w:r>
    </w:p>
    <w:p w14:paraId="5C023AA6" w14:textId="77777777" w:rsidR="00F2183E" w:rsidRPr="004E053C" w:rsidRDefault="00F2183E" w:rsidP="004E053C">
      <w:pPr>
        <w:spacing w:line="360" w:lineRule="auto"/>
        <w:jc w:val="both"/>
        <w:rPr>
          <w:rFonts w:cstheme="majorHAnsi"/>
          <w:sz w:val="22"/>
          <w:szCs w:val="22"/>
          <w:lang w:val="en-GB"/>
        </w:rPr>
      </w:pPr>
    </w:p>
    <w:p w14:paraId="5C90DEE0" w14:textId="190B7FAA" w:rsidR="00F2183E" w:rsidRPr="004E053C" w:rsidRDefault="00EA7F83" w:rsidP="004E053C">
      <w:pPr>
        <w:pStyle w:val="Heading3"/>
        <w:rPr>
          <w:rFonts w:asciiTheme="minorHAnsi" w:hAnsiTheme="minorHAnsi"/>
        </w:rPr>
      </w:pPr>
      <w:r w:rsidRPr="004E053C">
        <w:rPr>
          <w:rFonts w:asciiTheme="minorHAnsi" w:hAnsiTheme="minorHAnsi"/>
        </w:rPr>
        <w:t>7</w:t>
      </w:r>
      <w:r w:rsidR="004A3EF1" w:rsidRPr="004E053C">
        <w:rPr>
          <w:rFonts w:asciiTheme="minorHAnsi" w:hAnsiTheme="minorHAnsi"/>
        </w:rPr>
        <w:t>.4.2. Communication, language and flows of i</w:t>
      </w:r>
      <w:r w:rsidR="00F2183E" w:rsidRPr="004E053C">
        <w:rPr>
          <w:rFonts w:asciiTheme="minorHAnsi" w:hAnsiTheme="minorHAnsi"/>
        </w:rPr>
        <w:t xml:space="preserve">nformation </w:t>
      </w:r>
    </w:p>
    <w:p w14:paraId="3CC32FC9" w14:textId="77777777" w:rsidR="00F2183E" w:rsidRPr="004E053C" w:rsidRDefault="00F2183E" w:rsidP="004E053C">
      <w:pPr>
        <w:spacing w:line="360" w:lineRule="auto"/>
        <w:jc w:val="both"/>
        <w:rPr>
          <w:rFonts w:cstheme="majorHAnsi"/>
          <w:sz w:val="22"/>
          <w:szCs w:val="22"/>
          <w:lang w:val="en-GB"/>
        </w:rPr>
      </w:pPr>
    </w:p>
    <w:p w14:paraId="270D07E4" w14:textId="3BE346C9"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In the previous section, it was noted that o</w:t>
      </w:r>
      <w:r w:rsidR="008C68C5" w:rsidRPr="004E053C">
        <w:rPr>
          <w:rFonts w:cstheme="majorHAnsi"/>
          <w:sz w:val="22"/>
          <w:szCs w:val="22"/>
          <w:lang w:val="en-GB"/>
        </w:rPr>
        <w:t>ne of the key reasons Sandr</w:t>
      </w:r>
      <w:r w:rsidRPr="004E053C">
        <w:rPr>
          <w:rFonts w:cstheme="majorHAnsi"/>
          <w:sz w:val="22"/>
          <w:szCs w:val="22"/>
          <w:lang w:val="en-GB"/>
        </w:rPr>
        <w:t xml:space="preserve">a’s relationship with her husband had improved in his absence was because he stayed in constant communication with her. Three of the other women also stressed the importance that good communication had played in maintaining their marital relationship within a translocal household. In some cases, their husband would ring every day, which had allowed them to stop worrying that an accident may have befallen him in the mine – a common fear, as the women are all aware that ASM is a physically dangerous activity. The improvements in telecommunication have made it far easier for migrants to keep up links with hometowns families and friends </w:t>
      </w:r>
      <w:r w:rsidR="003F1274" w:rsidRPr="004E053C">
        <w:rPr>
          <w:rFonts w:cstheme="majorHAnsi"/>
          <w:sz w:val="22"/>
          <w:szCs w:val="22"/>
          <w:lang w:val="en-GB"/>
        </w:rPr>
        <w:fldChar w:fldCharType="begin" w:fldLock="1"/>
      </w:r>
      <w:r w:rsidR="003F1274" w:rsidRPr="004E053C">
        <w:rPr>
          <w:rFonts w:cstheme="majorHAnsi"/>
          <w:sz w:val="22"/>
          <w:szCs w:val="22"/>
          <w:lang w:val="en-GB"/>
        </w:rPr>
        <w:instrText>ADDIN CSL_CITATION {"citationItems":[{"id":"ITEM-1","itemData":{"author":[{"dropping-particle":"","family":"Theije","given":"Marjo","non-dropping-particle":"De","parse-names":false,"suffix":""},{"dropping-particle":"","family":"Bal","given":"Ellen","non-dropping-particle":"","parse-names":false,"suffix":""}],"chapter-number":"4","container-title":"A World of Insecurity: Anthropological Perspectives on Human Security","editor":[{"dropping-particle":"","family":"Eriksen","given":"Thomas Hylland","non-dropping-particle":"","parse-names":false,"suffix":""},{"dropping-particle":"","family":"Bal","given":"Ellen","non-dropping-particle":"","parse-names":false,"suffix":""},{"dropping-particle":"","family":"Salemink","given":"Oscar","non-dropping-particle":"","parse-names":false,"suffix":""}],"id":"ITEM-1","issued":{"date-parts":[["2010"]]},"page":"66-88","publisher":"Pluto Press","publisher-place":"London, UK","title":"Flexible migrants. Brazilian gold miners and their quest for human security in Surinam","type":"chapter"},"uris":["http://www.mendeley.com/documents/?uuid=a0fe66b5-a57d-46fa-a5b9-03db4e85f100"]}],"mendeley":{"formattedCitation":"(De Theije &amp; Bal, 2010)","plainTextFormattedCitation":"(De Theije &amp; Bal, 2010)","previouslyFormattedCitation":"(De Theije &amp; Bal, 2010)"},"properties":{"noteIndex":0},"schema":"https://github.com/citation-style-language/schema/raw/master/csl-citation.json"}</w:instrText>
      </w:r>
      <w:r w:rsidR="003F1274" w:rsidRPr="004E053C">
        <w:rPr>
          <w:rFonts w:cstheme="majorHAnsi"/>
          <w:sz w:val="22"/>
          <w:szCs w:val="22"/>
          <w:lang w:val="en-GB"/>
        </w:rPr>
        <w:fldChar w:fldCharType="separate"/>
      </w:r>
      <w:r w:rsidR="003F1274" w:rsidRPr="004E053C">
        <w:rPr>
          <w:rFonts w:cstheme="majorHAnsi"/>
          <w:noProof/>
          <w:sz w:val="22"/>
          <w:szCs w:val="22"/>
          <w:lang w:val="en-GB"/>
        </w:rPr>
        <w:t>(De Theije &amp; Bal, 2010)</w:t>
      </w:r>
      <w:r w:rsidR="003F1274" w:rsidRPr="004E053C">
        <w:rPr>
          <w:rFonts w:cstheme="majorHAnsi"/>
          <w:sz w:val="22"/>
          <w:szCs w:val="22"/>
          <w:lang w:val="en-GB"/>
        </w:rPr>
        <w:fldChar w:fldCharType="end"/>
      </w:r>
      <w:r w:rsidRPr="004E053C">
        <w:rPr>
          <w:rFonts w:cstheme="majorHAnsi"/>
          <w:sz w:val="22"/>
          <w:szCs w:val="22"/>
          <w:lang w:val="en-GB"/>
        </w:rPr>
        <w:t xml:space="preserve">, thus making it easier to maintain a translocal livelihood in recent years. One of the older miners explained that when he first travelled to the Madre de Dios in the early 1980’s, he told his girlfriend that he would return in six months but had no way of contacting her throughout that time. Fortunately, she waited for him and when he finally returned home they decided to both move to Laberinto together. The frequency of visits also helps. For example, </w:t>
      </w:r>
      <w:r w:rsidR="001B115B" w:rsidRPr="004E053C">
        <w:rPr>
          <w:rFonts w:cstheme="majorHAnsi"/>
          <w:sz w:val="22"/>
          <w:szCs w:val="22"/>
          <w:lang w:val="en-GB"/>
        </w:rPr>
        <w:t>Ana</w:t>
      </w:r>
      <w:r w:rsidRPr="004E053C">
        <w:rPr>
          <w:rFonts w:cstheme="majorHAnsi"/>
          <w:sz w:val="22"/>
          <w:szCs w:val="22"/>
          <w:lang w:val="en-GB"/>
        </w:rPr>
        <w:t xml:space="preserve"> explained that even though she no longer works in the mining are with her husband, there are no changes in their relationship because he came back every two weeks to see their children and phones them almost every day. This has obviously become easier with improvements in technology bu</w:t>
      </w:r>
      <w:r w:rsidR="008F5D01" w:rsidRPr="004E053C">
        <w:rPr>
          <w:rFonts w:cstheme="majorHAnsi"/>
          <w:sz w:val="22"/>
          <w:szCs w:val="22"/>
          <w:lang w:val="en-GB"/>
        </w:rPr>
        <w:t>t also the construction of the Interoceanic H</w:t>
      </w:r>
      <w:r w:rsidRPr="004E053C">
        <w:rPr>
          <w:rFonts w:cstheme="majorHAnsi"/>
          <w:sz w:val="22"/>
          <w:szCs w:val="22"/>
          <w:lang w:val="en-GB"/>
        </w:rPr>
        <w:t xml:space="preserve">ighway, which means travel to La Pampa now only takes 6-8 hours. </w:t>
      </w:r>
    </w:p>
    <w:p w14:paraId="39F46F73" w14:textId="77777777" w:rsidR="00F2183E" w:rsidRPr="004E053C" w:rsidRDefault="00F2183E" w:rsidP="004E053C">
      <w:pPr>
        <w:spacing w:line="360" w:lineRule="auto"/>
        <w:jc w:val="both"/>
        <w:rPr>
          <w:rFonts w:cstheme="majorHAnsi"/>
          <w:sz w:val="22"/>
          <w:szCs w:val="22"/>
          <w:lang w:val="en-GB"/>
        </w:rPr>
      </w:pPr>
    </w:p>
    <w:p w14:paraId="71645C66" w14:textId="0ADBFD58" w:rsidR="00F2183E" w:rsidRPr="004E053C" w:rsidRDefault="00F2183E" w:rsidP="004E053C">
      <w:pPr>
        <w:pStyle w:val="CommentText"/>
        <w:spacing w:line="360" w:lineRule="auto"/>
        <w:jc w:val="both"/>
        <w:rPr>
          <w:rFonts w:cstheme="majorHAnsi"/>
          <w:sz w:val="22"/>
          <w:szCs w:val="22"/>
          <w:lang w:val="en-GB"/>
        </w:rPr>
      </w:pPr>
      <w:r w:rsidRPr="004E053C">
        <w:rPr>
          <w:rFonts w:cstheme="majorHAnsi"/>
          <w:sz w:val="22"/>
          <w:szCs w:val="22"/>
          <w:lang w:val="en-GB"/>
        </w:rPr>
        <w:t xml:space="preserve">Good communication is key for maintaining marital relationships that are conducted across space and is also crucial for the successful implementation of a translocal livelihood strategy such as ASM. It is the communication channels that flow between the various sites in the translocal community that enable migrants to keep up an active orientation towards home </w:t>
      </w:r>
      <w:r w:rsidR="003F1274"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context","type":"article-journal","volume":"87"},"uris":["http://www.mendeley.com/documents/?uuid=7cce9b74-a4c7-4bac-9677-fb4af5167fab"]}],"mendeley":{"formattedCitation":"(B Lohnert &amp; Steinbrink, 2005)","manualFormatting":"(Lohnert &amp; Steinbrink, 2005)","plainTextFormattedCitation":"(B Lohnert &amp; Steinbrink, 2005)","previouslyFormattedCitation":"(B Lohnert &amp; Steinbrink, 2005)"},"properties":{"noteIndex":0},"schema":"https://github.com/citation-style-language/schema/raw/master/csl-citation.json"}</w:instrText>
      </w:r>
      <w:r w:rsidR="003F1274" w:rsidRPr="004E053C">
        <w:rPr>
          <w:rFonts w:cstheme="majorHAnsi"/>
          <w:sz w:val="22"/>
          <w:szCs w:val="22"/>
          <w:lang w:val="en-GB"/>
        </w:rPr>
        <w:fldChar w:fldCharType="separate"/>
      </w:r>
      <w:r w:rsidR="003F1274" w:rsidRPr="004E053C">
        <w:rPr>
          <w:rFonts w:cstheme="majorHAnsi"/>
          <w:noProof/>
          <w:sz w:val="22"/>
          <w:szCs w:val="22"/>
          <w:lang w:val="en-GB"/>
        </w:rPr>
        <w:t>(Lohnert &amp; Steinbrink, 2005)</w:t>
      </w:r>
      <w:r w:rsidR="003F1274" w:rsidRPr="004E053C">
        <w:rPr>
          <w:rFonts w:cstheme="majorHAnsi"/>
          <w:sz w:val="22"/>
          <w:szCs w:val="22"/>
          <w:lang w:val="en-GB"/>
        </w:rPr>
        <w:fldChar w:fldCharType="end"/>
      </w:r>
      <w:r w:rsidRPr="004E053C">
        <w:rPr>
          <w:rFonts w:cstheme="majorHAnsi"/>
          <w:sz w:val="22"/>
          <w:szCs w:val="22"/>
          <w:lang w:val="en-GB"/>
        </w:rPr>
        <w:t xml:space="preserve">. In keeping their husbands connected to the </w:t>
      </w:r>
      <w:r w:rsidRPr="004E053C">
        <w:rPr>
          <w:rFonts w:cstheme="majorHAnsi"/>
          <w:color w:val="211E1E"/>
          <w:sz w:val="22"/>
          <w:szCs w:val="22"/>
          <w:lang w:val="en-GB"/>
        </w:rPr>
        <w:t xml:space="preserve">immobile members of the local population, women </w:t>
      </w:r>
      <w:r w:rsidRPr="004E053C">
        <w:rPr>
          <w:rFonts w:cstheme="majorHAnsi"/>
          <w:color w:val="211E1E"/>
          <w:sz w:val="22"/>
          <w:szCs w:val="22"/>
          <w:lang w:val="en-GB"/>
        </w:rPr>
        <w:lastRenderedPageBreak/>
        <w:t xml:space="preserve">effectively facilitate maintenance of their attachment to the place of origin. </w:t>
      </w:r>
      <w:r w:rsidRPr="004E053C">
        <w:rPr>
          <w:rFonts w:cstheme="majorHAnsi"/>
          <w:sz w:val="22"/>
          <w:szCs w:val="22"/>
          <w:lang w:val="en-GB"/>
        </w:rPr>
        <w:t>Furthermore, through these everyday actions of communication, including frequent visits, phone calls and, more recently, whatsapp messaging, women actively contribute to the formation and maintenance of the translocal community. The language used in this communication is also important however, and reality can be easily misrepresented. For example, while it was clear that women in Ocongate knew about the illegal nature of mining activity, many of them seemed less clear about the crime and violence endemic in the area unless they had previously worked there themselves. This is interesting, as it suggests that the men may hide the level of danger in the mining areas from the wives. Thus, while communication is essential for maintaining a translocal household, that communication may not be entirely truthful. This is particularly true when working in illicit livelihoods that carry a lot of risk and may cause other household members to either worry or reassess the appropriateness of engagement in the livelihood activity.</w:t>
      </w:r>
    </w:p>
    <w:p w14:paraId="3239BC27" w14:textId="77777777" w:rsidR="00F2183E" w:rsidRPr="004E053C" w:rsidRDefault="00F2183E" w:rsidP="004E053C">
      <w:pPr>
        <w:pStyle w:val="CommentText"/>
        <w:spacing w:line="360" w:lineRule="auto"/>
        <w:jc w:val="both"/>
        <w:rPr>
          <w:rFonts w:cstheme="majorHAnsi"/>
          <w:sz w:val="22"/>
          <w:szCs w:val="22"/>
          <w:lang w:val="en-GB"/>
        </w:rPr>
      </w:pPr>
    </w:p>
    <w:p w14:paraId="6BF3EAD3" w14:textId="6BDCC723" w:rsidR="00F2183E" w:rsidRPr="004E053C" w:rsidRDefault="00EA7F83" w:rsidP="004E053C">
      <w:pPr>
        <w:pStyle w:val="Heading3"/>
        <w:rPr>
          <w:rFonts w:asciiTheme="minorHAnsi" w:hAnsiTheme="minorHAnsi"/>
        </w:rPr>
      </w:pPr>
      <w:r w:rsidRPr="004E053C">
        <w:rPr>
          <w:rFonts w:asciiTheme="minorHAnsi" w:hAnsiTheme="minorHAnsi"/>
        </w:rPr>
        <w:t>7</w:t>
      </w:r>
      <w:r w:rsidR="004A3EF1" w:rsidRPr="004E053C">
        <w:rPr>
          <w:rFonts w:asciiTheme="minorHAnsi" w:hAnsiTheme="minorHAnsi"/>
        </w:rPr>
        <w:t>.4.3. Extravagant c</w:t>
      </w:r>
      <w:r w:rsidR="00F2183E" w:rsidRPr="004E053C">
        <w:rPr>
          <w:rFonts w:asciiTheme="minorHAnsi" w:hAnsiTheme="minorHAnsi"/>
        </w:rPr>
        <w:t>onsumptio</w:t>
      </w:r>
      <w:r w:rsidR="004A3EF1" w:rsidRPr="004E053C">
        <w:rPr>
          <w:rFonts w:asciiTheme="minorHAnsi" w:hAnsiTheme="minorHAnsi"/>
        </w:rPr>
        <w:t>n, prostitution and a</w:t>
      </w:r>
      <w:r w:rsidR="00F2183E" w:rsidRPr="004E053C">
        <w:rPr>
          <w:rFonts w:asciiTheme="minorHAnsi" w:hAnsiTheme="minorHAnsi"/>
        </w:rPr>
        <w:t>dultery</w:t>
      </w:r>
    </w:p>
    <w:p w14:paraId="07848582" w14:textId="77777777" w:rsidR="00F2183E" w:rsidRPr="004E053C" w:rsidRDefault="00F2183E" w:rsidP="004E053C">
      <w:pPr>
        <w:spacing w:line="360" w:lineRule="auto"/>
        <w:jc w:val="both"/>
        <w:rPr>
          <w:rFonts w:eastAsia="Times New Roman" w:cstheme="majorHAnsi"/>
          <w:sz w:val="22"/>
          <w:szCs w:val="22"/>
          <w:lang w:val="en-GB"/>
        </w:rPr>
      </w:pPr>
    </w:p>
    <w:p w14:paraId="02029297" w14:textId="7A40C90D" w:rsidR="00F2183E" w:rsidRPr="004E053C" w:rsidRDefault="00F2183E" w:rsidP="004E053C">
      <w:pPr>
        <w:spacing w:line="360" w:lineRule="auto"/>
        <w:jc w:val="both"/>
        <w:rPr>
          <w:rFonts w:cstheme="majorHAnsi"/>
          <w:sz w:val="22"/>
          <w:szCs w:val="22"/>
          <w:lang w:val="en-GB"/>
        </w:rPr>
      </w:pPr>
      <w:r w:rsidRPr="004E053C">
        <w:rPr>
          <w:rFonts w:eastAsia="Times New Roman" w:cstheme="majorHAnsi"/>
          <w:sz w:val="22"/>
          <w:szCs w:val="22"/>
          <w:lang w:val="en-GB"/>
        </w:rPr>
        <w:t>As was outlined in the previous chapter, households often engage in</w:t>
      </w:r>
      <w:r w:rsidRPr="004E053C">
        <w:rPr>
          <w:rFonts w:cstheme="majorHAnsi"/>
          <w:sz w:val="22"/>
          <w:szCs w:val="22"/>
          <w:lang w:val="en-GB"/>
        </w:rPr>
        <w:t xml:space="preserve"> ASM as a route out of poverty, and those who are able to save enough often invest in new business opportunities to further diversify their income sources. However, although the prospects for such investments may encourage households to engage in a translocal ASM livelihood, remittance levels are not guaranteed. One of the key problems is the tendency of men working in ASM to engage in conspicuous spending patterns with their fellow miners. </w:t>
      </w:r>
      <w:r w:rsidRPr="004E053C">
        <w:rPr>
          <w:rFonts w:eastAsia="Times New Roman" w:cstheme="majorHAnsi"/>
          <w:sz w:val="22"/>
          <w:szCs w:val="22"/>
          <w:lang w:val="en-GB"/>
        </w:rPr>
        <w:t xml:space="preserve">As discussed in chapter 2 of this thesis, men working in ASM often bond through socialising in bars and collective spending on extravagant consumables, such as alcohol and prostitutes </w:t>
      </w:r>
      <w:r w:rsidR="003F1274"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town","type":"article-journal","volume":"30"},"uris":["http://www.mendeley.com/documents/?uuid=e221bdbc-373c-4a27-aef2-b563e761557e"]},{"id":"ITEM-2","itemData":{"abstract":"The article addresses friendship relations among male artisanal gold miners in West Africa, exemplified by case studies from Northern Benin. I will argue that friendship is an important element in understanding the fluid social configurations in the mining region. In the new social environment, immigrants develop new ties among themselves and to the local societies. I will explore the general logic of friendship bonds in that area and discuss their integrative strength as well as their limits. In the context of gold mining, strategies of economic as well as social risk minimisation incline many migrants to create friendship bonds. Parity in income sharing is more likely to be established among friends than among kinsmen. Friendship is specifically relevant to integrate people of very different regional, ethnic and social backgrounds. Despite the many divergent interests between different economic actors, locals and immigrants, there are multiple bonds which give rise to different levels of social integration","author":[{"dropping-particle":"","family":"Grätz","given":"Tilo","non-dropping-particle":"","parse-names":false,"suffix":""}],"container-title":"Africa Spectrum","id":"ITEM-2","issue":"1","issued":{"date-parts":[["2004"]]},"page":"95-117","title":"Friendship ties among young artisanal gold miners in northern Benin","type":"article-journal","volume":"39"},"uris":["http://www.mendeley.com/documents/?uuid=631c2928-d206-4553-9dc8-cdef02d54887"]}],"mendeley":{"formattedCitation":"(Grätz, 2004a; Walsh, 2003)","plainTextFormattedCitation":"(Grätz, 2004a; Walsh, 2003)","previouslyFormattedCitation":"(Grätz, 2004a; Walsh, 2003)"},"properties":{"noteIndex":0},"schema":"https://github.com/citation-style-language/schema/raw/master/csl-citation.json"}</w:instrText>
      </w:r>
      <w:r w:rsidR="003F1274" w:rsidRPr="004E053C">
        <w:rPr>
          <w:rFonts w:eastAsia="Times New Roman" w:cstheme="majorHAnsi"/>
          <w:sz w:val="22"/>
          <w:szCs w:val="22"/>
          <w:lang w:val="en-GB"/>
        </w:rPr>
        <w:fldChar w:fldCharType="separate"/>
      </w:r>
      <w:r w:rsidR="003F1274" w:rsidRPr="004E053C">
        <w:rPr>
          <w:rFonts w:eastAsia="Times New Roman" w:cstheme="majorHAnsi"/>
          <w:noProof/>
          <w:sz w:val="22"/>
          <w:szCs w:val="22"/>
          <w:lang w:val="en-GB"/>
        </w:rPr>
        <w:t>(Grätz, 2004a; Walsh, 2003)</w:t>
      </w:r>
      <w:r w:rsidR="003F1274"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w:t>
      </w:r>
      <w:r w:rsidRPr="004E053C">
        <w:rPr>
          <w:rFonts w:cstheme="majorHAnsi"/>
          <w:sz w:val="22"/>
          <w:szCs w:val="22"/>
          <w:lang w:val="en-GB"/>
        </w:rPr>
        <w:t xml:space="preserve">The purpose of this section is not to consider why men in ASM communities engage in this behaviour, as the literature has previously drawn links to its role in building social relationships </w:t>
      </w:r>
      <w:r w:rsidR="003F1274"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{"citationItems":[{"id":"ITEM-1","itemData":{"abstract":"The article addresses friendship relations among male artisanal gold miners in West Africa, exemplified by case studies from Northern Benin. I will argue that friendship is an important element in understanding the fluid social configurations in the mining region. In the new social environment, immigrants develop new ties among themselves and to the local societies. I will explore the general logic of friendship bonds in that area and discuss their integrative strength as well as their limits. In the context of gold mining, strategies of economic as well as social risk minimisation incline many migrants to create friendship bonds. Parity in income sharing is more likely to be established among friends than among kinsmen. Friendship is specifically relevant to integrate people of very different regional, ethnic and social backgrounds. Despite the many divergent interests between different economic actors, locals and immigrants, there are multiple bonds which give rise to different levels of social integration","author":[{"dropping-particle":"","family":"Grätz","given":"Tilo","non-dropping-particle":"","parse-names":false,"suffix":""}],"container-title":"Africa Spectrum","id":"ITEM-1","issue":"1","issued":{"date-parts":[["2004"]]},"page":"95-117","title":"Friendship ties among young artisanal gold miners in northern Benin","type":"article-journal","volume":"39"},"uris":["http://www.mendeley.com/documents/?uuid=631c2928-d206-4553-9dc8-cdef02d54887"]}],"mendeley":{"formattedCitation":"(Grätz, 2004a)","plainTextFormattedCitation":"(Grätz, 2004a)","previouslyFormattedCitation":"(Grätz, 2004a)"},"properties":{"noteIndex":0},"schema":"https://github.com/citation-style-language/schema/raw/master/csl-citation.json"}</w:instrText>
      </w:r>
      <w:r w:rsidR="003F1274" w:rsidRPr="004E053C">
        <w:rPr>
          <w:rFonts w:cstheme="majorHAnsi"/>
          <w:sz w:val="22"/>
          <w:szCs w:val="22"/>
          <w:lang w:val="en-GB"/>
        </w:rPr>
        <w:fldChar w:fldCharType="separate"/>
      </w:r>
      <w:r w:rsidR="003F1274" w:rsidRPr="004E053C">
        <w:rPr>
          <w:rFonts w:cstheme="majorHAnsi"/>
          <w:noProof/>
          <w:sz w:val="22"/>
          <w:szCs w:val="22"/>
          <w:lang w:val="en-GB"/>
        </w:rPr>
        <w:t>(Grätz, 2004a)</w:t>
      </w:r>
      <w:r w:rsidR="003F1274" w:rsidRPr="004E053C">
        <w:rPr>
          <w:rFonts w:cstheme="majorHAnsi"/>
          <w:sz w:val="22"/>
          <w:szCs w:val="22"/>
          <w:lang w:val="en-GB"/>
        </w:rPr>
        <w:fldChar w:fldCharType="end"/>
      </w:r>
      <w:r w:rsidRPr="004E053C">
        <w:rPr>
          <w:rFonts w:cstheme="majorHAnsi"/>
          <w:sz w:val="22"/>
          <w:szCs w:val="22"/>
          <w:lang w:val="en-GB"/>
        </w:rPr>
        <w:t xml:space="preserve">, rejecting traditional authority </w:t>
      </w:r>
      <w:r w:rsidR="003F1274" w:rsidRPr="004E053C">
        <w:rPr>
          <w:rFonts w:cstheme="majorHAnsi"/>
          <w:sz w:val="22"/>
          <w:szCs w:val="22"/>
          <w:lang w:val="en-GB"/>
        </w:rPr>
        <w:fldChar w:fldCharType="begin" w:fldLock="1"/>
      </w:r>
      <w:r w:rsidR="003F1274" w:rsidRPr="004E053C">
        <w:rPr>
          <w:rFonts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town","type":"article-journal","volume":"30"},"uris":["http://www.mendeley.com/documents/?uuid=e221bdbc-373c-4a27-aef2-b563e761557e"]}],"mendeley":{"formattedCitation":"(Walsh, 2003)","plainTextFormattedCitation":"(Walsh, 2003)","previouslyFormattedCitation":"(Walsh, 2003)"},"properties":{"noteIndex":0},"schema":"https://github.com/citation-style-language/schema/raw/master/csl-citation.json"}</w:instrText>
      </w:r>
      <w:r w:rsidR="003F1274" w:rsidRPr="004E053C">
        <w:rPr>
          <w:rFonts w:cstheme="majorHAnsi"/>
          <w:sz w:val="22"/>
          <w:szCs w:val="22"/>
          <w:lang w:val="en-GB"/>
        </w:rPr>
        <w:fldChar w:fldCharType="separate"/>
      </w:r>
      <w:r w:rsidR="003F1274" w:rsidRPr="004E053C">
        <w:rPr>
          <w:rFonts w:cstheme="majorHAnsi"/>
          <w:noProof/>
          <w:sz w:val="22"/>
          <w:szCs w:val="22"/>
          <w:lang w:val="en-GB"/>
        </w:rPr>
        <w:t>(Walsh, 2003)</w:t>
      </w:r>
      <w:r w:rsidR="003F1274" w:rsidRPr="004E053C">
        <w:rPr>
          <w:rFonts w:cstheme="majorHAnsi"/>
          <w:sz w:val="22"/>
          <w:szCs w:val="22"/>
          <w:lang w:val="en-GB"/>
        </w:rPr>
        <w:fldChar w:fldCharType="end"/>
      </w:r>
      <w:r w:rsidRPr="004E053C">
        <w:rPr>
          <w:rFonts w:cstheme="majorHAnsi"/>
          <w:sz w:val="22"/>
          <w:szCs w:val="22"/>
          <w:lang w:val="en-GB"/>
        </w:rPr>
        <w:t xml:space="preserve"> and rebelling against patterns of global repression </w:t>
      </w:r>
      <w:r w:rsidR="003F1274"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{"citationItems":[{"id":"ITEM-1","itemData":{"author":[{"dropping-particle":"","family":"Boeck","given":"Filip","non-dropping-particle":"De","parse-names":false,"suffix":""}],"chapter-number":"8","container-title":"Globalization and Identity: Dialectics of Flow and Closure","id":"ITEM-1","issued":{"date-parts":[["1998"]]},"page":"177-210","publisher":"Blackwell Publishers","publisher-place":"Oxford","title":"Domesticating Diamonds and Dollars: Identity, Expenditure and Sharing in Southwestern Zaire (1984-1997)","type":"chapter"},"uris":["http://www.mendeley.com/documents/?uuid=a17c0819-d02e-34b6-8968-2c6b6f095216"]}],"mendeley":{"formattedCitation":"(De Boeck, 1998)","plainTextFormattedCitation":"(De Boeck, 1998)","previouslyFormattedCitation":"(De Boeck, 1998)"},"properties":{"noteIndex":0},"schema":"https://github.com/citation-style-language/schema/raw/master/csl-citation.json"}</w:instrText>
      </w:r>
      <w:r w:rsidR="003F1274" w:rsidRPr="004E053C">
        <w:rPr>
          <w:rFonts w:cstheme="majorHAnsi"/>
          <w:sz w:val="22"/>
          <w:szCs w:val="22"/>
          <w:lang w:val="en-GB"/>
        </w:rPr>
        <w:fldChar w:fldCharType="separate"/>
      </w:r>
      <w:r w:rsidR="007A757C" w:rsidRPr="004E053C">
        <w:rPr>
          <w:rFonts w:cstheme="majorHAnsi"/>
          <w:noProof/>
          <w:sz w:val="22"/>
          <w:szCs w:val="22"/>
          <w:lang w:val="en-GB"/>
        </w:rPr>
        <w:t>(De Boeck, 1998)</w:t>
      </w:r>
      <w:r w:rsidR="003F1274" w:rsidRPr="004E053C">
        <w:rPr>
          <w:rFonts w:cstheme="majorHAnsi"/>
          <w:sz w:val="22"/>
          <w:szCs w:val="22"/>
          <w:lang w:val="en-GB"/>
        </w:rPr>
        <w:fldChar w:fldCharType="end"/>
      </w:r>
      <w:r w:rsidRPr="004E053C">
        <w:rPr>
          <w:rFonts w:cstheme="majorHAnsi"/>
          <w:sz w:val="22"/>
          <w:szCs w:val="22"/>
          <w:lang w:val="en-GB"/>
        </w:rPr>
        <w:t xml:space="preserve">. Instead, by applying a translocal livelihood lens, this section broadens the analysis to consider the impact of this </w:t>
      </w:r>
      <w:r w:rsidR="008C68C5" w:rsidRPr="004E053C">
        <w:rPr>
          <w:rFonts w:cstheme="majorHAnsi"/>
          <w:sz w:val="22"/>
          <w:szCs w:val="22"/>
          <w:lang w:val="en-GB"/>
        </w:rPr>
        <w:t>behaviour</w:t>
      </w:r>
      <w:r w:rsidRPr="004E053C">
        <w:rPr>
          <w:rFonts w:cstheme="majorHAnsi"/>
          <w:sz w:val="22"/>
          <w:szCs w:val="22"/>
          <w:lang w:val="en-GB"/>
        </w:rPr>
        <w:t xml:space="preserve"> on both the household and the wider translocal community.  </w:t>
      </w:r>
    </w:p>
    <w:p w14:paraId="37BE4D79" w14:textId="77777777" w:rsidR="00F2183E" w:rsidRPr="004E053C" w:rsidRDefault="00F2183E" w:rsidP="004E053C">
      <w:pPr>
        <w:spacing w:line="360" w:lineRule="auto"/>
        <w:jc w:val="both"/>
        <w:rPr>
          <w:rFonts w:cstheme="majorHAnsi"/>
          <w:sz w:val="22"/>
          <w:szCs w:val="22"/>
          <w:lang w:val="en-GB"/>
        </w:rPr>
      </w:pPr>
    </w:p>
    <w:p w14:paraId="1AAEF1A7" w14:textId="4276D5DA" w:rsidR="00F2183E" w:rsidRPr="004E053C" w:rsidRDefault="00F16371" w:rsidP="004E053C">
      <w:pPr>
        <w:spacing w:line="360" w:lineRule="auto"/>
        <w:jc w:val="both"/>
        <w:rPr>
          <w:rFonts w:cstheme="majorHAnsi"/>
          <w:sz w:val="22"/>
          <w:szCs w:val="22"/>
          <w:lang w:val="en-GB"/>
        </w:rPr>
      </w:pPr>
      <w:r w:rsidRPr="004E053C">
        <w:rPr>
          <w:rFonts w:eastAsia="Times New Roman" w:cstheme="majorHAnsi"/>
          <w:sz w:val="22"/>
          <w:szCs w:val="22"/>
          <w:lang w:val="en-GB"/>
        </w:rPr>
        <w:t>Chapter 6</w:t>
      </w:r>
      <w:r w:rsidR="00F2183E" w:rsidRPr="004E053C">
        <w:rPr>
          <w:rFonts w:eastAsia="Times New Roman" w:cstheme="majorHAnsi"/>
          <w:sz w:val="22"/>
          <w:szCs w:val="22"/>
          <w:lang w:val="en-GB"/>
        </w:rPr>
        <w:t xml:space="preserve"> showed how these patterns of behaviour are observable in Laberinto and the other mining settlements in La Pampa. One of the main ways men build social relationships in an unfamiliar environment is through drinking with other miners. One of the miners explained that </w:t>
      </w:r>
      <w:r w:rsidR="00F2183E" w:rsidRPr="004E053C">
        <w:rPr>
          <w:rFonts w:cstheme="majorHAnsi"/>
          <w:sz w:val="22"/>
          <w:szCs w:val="22"/>
          <w:lang w:val="en-GB"/>
        </w:rPr>
        <w:t xml:space="preserve">ASM communities are notorious for what he referred to as </w:t>
      </w:r>
      <w:r w:rsidR="003B5DCB" w:rsidRPr="004E053C">
        <w:rPr>
          <w:rFonts w:cstheme="majorHAnsi"/>
          <w:sz w:val="22"/>
          <w:szCs w:val="22"/>
          <w:lang w:val="en-GB"/>
        </w:rPr>
        <w:t>‘bad fun’</w:t>
      </w:r>
      <w:r w:rsidR="00F2183E" w:rsidRPr="004E053C">
        <w:rPr>
          <w:rFonts w:cstheme="majorHAnsi"/>
          <w:sz w:val="22"/>
          <w:szCs w:val="22"/>
          <w:lang w:val="en-GB"/>
        </w:rPr>
        <w:t xml:space="preserve"> – clubs, bars, alcohol and prostitutes – and for the variety of reasons outlined above, men spend money on these things while they are </w:t>
      </w:r>
      <w:r w:rsidR="00F2183E" w:rsidRPr="004E053C">
        <w:rPr>
          <w:rFonts w:cstheme="majorHAnsi"/>
          <w:sz w:val="22"/>
          <w:szCs w:val="22"/>
          <w:lang w:val="en-GB"/>
        </w:rPr>
        <w:lastRenderedPageBreak/>
        <w:t xml:space="preserve">socialising and attempting to make friends. This is reflected in the experiences of the miners in Laberinto. </w:t>
      </w:r>
    </w:p>
    <w:p w14:paraId="44796437" w14:textId="77777777" w:rsidR="00F2183E" w:rsidRPr="004E053C" w:rsidRDefault="00F2183E" w:rsidP="004E053C">
      <w:pPr>
        <w:spacing w:line="360" w:lineRule="auto"/>
        <w:jc w:val="both"/>
        <w:rPr>
          <w:rFonts w:cstheme="majorHAnsi"/>
          <w:sz w:val="22"/>
          <w:szCs w:val="22"/>
          <w:lang w:val="en-GB"/>
        </w:rPr>
      </w:pPr>
    </w:p>
    <w:p w14:paraId="000675F0" w14:textId="475B0725" w:rsidR="00F2183E" w:rsidRPr="004E053C" w:rsidRDefault="003B5DCB" w:rsidP="004E053C">
      <w:pPr>
        <w:ind w:left="720"/>
        <w:jc w:val="both"/>
        <w:rPr>
          <w:rFonts w:cstheme="majorHAnsi"/>
          <w:sz w:val="22"/>
          <w:szCs w:val="22"/>
          <w:lang w:val="en-GB"/>
        </w:rPr>
      </w:pPr>
      <w:r w:rsidRPr="004E053C">
        <w:rPr>
          <w:rFonts w:cstheme="majorHAnsi"/>
          <w:sz w:val="22"/>
          <w:szCs w:val="22"/>
          <w:lang w:val="en-GB"/>
        </w:rPr>
        <w:t>‘</w:t>
      </w:r>
      <w:r w:rsidR="00F2183E" w:rsidRPr="004E053C">
        <w:rPr>
          <w:rFonts w:cstheme="majorHAnsi"/>
          <w:i/>
          <w:sz w:val="22"/>
          <w:szCs w:val="22"/>
          <w:lang w:val="en-GB"/>
        </w:rPr>
        <w:t>I worked (in La Pampa) for three years, but I didn’t save anything because I wasn’t doing things well and there are a lot of girls there so you spend a lot of money on them and on alcohol</w:t>
      </w:r>
      <w:r w:rsidRPr="004E053C">
        <w:rPr>
          <w:rFonts w:cstheme="majorHAnsi"/>
          <w:sz w:val="22"/>
          <w:szCs w:val="22"/>
          <w:lang w:val="en-GB"/>
        </w:rPr>
        <w:t>’</w:t>
      </w:r>
      <w:r w:rsidR="00F2183E" w:rsidRPr="004E053C">
        <w:rPr>
          <w:rFonts w:cstheme="majorHAnsi"/>
          <w:sz w:val="22"/>
          <w:szCs w:val="22"/>
          <w:lang w:val="en-GB"/>
        </w:rPr>
        <w:t xml:space="preserve"> (</w:t>
      </w:r>
      <w:r w:rsidR="00EA7F80" w:rsidRPr="004E053C">
        <w:rPr>
          <w:rFonts w:cstheme="majorHAnsi"/>
          <w:sz w:val="22"/>
          <w:szCs w:val="22"/>
          <w:lang w:val="en-GB"/>
        </w:rPr>
        <w:t>Jorge</w:t>
      </w:r>
      <w:r w:rsidR="00F2183E" w:rsidRPr="004E053C">
        <w:rPr>
          <w:rFonts w:cstheme="majorHAnsi"/>
          <w:sz w:val="22"/>
          <w:szCs w:val="22"/>
          <w:lang w:val="en-GB"/>
        </w:rPr>
        <w:t>, Laberinto).</w:t>
      </w:r>
    </w:p>
    <w:p w14:paraId="12E73781" w14:textId="77777777" w:rsidR="00F2183E" w:rsidRPr="004E053C" w:rsidRDefault="00F2183E" w:rsidP="004E053C">
      <w:pPr>
        <w:spacing w:line="360" w:lineRule="auto"/>
        <w:jc w:val="both"/>
        <w:rPr>
          <w:rFonts w:cstheme="majorHAnsi"/>
          <w:sz w:val="22"/>
          <w:szCs w:val="22"/>
          <w:lang w:val="en-GB"/>
        </w:rPr>
      </w:pPr>
    </w:p>
    <w:p w14:paraId="4B4915FF" w14:textId="56FC8F90" w:rsidR="00F2183E" w:rsidRPr="004E053C" w:rsidRDefault="00F2183E"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This is not to say that all men in ASM communities are forced to behave in this way. There are some examples of male miners actively avoiding participation. One miner who worked in Laberinto explained that he lived in a very small place down river called Boca Amigo as it was free from the temptations that existed in the bigger mining settlements. This allowed him to save more money. Also, although in the quote above, </w:t>
      </w:r>
      <w:r w:rsidR="00EA7F80" w:rsidRPr="004E053C">
        <w:rPr>
          <w:rFonts w:cstheme="majorHAnsi"/>
          <w:sz w:val="22"/>
          <w:szCs w:val="22"/>
          <w:lang w:val="en-GB"/>
        </w:rPr>
        <w:t>Jorge</w:t>
      </w:r>
      <w:r w:rsidRPr="004E053C">
        <w:rPr>
          <w:rFonts w:cstheme="majorHAnsi"/>
          <w:sz w:val="22"/>
          <w:szCs w:val="22"/>
          <w:lang w:val="en-GB"/>
        </w:rPr>
        <w:t xml:space="preserve"> explained how when he worked in La Pampa he had spent too much money, he had decided to return to work in Laberinto after his girlfriend became pregnant so he could get away from these problems and save money. This is important to remember, as many migrant men do </w:t>
      </w:r>
      <w:r w:rsidR="00D3785B" w:rsidRPr="004E053C">
        <w:rPr>
          <w:rFonts w:cstheme="majorHAnsi"/>
          <w:sz w:val="22"/>
          <w:szCs w:val="22"/>
          <w:lang w:val="en-GB"/>
        </w:rPr>
        <w:t>fulfil</w:t>
      </w:r>
      <w:r w:rsidRPr="004E053C">
        <w:rPr>
          <w:rFonts w:cstheme="majorHAnsi"/>
          <w:sz w:val="22"/>
          <w:szCs w:val="22"/>
          <w:lang w:val="en-GB"/>
        </w:rPr>
        <w:t xml:space="preserve"> their expected roles and save money to provide for their children </w:t>
      </w:r>
      <w:r w:rsidR="00830084" w:rsidRPr="004E053C">
        <w:rPr>
          <w:rFonts w:cstheme="majorHAnsi"/>
          <w:sz w:val="22"/>
          <w:szCs w:val="22"/>
          <w:lang w:val="en-GB"/>
        </w:rPr>
        <w:fldChar w:fldCharType="begin" w:fldLock="1"/>
      </w:r>
      <w:r w:rsidR="008A1E6F" w:rsidRPr="004E053C">
        <w:rPr>
          <w:rFonts w:cstheme="majorHAnsi"/>
          <w:sz w:val="22"/>
          <w:szCs w:val="22"/>
          <w:lang w:val="en-GB"/>
        </w:rPr>
        <w:instrText>ADDIN CSL_CITATION {"citationItems":[{"id":"ITEM-1","itemData":{"author":[{"dropping-particle":"","family":"Gutmann","given":"M.","non-dropping-particle":"","parse-names":false,"suffix":""}],"id":"ITEM-1","issued":{"date-parts":[["1996"]]},"publisher":"University of California Press","publisher-place":"Berkeley","title":"The Meanings of Macho. Being a Man in Mexico City","type":"book"},"uris":["http://www.mendeley.com/documents/?uuid=5fbdeb14-716d-44ef-b9b9-9054c03af6e4"]}],"mendeley":{"formattedCitation":"(Gutmann, 1996)","plainTextFormattedCitation":"(Gutmann, 1996)","previouslyFormattedCitation":"(Gutmann, 1996)"},"properties":{"noteIndex":0},"schema":"https://github.com/citation-style-language/schema/raw/master/csl-citation.json"}</w:instrText>
      </w:r>
      <w:r w:rsidR="00830084" w:rsidRPr="004E053C">
        <w:rPr>
          <w:rFonts w:cstheme="majorHAnsi"/>
          <w:sz w:val="22"/>
          <w:szCs w:val="22"/>
          <w:lang w:val="en-GB"/>
        </w:rPr>
        <w:fldChar w:fldCharType="separate"/>
      </w:r>
      <w:r w:rsidR="00830084" w:rsidRPr="004E053C">
        <w:rPr>
          <w:rFonts w:cstheme="majorHAnsi"/>
          <w:noProof/>
          <w:sz w:val="22"/>
          <w:szCs w:val="22"/>
          <w:lang w:val="en-GB"/>
        </w:rPr>
        <w:t>(Gutmann, 1996)</w:t>
      </w:r>
      <w:r w:rsidR="00830084" w:rsidRPr="004E053C">
        <w:rPr>
          <w:rFonts w:cstheme="majorHAnsi"/>
          <w:sz w:val="22"/>
          <w:szCs w:val="22"/>
          <w:lang w:val="en-GB"/>
        </w:rPr>
        <w:fldChar w:fldCharType="end"/>
      </w:r>
      <w:r w:rsidRPr="004E053C">
        <w:rPr>
          <w:rFonts w:eastAsia="Times New Roman" w:cstheme="majorHAnsi"/>
          <w:sz w:val="22"/>
          <w:szCs w:val="22"/>
          <w:lang w:val="en-GB"/>
        </w:rPr>
        <w:t xml:space="preserve">. </w:t>
      </w:r>
      <w:r w:rsidRPr="004E053C">
        <w:rPr>
          <w:rFonts w:cstheme="majorHAnsi"/>
          <w:sz w:val="22"/>
          <w:szCs w:val="22"/>
          <w:lang w:val="en-GB"/>
        </w:rPr>
        <w:t>However, as explained above, this section is more focused on the implications of this behaviour for the other family members involved in the translocal livelihood rather than why men do or do not engage in such behaviour.</w:t>
      </w:r>
    </w:p>
    <w:p w14:paraId="4DDDBFBB" w14:textId="77777777" w:rsidR="00F2183E" w:rsidRPr="004E053C" w:rsidRDefault="00F2183E" w:rsidP="004E053C">
      <w:pPr>
        <w:spacing w:line="360" w:lineRule="auto"/>
        <w:jc w:val="both"/>
        <w:rPr>
          <w:rFonts w:cstheme="majorHAnsi"/>
          <w:sz w:val="22"/>
          <w:szCs w:val="22"/>
          <w:lang w:val="en-GB"/>
        </w:rPr>
      </w:pPr>
    </w:p>
    <w:p w14:paraId="4F11465E" w14:textId="5DA76B2D" w:rsidR="00F2183E" w:rsidRPr="004E053C" w:rsidRDefault="00F2183E"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Taking a translocal approach highlights how excessive consumption patterns in mining sites can reduce the level of remittances and decrease standard of living for the members of the household that have remained in the origin community. </w:t>
      </w:r>
      <w:r w:rsidRPr="004E053C">
        <w:rPr>
          <w:rFonts w:eastAsia="Times New Roman" w:cstheme="majorHAnsi"/>
          <w:sz w:val="22"/>
          <w:szCs w:val="22"/>
          <w:lang w:val="en-GB"/>
        </w:rPr>
        <w:t xml:space="preserve">Indeed, several of the female respondents in Ocongate complained that their husband did not send as much money home as they were expecting. For example, </w:t>
      </w:r>
      <w:r w:rsidR="001B115B" w:rsidRPr="004E053C">
        <w:rPr>
          <w:rFonts w:eastAsia="Times New Roman" w:cstheme="majorHAnsi"/>
          <w:sz w:val="22"/>
          <w:szCs w:val="22"/>
          <w:lang w:val="en-GB"/>
        </w:rPr>
        <w:t>Chaska</w:t>
      </w:r>
      <w:r w:rsidRPr="004E053C">
        <w:rPr>
          <w:rFonts w:eastAsia="Times New Roman" w:cstheme="majorHAnsi"/>
          <w:sz w:val="22"/>
          <w:szCs w:val="22"/>
          <w:lang w:val="en-GB"/>
        </w:rPr>
        <w:t xml:space="preserve">’s husband sends her so little money every month that she sometimes goes hungry and although he is supposed to bring the rest home with him, he comes home far less frequently than planned. Similarly, the money </w:t>
      </w:r>
      <w:r w:rsidR="001B115B" w:rsidRPr="004E053C">
        <w:rPr>
          <w:rFonts w:eastAsia="Times New Roman" w:cstheme="majorHAnsi"/>
          <w:sz w:val="22"/>
          <w:szCs w:val="22"/>
          <w:lang w:val="en-GB"/>
        </w:rPr>
        <w:t>Illary</w:t>
      </w:r>
      <w:r w:rsidRPr="004E053C">
        <w:rPr>
          <w:rFonts w:eastAsia="Times New Roman" w:cstheme="majorHAnsi"/>
          <w:sz w:val="22"/>
          <w:szCs w:val="22"/>
          <w:lang w:val="en-GB"/>
        </w:rPr>
        <w:t xml:space="preserve">’s husband sends her is not enough to care for their four children, let alone save to improve their house or invest in a business. He barely comes home to see his family at all. Interestingly, of all the households it is </w:t>
      </w:r>
      <w:r w:rsidR="001B115B" w:rsidRPr="004E053C">
        <w:rPr>
          <w:rFonts w:eastAsia="Times New Roman" w:cstheme="majorHAnsi"/>
          <w:sz w:val="22"/>
          <w:szCs w:val="22"/>
          <w:lang w:val="en-GB"/>
        </w:rPr>
        <w:t>Chaska</w:t>
      </w:r>
      <w:r w:rsidRPr="004E053C">
        <w:rPr>
          <w:rFonts w:eastAsia="Times New Roman" w:cstheme="majorHAnsi"/>
          <w:sz w:val="22"/>
          <w:szCs w:val="22"/>
          <w:lang w:val="en-GB"/>
        </w:rPr>
        <w:t xml:space="preserve"> and </w:t>
      </w:r>
      <w:r w:rsidR="001B115B" w:rsidRPr="004E053C">
        <w:rPr>
          <w:rFonts w:eastAsia="Times New Roman" w:cstheme="majorHAnsi"/>
          <w:sz w:val="22"/>
          <w:szCs w:val="22"/>
          <w:lang w:val="en-GB"/>
        </w:rPr>
        <w:t>Illary</w:t>
      </w:r>
      <w:r w:rsidRPr="004E053C">
        <w:rPr>
          <w:rFonts w:eastAsia="Times New Roman" w:cstheme="majorHAnsi"/>
          <w:sz w:val="22"/>
          <w:szCs w:val="22"/>
          <w:lang w:val="en-GB"/>
        </w:rPr>
        <w:t xml:space="preserve">’s husbands that go to the mine for some of the longest time periods per year. </w:t>
      </w:r>
    </w:p>
    <w:p w14:paraId="64C57164" w14:textId="77777777" w:rsidR="00F2183E" w:rsidRPr="004E053C" w:rsidRDefault="00F2183E" w:rsidP="004E053C">
      <w:pPr>
        <w:spacing w:line="360" w:lineRule="auto"/>
        <w:jc w:val="both"/>
        <w:rPr>
          <w:rFonts w:eastAsia="Times New Roman" w:cstheme="majorHAnsi"/>
          <w:sz w:val="22"/>
          <w:szCs w:val="22"/>
          <w:lang w:val="en-GB"/>
        </w:rPr>
      </w:pPr>
    </w:p>
    <w:p w14:paraId="059C0317" w14:textId="24E8B02E"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Potentially more problematic for households is that much of the </w:t>
      </w:r>
      <w:r w:rsidR="003B5DCB" w:rsidRPr="004E053C">
        <w:rPr>
          <w:rFonts w:eastAsia="Times New Roman" w:cstheme="majorHAnsi"/>
          <w:sz w:val="22"/>
          <w:szCs w:val="22"/>
          <w:lang w:val="en-GB"/>
        </w:rPr>
        <w:t>extravagant consumption</w:t>
      </w:r>
      <w:r w:rsidRPr="004E053C">
        <w:rPr>
          <w:rFonts w:eastAsia="Times New Roman" w:cstheme="majorHAnsi"/>
          <w:sz w:val="22"/>
          <w:szCs w:val="22"/>
          <w:lang w:val="en-GB"/>
        </w:rPr>
        <w:t xml:space="preserve"> involves spending a lot of time in bars where there are lots</w:t>
      </w:r>
      <w:r w:rsidR="00130A52">
        <w:rPr>
          <w:rFonts w:eastAsia="Times New Roman" w:cstheme="majorHAnsi"/>
          <w:sz w:val="22"/>
          <w:szCs w:val="22"/>
          <w:lang w:val="en-GB"/>
        </w:rPr>
        <w:t xml:space="preserve"> of women, many of whom are sex </w:t>
      </w:r>
      <w:r w:rsidRPr="004E053C">
        <w:rPr>
          <w:rFonts w:eastAsia="Times New Roman" w:cstheme="majorHAnsi"/>
          <w:sz w:val="22"/>
          <w:szCs w:val="22"/>
          <w:lang w:val="en-GB"/>
        </w:rPr>
        <w:t xml:space="preserve">workers. During an interview in Ocongate with </w:t>
      </w:r>
      <w:r w:rsidRPr="004E053C">
        <w:rPr>
          <w:rFonts w:cstheme="majorHAnsi"/>
          <w:sz w:val="22"/>
          <w:szCs w:val="22"/>
          <w:lang w:val="en-GB"/>
        </w:rPr>
        <w:t xml:space="preserve">Tomasa, who had previously worked in La Pampa, she discussed how the men and women there get very drunk together and that there is a lot of prostitution. She said that in some cases this had resulted in men abandoning their families and not </w:t>
      </w:r>
      <w:r w:rsidRPr="004E053C">
        <w:rPr>
          <w:rFonts w:cstheme="majorHAnsi"/>
          <w:sz w:val="22"/>
          <w:szCs w:val="22"/>
          <w:lang w:val="en-GB"/>
        </w:rPr>
        <w:lastRenderedPageBreak/>
        <w:t xml:space="preserve">returning to Ocongate. Several of the interviewed policy makers and NGO representatives also discussed the social problems that result from the high levels of mobility that are characteristic of the translocal ASM community: </w:t>
      </w:r>
    </w:p>
    <w:p w14:paraId="4D2F4333" w14:textId="77777777" w:rsidR="00F2183E" w:rsidRPr="004E053C" w:rsidRDefault="00F2183E" w:rsidP="004E053C">
      <w:pPr>
        <w:spacing w:line="360" w:lineRule="auto"/>
        <w:jc w:val="both"/>
        <w:rPr>
          <w:rFonts w:cstheme="majorHAnsi"/>
          <w:sz w:val="22"/>
          <w:szCs w:val="22"/>
          <w:lang w:val="en-GB"/>
        </w:rPr>
      </w:pPr>
    </w:p>
    <w:p w14:paraId="2931DE0F" w14:textId="063801CD" w:rsidR="00F2183E" w:rsidRPr="004E053C" w:rsidRDefault="003B5DCB" w:rsidP="004E053C">
      <w:pPr>
        <w:ind w:left="720"/>
        <w:jc w:val="both"/>
        <w:rPr>
          <w:rFonts w:cstheme="majorHAnsi"/>
          <w:sz w:val="22"/>
          <w:szCs w:val="22"/>
          <w:lang w:val="en-GB"/>
        </w:rPr>
      </w:pPr>
      <w:r w:rsidRPr="004E053C">
        <w:rPr>
          <w:rFonts w:cstheme="majorHAnsi"/>
          <w:i/>
          <w:iCs/>
          <w:sz w:val="22"/>
          <w:szCs w:val="22"/>
          <w:lang w:val="en-GB"/>
        </w:rPr>
        <w:t>‘</w:t>
      </w:r>
      <w:r w:rsidR="00F2183E" w:rsidRPr="004E053C">
        <w:rPr>
          <w:rFonts w:cstheme="majorHAnsi"/>
          <w:i/>
          <w:iCs/>
          <w:sz w:val="22"/>
          <w:szCs w:val="22"/>
          <w:lang w:val="en-GB"/>
        </w:rPr>
        <w:t>Mining is very dangerous and it is lonely. People lose their relations with their community, as it is quite individualistic. There is a lot of money but no family, and so men often spend their money on prostitutes and alcohol. It is very complicated for the family, (but) it is normal in these migration situations, all over the world</w:t>
      </w:r>
      <w:r w:rsidRPr="004E053C">
        <w:rPr>
          <w:rFonts w:cstheme="majorHAnsi"/>
          <w:i/>
          <w:iCs/>
          <w:sz w:val="22"/>
          <w:szCs w:val="22"/>
          <w:lang w:val="en-GB"/>
        </w:rPr>
        <w:t>’</w:t>
      </w:r>
      <w:r w:rsidR="00F2183E" w:rsidRPr="004E053C">
        <w:rPr>
          <w:rFonts w:cstheme="majorHAnsi"/>
          <w:sz w:val="22"/>
          <w:szCs w:val="22"/>
          <w:lang w:val="en-GB"/>
        </w:rPr>
        <w:t xml:space="preserve"> (Representative from </w:t>
      </w:r>
      <w:r w:rsidR="00D3785B" w:rsidRPr="004E053C">
        <w:rPr>
          <w:rFonts w:cstheme="majorHAnsi"/>
          <w:sz w:val="22"/>
          <w:szCs w:val="22"/>
          <w:lang w:val="en-GB"/>
        </w:rPr>
        <w:t>MINEM</w:t>
      </w:r>
      <w:r w:rsidR="00F2183E" w:rsidRPr="004E053C">
        <w:rPr>
          <w:rFonts w:cstheme="majorHAnsi"/>
          <w:sz w:val="22"/>
          <w:szCs w:val="22"/>
          <w:lang w:val="en-GB"/>
        </w:rPr>
        <w:t xml:space="preserve">, Lima). </w:t>
      </w:r>
    </w:p>
    <w:p w14:paraId="7920B9D1" w14:textId="77777777" w:rsidR="00F2183E" w:rsidRPr="004E053C" w:rsidRDefault="00F2183E" w:rsidP="004E053C">
      <w:pPr>
        <w:spacing w:line="360" w:lineRule="auto"/>
        <w:jc w:val="both"/>
        <w:rPr>
          <w:rFonts w:cstheme="majorHAnsi"/>
          <w:sz w:val="22"/>
          <w:szCs w:val="22"/>
          <w:lang w:val="en-GB"/>
        </w:rPr>
      </w:pPr>
    </w:p>
    <w:p w14:paraId="778574FE" w14:textId="3161CAF1"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Interestingly, Mahy </w:t>
      </w:r>
      <w:r w:rsidR="00726B5F"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{"citationItems":[{"id":"ITEM-1","itemData":{"author":[{"dropping-particle":"","family":"Mahy","given":"Petra","non-dropping-particle":"","parse-names":false,"suffix":""}],"chapter-number":"4","container-title":"Gendering the Field: Towards Sustainable Livelihoods for Mining Communities","id":"ITEM-1","issued":{"date-parts":[["2011"]]},"page":"49-65","publisher":"ANU Press","publisher-place":"Canberra","title":"Sex work and livelihoods: beyond the ʹnegative impacts on womenʹ in Indonesian mining","type":"chapter"},"uris":["http://www.mendeley.com/documents/?uuid=49e1ed40-2731-4f50-91b5-0e8b5687ee7d"]}],"mendeley":{"formattedCitation":"(Mahy, 2011)","manualFormatting":"(2011)","plainTextFormattedCitation":"(Mahy, 2011)","previouslyFormattedCitation":"(Mahy, 2011)"},"properties":{"noteIndex":0},"schema":"https://github.com/citation-style-language/schema/raw/master/csl-citation.json"}</w:instrText>
      </w:r>
      <w:r w:rsidR="00726B5F" w:rsidRPr="004E053C">
        <w:rPr>
          <w:rFonts w:cstheme="majorHAnsi"/>
          <w:sz w:val="22"/>
          <w:szCs w:val="22"/>
          <w:lang w:val="en-GB"/>
        </w:rPr>
        <w:fldChar w:fldCharType="separate"/>
      </w:r>
      <w:r w:rsidR="00726B5F" w:rsidRPr="004E053C">
        <w:rPr>
          <w:rFonts w:cstheme="majorHAnsi"/>
          <w:noProof/>
          <w:sz w:val="22"/>
          <w:szCs w:val="22"/>
          <w:lang w:val="en-GB"/>
        </w:rPr>
        <w:t>(2011)</w:t>
      </w:r>
      <w:r w:rsidR="00726B5F" w:rsidRPr="004E053C">
        <w:rPr>
          <w:rFonts w:cstheme="majorHAnsi"/>
          <w:sz w:val="22"/>
          <w:szCs w:val="22"/>
          <w:lang w:val="en-GB"/>
        </w:rPr>
        <w:fldChar w:fldCharType="end"/>
      </w:r>
      <w:r w:rsidRPr="004E053C">
        <w:rPr>
          <w:rFonts w:cstheme="majorHAnsi"/>
          <w:sz w:val="22"/>
          <w:szCs w:val="22"/>
          <w:lang w:val="en-GB"/>
        </w:rPr>
        <w:t xml:space="preserve"> has observed the tendency for women in mining towns to be treated as a homogenous group, often as being powerless victims of their husbands’ sexuality. This seems to be reflected in the quote from the Ministry representative above, but in reality women deal with these situations in very different ways, as I will illustrate below.</w:t>
      </w:r>
    </w:p>
    <w:p w14:paraId="3AF6C9E0" w14:textId="77777777" w:rsidR="008808BD" w:rsidRPr="004E053C" w:rsidRDefault="008808BD" w:rsidP="004E053C">
      <w:pPr>
        <w:spacing w:line="360" w:lineRule="auto"/>
        <w:jc w:val="both"/>
        <w:rPr>
          <w:rFonts w:cstheme="majorHAnsi"/>
          <w:sz w:val="22"/>
          <w:szCs w:val="22"/>
          <w:lang w:val="en-GB"/>
        </w:rPr>
      </w:pPr>
    </w:p>
    <w:p w14:paraId="55E62E08" w14:textId="290FD8D2"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This environment in the mining areas had a direct impact on the relationships of many of the women in Ocongate who were trying to manage their household’s livelihood translocally. </w:t>
      </w:r>
      <w:r w:rsidR="001B115B" w:rsidRPr="004E053C">
        <w:rPr>
          <w:rFonts w:cstheme="majorHAnsi"/>
          <w:sz w:val="22"/>
          <w:szCs w:val="22"/>
          <w:lang w:val="en-GB"/>
        </w:rPr>
        <w:t>Lucia</w:t>
      </w:r>
      <w:r w:rsidRPr="004E053C">
        <w:rPr>
          <w:rFonts w:cstheme="majorHAnsi"/>
          <w:sz w:val="22"/>
          <w:szCs w:val="22"/>
          <w:lang w:val="en-GB"/>
        </w:rPr>
        <w:t xml:space="preserve"> said that initially when her husband went to work in ASM he would call her when he was drunk and deliberately tell her about women he had met. After putting up with this for some months, eventually she threatened to leave him and things immediately improved– ‘</w:t>
      </w:r>
      <w:r w:rsidRPr="004E053C">
        <w:rPr>
          <w:rFonts w:cstheme="majorHAnsi"/>
          <w:i/>
          <w:sz w:val="22"/>
          <w:szCs w:val="22"/>
          <w:lang w:val="en-GB"/>
        </w:rPr>
        <w:t xml:space="preserve">he said </w:t>
      </w:r>
      <w:r w:rsidR="003B5DCB" w:rsidRPr="004E053C">
        <w:rPr>
          <w:rFonts w:cstheme="majorHAnsi"/>
          <w:i/>
          <w:sz w:val="22"/>
          <w:szCs w:val="22"/>
          <w:lang w:val="en-GB"/>
        </w:rPr>
        <w:t>“</w:t>
      </w:r>
      <w:r w:rsidRPr="004E053C">
        <w:rPr>
          <w:rFonts w:cstheme="majorHAnsi"/>
          <w:i/>
          <w:sz w:val="22"/>
          <w:szCs w:val="22"/>
          <w:lang w:val="en-GB"/>
        </w:rPr>
        <w:t xml:space="preserve">since you have put up with me when so many other women have left me, I will give you all my money and buy you whatever you want”’. </w:t>
      </w:r>
      <w:r w:rsidR="001B115B" w:rsidRPr="004E053C">
        <w:rPr>
          <w:rFonts w:cstheme="majorHAnsi"/>
          <w:sz w:val="22"/>
          <w:szCs w:val="22"/>
          <w:lang w:val="en-GB"/>
        </w:rPr>
        <w:t>Carolina</w:t>
      </w:r>
      <w:r w:rsidRPr="004E053C">
        <w:rPr>
          <w:rFonts w:cstheme="majorHAnsi"/>
          <w:sz w:val="22"/>
          <w:szCs w:val="22"/>
          <w:lang w:val="en-GB"/>
        </w:rPr>
        <w:t xml:space="preserve"> also discussed how her relationship with her husband had suffered due to numerous extra-marital affairs he had with women in the mining areas: </w:t>
      </w:r>
    </w:p>
    <w:p w14:paraId="7A80C930" w14:textId="77777777" w:rsidR="00F2183E" w:rsidRPr="004E053C" w:rsidRDefault="00F2183E" w:rsidP="004E053C">
      <w:pPr>
        <w:spacing w:line="360" w:lineRule="auto"/>
        <w:jc w:val="both"/>
        <w:rPr>
          <w:rFonts w:cstheme="majorHAnsi"/>
          <w:sz w:val="22"/>
          <w:szCs w:val="22"/>
          <w:lang w:val="en-GB"/>
        </w:rPr>
      </w:pPr>
    </w:p>
    <w:p w14:paraId="39B31FF0" w14:textId="1925ADA8" w:rsidR="00F2183E" w:rsidRPr="004E053C" w:rsidRDefault="00F2183E" w:rsidP="004E053C">
      <w:pPr>
        <w:ind w:left="720"/>
        <w:jc w:val="both"/>
        <w:rPr>
          <w:rFonts w:cstheme="majorHAnsi"/>
          <w:i/>
          <w:sz w:val="22"/>
          <w:szCs w:val="22"/>
          <w:lang w:val="en-GB"/>
        </w:rPr>
      </w:pPr>
      <w:r w:rsidRPr="004E053C">
        <w:rPr>
          <w:rFonts w:cstheme="majorHAnsi"/>
          <w:i/>
          <w:sz w:val="22"/>
          <w:szCs w:val="22"/>
          <w:lang w:val="en-GB"/>
        </w:rPr>
        <w:t xml:space="preserve">‘It affected me because we had problems and we did not live well. As he started to earn enough money, other women were after him and he was happier with them. He treated me badly and it was because of the money that he earned. When we fought, the children could hear and they didn’t study. Now my children are older and we live happily and are together. I don’t want him to go to the mine now, because he will earn money and the women will follow him’ </w:t>
      </w:r>
      <w:r w:rsidRPr="004E053C">
        <w:rPr>
          <w:rFonts w:cstheme="majorHAnsi"/>
          <w:sz w:val="22"/>
          <w:szCs w:val="22"/>
          <w:lang w:val="en-GB"/>
        </w:rPr>
        <w:t>(</w:t>
      </w:r>
      <w:r w:rsidR="001B115B" w:rsidRPr="004E053C">
        <w:rPr>
          <w:rFonts w:cstheme="majorHAnsi"/>
          <w:sz w:val="22"/>
          <w:szCs w:val="22"/>
          <w:lang w:val="en-GB"/>
        </w:rPr>
        <w:t>Carolina</w:t>
      </w:r>
      <w:r w:rsidRPr="004E053C">
        <w:rPr>
          <w:rFonts w:cstheme="majorHAnsi"/>
          <w:sz w:val="22"/>
          <w:szCs w:val="22"/>
          <w:lang w:val="en-GB"/>
        </w:rPr>
        <w:t>, Ocongate).</w:t>
      </w:r>
    </w:p>
    <w:p w14:paraId="27DD0A70" w14:textId="77777777" w:rsidR="00F2183E" w:rsidRPr="004E053C" w:rsidRDefault="00F2183E" w:rsidP="004E053C">
      <w:pPr>
        <w:spacing w:line="360" w:lineRule="auto"/>
        <w:jc w:val="both"/>
        <w:rPr>
          <w:rFonts w:cstheme="majorHAnsi"/>
          <w:sz w:val="22"/>
          <w:szCs w:val="22"/>
          <w:lang w:val="en-GB"/>
        </w:rPr>
      </w:pPr>
    </w:p>
    <w:p w14:paraId="65E632C4" w14:textId="3950E352"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It is interesting that </w:t>
      </w:r>
      <w:r w:rsidR="001B115B" w:rsidRPr="004E053C">
        <w:rPr>
          <w:rFonts w:cstheme="majorHAnsi"/>
          <w:sz w:val="22"/>
          <w:szCs w:val="22"/>
          <w:lang w:val="en-GB"/>
        </w:rPr>
        <w:t>Carolina</w:t>
      </w:r>
      <w:r w:rsidRPr="004E053C">
        <w:rPr>
          <w:rFonts w:cstheme="majorHAnsi"/>
          <w:sz w:val="22"/>
          <w:szCs w:val="22"/>
          <w:lang w:val="en-GB"/>
        </w:rPr>
        <w:t xml:space="preserve"> mentions the effect this behaviour had on her children, as often households engage in ASM in order to provide for their family and invest in children’s education. This highlights that when households engage in a translocal livelihood, focusing solely on increases in income is not sufficient to understand how successfully that particular family has coped. </w:t>
      </w:r>
    </w:p>
    <w:p w14:paraId="4B367F5D" w14:textId="77777777" w:rsidR="00F2183E" w:rsidRPr="004E053C" w:rsidRDefault="00F2183E" w:rsidP="004E053C">
      <w:pPr>
        <w:spacing w:line="360" w:lineRule="auto"/>
        <w:jc w:val="both"/>
        <w:rPr>
          <w:rFonts w:eastAsia="Times New Roman" w:cstheme="majorHAnsi"/>
          <w:sz w:val="22"/>
          <w:szCs w:val="22"/>
          <w:lang w:val="en-GB"/>
        </w:rPr>
      </w:pPr>
    </w:p>
    <w:p w14:paraId="04C0FDC9" w14:textId="27C5F49E"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Fortunately, in the examples above, </w:t>
      </w:r>
      <w:r w:rsidR="001B115B" w:rsidRPr="004E053C">
        <w:rPr>
          <w:rFonts w:cstheme="majorHAnsi"/>
          <w:sz w:val="22"/>
          <w:szCs w:val="22"/>
          <w:lang w:val="en-GB"/>
        </w:rPr>
        <w:t>Carolina</w:t>
      </w:r>
      <w:r w:rsidRPr="004E053C">
        <w:rPr>
          <w:rFonts w:cstheme="majorHAnsi"/>
          <w:sz w:val="22"/>
          <w:szCs w:val="22"/>
          <w:lang w:val="en-GB"/>
        </w:rPr>
        <w:t xml:space="preserve"> and </w:t>
      </w:r>
      <w:r w:rsidR="001B115B" w:rsidRPr="004E053C">
        <w:rPr>
          <w:rFonts w:cstheme="majorHAnsi"/>
          <w:sz w:val="22"/>
          <w:szCs w:val="22"/>
          <w:lang w:val="en-GB"/>
        </w:rPr>
        <w:t>Lucia</w:t>
      </w:r>
      <w:r w:rsidRPr="004E053C">
        <w:rPr>
          <w:rFonts w:cstheme="majorHAnsi"/>
          <w:sz w:val="22"/>
          <w:szCs w:val="22"/>
          <w:lang w:val="en-GB"/>
        </w:rPr>
        <w:t xml:space="preserve"> were both able to exert some control over the situation with their husbands, either by threatening a breakup or influencing a decision to move back to Ocongate. Similarly, as Tomasa is aware of this situation, she and her husband have jointly </w:t>
      </w:r>
      <w:r w:rsidRPr="004E053C">
        <w:rPr>
          <w:rFonts w:cstheme="majorHAnsi"/>
          <w:sz w:val="22"/>
          <w:szCs w:val="22"/>
          <w:lang w:val="en-GB"/>
        </w:rPr>
        <w:lastRenderedPageBreak/>
        <w:t xml:space="preserve">decided that he will work in construction in the municipality rather than travel to work in ASM. Sadly, for some women it is not possible to exert the same level of control. In the example of </w:t>
      </w:r>
      <w:r w:rsidR="001B115B" w:rsidRPr="004E053C">
        <w:rPr>
          <w:rFonts w:cstheme="majorHAnsi"/>
          <w:sz w:val="22"/>
          <w:szCs w:val="22"/>
          <w:lang w:val="en-GB"/>
        </w:rPr>
        <w:t>Illary</w:t>
      </w:r>
      <w:r w:rsidRPr="004E053C">
        <w:rPr>
          <w:rFonts w:cstheme="majorHAnsi"/>
          <w:sz w:val="22"/>
          <w:szCs w:val="22"/>
          <w:lang w:val="en-GB"/>
        </w:rPr>
        <w:t xml:space="preserve"> given above, her family has been all but abandoned by her husband, and they are visibly poorer than others in the community, especially those who engage in ASM. Her children display anger towards their father, with her teenage daughter proclaiming after the interview that she hoped her father never came home. It seems likely that her husband has a new family in the mining area, which is not unusual. Several NGO representatives talked about the problems of miners finding new partners, wives and families in the mining areas and either abandoning the previous partner or juggling two families in secret. Thus while Naumann and Greiner </w:t>
      </w:r>
      <w:r w:rsidR="00726B5F"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{"citationItems":[{"id":"ITEM-1","itemData":{"abstract":"Internal labour migration from rural areas to urban centres has been and remains one of the 27 dominant patterns of migration in South Africa. Based on data from ethnographic field 28 research, this paper explores the mobility patterns and translocal relations of miners in the 29 Northern Cape province of South Africa. By considering the tension between mobility and 30 locality in a historical and political perspective, the concept of translocality helps to explain 31 why miners try to expand their action space and, at the same time, why they are embedded in 32 certain places. Thus, a translocal perspective enhances the interpretation of the spatio- 33 34 temporal transformations in South Africa’s mining communities and beyond, as it sheds light on the agency of mine workers, superseding merely structuralist explanations.","author":[{"dropping-particle":"","family":"Naumann","given":"Christiane","non-dropping-particle":"","parse-names":false,"suffix":""},{"dropping-particle":"","family":"Greiner","given":"Clemens","non-dropping-particle":"","parse-names":false,"suffix":""}],"container-title":"Mobilities","id":"ITEM-1","issue":"6","issued":{"date-parts":[["2016"]]},"page":"875-889","title":"The translocal villagers: mining, mobility and stratification in post-apartheid South Africa","type":"article-journal","volume":"12"},"uris":["http://www.mendeley.com/documents/?uuid=efd020e8-1405-4b78-9c2d-6334bc35448d"]}],"mendeley":{"formattedCitation":"(Naumann &amp; Greiner, 2016)","manualFormatting":"(2016)","plainTextFormattedCitation":"(Naumann &amp; Greiner, 2016)","previouslyFormattedCitation":"(Naumann &amp; Greiner, 2016)"},"properties":{"noteIndex":0},"schema":"https://github.com/citation-style-language/schema/raw/master/csl-citation.json"}</w:instrText>
      </w:r>
      <w:r w:rsidR="00726B5F" w:rsidRPr="004E053C">
        <w:rPr>
          <w:rFonts w:cstheme="majorHAnsi"/>
          <w:sz w:val="22"/>
          <w:szCs w:val="22"/>
          <w:lang w:val="en-GB"/>
        </w:rPr>
        <w:fldChar w:fldCharType="separate"/>
      </w:r>
      <w:r w:rsidR="00726B5F" w:rsidRPr="004E053C">
        <w:rPr>
          <w:rFonts w:cstheme="majorHAnsi"/>
          <w:noProof/>
          <w:sz w:val="22"/>
          <w:szCs w:val="22"/>
          <w:lang w:val="en-GB"/>
        </w:rPr>
        <w:t>(2016)</w:t>
      </w:r>
      <w:r w:rsidR="00726B5F" w:rsidRPr="004E053C">
        <w:rPr>
          <w:rFonts w:cstheme="majorHAnsi"/>
          <w:sz w:val="22"/>
          <w:szCs w:val="22"/>
          <w:lang w:val="en-GB"/>
        </w:rPr>
        <w:fldChar w:fldCharType="end"/>
      </w:r>
      <w:r w:rsidRPr="004E053C">
        <w:rPr>
          <w:rFonts w:cstheme="majorHAnsi"/>
          <w:sz w:val="22"/>
          <w:szCs w:val="22"/>
          <w:lang w:val="en-GB"/>
        </w:rPr>
        <w:t xml:space="preserve"> have pointed to socio-economic stratification occurring in translocal communities between migrant and non-migrant families, these </w:t>
      </w:r>
      <w:r w:rsidRPr="004E053C">
        <w:rPr>
          <w:rFonts w:cstheme="majorHAnsi"/>
          <w:color w:val="211E1E"/>
          <w:sz w:val="22"/>
          <w:szCs w:val="22"/>
          <w:lang w:val="en-GB"/>
        </w:rPr>
        <w:t xml:space="preserve">examples highlight how translocality is inherently more risky for the household members who remain behind. </w:t>
      </w:r>
    </w:p>
    <w:p w14:paraId="7AD4CA2E" w14:textId="77777777" w:rsidR="00F2183E" w:rsidRPr="004E053C" w:rsidRDefault="00F2183E" w:rsidP="004E053C">
      <w:pPr>
        <w:spacing w:line="360" w:lineRule="auto"/>
        <w:jc w:val="both"/>
        <w:rPr>
          <w:rFonts w:cstheme="majorHAnsi"/>
          <w:sz w:val="22"/>
          <w:szCs w:val="22"/>
          <w:lang w:val="en-GB"/>
        </w:rPr>
      </w:pPr>
    </w:p>
    <w:p w14:paraId="505D2F76" w14:textId="07BC66B0"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There is however evidence of women deciding to move to the mining areas to prevent such situations. For example, Leo said that his wife had been living in their home town of Sicuani while he was working in Madre de Dios, but when he started to send her less money, she became suspicious that he was spending it on drinking, gambling and women. After she became pregnant she visited Laberinto unannounced to find out what was going on. After finding him in an extremely drunken state, </w:t>
      </w:r>
      <w:r w:rsidR="001F63CA" w:rsidRPr="004E053C">
        <w:rPr>
          <w:rFonts w:eastAsia="Times New Roman" w:cstheme="majorHAnsi"/>
          <w:sz w:val="22"/>
          <w:szCs w:val="22"/>
          <w:lang w:val="en-GB"/>
        </w:rPr>
        <w:t xml:space="preserve">she </w:t>
      </w:r>
      <w:r w:rsidRPr="004E053C">
        <w:rPr>
          <w:rFonts w:eastAsia="Times New Roman" w:cstheme="majorHAnsi"/>
          <w:sz w:val="22"/>
          <w:szCs w:val="22"/>
          <w:lang w:val="en-GB"/>
        </w:rPr>
        <w:t xml:space="preserve">decided to move to the town permanently as she couldn’t trust him to look after their money unsupervised. Similarly, </w:t>
      </w:r>
      <w:r w:rsidR="00B21FFD" w:rsidRPr="004E053C">
        <w:rPr>
          <w:rFonts w:eastAsia="Times New Roman" w:cstheme="majorHAnsi"/>
          <w:sz w:val="22"/>
          <w:szCs w:val="22"/>
          <w:lang w:val="en-GB"/>
        </w:rPr>
        <w:t>Carla</w:t>
      </w:r>
      <w:r w:rsidRPr="004E053C">
        <w:rPr>
          <w:rFonts w:eastAsia="Times New Roman" w:cstheme="majorHAnsi"/>
          <w:sz w:val="22"/>
          <w:szCs w:val="22"/>
          <w:lang w:val="en-GB"/>
        </w:rPr>
        <w:t xml:space="preserve"> lived at home in Sicuani for three years while her husband worked near Laberinto. He sent very little money home. Her aunts warned her that he would likely find himself a new family, if he hadn’t already. She also arrived in Laberinto unannounced, only to discover that he had not told his work colleagues and friends that he even had a wife and son. At first, her husband was angry and made her return to Sicuani, saying Laberinto was not a suitable place for a child, but within a month they had agreed that she should move there to live with him. These stories highlight how women are not always passive victims in these situations. </w:t>
      </w:r>
    </w:p>
    <w:p w14:paraId="21F29950" w14:textId="77777777" w:rsidR="00F2183E" w:rsidRPr="004E053C" w:rsidRDefault="00F2183E" w:rsidP="004E053C">
      <w:pPr>
        <w:spacing w:line="360" w:lineRule="auto"/>
        <w:jc w:val="both"/>
        <w:rPr>
          <w:rFonts w:cstheme="majorHAnsi"/>
          <w:sz w:val="22"/>
          <w:szCs w:val="22"/>
          <w:lang w:val="en-GB"/>
        </w:rPr>
      </w:pPr>
    </w:p>
    <w:p w14:paraId="72F04490" w14:textId="3F2821B9" w:rsidR="00F2183E" w:rsidRPr="004E053C" w:rsidRDefault="00F2183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 characteristics of the translocal mining community can have a negative impact on household relationships even when both husband and wife live in the mining areas. As noted earlier in this chapter, these households can still experience some level of household fragmentation if men spend some nights sleeping in nearby mining camp and not in the main town. However, the proximity of the men’s wives does not eliminate their spending on women and alcohol. For example, </w:t>
      </w:r>
      <w:r w:rsidR="00B21FFD" w:rsidRPr="004E053C">
        <w:rPr>
          <w:rFonts w:eastAsia="Times New Roman" w:cstheme="majorHAnsi"/>
          <w:sz w:val="22"/>
          <w:szCs w:val="22"/>
          <w:lang w:val="en-GB"/>
        </w:rPr>
        <w:t>Azucena</w:t>
      </w:r>
      <w:r w:rsidRPr="004E053C">
        <w:rPr>
          <w:rFonts w:eastAsia="Times New Roman" w:cstheme="majorHAnsi"/>
          <w:sz w:val="22"/>
          <w:szCs w:val="22"/>
          <w:lang w:val="en-GB"/>
        </w:rPr>
        <w:t xml:space="preserve"> and her husband have been working together in what is now La Pampa for many years, but in a rather comedic assessment of the threat posed to her marital relationship by the increased </w:t>
      </w:r>
      <w:r w:rsidRPr="004E053C">
        <w:rPr>
          <w:rFonts w:eastAsia="Times New Roman" w:cstheme="majorHAnsi"/>
          <w:sz w:val="22"/>
          <w:szCs w:val="22"/>
          <w:lang w:val="en-GB"/>
        </w:rPr>
        <w:lastRenderedPageBreak/>
        <w:t xml:space="preserve">translocality of her local community, </w:t>
      </w:r>
      <w:r w:rsidR="00B21FFD" w:rsidRPr="004E053C">
        <w:rPr>
          <w:rFonts w:eastAsia="Times New Roman" w:cstheme="majorHAnsi"/>
          <w:sz w:val="22"/>
          <w:szCs w:val="22"/>
          <w:lang w:val="en-GB"/>
        </w:rPr>
        <w:t>Azucena</w:t>
      </w:r>
      <w:r w:rsidRPr="004E053C">
        <w:rPr>
          <w:rFonts w:eastAsia="Times New Roman" w:cstheme="majorHAnsi"/>
          <w:sz w:val="22"/>
          <w:szCs w:val="22"/>
          <w:lang w:val="en-GB"/>
        </w:rPr>
        <w:t xml:space="preserve"> compared it to the threat of theft of her inanimate possessions: </w:t>
      </w:r>
    </w:p>
    <w:p w14:paraId="0683327D" w14:textId="77777777" w:rsidR="00F2183E" w:rsidRPr="004E053C" w:rsidRDefault="00F2183E" w:rsidP="004E053C">
      <w:pPr>
        <w:spacing w:line="360" w:lineRule="auto"/>
        <w:jc w:val="both"/>
        <w:rPr>
          <w:rFonts w:eastAsia="Times New Roman" w:cstheme="majorHAnsi"/>
          <w:sz w:val="22"/>
          <w:szCs w:val="22"/>
          <w:lang w:val="en-GB"/>
        </w:rPr>
      </w:pPr>
    </w:p>
    <w:p w14:paraId="7234A7B8" w14:textId="2D221358" w:rsidR="00F2183E" w:rsidRPr="004E053C" w:rsidRDefault="00F2183E"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Pr="004E053C">
        <w:rPr>
          <w:rFonts w:eastAsia="Times New Roman" w:cstheme="majorHAnsi"/>
          <w:i/>
          <w:sz w:val="22"/>
          <w:szCs w:val="22"/>
          <w:lang w:val="en-GB"/>
        </w:rPr>
        <w:t>There was a time that you could leave your motor on the beach, your gear, your tools, your gas, your motor. You could leave it there and go to Puerto Maldonado for two weeks and everything would still be there. But when the illegal mining started, you were not able to leave anything. Whatever you left, even for hours, you wouldn’t find it. No tools, no motor no camp, no nothing… (and)…the mining brought bars and prostitution…Men are attracted to spend their money on these things and to overcome their problems by drinking or with prostitutes. Now you cannot even leave your husband working because when you come back he’s not going to be there either</w:t>
      </w:r>
      <w:r w:rsidRPr="004E053C">
        <w:rPr>
          <w:rFonts w:eastAsia="Times New Roman" w:cstheme="majorHAnsi"/>
          <w:sz w:val="22"/>
          <w:szCs w:val="22"/>
          <w:lang w:val="en-GB"/>
        </w:rPr>
        <w:t>’ (</w:t>
      </w:r>
      <w:r w:rsidR="00B21FFD" w:rsidRPr="004E053C">
        <w:rPr>
          <w:rFonts w:eastAsia="Times New Roman" w:cstheme="majorHAnsi"/>
          <w:sz w:val="22"/>
          <w:szCs w:val="22"/>
          <w:lang w:val="en-GB"/>
        </w:rPr>
        <w:t>Azucena</w:t>
      </w:r>
      <w:r w:rsidRPr="004E053C">
        <w:rPr>
          <w:rFonts w:eastAsia="Times New Roman" w:cstheme="majorHAnsi"/>
          <w:sz w:val="22"/>
          <w:szCs w:val="22"/>
          <w:lang w:val="en-GB"/>
        </w:rPr>
        <w:t>, ASM miner, Laberinto)</w:t>
      </w:r>
      <w:r w:rsidR="007857AB" w:rsidRPr="004E053C">
        <w:rPr>
          <w:rFonts w:eastAsia="Times New Roman" w:cstheme="majorHAnsi"/>
          <w:sz w:val="22"/>
          <w:szCs w:val="22"/>
          <w:lang w:val="en-GB"/>
        </w:rPr>
        <w:t>.</w:t>
      </w:r>
    </w:p>
    <w:p w14:paraId="69133487" w14:textId="77777777" w:rsidR="00F2183E" w:rsidRPr="004E053C" w:rsidRDefault="00F2183E" w:rsidP="004E053C">
      <w:pPr>
        <w:spacing w:line="360" w:lineRule="auto"/>
        <w:jc w:val="both"/>
        <w:rPr>
          <w:rFonts w:eastAsia="Times New Roman" w:cstheme="majorHAnsi"/>
          <w:sz w:val="22"/>
          <w:szCs w:val="22"/>
          <w:lang w:val="en-GB"/>
        </w:rPr>
      </w:pPr>
    </w:p>
    <w:p w14:paraId="20D31475" w14:textId="08B3F8AF" w:rsidR="00F2183E" w:rsidRPr="004E053C" w:rsidRDefault="00F2183E"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Similarly, another female miner in Laberinto explained that due to the increasing numbers of prostitutes working in the local bars, sometimes her husband, like other men in the area, did not return home at night – </w:t>
      </w:r>
      <w:r w:rsidRPr="004E053C">
        <w:rPr>
          <w:rFonts w:eastAsia="Times New Roman" w:cstheme="majorHAnsi"/>
          <w:i/>
          <w:iCs/>
          <w:sz w:val="22"/>
          <w:szCs w:val="22"/>
          <w:lang w:val="en-GB"/>
        </w:rPr>
        <w:t>‘the only people who get angry with that are us, the ladies’</w:t>
      </w:r>
      <w:r w:rsidRPr="004E053C">
        <w:rPr>
          <w:rFonts w:eastAsia="Times New Roman" w:cstheme="majorHAnsi"/>
          <w:sz w:val="22"/>
          <w:szCs w:val="22"/>
          <w:lang w:val="en-GB"/>
        </w:rPr>
        <w:t xml:space="preserve">. </w:t>
      </w:r>
      <w:r w:rsidRPr="004E053C">
        <w:rPr>
          <w:rFonts w:cstheme="majorHAnsi"/>
          <w:sz w:val="22"/>
          <w:szCs w:val="22"/>
          <w:lang w:val="en-GB"/>
        </w:rPr>
        <w:t>NGO respondents also referre</w:t>
      </w:r>
      <w:r w:rsidR="001F63CA" w:rsidRPr="004E053C">
        <w:rPr>
          <w:rFonts w:cstheme="majorHAnsi"/>
          <w:sz w:val="22"/>
          <w:szCs w:val="22"/>
          <w:lang w:val="en-GB"/>
        </w:rPr>
        <w:t xml:space="preserve">d to the high numbers of single </w:t>
      </w:r>
      <w:r w:rsidRPr="004E053C">
        <w:rPr>
          <w:rFonts w:cstheme="majorHAnsi"/>
          <w:sz w:val="22"/>
          <w:szCs w:val="22"/>
          <w:lang w:val="en-GB"/>
        </w:rPr>
        <w:t xml:space="preserve">mothers in mining communities due to the transience of the miners, particularly the </w:t>
      </w:r>
      <w:r w:rsidRPr="004E053C">
        <w:rPr>
          <w:rFonts w:cstheme="majorHAnsi"/>
          <w:i/>
          <w:iCs/>
          <w:sz w:val="22"/>
          <w:szCs w:val="22"/>
          <w:lang w:val="en-GB"/>
        </w:rPr>
        <w:t xml:space="preserve">floatantes </w:t>
      </w:r>
      <w:r w:rsidRPr="004E053C">
        <w:rPr>
          <w:rFonts w:cstheme="majorHAnsi"/>
          <w:sz w:val="22"/>
          <w:szCs w:val="22"/>
          <w:lang w:val="en-GB"/>
        </w:rPr>
        <w:t>identified in the previous chapter, and therefore lots of children with absentee fathers. One NGO respondent also stressed that this was sometimes associated with child abuse, especially when single mothers moved in with new partners.</w:t>
      </w:r>
    </w:p>
    <w:p w14:paraId="5CC4982E" w14:textId="77777777" w:rsidR="00F2183E" w:rsidRPr="004E053C" w:rsidRDefault="00F2183E" w:rsidP="004E053C">
      <w:pPr>
        <w:spacing w:line="360" w:lineRule="auto"/>
        <w:jc w:val="both"/>
        <w:rPr>
          <w:rFonts w:eastAsia="Times New Roman" w:cstheme="majorHAnsi"/>
          <w:color w:val="FF0000"/>
          <w:sz w:val="22"/>
          <w:szCs w:val="22"/>
          <w:lang w:val="en-GB"/>
        </w:rPr>
      </w:pPr>
    </w:p>
    <w:p w14:paraId="7D0F0814" w14:textId="119E8A2B" w:rsidR="00F2183E" w:rsidRPr="004E053C" w:rsidRDefault="00EA7F83" w:rsidP="004E053C">
      <w:pPr>
        <w:pStyle w:val="Heading2"/>
        <w:spacing w:before="0" w:line="360" w:lineRule="auto"/>
        <w:jc w:val="both"/>
        <w:rPr>
          <w:rFonts w:cstheme="majorHAnsi"/>
          <w:lang w:val="en-GB"/>
        </w:rPr>
      </w:pPr>
      <w:bookmarkStart w:id="86" w:name="_Toc424671909"/>
      <w:bookmarkStart w:id="87" w:name="_Toc33293119"/>
      <w:r w:rsidRPr="004E053C">
        <w:rPr>
          <w:rFonts w:cstheme="majorHAnsi"/>
          <w:lang w:val="en-GB"/>
        </w:rPr>
        <w:t>7</w:t>
      </w:r>
      <w:r w:rsidR="004A3EF1" w:rsidRPr="004E053C">
        <w:rPr>
          <w:rFonts w:cstheme="majorHAnsi"/>
          <w:lang w:val="en-GB"/>
        </w:rPr>
        <w:t>.5. Gender dynamics in the translocal c</w:t>
      </w:r>
      <w:r w:rsidR="00F2183E" w:rsidRPr="004E053C">
        <w:rPr>
          <w:rFonts w:cstheme="majorHAnsi"/>
          <w:lang w:val="en-GB"/>
        </w:rPr>
        <w:t>ommunity</w:t>
      </w:r>
      <w:bookmarkEnd w:id="86"/>
      <w:bookmarkEnd w:id="87"/>
    </w:p>
    <w:p w14:paraId="44B5F2A2" w14:textId="77777777" w:rsidR="00F2183E" w:rsidRPr="004E053C" w:rsidRDefault="00F2183E" w:rsidP="004E053C">
      <w:pPr>
        <w:spacing w:line="360" w:lineRule="auto"/>
        <w:jc w:val="both"/>
        <w:rPr>
          <w:rFonts w:cstheme="majorHAnsi"/>
          <w:b/>
          <w:sz w:val="22"/>
          <w:szCs w:val="22"/>
          <w:lang w:val="en-GB"/>
        </w:rPr>
      </w:pPr>
    </w:p>
    <w:p w14:paraId="132A0500" w14:textId="15E016E4"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Social links have already been shown to be important in translocal communities, particularly as successful livelihoods are closely linked to reciprocity </w:t>
      </w:r>
      <w:r w:rsidR="00726B5F"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transnationalism.","author":[{"dropping-particle":"","family":"Greiner","given":"Clemens","non-dropping-particle":"","parse-names":false,"suffix":""}],"container-title":"Sociologus","id":"ITEM-1","issue":"2","issued":{"date-parts":[["2010"]]},"page":"131-161","title":"Patterns of translocality: migration, livelihoods and identities in Northwest Namibia","type":"article-journal","volume":"60"},"uris":["http://www.mendeley.com/documents/?uuid=414887f7-c62a-48a7-b7bf-b65a4cc9aa41"]},{"id":"ITEM-2","itemData":{"abstract":"Internal labour migration from rural areas to urban centres has been and remains one of the 27 dominant patterns of migration in South Africa. Based on data from ethnographic field 28 research, this paper explores the mobility patterns and translocal relations of miners in the 29 Northern Cape province of South Africa. By considering the tension between mobility and 30 locality in a historical and political perspective, the concept of translocality helps to explain 31 why miners try to expand their action space and, at the same time, why they are embedded in 32 certain places. Thus, a translocal perspective enhances the interpretation of the spatio- 33 34 temporal transformations in South Africa’s mining communities and beyond, as it sheds light on the agency of mine workers, superseding merely structuralist explanations.","author":[{"dropping-particle":"","family":"Naumann","given":"Christiane","non-dropping-particle":"","parse-names":false,"suffix":""},{"dropping-particle":"","family":"Greiner","given":"Clemens","non-dropping-particle":"","parse-names":false,"suffix":""}],"container-title":"Mobilities","id":"ITEM-2","issue":"6","issued":{"date-parts":[["2016"]]},"page":"875-889","title":"The translocal villagers: mining, mobility and stratification in post-apartheid South Africa","type":"article-journal","volume":"12"},"uris":["http://www.mendeley.com/documents/?uuid=efd020e8-1405-4b78-9c2d-6334bc35448d"]},{"id":"ITEM-3","itemData":{"author":[{"dropping-particle":"","family":"Benz","given":"Andreas","non-dropping-particle":"","parse-names":false,"suffix":""}],"container-title":"Geographica Helvetica","id":"ITEM-3","issued":{"date-parts":[["2014"]]},"page":"259-270","title":"Mobility, multilocality and translocal development: changing livelihoods in the Karakoram","type":"article-journal","volume":"69"},"uris":["http://www.mendeley.com/documents/?uuid=a8c22e9e-4865-494e-b801-f549845ca7d2"]}],"mendeley":{"formattedCitation":"(Benz, 2014; Greiner, 2010; Naumann &amp; Greiner, 2016)","plainTextFormattedCitation":"(Benz, 2014; Greiner, 2010; Naumann &amp; Greiner, 2016)","previouslyFormattedCitation":"(Benz, 2014; Greiner, 2010; Naumann &amp; Greiner, 2016)"},"properties":{"noteIndex":0},"schema":"https://github.com/citation-style-language/schema/raw/master/csl-citation.json"}</w:instrText>
      </w:r>
      <w:r w:rsidR="00726B5F" w:rsidRPr="004E053C">
        <w:rPr>
          <w:rFonts w:cstheme="majorHAnsi"/>
          <w:sz w:val="22"/>
          <w:szCs w:val="22"/>
          <w:lang w:val="en-GB"/>
        </w:rPr>
        <w:fldChar w:fldCharType="separate"/>
      </w:r>
      <w:r w:rsidR="00726B5F" w:rsidRPr="004E053C">
        <w:rPr>
          <w:rFonts w:cstheme="majorHAnsi"/>
          <w:noProof/>
          <w:sz w:val="22"/>
          <w:szCs w:val="22"/>
          <w:lang w:val="en-GB"/>
        </w:rPr>
        <w:t>(Benz, 2014; Greiner, 2010; Naumann &amp; Greiner, 2016)</w:t>
      </w:r>
      <w:r w:rsidR="00726B5F" w:rsidRPr="004E053C">
        <w:rPr>
          <w:rFonts w:cstheme="majorHAnsi"/>
          <w:sz w:val="22"/>
          <w:szCs w:val="22"/>
          <w:lang w:val="en-GB"/>
        </w:rPr>
        <w:fldChar w:fldCharType="end"/>
      </w:r>
      <w:r w:rsidR="00726B5F" w:rsidRPr="004E053C">
        <w:rPr>
          <w:rFonts w:cstheme="majorHAnsi"/>
          <w:sz w:val="22"/>
          <w:szCs w:val="22"/>
          <w:lang w:val="en-GB"/>
        </w:rPr>
        <w:t>.</w:t>
      </w:r>
      <w:r w:rsidRPr="004E053C">
        <w:rPr>
          <w:rFonts w:cstheme="majorHAnsi"/>
          <w:sz w:val="22"/>
          <w:szCs w:val="22"/>
          <w:lang w:val="en-GB"/>
        </w:rPr>
        <w:t xml:space="preserve"> It is important therefore to co</w:t>
      </w:r>
      <w:r w:rsidR="00726B5F" w:rsidRPr="004E053C">
        <w:rPr>
          <w:rFonts w:cstheme="majorHAnsi"/>
          <w:sz w:val="22"/>
          <w:szCs w:val="22"/>
          <w:lang w:val="en-GB"/>
        </w:rPr>
        <w:t xml:space="preserve">nsider the entire social field </w:t>
      </w:r>
      <w:r w:rsidRPr="004E053C">
        <w:rPr>
          <w:rFonts w:cstheme="majorHAnsi"/>
          <w:sz w:val="22"/>
          <w:szCs w:val="22"/>
          <w:lang w:val="en-GB"/>
        </w:rPr>
        <w:t>in which ASM livelihoods take place. This entails looking</w:t>
      </w:r>
      <w:r w:rsidR="00130A52">
        <w:rPr>
          <w:rFonts w:cstheme="majorHAnsi"/>
          <w:sz w:val="22"/>
          <w:szCs w:val="22"/>
          <w:lang w:val="en-GB"/>
        </w:rPr>
        <w:t xml:space="preserve"> at the community that was left </w:t>
      </w:r>
      <w:r w:rsidRPr="004E053C">
        <w:rPr>
          <w:rFonts w:cstheme="majorHAnsi"/>
          <w:sz w:val="22"/>
          <w:szCs w:val="22"/>
          <w:lang w:val="en-GB"/>
        </w:rPr>
        <w:t xml:space="preserve">behind. Through a focus on extended family and other personal networks, translocal livelihood approaches emphasise the role that all actors play, rather than that of the migrant. This often means they are able to provide a more thorough understanding of women’s contributions to livelihoods through the role they have in communities and networks. Women have been shown to constitute a bridge between rural development and ASM </w:t>
      </w:r>
      <w:r w:rsidR="00726B5F" w:rsidRPr="004E053C">
        <w:rPr>
          <w:rFonts w:cstheme="majorHAnsi"/>
          <w:sz w:val="22"/>
          <w:szCs w:val="22"/>
          <w:lang w:val="en-GB"/>
        </w:rPr>
        <w:fldChar w:fldCharType="begin" w:fldLock="1"/>
      </w:r>
      <w:r w:rsidR="00726B5F" w:rsidRPr="004E053C">
        <w:rPr>
          <w:rFonts w:cstheme="majorHAnsi"/>
          <w:sz w:val="22"/>
          <w:szCs w:val="22"/>
          <w:lang w:val="en-GB"/>
        </w:rPr>
        <w:instrText>ADDIN CSL_CITATION {"citationItems":[{"id":"ITEM-1","itemData":{"author":[{"dropping-particle":"","family":"Perks","given":"Rachel","non-dropping-particle":"","parse-names":false,"suffix":""}],"chapter-number":"10","container-title":"Gendering the Field: Towards Sustainable Livelihoods for Mining Communities","editor":[{"dropping-particle":"","family":"Lahiri-Dutt","given":"Kuntala","non-dropping-particle":"","parse-names":false,"suffix":""}],"id":"ITEM-1","issued":{"date-parts":[["2011"]]},"page":"177-196","publisher":"ANU Press","publisher-place":"Canberra","title":"Towards post-conflict transition: women and artisanal mining in the Democratic Republic of Congo","type":"chapter"},"uris":["http://www.mendeley.com/documents/?uuid=aebf62e3-9e32-497e-990b-e7aec01e66e3"]}],"mendeley":{"formattedCitation":"(Perks, 2011)","plainTextFormattedCitation":"(Perks, 2011)","previouslyFormattedCitation":"(Perks, 2011)"},"properties":{"noteIndex":0},"schema":"https://github.com/citation-style-language/schema/raw/master/csl-citation.json"}</w:instrText>
      </w:r>
      <w:r w:rsidR="00726B5F" w:rsidRPr="004E053C">
        <w:rPr>
          <w:rFonts w:cstheme="majorHAnsi"/>
          <w:sz w:val="22"/>
          <w:szCs w:val="22"/>
          <w:lang w:val="en-GB"/>
        </w:rPr>
        <w:fldChar w:fldCharType="separate"/>
      </w:r>
      <w:r w:rsidR="00726B5F" w:rsidRPr="004E053C">
        <w:rPr>
          <w:rFonts w:cstheme="majorHAnsi"/>
          <w:noProof/>
          <w:sz w:val="22"/>
          <w:szCs w:val="22"/>
          <w:lang w:val="en-GB"/>
        </w:rPr>
        <w:t>(Perks, 2011)</w:t>
      </w:r>
      <w:r w:rsidR="00726B5F" w:rsidRPr="004E053C">
        <w:rPr>
          <w:rFonts w:cstheme="majorHAnsi"/>
          <w:sz w:val="22"/>
          <w:szCs w:val="22"/>
          <w:lang w:val="en-GB"/>
        </w:rPr>
        <w:fldChar w:fldCharType="end"/>
      </w:r>
      <w:r w:rsidRPr="004E053C">
        <w:rPr>
          <w:rFonts w:cstheme="majorHAnsi"/>
          <w:sz w:val="22"/>
          <w:szCs w:val="22"/>
          <w:lang w:val="en-GB"/>
        </w:rPr>
        <w:t xml:space="preserve">, indicating that they play an important role in the translocal community. Feminist analysis has also shown that structural adjustment would have been far more devastating had it not been for the efforts of women to secure survival strategies </w:t>
      </w:r>
      <w:r w:rsidR="00726B5F" w:rsidRPr="004E053C">
        <w:rPr>
          <w:rFonts w:cstheme="majorHAnsi"/>
          <w:sz w:val="22"/>
          <w:szCs w:val="22"/>
          <w:lang w:val="en-GB"/>
        </w:rPr>
        <w:fldChar w:fldCharType="begin" w:fldLock="1"/>
      </w:r>
      <w:r w:rsidR="00726B5F" w:rsidRPr="004E053C">
        <w:rPr>
          <w:rFonts w:cstheme="majorHAnsi"/>
          <w:sz w:val="22"/>
          <w:szCs w:val="22"/>
          <w:lang w:val="en-GB"/>
        </w:rPr>
        <w:instrText>ADDIN CSL_CITATION {"citationItems":[{"id":"ITEM-1","itemData":{"author":[{"dropping-particle":"","family":"Molyneux","given":"Maxine","non-dropping-particle":"","parse-names":false,"suffix":""}],"container-title":"Development and Change","id":"ITEM-1","issue":"2","issued":{"date-parts":[["2002"]]},"page":"167-188","title":"Gender and the silences of social capital: lessons from Latin America","type":"article-journal","volume":"33"},"uris":["http://www.mendeley.com/documents/?uuid=f5e7dbc8-4cfa-46d8-9595-b98d63131729"]}],"mendeley":{"formattedCitation":"(Molyneux, 2002)","plainTextFormattedCitation":"(Molyneux, 2002)","previouslyFormattedCitation":"(Molyneux, 2002)"},"properties":{"noteIndex":0},"schema":"https://github.com/citation-style-language/schema/raw/master/csl-citation.json"}</w:instrText>
      </w:r>
      <w:r w:rsidR="00726B5F" w:rsidRPr="004E053C">
        <w:rPr>
          <w:rFonts w:cstheme="majorHAnsi"/>
          <w:sz w:val="22"/>
          <w:szCs w:val="22"/>
          <w:lang w:val="en-GB"/>
        </w:rPr>
        <w:fldChar w:fldCharType="separate"/>
      </w:r>
      <w:r w:rsidR="00726B5F" w:rsidRPr="004E053C">
        <w:rPr>
          <w:rFonts w:cstheme="majorHAnsi"/>
          <w:noProof/>
          <w:sz w:val="22"/>
          <w:szCs w:val="22"/>
          <w:lang w:val="en-GB"/>
        </w:rPr>
        <w:t>(Molyneux, 2002)</w:t>
      </w:r>
      <w:r w:rsidR="00726B5F" w:rsidRPr="004E053C">
        <w:rPr>
          <w:rFonts w:cstheme="majorHAnsi"/>
          <w:sz w:val="22"/>
          <w:szCs w:val="22"/>
          <w:lang w:val="en-GB"/>
        </w:rPr>
        <w:fldChar w:fldCharType="end"/>
      </w:r>
      <w:r w:rsidRPr="004E053C">
        <w:rPr>
          <w:rFonts w:cstheme="majorHAnsi"/>
          <w:sz w:val="22"/>
          <w:szCs w:val="22"/>
          <w:lang w:val="en-GB"/>
        </w:rPr>
        <w:t xml:space="preserve">. Thus, women’s ability to maintain households and livelihoods in the absence of their husbands is crucially important for the success of translocal livelihoods strategies. </w:t>
      </w:r>
    </w:p>
    <w:p w14:paraId="04B3E48E" w14:textId="77777777" w:rsidR="008808BD" w:rsidRPr="004E053C" w:rsidRDefault="008808BD" w:rsidP="004E053C">
      <w:pPr>
        <w:spacing w:line="360" w:lineRule="auto"/>
        <w:jc w:val="both"/>
        <w:rPr>
          <w:rFonts w:cstheme="majorHAnsi"/>
          <w:color w:val="FF0000"/>
          <w:sz w:val="22"/>
          <w:szCs w:val="22"/>
          <w:lang w:val="en-GB"/>
        </w:rPr>
      </w:pPr>
    </w:p>
    <w:p w14:paraId="4E0E83CD" w14:textId="771DE269"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lastRenderedPageBreak/>
        <w:t>This section will reflect on interviews with women and community members in Ocongate, primarily to show how relationships have changed as a result of ASM. It will first look at the changes in local relationships, both positive and negative. While some households found their higher income earned them more respect and social standing, as well as access to certain organisations, others found that they faced hostility from other local people. The chapter will show how the respondents often blamed this hostility on jealousy, but that there are several other issues that are likely to have contributed to these problems. Here the focus is not on the impact of outmigration on households not involved in ASM, but rather on their interactions with those households that are i</w:t>
      </w:r>
      <w:r w:rsidR="001F63CA" w:rsidRPr="004E053C">
        <w:rPr>
          <w:rFonts w:cstheme="majorHAnsi"/>
          <w:sz w:val="22"/>
          <w:szCs w:val="22"/>
          <w:lang w:val="en-GB"/>
        </w:rPr>
        <w:t>nvolved in the sector. Section 7.5.2</w:t>
      </w:r>
      <w:r w:rsidRPr="004E053C">
        <w:rPr>
          <w:rFonts w:cstheme="majorHAnsi"/>
          <w:sz w:val="22"/>
          <w:szCs w:val="22"/>
          <w:lang w:val="en-GB"/>
        </w:rPr>
        <w:t xml:space="preserve"> then goes on to examine how women’s relationships with extended family. Particularly how they might draw on these as a way of dealing with the emotional side of migration. This section does not explicitly focus on the experiences of women in Laberinto, as it is looking specifical</w:t>
      </w:r>
      <w:r w:rsidR="00130A52">
        <w:rPr>
          <w:rFonts w:cstheme="majorHAnsi"/>
          <w:sz w:val="22"/>
          <w:szCs w:val="22"/>
          <w:lang w:val="en-GB"/>
        </w:rPr>
        <w:t xml:space="preserve">ly at women that have been left </w:t>
      </w:r>
      <w:r w:rsidRPr="004E053C">
        <w:rPr>
          <w:rFonts w:cstheme="majorHAnsi"/>
          <w:sz w:val="22"/>
          <w:szCs w:val="22"/>
          <w:lang w:val="en-GB"/>
        </w:rPr>
        <w:t xml:space="preserve">behind but nonetheless contribute to translocal ASM livelihoods. </w:t>
      </w:r>
    </w:p>
    <w:p w14:paraId="0453CD7E" w14:textId="77777777" w:rsidR="008808BD" w:rsidRPr="004E053C" w:rsidRDefault="008808BD" w:rsidP="004E053C">
      <w:pPr>
        <w:spacing w:line="360" w:lineRule="auto"/>
        <w:jc w:val="both"/>
        <w:rPr>
          <w:rFonts w:cstheme="majorHAnsi"/>
          <w:sz w:val="22"/>
          <w:szCs w:val="22"/>
          <w:lang w:val="en-GB"/>
        </w:rPr>
      </w:pPr>
    </w:p>
    <w:p w14:paraId="1DE32F29" w14:textId="2A72AA4A" w:rsidR="00F2183E" w:rsidRPr="004E053C" w:rsidRDefault="00EA7F83" w:rsidP="004E053C">
      <w:pPr>
        <w:pStyle w:val="Heading3"/>
        <w:rPr>
          <w:rFonts w:asciiTheme="minorHAnsi" w:hAnsiTheme="minorHAnsi"/>
        </w:rPr>
      </w:pPr>
      <w:r w:rsidRPr="004E053C">
        <w:rPr>
          <w:rFonts w:asciiTheme="minorHAnsi" w:hAnsiTheme="minorHAnsi"/>
        </w:rPr>
        <w:t>7</w:t>
      </w:r>
      <w:r w:rsidR="004A3EF1" w:rsidRPr="004E053C">
        <w:rPr>
          <w:rFonts w:asciiTheme="minorHAnsi" w:hAnsiTheme="minorHAnsi"/>
        </w:rPr>
        <w:t>.5.1. Local community r</w:t>
      </w:r>
      <w:r w:rsidR="00F2183E" w:rsidRPr="004E053C">
        <w:rPr>
          <w:rFonts w:asciiTheme="minorHAnsi" w:hAnsiTheme="minorHAnsi"/>
        </w:rPr>
        <w:t>elations</w:t>
      </w:r>
    </w:p>
    <w:p w14:paraId="2F94E9A6" w14:textId="77777777" w:rsidR="00F2183E" w:rsidRPr="004E053C" w:rsidRDefault="00F2183E" w:rsidP="004E053C">
      <w:pPr>
        <w:spacing w:line="360" w:lineRule="auto"/>
        <w:jc w:val="both"/>
        <w:rPr>
          <w:rFonts w:cstheme="majorHAnsi"/>
          <w:b/>
          <w:sz w:val="22"/>
          <w:szCs w:val="22"/>
          <w:lang w:val="en-GB"/>
        </w:rPr>
      </w:pPr>
    </w:p>
    <w:p w14:paraId="7ED45028" w14:textId="380ABADB"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The translocality literature frequently highlights how places of origin</w:t>
      </w:r>
      <w:r w:rsidR="00726B5F" w:rsidRPr="004E053C">
        <w:rPr>
          <w:rFonts w:cstheme="majorHAnsi"/>
          <w:sz w:val="22"/>
          <w:szCs w:val="22"/>
          <w:lang w:val="en-GB"/>
        </w:rPr>
        <w:t xml:space="preserve"> remain a ‘space of belonging and identity’</w:t>
      </w:r>
      <w:r w:rsidRPr="004E053C">
        <w:rPr>
          <w:rFonts w:cstheme="majorHAnsi"/>
          <w:sz w:val="22"/>
          <w:szCs w:val="22"/>
          <w:lang w:val="en-GB"/>
        </w:rPr>
        <w:t xml:space="preserve"> for most migrants </w:t>
      </w:r>
      <w:r w:rsidR="00726B5F"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uthor":[{"dropping-particle":"","family":"Brickell","given":"K.","non-dropping-particle":"","parse-names":false,"suffix":""},{"dropping-particle":"","family":"Datta","given":"A","non-dropping-particle":"","parse-names":false,"suffix":""}],"chapter-number":"1","container-title":"Translocal Geographies: Spaces, Places, Connectionsspaces, places, connections","id":"ITEM-1","issued":{"date-parts":[["2011"]]},"page":"3-22","publisher":"Ashgate Publishing Limited","publisher-place":"Farnham, UK","title":"Introduction: Translocal Geographies","type":"chapter"},"uris":["http://www.mendeley.com/documents/?uuid=e9d80bd7-1584-4fca-bf4f-f5d58e788945"]}],"mendeley":{"formattedCitation":"(K. Brickell &amp; Datta, 2011)","manualFormatting":"(Brickell &amp; Datta, 2011, p.13)","plainTextFormattedCitation":"(K. Brickell &amp; Datta, 2011)","previouslyFormattedCitation":"(K. Brickell &amp; Datta, 2011)"},"properties":{"noteIndex":0},"schema":"https://github.com/citation-style-language/schema/raw/master/csl-citation.json"}</w:instrText>
      </w:r>
      <w:r w:rsidR="00726B5F" w:rsidRPr="004E053C">
        <w:rPr>
          <w:rFonts w:cstheme="majorHAnsi"/>
          <w:sz w:val="22"/>
          <w:szCs w:val="22"/>
          <w:lang w:val="en-GB"/>
        </w:rPr>
        <w:fldChar w:fldCharType="separate"/>
      </w:r>
      <w:r w:rsidR="00726B5F" w:rsidRPr="004E053C">
        <w:rPr>
          <w:rFonts w:cstheme="majorHAnsi"/>
          <w:noProof/>
          <w:sz w:val="22"/>
          <w:szCs w:val="22"/>
          <w:lang w:val="en-GB"/>
        </w:rPr>
        <w:t>(Brickell &amp; Datta, 2011, p.13)</w:t>
      </w:r>
      <w:r w:rsidR="00726B5F" w:rsidRPr="004E053C">
        <w:rPr>
          <w:rFonts w:cstheme="majorHAnsi"/>
          <w:sz w:val="22"/>
          <w:szCs w:val="22"/>
          <w:lang w:val="en-GB"/>
        </w:rPr>
        <w:fldChar w:fldCharType="end"/>
      </w:r>
      <w:r w:rsidRPr="004E053C">
        <w:rPr>
          <w:rFonts w:cstheme="majorHAnsi"/>
          <w:sz w:val="22"/>
          <w:szCs w:val="22"/>
          <w:lang w:val="en-GB"/>
        </w:rPr>
        <w:t>. However, translocality has a big impact on local relationships. If these impacts are negative this may be problematic for women, who may find that they need to draw on the support of their neighbours in the absence of their husbands. An important role for women is acting as an anchor for the household to ensure that their translocal livelihood does not completely uproot them from the place of origin. This links back</w:t>
      </w:r>
      <w:r w:rsidR="00565C53" w:rsidRPr="004E053C">
        <w:rPr>
          <w:rFonts w:cstheme="majorHAnsi"/>
          <w:sz w:val="22"/>
          <w:szCs w:val="22"/>
          <w:lang w:val="en-GB"/>
        </w:rPr>
        <w:t xml:space="preserve"> to the observation in chapter 4</w:t>
      </w:r>
      <w:r w:rsidRPr="004E053C">
        <w:rPr>
          <w:rFonts w:cstheme="majorHAnsi"/>
          <w:sz w:val="22"/>
          <w:szCs w:val="22"/>
          <w:lang w:val="en-GB"/>
        </w:rPr>
        <w:t xml:space="preserve"> that women are often expected to invest more in social networks and the development of their household’s social capital, despite being less able to capitalise on these connections due to the persistent inequality between their position in the social field re</w:t>
      </w:r>
      <w:r w:rsidR="00726B5F" w:rsidRPr="004E053C">
        <w:rPr>
          <w:rFonts w:cstheme="majorHAnsi"/>
          <w:sz w:val="22"/>
          <w:szCs w:val="22"/>
          <w:lang w:val="en-GB"/>
        </w:rPr>
        <w:t xml:space="preserve">lative to that of their husband </w:t>
      </w:r>
      <w:r w:rsidR="00C61A2C"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Thieme","given":"S","non-dropping-particle":"","parse-names":false,"suffix":""},{"dropping-particle":"","family":"Siegmann","given":"K.A","non-dropping-particle":"","parse-names":false,"suffix":""}],"container-title":"Current Sociology","id":"ITEM-1","issue":"5","issued":{"date-parts":[["2010"]]},"page":"715-737","title":"Coping on Women’s Backs Social Capital–Vulnerability Links through a Gender Lens","type":"article-journal","volume":"58"},"uris":["http://www.mendeley.com/documents/?uuid=947f544f-86c6-39f2-a6b9-f3aca119bb66"]}],"mendeley":{"formattedCitation":"(S Thieme &amp; Siegmann, 2010)","manualFormatting":"(Thieme &amp; Siegmann, 2010)","plainTextFormattedCitation":"(S Thieme &amp; Siegmann, 2010)","previouslyFormattedCitation":"(S Thieme &amp; Siegmann, 2010)"},"properties":{"noteIndex":0},"schema":"https://github.com/citation-style-language/schema/raw/master/csl-citation.json"}</w:instrText>
      </w:r>
      <w:r w:rsidR="00C61A2C" w:rsidRPr="004E053C">
        <w:rPr>
          <w:rFonts w:cstheme="majorHAnsi"/>
          <w:sz w:val="22"/>
          <w:szCs w:val="22"/>
          <w:lang w:val="en-GB"/>
        </w:rPr>
        <w:fldChar w:fldCharType="separate"/>
      </w:r>
      <w:r w:rsidR="00C61A2C" w:rsidRPr="004E053C">
        <w:rPr>
          <w:rFonts w:cstheme="majorHAnsi"/>
          <w:noProof/>
          <w:sz w:val="22"/>
          <w:szCs w:val="22"/>
          <w:lang w:val="en-GB"/>
        </w:rPr>
        <w:t>(Thieme &amp; Siegmann, 2010)</w:t>
      </w:r>
      <w:r w:rsidR="00C61A2C" w:rsidRPr="004E053C">
        <w:rPr>
          <w:rFonts w:cstheme="majorHAnsi"/>
          <w:sz w:val="22"/>
          <w:szCs w:val="22"/>
          <w:lang w:val="en-GB"/>
        </w:rPr>
        <w:fldChar w:fldCharType="end"/>
      </w:r>
      <w:r w:rsidR="00726B5F" w:rsidRPr="004E053C">
        <w:rPr>
          <w:rFonts w:cstheme="majorHAnsi"/>
          <w:sz w:val="22"/>
          <w:szCs w:val="22"/>
          <w:lang w:val="en-GB"/>
        </w:rPr>
        <w:t xml:space="preserve">. </w:t>
      </w:r>
      <w:r w:rsidRPr="004E053C">
        <w:rPr>
          <w:rFonts w:cstheme="majorHAnsi"/>
          <w:sz w:val="22"/>
          <w:szCs w:val="22"/>
          <w:lang w:val="en-GB"/>
        </w:rPr>
        <w:t xml:space="preserve">Interestingly however, within the ASM literature, although women have been described as a lynchpin in ASM communities </w:t>
      </w:r>
      <w:r w:rsidR="00C61A2C" w:rsidRPr="004E053C">
        <w:rPr>
          <w:rFonts w:cstheme="majorHAnsi"/>
          <w:sz w:val="22"/>
          <w:szCs w:val="22"/>
          <w:lang w:val="en-GB"/>
        </w:rPr>
        <w:fldChar w:fldCharType="begin" w:fldLock="1"/>
      </w:r>
      <w:r w:rsidR="00517F61" w:rsidRPr="004E053C">
        <w:rPr>
          <w:rFonts w:cstheme="majorHAnsi"/>
          <w:sz w:val="22"/>
          <w:szCs w:val="22"/>
          <w:lang w:val="en-GB"/>
        </w:rPr>
        <w:instrText>ADDIN CSL_CITATION {"citationItems":[{"id":"ITEM-1","itemData":{"author":[{"dropping-particle":"","family":"Hinton","given":"Jennifer J","non-dropping-particle":"","parse-names":false,"suffix":""},{"dropping-particle":"","family":"Veiga","given":"Marcello M","non-dropping-particle":"","parse-names":false,"suffix":""},{"dropping-particle":"","family":"Beinhoff","given":"Christian","non-dropping-particle":"","parse-names":false,"suffix":""}],"chapter-number":"11","container-title":"The Socio-Economic Impacts of Artisanal and Small-Scale Mining in Developing Countries","edition":"1st Editio","editor":[{"dropping-particle":"","family":"Hilson","given":"Gavin","non-dropping-particle":"","parse-names":false,"suffix":""}],"id":"ITEM-1","issued":{"date-parts":[["2003"]]},"page":"149-189","publisher":"A.A.Balkema Publishers","publisher-place":"Lisse","title":"Women and Artisanal Mining: Gender Roles and the Road Ahead","type":"chapter"},"uris":["http://www.mendeley.com/documents/?uuid=187b04b7-de6c-3858-a947-a6ea6a786813"]},{"id":"ITEM-2","itemData":{"author":[{"dropping-particle":"","family":"Eftimie","given":"A","non-dropping-particle":"","parse-names":false,"suffix":""},{"dropping-particle":"","family":"Heller","given":"K","non-dropping-particle":"","parse-names":false,"suffix":""},{"dropping-particle":"","family":"Strongman","given":"J","non-dropping-particle":"","parse-names":false,"suffix":""},{"dropping-particle":"","family":"Hinton","given":"J","non-dropping-particle":"","parse-names":false,"suffix":""},{"dropping-particle":"","family":"Lahiri-Dutt","given":"K","non-dropping-particle":"","parse-names":false,"suffix":""},{"dropping-particle":"","family":"Mutemeri","given":"N","non-dropping-particle":"","parse-names":false,"suffix":""}],"id":"ITEM-2","issued":{"date-parts":[["2012"]]},"publisher-place":"Washington D.C.","title":"Gender Dimensions of Artisanal and Small-scale Mining: A Rapid Assessment Toolkit","type":"report"},"uris":["http://www.mendeley.com/documents/?uuid=bccd6b7a-0186-45cc-9f73-0cd0942d1615"]},{"id":"ITEM-3","itemData":{"author":[{"dropping-particle":"","family":"Perks","given":"Rachel","non-dropping-particle":"","parse-names":false,"suffix":""}],"chapter-number":"10","container-title":"Gendering the Field: Towards Sustainable Livelihoods for Mining Communities","editor":[{"dropping-particle":"","family":"Lahiri-Dutt","given":"Kuntala","non-dropping-particle":"","parse-names":false,"suffix":""}],"id":"ITEM-3","issued":{"date-parts":[["2011"]]},"page":"177-196","publisher":"ANU Press","publisher-place":"Canberra","title":"Towards post-conflict transition: women and artisanal mining in the Democratic Republic of Congo","type":"chapter"},"uris":["http://www.mendeley.com/documents/?uuid=aebf62e3-9e32-497e-990b-e7aec01e66e3"]}],"mendeley":{"formattedCitation":"(Eftimie et al., 2012; Jennifer J Hinton, Veiga, &amp; Beinhoff, 2003; Perks, 2011)","manualFormatting":"(Eftimie et al., 2012; Hinton et al., 2003; Perks, 2011)","plainTextFormattedCitation":"(Eftimie et al., 2012; Jennifer J Hinton, Veiga, &amp; Beinhoff, 2003; Perks, 2011)","previouslyFormattedCitation":"(Eftimie et al., 2012; Jennifer J Hinton, Veiga, &amp; Beinhoff, 2003; Perks, 2011)"},"properties":{"noteIndex":0},"schema":"https://github.com/citation-style-language/schema/raw/master/csl-citation.json"}</w:instrText>
      </w:r>
      <w:r w:rsidR="00C61A2C" w:rsidRPr="004E053C">
        <w:rPr>
          <w:rFonts w:cstheme="majorHAnsi"/>
          <w:sz w:val="22"/>
          <w:szCs w:val="22"/>
          <w:lang w:val="en-GB"/>
        </w:rPr>
        <w:fldChar w:fldCharType="separate"/>
      </w:r>
      <w:r w:rsidR="00C61A2C" w:rsidRPr="004E053C">
        <w:rPr>
          <w:rFonts w:cstheme="majorHAnsi"/>
          <w:noProof/>
          <w:sz w:val="22"/>
          <w:szCs w:val="22"/>
          <w:lang w:val="en-GB"/>
        </w:rPr>
        <w:t>(Eftimie et al., 2012; Hinton et al., 2003; Perks, 2011)</w:t>
      </w:r>
      <w:r w:rsidR="00C61A2C" w:rsidRPr="004E053C">
        <w:rPr>
          <w:rFonts w:cstheme="majorHAnsi"/>
          <w:sz w:val="22"/>
          <w:szCs w:val="22"/>
          <w:lang w:val="en-GB"/>
        </w:rPr>
        <w:fldChar w:fldCharType="end"/>
      </w:r>
      <w:r w:rsidRPr="004E053C">
        <w:rPr>
          <w:rStyle w:val="fontstyle01"/>
          <w:rFonts w:asciiTheme="minorHAnsi" w:hAnsiTheme="minorHAnsi" w:cstheme="majorHAnsi"/>
          <w:sz w:val="22"/>
          <w:szCs w:val="22"/>
          <w:lang w:val="en-GB"/>
        </w:rPr>
        <w:t xml:space="preserve">, </w:t>
      </w:r>
      <w:r w:rsidRPr="004E053C">
        <w:rPr>
          <w:rFonts w:cstheme="majorHAnsi"/>
          <w:sz w:val="22"/>
          <w:szCs w:val="22"/>
          <w:lang w:val="en-GB"/>
        </w:rPr>
        <w:t>this has not been examined in the context of origin communities and with reference to the translocality of livelihoods.</w:t>
      </w:r>
    </w:p>
    <w:p w14:paraId="3213F9FB" w14:textId="77777777" w:rsidR="00F2183E" w:rsidRPr="004E053C" w:rsidRDefault="00F2183E" w:rsidP="004E053C">
      <w:pPr>
        <w:pStyle w:val="NoSpacing"/>
        <w:spacing w:line="360" w:lineRule="auto"/>
        <w:jc w:val="both"/>
        <w:rPr>
          <w:rFonts w:cstheme="majorHAnsi"/>
          <w:sz w:val="22"/>
          <w:szCs w:val="22"/>
          <w:lang w:val="en-GB"/>
        </w:rPr>
      </w:pPr>
    </w:p>
    <w:p w14:paraId="4369D7F1" w14:textId="77777777" w:rsidR="00F2183E" w:rsidRPr="004E053C" w:rsidRDefault="00F2183E" w:rsidP="004E053C">
      <w:pPr>
        <w:pStyle w:val="NoSpacing"/>
        <w:spacing w:line="360" w:lineRule="auto"/>
        <w:jc w:val="both"/>
        <w:rPr>
          <w:rFonts w:cstheme="majorHAnsi"/>
          <w:sz w:val="22"/>
          <w:szCs w:val="22"/>
          <w:u w:val="single"/>
          <w:lang w:val="en-GB"/>
        </w:rPr>
      </w:pPr>
      <w:r w:rsidRPr="004E053C">
        <w:rPr>
          <w:rFonts w:cstheme="majorHAnsi"/>
          <w:sz w:val="22"/>
          <w:szCs w:val="22"/>
          <w:u w:val="single"/>
          <w:lang w:val="en-GB"/>
        </w:rPr>
        <w:t>Deteriorations</w:t>
      </w:r>
    </w:p>
    <w:p w14:paraId="4E8E1683" w14:textId="77777777" w:rsidR="00F2183E" w:rsidRPr="004E053C" w:rsidRDefault="00F2183E" w:rsidP="004E053C">
      <w:pPr>
        <w:pStyle w:val="NoSpacing"/>
        <w:spacing w:line="360" w:lineRule="auto"/>
        <w:jc w:val="both"/>
        <w:rPr>
          <w:rFonts w:cstheme="majorHAnsi"/>
          <w:sz w:val="22"/>
          <w:szCs w:val="22"/>
          <w:lang w:val="en-GB"/>
        </w:rPr>
      </w:pPr>
    </w:p>
    <w:p w14:paraId="3C0270E3" w14:textId="2A10D62F" w:rsidR="00F2183E" w:rsidRPr="004E053C" w:rsidRDefault="00F2183E" w:rsidP="004E053C">
      <w:pPr>
        <w:pStyle w:val="CommentText"/>
        <w:spacing w:line="360" w:lineRule="auto"/>
        <w:jc w:val="both"/>
        <w:rPr>
          <w:rFonts w:cstheme="majorHAnsi"/>
          <w:color w:val="FF0000"/>
          <w:sz w:val="22"/>
          <w:szCs w:val="22"/>
          <w:lang w:val="en-GB"/>
        </w:rPr>
      </w:pPr>
      <w:r w:rsidRPr="004E053C">
        <w:rPr>
          <w:rFonts w:cstheme="majorHAnsi"/>
          <w:sz w:val="22"/>
          <w:szCs w:val="22"/>
          <w:lang w:val="en-GB"/>
        </w:rPr>
        <w:t xml:space="preserve">The notion of community often hides the critical differences and divisions within it </w:t>
      </w:r>
      <w:r w:rsidR="00061F17" w:rsidRPr="004E053C">
        <w:rPr>
          <w:rFonts w:cstheme="majorHAnsi"/>
          <w:sz w:val="22"/>
          <w:szCs w:val="22"/>
          <w:lang w:val="en-GB"/>
        </w:rPr>
        <w:fldChar w:fldCharType="begin" w:fldLock="1"/>
      </w:r>
      <w:r w:rsidR="008A1E6F" w:rsidRPr="004E053C">
        <w:rPr>
          <w:rFonts w:cstheme="majorHAnsi"/>
          <w:sz w:val="22"/>
          <w:szCs w:val="22"/>
          <w:lang w:val="en-GB"/>
        </w:rPr>
        <w:instrText>ADDIN CSL_CITATION {"citationItems":[{"id":"ITEM-1","itemData":{"author":[{"dropping-particle":"","family":"Gujit","given":"I","non-dropping-particle":"","parse-names":false,"suffix":""},{"dropping-particle":"","family":"Shah","given":"M.K","non-dropping-particle":"","parse-names":false,"suffix":""}],"id":"ITEM-1","issued":{"date-parts":[["1999"]]},"publisher":"Intermediate Technology Publication","publisher-place":"London, UK","title":"The Myth of Community: Gender Issues in Participatory Development","type":"book"},"uris":["http://www.mendeley.com/documents/?uuid=6badad2e-6a7e-41c4-9370-c166503938e4"]},{"id":"ITEM-2","itemData":{"author":[{"dropping-particle":"","family":"Chambers","given":"R","non-dropping-particle":"","parse-names":false,"suffix":""}],"id":"ITEM-2","issued":{"date-parts":[["2008"]]},"publisher":"Earthscan","publisher-place":"London, UK","title":"Revolutions in Development Inquiry","type":"book"},"uris":["http://www.mendeley.com/documents/?uuid=ee807abf-4922-4804-bf7b-2708b80c5e36"]},{"id":"ITEM-3","itemData":{"author":[{"dropping-particle":"","family":"Lahiri-Dutt","given":"Kuntala","non-dropping-particle":"","parse-names":false,"suffix":""}],"chapter-number":"1","container-title":"Gender the Field: Towards Sustainable Livelihoods for Mining Communities","editor":[{"dropping-particle":"","family":"Lahiri-Dutt","given":"Kuntala","non-dropping-particle":"","parse-names":false,"suffix":""}],"id":"ITEM-3","issued":{"date-parts":[["2011"]]},"page":"1-20","publisher":"ANU Press","publisher-place":"Canberra","title":"Introduction: gendering the masculine field of mining for sustainble community livelihoods","type":"chapter"},"uris":["http://www.mendeley.com/documents/?uuid=a14de98b-319a-4483-8d4f-3949ca031e64"]}],"mendeley":{"formattedCitation":"(Chambers, 2008; Gujit &amp; Shah, 1999; Kuntala Lahiri-Dutt, 2011)","manualFormatting":"(Chambers, 2008; Gujit &amp; Shah, 1999; Lahiri-Dutt, 2011)","plainTextFormattedCitation":"(Chambers, 2008; Gujit &amp; Shah, 1999; Kuntala Lahiri-Dutt, 2011)","previouslyFormattedCitation":"(Chambers, 2008; Gujit &amp; Shah, 1999; Kuntala Lahiri-Dutt, 2011)"},"properties":{"noteIndex":0},"schema":"https://github.com/citation-style-language/schema/raw/master/csl-citation.json"}</w:instrText>
      </w:r>
      <w:r w:rsidR="00061F17" w:rsidRPr="004E053C">
        <w:rPr>
          <w:rFonts w:cstheme="majorHAnsi"/>
          <w:sz w:val="22"/>
          <w:szCs w:val="22"/>
          <w:lang w:val="en-GB"/>
        </w:rPr>
        <w:fldChar w:fldCharType="separate"/>
      </w:r>
      <w:r w:rsidR="00061F17" w:rsidRPr="004E053C">
        <w:rPr>
          <w:rFonts w:cstheme="majorHAnsi"/>
          <w:noProof/>
          <w:sz w:val="22"/>
          <w:szCs w:val="22"/>
          <w:lang w:val="en-GB"/>
        </w:rPr>
        <w:t>(Chambers, 20</w:t>
      </w:r>
      <w:r w:rsidR="00830084" w:rsidRPr="004E053C">
        <w:rPr>
          <w:rFonts w:cstheme="majorHAnsi"/>
          <w:noProof/>
          <w:sz w:val="22"/>
          <w:szCs w:val="22"/>
          <w:lang w:val="en-GB"/>
        </w:rPr>
        <w:t xml:space="preserve">08; Gujit &amp; Shah, 1999; </w:t>
      </w:r>
      <w:r w:rsidR="00061F17" w:rsidRPr="004E053C">
        <w:rPr>
          <w:rFonts w:cstheme="majorHAnsi"/>
          <w:noProof/>
          <w:sz w:val="22"/>
          <w:szCs w:val="22"/>
          <w:lang w:val="en-GB"/>
        </w:rPr>
        <w:t>Lahiri-Dutt, 2011)</w:t>
      </w:r>
      <w:r w:rsidR="00061F17" w:rsidRPr="004E053C">
        <w:rPr>
          <w:rFonts w:cstheme="majorHAnsi"/>
          <w:sz w:val="22"/>
          <w:szCs w:val="22"/>
          <w:lang w:val="en-GB"/>
        </w:rPr>
        <w:fldChar w:fldCharType="end"/>
      </w:r>
      <w:r w:rsidR="00061F17" w:rsidRPr="004E053C">
        <w:rPr>
          <w:rFonts w:cstheme="majorHAnsi"/>
          <w:sz w:val="22"/>
          <w:szCs w:val="22"/>
          <w:lang w:val="en-GB"/>
        </w:rPr>
        <w:t>.</w:t>
      </w:r>
      <w:r w:rsidRPr="004E053C">
        <w:rPr>
          <w:rFonts w:cstheme="majorHAnsi"/>
          <w:sz w:val="22"/>
          <w:szCs w:val="22"/>
          <w:lang w:val="en-GB"/>
        </w:rPr>
        <w:t xml:space="preserve"> There appear to be a growing number of issues within the </w:t>
      </w:r>
      <w:r w:rsidRPr="004E053C">
        <w:rPr>
          <w:rFonts w:cstheme="majorHAnsi"/>
          <w:sz w:val="22"/>
          <w:szCs w:val="22"/>
          <w:lang w:val="en-GB"/>
        </w:rPr>
        <w:lastRenderedPageBreak/>
        <w:t xml:space="preserve">origin community of Ocongate. Several men and women reported deteriorations in their local relationships since their household’s involvement in ASM, which they blamed on other non-mining households being jealous of them. For example, </w:t>
      </w:r>
      <w:r w:rsidR="001B115B" w:rsidRPr="004E053C">
        <w:rPr>
          <w:rFonts w:cstheme="majorHAnsi"/>
          <w:sz w:val="22"/>
          <w:szCs w:val="22"/>
          <w:lang w:val="en-GB"/>
        </w:rPr>
        <w:t>Chaska</w:t>
      </w:r>
      <w:r w:rsidRPr="004E053C">
        <w:rPr>
          <w:rFonts w:cstheme="majorHAnsi"/>
          <w:sz w:val="22"/>
          <w:szCs w:val="22"/>
          <w:lang w:val="en-GB"/>
        </w:rPr>
        <w:t xml:space="preserve"> says that now when she greets people in the street, they often do not respond to her. The respondents said they dealt with the animosity in various ways. Two said they were selective about who they chose to form relationships and said they rely on the support of their family when they have a problem rather than relying on neighbours. One miner in Ocongate said that the animosity aimed at his family was so bad that when he was away mining, his wife spent a lot of this time a little way out of the village looking after their alpacas so she did not have to put up with too much hostility from local people. These deteriorating relationships will make it more challenging for women to successfully manage a translocal livelihood in the absence of their husband, but also cause problems for remaining </w:t>
      </w:r>
      <w:r w:rsidR="003B5DCB" w:rsidRPr="004E053C">
        <w:rPr>
          <w:rFonts w:cstheme="majorHAnsi"/>
          <w:sz w:val="22"/>
          <w:szCs w:val="22"/>
          <w:lang w:val="en-GB"/>
        </w:rPr>
        <w:t>‘rooted’</w:t>
      </w:r>
      <w:r w:rsidRPr="004E053C">
        <w:rPr>
          <w:rFonts w:cstheme="majorHAnsi"/>
          <w:sz w:val="22"/>
          <w:szCs w:val="22"/>
          <w:lang w:val="en-GB"/>
        </w:rPr>
        <w:t xml:space="preserve"> within the place of origin if ASM is continued on a long-term basis.</w:t>
      </w:r>
    </w:p>
    <w:p w14:paraId="44B19160" w14:textId="77777777" w:rsidR="00F2183E" w:rsidRPr="004E053C" w:rsidRDefault="00F2183E" w:rsidP="004E053C">
      <w:pPr>
        <w:spacing w:line="360" w:lineRule="auto"/>
        <w:jc w:val="both"/>
        <w:rPr>
          <w:rFonts w:cstheme="majorHAnsi"/>
          <w:sz w:val="22"/>
          <w:szCs w:val="22"/>
          <w:lang w:val="en-GB"/>
        </w:rPr>
      </w:pPr>
    </w:p>
    <w:p w14:paraId="6B22F2B4" w14:textId="24D1C83F" w:rsidR="00F2183E" w:rsidRPr="004E053C" w:rsidRDefault="00F2183E" w:rsidP="004E053C">
      <w:pPr>
        <w:spacing w:line="360" w:lineRule="auto"/>
        <w:jc w:val="both"/>
        <w:rPr>
          <w:rFonts w:eastAsia="Times New Roman" w:cstheme="majorHAnsi"/>
          <w:sz w:val="22"/>
          <w:szCs w:val="22"/>
          <w:lang w:val="en-GB"/>
        </w:rPr>
      </w:pPr>
      <w:r w:rsidRPr="004E053C">
        <w:rPr>
          <w:rFonts w:cstheme="majorHAnsi"/>
          <w:sz w:val="22"/>
          <w:szCs w:val="22"/>
          <w:lang w:val="en-GB"/>
        </w:rPr>
        <w:t>All of the households that experienced this animosity blamed it on jealousy. Three of the women said the jealousy had occurred since they had improved their house and become visibly richer and claimed that the other residents did not want them to improve their lives. Although there is little evidence to support these claims, the local community leader did say that it was people being jealous of the mining families that had prompted more of them to travel to work in ASM. This level of jealousy is dependent on how well the household does. One woman explained that her family had never been the target of any jealousy as her husband had only sent enough money to cover the cost of food for her and their children –</w:t>
      </w:r>
      <w:r w:rsidR="003B5DCB" w:rsidRPr="004E053C">
        <w:rPr>
          <w:rFonts w:cstheme="majorHAnsi"/>
          <w:sz w:val="22"/>
          <w:szCs w:val="22"/>
          <w:lang w:val="en-GB"/>
        </w:rPr>
        <w:t>‘</w:t>
      </w:r>
      <w:r w:rsidRPr="004E053C">
        <w:rPr>
          <w:rFonts w:cstheme="majorHAnsi"/>
          <w:i/>
          <w:iCs/>
          <w:sz w:val="22"/>
          <w:szCs w:val="22"/>
          <w:lang w:val="en-GB"/>
        </w:rPr>
        <w:t>no one could get jealous of that</w:t>
      </w:r>
      <w:r w:rsidR="003B5DCB" w:rsidRPr="004E053C">
        <w:rPr>
          <w:rFonts w:cstheme="majorHAnsi"/>
          <w:sz w:val="22"/>
          <w:szCs w:val="22"/>
          <w:lang w:val="en-GB"/>
        </w:rPr>
        <w:t>’</w:t>
      </w:r>
      <w:r w:rsidRPr="004E053C">
        <w:rPr>
          <w:rFonts w:cstheme="majorHAnsi"/>
          <w:sz w:val="22"/>
          <w:szCs w:val="22"/>
          <w:lang w:val="en-GB"/>
        </w:rPr>
        <w:t xml:space="preserve">. </w:t>
      </w:r>
      <w:r w:rsidRPr="004E053C">
        <w:rPr>
          <w:rFonts w:eastAsia="Times New Roman" w:cstheme="majorHAnsi"/>
          <w:sz w:val="22"/>
          <w:szCs w:val="22"/>
          <w:lang w:val="en-GB"/>
        </w:rPr>
        <w:t xml:space="preserve">At the same time, the majority of the women expressed the belief that the non-mining households could not complain if they remained poor because they had decided themselves not to get involved in ASM. For example, </w:t>
      </w:r>
      <w:r w:rsidR="001B115B" w:rsidRPr="004E053C">
        <w:rPr>
          <w:rFonts w:eastAsia="Times New Roman" w:cstheme="majorHAnsi"/>
          <w:sz w:val="22"/>
          <w:szCs w:val="22"/>
          <w:lang w:val="en-GB"/>
        </w:rPr>
        <w:t>Sandra</w:t>
      </w:r>
      <w:r w:rsidRPr="004E053C">
        <w:rPr>
          <w:rFonts w:eastAsia="Times New Roman" w:cstheme="majorHAnsi"/>
          <w:sz w:val="22"/>
          <w:szCs w:val="22"/>
          <w:lang w:val="en-GB"/>
        </w:rPr>
        <w:t xml:space="preserve"> said the poorer members of the local population who were envious of them were idle, while Tomasa claimed that although those households wanted to be able to afford the same things as the mining families, they were not interested in working elsewhere to achieve it. </w:t>
      </w:r>
    </w:p>
    <w:p w14:paraId="748434CF" w14:textId="77777777" w:rsidR="00A9346A" w:rsidRPr="004E053C" w:rsidRDefault="00A9346A" w:rsidP="004E053C">
      <w:pPr>
        <w:spacing w:line="360" w:lineRule="auto"/>
        <w:jc w:val="both"/>
        <w:rPr>
          <w:rFonts w:cstheme="majorHAnsi"/>
          <w:sz w:val="22"/>
          <w:szCs w:val="22"/>
          <w:lang w:val="en-GB"/>
        </w:rPr>
      </w:pPr>
    </w:p>
    <w:p w14:paraId="36C5D3A2" w14:textId="2ECCEF3F"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There is clearly increasing inequality within Ocongate. Interviewees frequently mentioned that this was because households that engaged in ASM could invest the income in household improvements or start local businesses. Even when walking around town, it is obvious which of the households are involved in mining and which are not based on the quality of the houses, as some are newly built with modern mat</w:t>
      </w:r>
      <w:r w:rsidR="001F63CA" w:rsidRPr="004E053C">
        <w:rPr>
          <w:rFonts w:cstheme="majorHAnsi"/>
          <w:sz w:val="22"/>
          <w:szCs w:val="22"/>
          <w:lang w:val="en-GB"/>
        </w:rPr>
        <w:t>erials and have multiple storeys</w:t>
      </w:r>
      <w:r w:rsidRPr="004E053C">
        <w:rPr>
          <w:rFonts w:cstheme="majorHAnsi"/>
          <w:sz w:val="22"/>
          <w:szCs w:val="22"/>
          <w:lang w:val="en-GB"/>
        </w:rPr>
        <w:t xml:space="preserve">. While it may therefore be possible that this increasing inequality is driving resentment amongst the non-mining members of the local population, this does not provide the complete picture. In some instances, it is the household’s </w:t>
      </w:r>
      <w:r w:rsidRPr="004E053C">
        <w:rPr>
          <w:rFonts w:cstheme="majorHAnsi"/>
          <w:sz w:val="22"/>
          <w:szCs w:val="22"/>
          <w:lang w:val="en-GB"/>
        </w:rPr>
        <w:lastRenderedPageBreak/>
        <w:t xml:space="preserve">engagement in ASM that causes the problems, rather than the inequality that is generated. For example, </w:t>
      </w:r>
      <w:r w:rsidR="001B115B" w:rsidRPr="004E053C">
        <w:rPr>
          <w:rFonts w:cstheme="majorHAnsi"/>
          <w:sz w:val="22"/>
          <w:szCs w:val="22"/>
          <w:lang w:val="en-GB"/>
        </w:rPr>
        <w:t>Chaska</w:t>
      </w:r>
      <w:r w:rsidRPr="004E053C">
        <w:rPr>
          <w:rFonts w:cstheme="majorHAnsi"/>
          <w:sz w:val="22"/>
          <w:szCs w:val="22"/>
          <w:lang w:val="en-GB"/>
        </w:rPr>
        <w:t xml:space="preserve"> said that her neighbours criticised her because her husband went to work in the mine, suggesting that they did not approve of it as a livelihood activity. This is interesting in a place where migration to mining has happened for decades and in some cases generations. While </w:t>
      </w:r>
      <w:r w:rsidR="001B115B" w:rsidRPr="004E053C">
        <w:rPr>
          <w:rFonts w:cstheme="majorHAnsi"/>
          <w:sz w:val="22"/>
          <w:szCs w:val="22"/>
          <w:lang w:val="en-GB"/>
        </w:rPr>
        <w:t>Chaska</w:t>
      </w:r>
      <w:r w:rsidRPr="004E053C">
        <w:rPr>
          <w:rFonts w:cstheme="majorHAnsi"/>
          <w:sz w:val="22"/>
          <w:szCs w:val="22"/>
          <w:lang w:val="en-GB"/>
        </w:rPr>
        <w:t xml:space="preserve"> blamed the opinions of her neighbours o</w:t>
      </w:r>
      <w:r w:rsidR="001F63CA" w:rsidRPr="004E053C">
        <w:rPr>
          <w:rFonts w:cstheme="majorHAnsi"/>
          <w:sz w:val="22"/>
          <w:szCs w:val="22"/>
          <w:lang w:val="en-GB"/>
        </w:rPr>
        <w:t>n jealousy, another problem may</w:t>
      </w:r>
      <w:r w:rsidRPr="004E053C">
        <w:rPr>
          <w:rFonts w:cstheme="majorHAnsi"/>
          <w:sz w:val="22"/>
          <w:szCs w:val="22"/>
          <w:lang w:val="en-GB"/>
        </w:rPr>
        <w:t xml:space="preserve">be the increasingly negative portrayal of ASM in public discourse changing the perceptions of some local people. </w:t>
      </w:r>
    </w:p>
    <w:p w14:paraId="1DFF0D34" w14:textId="77777777" w:rsidR="008808BD" w:rsidRPr="004E053C" w:rsidRDefault="008808BD" w:rsidP="004E053C">
      <w:pPr>
        <w:spacing w:line="360" w:lineRule="auto"/>
        <w:jc w:val="both"/>
        <w:rPr>
          <w:rFonts w:cstheme="majorHAnsi"/>
          <w:sz w:val="22"/>
          <w:szCs w:val="22"/>
          <w:lang w:val="en-GB"/>
        </w:rPr>
      </w:pPr>
    </w:p>
    <w:p w14:paraId="5E54CB96" w14:textId="52B391A3" w:rsidR="00F2183E" w:rsidRPr="004E053C" w:rsidRDefault="00F2183E" w:rsidP="004E053C">
      <w:pPr>
        <w:spacing w:line="360" w:lineRule="auto"/>
        <w:jc w:val="both"/>
        <w:rPr>
          <w:rStyle w:val="fontstyle01"/>
          <w:rFonts w:asciiTheme="minorHAnsi" w:hAnsiTheme="minorHAnsi" w:cstheme="majorHAnsi"/>
          <w:sz w:val="22"/>
          <w:szCs w:val="22"/>
          <w:lang w:val="en-GB"/>
        </w:rPr>
      </w:pPr>
      <w:r w:rsidRPr="004E053C">
        <w:rPr>
          <w:rFonts w:cstheme="majorHAnsi"/>
          <w:sz w:val="22"/>
          <w:szCs w:val="22"/>
          <w:lang w:val="en-GB"/>
        </w:rPr>
        <w:t xml:space="preserve">With the influx of miners to the gold mining sites in 2007, the increased destruction of the rainforest and the shifting government regulations, the attitudes of the non-miners </w:t>
      </w:r>
      <w:r w:rsidR="001F63CA" w:rsidRPr="004E053C">
        <w:rPr>
          <w:rFonts w:cstheme="majorHAnsi"/>
          <w:sz w:val="22"/>
          <w:szCs w:val="22"/>
          <w:lang w:val="en-GB"/>
        </w:rPr>
        <w:t>may</w:t>
      </w:r>
      <w:r w:rsidRPr="004E053C">
        <w:rPr>
          <w:rFonts w:cstheme="majorHAnsi"/>
          <w:sz w:val="22"/>
          <w:szCs w:val="22"/>
          <w:lang w:val="en-GB"/>
        </w:rPr>
        <w:t xml:space="preserve"> have changed. Furthermore, the young miners now go to work La Pampa, whereas before the miners would mostly have been going to work in the mining corridor, as there was little mining activity outside of this area. </w:t>
      </w:r>
      <w:r w:rsidRPr="004E053C">
        <w:rPr>
          <w:rStyle w:val="Hyperlink"/>
          <w:rFonts w:cstheme="majorHAnsi"/>
          <w:color w:val="auto"/>
          <w:sz w:val="22"/>
          <w:szCs w:val="22"/>
          <w:u w:val="none"/>
          <w:lang w:val="en-GB"/>
        </w:rPr>
        <w:t xml:space="preserve">In Werthmann’s </w:t>
      </w:r>
      <w:r w:rsidR="00061F17" w:rsidRPr="004E053C">
        <w:rPr>
          <w:rStyle w:val="Hyperlink"/>
          <w:rFonts w:cstheme="majorHAnsi"/>
          <w:color w:val="auto"/>
          <w:sz w:val="22"/>
          <w:szCs w:val="22"/>
          <w:u w:val="none"/>
          <w:lang w:val="en-GB"/>
        </w:rPr>
        <w:fldChar w:fldCharType="begin" w:fldLock="1"/>
      </w:r>
      <w:r w:rsidR="00061F17" w:rsidRPr="004E053C">
        <w:rPr>
          <w:rStyle w:val="Hyperlink"/>
          <w:rFonts w:cstheme="majorHAnsi"/>
          <w:color w:val="auto"/>
          <w:sz w:val="22"/>
          <w:szCs w:val="22"/>
          <w:u w:val="none"/>
          <w:lang w:val="en-GB"/>
        </w:rPr>
        <w:instrText>ADDIN CSL_CITATION {"citationItems":[{"id":"ITEM-1","itemData":{"author":[{"dropping-particle":"","family":"Werthmann","given":"Katja","non-dropping-particle":"","parse-names":false,"suffix":""}],"container-title":"Resources Policy","id":"ITEM-1","issued":{"date-parts":[["2009"]]},"page":"18-23","title":"Working in a boom-town: Female perspectives on gold-mining in Burkina Faso","type":"article-journal","volume":"34"},"uris":["http://www.mendeley.com/documents/?uuid=da98f8ff-10f1-45ed-adfd-29236ef7847f"]}],"mendeley":{"formattedCitation":"(Werthmann, 2009)","manualFormatting":"(2009)","plainTextFormattedCitation":"(Werthmann, 2009)","previouslyFormattedCitation":"(Werthmann, 2009)"},"properties":{"noteIndex":0},"schema":"https://github.com/citation-style-language/schema/raw/master/csl-citation.json"}</w:instrText>
      </w:r>
      <w:r w:rsidR="00061F17" w:rsidRPr="004E053C">
        <w:rPr>
          <w:rStyle w:val="Hyperlink"/>
          <w:rFonts w:cstheme="majorHAnsi"/>
          <w:color w:val="auto"/>
          <w:sz w:val="22"/>
          <w:szCs w:val="22"/>
          <w:u w:val="none"/>
          <w:lang w:val="en-GB"/>
        </w:rPr>
        <w:fldChar w:fldCharType="separate"/>
      </w:r>
      <w:r w:rsidR="00061F17" w:rsidRPr="004E053C">
        <w:rPr>
          <w:rStyle w:val="Hyperlink"/>
          <w:rFonts w:cstheme="majorHAnsi"/>
          <w:noProof/>
          <w:color w:val="auto"/>
          <w:sz w:val="22"/>
          <w:szCs w:val="22"/>
          <w:u w:val="none"/>
          <w:lang w:val="en-GB"/>
        </w:rPr>
        <w:t>(2009)</w:t>
      </w:r>
      <w:r w:rsidR="00061F17" w:rsidRPr="004E053C">
        <w:rPr>
          <w:rStyle w:val="Hyperlink"/>
          <w:rFonts w:cstheme="majorHAnsi"/>
          <w:color w:val="auto"/>
          <w:sz w:val="22"/>
          <w:szCs w:val="22"/>
          <w:u w:val="none"/>
          <w:lang w:val="en-GB"/>
        </w:rPr>
        <w:fldChar w:fldCharType="end"/>
      </w:r>
      <w:r w:rsidRPr="004E053C">
        <w:rPr>
          <w:rStyle w:val="Hyperlink"/>
          <w:rFonts w:cstheme="majorHAnsi"/>
          <w:color w:val="auto"/>
          <w:sz w:val="22"/>
          <w:szCs w:val="22"/>
          <w:u w:val="none"/>
          <w:lang w:val="en-GB"/>
        </w:rPr>
        <w:t xml:space="preserve"> study she notes that wider society in Burkina Faso considers mining camps as </w:t>
      </w:r>
      <w:r w:rsidR="003B5DCB" w:rsidRPr="004E053C">
        <w:rPr>
          <w:rStyle w:val="Hyperlink"/>
          <w:rFonts w:cstheme="majorHAnsi"/>
          <w:color w:val="auto"/>
          <w:sz w:val="22"/>
          <w:szCs w:val="22"/>
          <w:u w:val="none"/>
          <w:lang w:val="en-GB"/>
        </w:rPr>
        <w:t>‘</w:t>
      </w:r>
      <w:r w:rsidRPr="004E053C">
        <w:rPr>
          <w:rStyle w:val="Hyperlink"/>
          <w:rFonts w:cstheme="majorHAnsi"/>
          <w:color w:val="auto"/>
          <w:sz w:val="22"/>
          <w:szCs w:val="22"/>
          <w:u w:val="none"/>
          <w:lang w:val="en-GB"/>
        </w:rPr>
        <w:t>a world apart</w:t>
      </w:r>
      <w:r w:rsidR="003B5DCB" w:rsidRPr="004E053C">
        <w:rPr>
          <w:rStyle w:val="Hyperlink"/>
          <w:rFonts w:cstheme="majorHAnsi"/>
          <w:color w:val="auto"/>
          <w:sz w:val="22"/>
          <w:szCs w:val="22"/>
          <w:u w:val="none"/>
          <w:lang w:val="en-GB"/>
        </w:rPr>
        <w:t>’</w:t>
      </w:r>
      <w:r w:rsidRPr="004E053C">
        <w:rPr>
          <w:rStyle w:val="Hyperlink"/>
          <w:rFonts w:cstheme="majorHAnsi"/>
          <w:color w:val="auto"/>
          <w:sz w:val="22"/>
          <w:szCs w:val="22"/>
          <w:u w:val="none"/>
          <w:lang w:val="en-GB"/>
        </w:rPr>
        <w:t xml:space="preserve"> where drug abuse, criminality, violence and prostitution prevail. It is likely that the same perceptions are creating tension with origin commun</w:t>
      </w:r>
      <w:r w:rsidR="003B5DCB" w:rsidRPr="004E053C">
        <w:rPr>
          <w:rStyle w:val="Hyperlink"/>
          <w:rFonts w:cstheme="majorHAnsi"/>
          <w:color w:val="auto"/>
          <w:sz w:val="22"/>
          <w:szCs w:val="22"/>
          <w:u w:val="none"/>
          <w:lang w:val="en-GB"/>
        </w:rPr>
        <w:t>ities, which</w:t>
      </w:r>
      <w:r w:rsidRPr="004E053C">
        <w:rPr>
          <w:rStyle w:val="Hyperlink"/>
          <w:rFonts w:cstheme="majorHAnsi"/>
          <w:color w:val="auto"/>
          <w:sz w:val="22"/>
          <w:szCs w:val="22"/>
          <w:u w:val="none"/>
          <w:lang w:val="en-GB"/>
        </w:rPr>
        <w:t xml:space="preserve"> was reflected in fieldwork interviews</w:t>
      </w:r>
      <w:r w:rsidR="003B5DCB" w:rsidRPr="004E053C">
        <w:rPr>
          <w:rStyle w:val="Hyperlink"/>
          <w:rFonts w:cstheme="majorHAnsi"/>
          <w:color w:val="auto"/>
          <w:sz w:val="22"/>
          <w:szCs w:val="22"/>
          <w:u w:val="none"/>
          <w:lang w:val="en-GB"/>
        </w:rPr>
        <w:t xml:space="preserve">. </w:t>
      </w:r>
      <w:r w:rsidRPr="004E053C">
        <w:rPr>
          <w:rFonts w:cstheme="majorHAnsi"/>
          <w:sz w:val="22"/>
          <w:szCs w:val="22"/>
          <w:lang w:val="en-GB"/>
        </w:rPr>
        <w:t>For exampl</w:t>
      </w:r>
      <w:r w:rsidR="003B5DCB" w:rsidRPr="004E053C">
        <w:rPr>
          <w:rFonts w:cstheme="majorHAnsi"/>
          <w:sz w:val="22"/>
          <w:szCs w:val="22"/>
          <w:lang w:val="en-GB"/>
        </w:rPr>
        <w:t xml:space="preserve">e, </w:t>
      </w:r>
      <w:r w:rsidR="001F63CA" w:rsidRPr="004E053C">
        <w:rPr>
          <w:rFonts w:cstheme="majorHAnsi"/>
          <w:sz w:val="22"/>
          <w:szCs w:val="22"/>
          <w:lang w:val="en-GB"/>
        </w:rPr>
        <w:t>Mayu</w:t>
      </w:r>
      <w:r w:rsidR="003B5DCB" w:rsidRPr="004E053C">
        <w:rPr>
          <w:rFonts w:cstheme="majorHAnsi"/>
          <w:sz w:val="22"/>
          <w:szCs w:val="22"/>
          <w:lang w:val="en-GB"/>
        </w:rPr>
        <w:t>’s husband made some ‘bad friends’</w:t>
      </w:r>
      <w:r w:rsidRPr="004E053C">
        <w:rPr>
          <w:rFonts w:cstheme="majorHAnsi"/>
          <w:sz w:val="22"/>
          <w:szCs w:val="22"/>
          <w:lang w:val="en-GB"/>
        </w:rPr>
        <w:t xml:space="preserve"> through working in ASM and his </w:t>
      </w:r>
      <w:r w:rsidR="008C68C5" w:rsidRPr="004E053C">
        <w:rPr>
          <w:rFonts w:cstheme="majorHAnsi"/>
          <w:sz w:val="22"/>
          <w:szCs w:val="22"/>
          <w:lang w:val="en-GB"/>
        </w:rPr>
        <w:t>behaviour</w:t>
      </w:r>
      <w:r w:rsidRPr="004E053C">
        <w:rPr>
          <w:rFonts w:cstheme="majorHAnsi"/>
          <w:sz w:val="22"/>
          <w:szCs w:val="22"/>
          <w:lang w:val="en-GB"/>
        </w:rPr>
        <w:t xml:space="preserve"> changed dramatically, as he drinks a lot and no longer goes to church. </w:t>
      </w:r>
      <w:r w:rsidR="001B115B" w:rsidRPr="004E053C">
        <w:rPr>
          <w:rFonts w:cstheme="majorHAnsi"/>
          <w:sz w:val="22"/>
          <w:szCs w:val="22"/>
          <w:lang w:val="en-GB"/>
        </w:rPr>
        <w:t>Mayu</w:t>
      </w:r>
      <w:r w:rsidRPr="004E053C">
        <w:rPr>
          <w:rFonts w:cstheme="majorHAnsi"/>
          <w:sz w:val="22"/>
          <w:szCs w:val="22"/>
          <w:lang w:val="en-GB"/>
        </w:rPr>
        <w:t xml:space="preserve"> was worried about this and said that local men frequently tell her he is crazy, suggesting that she was concerned her husband’s poor behaviour may affect her social relationships with people in the locality. This also reflects how some members of the local population perceive men who go to work in ASM. </w:t>
      </w:r>
      <w:r w:rsidRPr="004E053C">
        <w:rPr>
          <w:rStyle w:val="fontstyle01"/>
          <w:rFonts w:asciiTheme="minorHAnsi" w:hAnsiTheme="minorHAnsi" w:cstheme="majorHAnsi"/>
          <w:sz w:val="22"/>
          <w:szCs w:val="22"/>
          <w:lang w:val="en-GB"/>
        </w:rPr>
        <w:t xml:space="preserve">It has already been noted that in socially-fractured localities women face particular pressure to build and maintain cohesion amongst the population </w:t>
      </w:r>
      <w:r w:rsidR="00061F17" w:rsidRPr="004E053C">
        <w:rPr>
          <w:rStyle w:val="fontstyle01"/>
          <w:rFonts w:asciiTheme="minorHAnsi" w:hAnsiTheme="minorHAnsi" w:cstheme="majorHAnsi"/>
          <w:sz w:val="22"/>
          <w:szCs w:val="22"/>
          <w:lang w:val="en-GB"/>
        </w:rPr>
        <w:fldChar w:fldCharType="begin" w:fldLock="1"/>
      </w:r>
      <w:r w:rsidR="0004146F" w:rsidRPr="004E053C">
        <w:rPr>
          <w:rStyle w:val="fontstyle01"/>
          <w:rFonts w:asciiTheme="minorHAnsi" w:hAnsiTheme="minorHAnsi" w:cstheme="majorHAnsi"/>
          <w:sz w:val="22"/>
          <w:szCs w:val="22"/>
          <w:lang w:val="en-GB"/>
        </w:rPr>
        <w:instrText>ADDIN CSL_CITATION {"citationItems":[{"id":"ITEM-1","itemData":{"author":[{"dropping-particle":"","family":"Hinton","given":"Jennifer J","non-dropping-particle":"","parse-names":false,"suffix":""},{"dropping-particle":"","family":"Veiga","given":"Marcello M","non-dropping-particle":"","parse-names":false,"suffix":""},{"dropping-particle":"","family":"Beinhoff","given":"Christian","non-dropping-particle":"","parse-names":false,"suffix":""}],"chapter-number":"11","container-title":"The Socio-Economic Impacts of Artisanal and Small-Scale Mining in Developing Countries","edition":"1st Editio","editor":[{"dropping-particle":"","family":"Hilson","given":"Gavin","non-dropping-particle":"","parse-names":false,"suffix":""}],"id":"ITEM-1","issued":{"date-parts":[["2003"]]},"page":"149-189","publisher":"A.A.Balkema Publishers","publisher-place":"Lisse","title":"Women and Artisanal Mining: Gender Roles and the Road Ahead","type":"chapter"},"uris":["http://www.mendeley.com/documents/?uuid=187b04b7-de6c-3858-a947-a6ea6a786813"]},{"id":"ITEM-2","itemData":{"author":[{"dropping-particle":"","family":"Jenkins","given":"K.","non-dropping-particle":"","parse-names":false,"suffix":""}],"container-title":"The Extractive Industries and Society","id":"ITEM-2","issue":"2","issued":{"date-parts":[["2014"]]},"page":"329-339","title":"Women, mining and development: an emerging research agenda","type":"article-journal","volume":"1"},"uris":["http://www.mendeley.com/documents/?uuid=76cd3f85-7688-4868-9a1e-e4d63b669a48"]}],"mendeley":{"formattedCitation":"(Jennifer J Hinton et al., 2003; Jenkins, 2014)","manualFormatting":"(Hinton et al., 2003; Jenkins, 2014)","plainTextFormattedCitation":"(Jennifer J Hinton et al., 2003; Jenkins, 2014)","previouslyFormattedCitation":"(Jennifer J Hinton et al., 2003; Jenkins, 2014)"},"properties":{"noteIndex":0},"schema":"https://github.com/citation-style-language/schema/raw/master/csl-citation.json"}</w:instrText>
      </w:r>
      <w:r w:rsidR="00061F17" w:rsidRPr="004E053C">
        <w:rPr>
          <w:rStyle w:val="fontstyle01"/>
          <w:rFonts w:asciiTheme="minorHAnsi" w:hAnsiTheme="minorHAnsi" w:cstheme="majorHAnsi"/>
          <w:sz w:val="22"/>
          <w:szCs w:val="22"/>
          <w:lang w:val="en-GB"/>
        </w:rPr>
        <w:fldChar w:fldCharType="separate"/>
      </w:r>
      <w:r w:rsidR="00C374D8" w:rsidRPr="004E053C">
        <w:rPr>
          <w:rStyle w:val="fontstyle01"/>
          <w:rFonts w:asciiTheme="minorHAnsi" w:hAnsiTheme="minorHAnsi" w:cstheme="majorHAnsi"/>
          <w:noProof/>
          <w:sz w:val="22"/>
          <w:szCs w:val="22"/>
          <w:lang w:val="en-GB"/>
        </w:rPr>
        <w:t>(</w:t>
      </w:r>
      <w:r w:rsidR="00061F17" w:rsidRPr="004E053C">
        <w:rPr>
          <w:rStyle w:val="fontstyle01"/>
          <w:rFonts w:asciiTheme="minorHAnsi" w:hAnsiTheme="minorHAnsi" w:cstheme="majorHAnsi"/>
          <w:noProof/>
          <w:sz w:val="22"/>
          <w:szCs w:val="22"/>
          <w:lang w:val="en-GB"/>
        </w:rPr>
        <w:t>Hinton et al., 2003; Jenkins, 2014)</w:t>
      </w:r>
      <w:r w:rsidR="00061F17" w:rsidRPr="004E053C">
        <w:rPr>
          <w:rStyle w:val="fontstyle01"/>
          <w:rFonts w:asciiTheme="minorHAnsi" w:hAnsiTheme="minorHAnsi" w:cstheme="majorHAnsi"/>
          <w:sz w:val="22"/>
          <w:szCs w:val="22"/>
          <w:lang w:val="en-GB"/>
        </w:rPr>
        <w:fldChar w:fldCharType="end"/>
      </w:r>
      <w:r w:rsidRPr="004E053C">
        <w:rPr>
          <w:rStyle w:val="fontstyle01"/>
          <w:rFonts w:asciiTheme="minorHAnsi" w:hAnsiTheme="minorHAnsi" w:cstheme="majorHAnsi"/>
          <w:sz w:val="22"/>
          <w:szCs w:val="22"/>
          <w:lang w:val="en-GB"/>
        </w:rPr>
        <w:t xml:space="preserve">, but the negative reputation of ASM may be making it more difficult for women to perform this role in the translocal ASM community. </w:t>
      </w:r>
    </w:p>
    <w:p w14:paraId="5CAA40BB" w14:textId="77777777" w:rsidR="008808BD" w:rsidRPr="004E053C" w:rsidRDefault="008808BD" w:rsidP="004E053C">
      <w:pPr>
        <w:spacing w:line="360" w:lineRule="auto"/>
        <w:jc w:val="both"/>
        <w:rPr>
          <w:rStyle w:val="fontstyle01"/>
          <w:rFonts w:asciiTheme="minorHAnsi" w:hAnsiTheme="minorHAnsi" w:cstheme="majorHAnsi"/>
          <w:sz w:val="22"/>
          <w:szCs w:val="22"/>
          <w:lang w:val="en-GB"/>
        </w:rPr>
      </w:pPr>
    </w:p>
    <w:p w14:paraId="76131C3F" w14:textId="102957FC"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It is often claimed that mobility and translocal livelihoods can undermine place making and identity formation </w:t>
      </w:r>
      <w:r w:rsidR="00C374D8"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{"citationItems":[{"id":"ITEM-1","itemData":{"author":[{"dropping-particle":"","family":"Cuba","given":"Lee","non-dropping-particle":"","parse-names":false,"suffix":""},{"dropping-particle":"","family":"Hummon","given":"David M","non-dropping-particle":"","parse-names":false,"suffix":""}],"container-title":"Sociological Quarterly","id":"ITEM-1","issue":"1","issued":{"date-parts":[["1993"]]},"page":"111-131","title":"A place to call home: identitication with dwelling, community and region","type":"article-journal","volume":"34"},"uris":["http://www.mendeley.com/documents/?uuid=5a6b16da-dfd1-4b24-b281-35ec3ebd03c5"]}],"mendeley":{"formattedCitation":"(Cuba &amp; Hummon, 1993)","plainTextFormattedCitation":"(Cuba &amp; Hummon, 1993)","previouslyFormattedCitation":"(Cuba &amp; Hummon, 1993)"},"properties":{"noteIndex":0},"schema":"https://github.com/citation-style-language/schema/raw/master/csl-citation.json"}</w:instrText>
      </w:r>
      <w:r w:rsidR="00C374D8" w:rsidRPr="004E053C">
        <w:rPr>
          <w:rFonts w:cstheme="majorHAnsi"/>
          <w:sz w:val="22"/>
          <w:szCs w:val="22"/>
          <w:lang w:val="en-GB"/>
        </w:rPr>
        <w:fldChar w:fldCharType="separate"/>
      </w:r>
      <w:r w:rsidR="00C374D8" w:rsidRPr="004E053C">
        <w:rPr>
          <w:rFonts w:cstheme="majorHAnsi"/>
          <w:noProof/>
          <w:sz w:val="22"/>
          <w:szCs w:val="22"/>
          <w:lang w:val="en-GB"/>
        </w:rPr>
        <w:t>(Cuba &amp; Hummon, 1993)</w:t>
      </w:r>
      <w:r w:rsidR="00C374D8" w:rsidRPr="004E053C">
        <w:rPr>
          <w:rFonts w:cstheme="majorHAnsi"/>
          <w:sz w:val="22"/>
          <w:szCs w:val="22"/>
          <w:lang w:val="en-GB"/>
        </w:rPr>
        <w:fldChar w:fldCharType="end"/>
      </w:r>
      <w:r w:rsidRPr="004E053C">
        <w:rPr>
          <w:rFonts w:cstheme="majorHAnsi"/>
          <w:sz w:val="22"/>
          <w:szCs w:val="22"/>
          <w:lang w:val="en-GB"/>
        </w:rPr>
        <w:t xml:space="preserve"> and lead to complicated and often ambivalent relationship between rural points of origin and current urban development areas </w:t>
      </w:r>
      <w:r w:rsidR="00C374D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{"citationItems":[{"id":"ITEM-1","itemData":{"author":[{"dropping-particle":"","family":"Sørensen","given":"N","non-dropping-particle":"","parse-names":false,"suffix":""}],"container-title":"Work and Migration: Life and Livelihoods in a Globalizing World","editor":[{"dropping-particle":"","family":"Olwig","given":"K.F","non-dropping-particle":"","parse-names":false,"suffix":""},{"dropping-particle":"","family":"Sorensen","given":"N.N","non-dropping-particle":"","parse-names":false,"suffix":""}],"id":"ITEM-1","issued":{"date-parts":[["2002"]]},"page":"23-44","publisher":"Routledge","publisher-place":"London, UK","title":"Representing the local: mobile livelihood practices in the Peruvian Central Sierra","type":"chapter"},"uris":["http://www.mendeley.com/documents/?uuid=da5c8a60-7323-4b01-846e-4af88ae79834"]}],"mendeley":{"formattedCitation":"(Sørensen, 2002)","plainTextFormattedCitation":"(Sørensen, 2002)","previouslyFormattedCitation":"(Sørensen, 2002)"},"properties":{"noteIndex":0},"schema":"https://github.com/citation-style-language/schema/raw/master/csl-citation.json"}</w:instrText>
      </w:r>
      <w:r w:rsidR="00C374D8" w:rsidRPr="004E053C">
        <w:rPr>
          <w:rFonts w:cstheme="majorHAnsi"/>
          <w:sz w:val="22"/>
          <w:szCs w:val="22"/>
          <w:lang w:val="en-GB"/>
        </w:rPr>
        <w:fldChar w:fldCharType="separate"/>
      </w:r>
      <w:r w:rsidR="00C374D8" w:rsidRPr="004E053C">
        <w:rPr>
          <w:rFonts w:cstheme="majorHAnsi"/>
          <w:noProof/>
          <w:sz w:val="22"/>
          <w:szCs w:val="22"/>
          <w:lang w:val="en-GB"/>
        </w:rPr>
        <w:t>(Sørensen, 2002)</w:t>
      </w:r>
      <w:r w:rsidR="00C374D8" w:rsidRPr="004E053C">
        <w:rPr>
          <w:rFonts w:cstheme="majorHAnsi"/>
          <w:sz w:val="22"/>
          <w:szCs w:val="22"/>
          <w:lang w:val="en-GB"/>
        </w:rPr>
        <w:fldChar w:fldCharType="end"/>
      </w:r>
      <w:r w:rsidRPr="004E053C">
        <w:rPr>
          <w:rFonts w:cstheme="majorHAnsi"/>
          <w:sz w:val="22"/>
          <w:szCs w:val="22"/>
          <w:lang w:val="en-GB"/>
        </w:rPr>
        <w:t xml:space="preserve">. Furthermore, in other migratory contexts, there is evidence of non-migrants viewing migration as robbing the local community of its life force </w:t>
      </w:r>
      <w:r w:rsidR="00C374D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{"citationItems":[{"id":"ITEM-1","itemData":{"abstract":"When analysing migration processes, particular problems arise due to the phenomenon of migration rarely being addressed holistically – largely because of its complexity. This is evident in the study of South–North migrations, where the majority of existing research has been through an economic perspective often neglecting the sociocultural dimensions. In this article, we consider the situation of men and women in West Africa who do not migrate despite living in communities saturated by intense emigration to European or other Northern countries. We review the existing literature on ‘those left behind’ in general, and more specifically in the West African context and then, based on a case study in Senegal, we examine the processes that lead some people to stay behind, while others migrate. In this article, we discuss and deconstruct the label ‘left-behind’ as found in the literature and discuss it based on qualitative interviews conducted in a community in Senegal.","author":[{"dropping-particle":"","family":"Mondain","given":"Nathalie","non-dropping-particle":"","parse-names":false,"suffix":""},{"dropping-particle":"","family":"Daigne","given":"Alioune","non-dropping-particle":"","parse-names":false,"suffix":""}],"container-title":"Journal of Intercultural Studies","id":"ITEM-1","issue":"5","issued":{"date-parts":[["2013"]]},"page":"503-516","title":"Discerning the reality of ‘those left behind’ in contemporary migration processes in sub-Saharan Africa: some theoretical reflections in the light of data from Senegal","type":"article-journal","volume":"34"},"uris":["http://www.mendeley.com/documents/?uuid=808438ab-7a72-44d3-b9db-0cdc5adb0872"]}],"mendeley":{"formattedCitation":"(Mondain &amp; Daigne, 2013)","plainTextFormattedCitation":"(Mondain &amp; Daigne, 2013)","previouslyFormattedCitation":"(Mondain &amp; Daigne, 2013)"},"properties":{"noteIndex":0},"schema":"https://github.com/citation-style-language/schema/raw/master/csl-citation.json"}</w:instrText>
      </w:r>
      <w:r w:rsidR="00C374D8" w:rsidRPr="004E053C">
        <w:rPr>
          <w:rFonts w:cstheme="majorHAnsi"/>
          <w:sz w:val="22"/>
          <w:szCs w:val="22"/>
          <w:lang w:val="en-GB"/>
        </w:rPr>
        <w:fldChar w:fldCharType="separate"/>
      </w:r>
      <w:r w:rsidR="00C374D8" w:rsidRPr="004E053C">
        <w:rPr>
          <w:rFonts w:cstheme="majorHAnsi"/>
          <w:noProof/>
          <w:sz w:val="22"/>
          <w:szCs w:val="22"/>
          <w:lang w:val="en-GB"/>
        </w:rPr>
        <w:t>(Mondain &amp; Daigne, 2013)</w:t>
      </w:r>
      <w:r w:rsidR="00C374D8" w:rsidRPr="004E053C">
        <w:rPr>
          <w:rFonts w:cstheme="majorHAnsi"/>
          <w:sz w:val="22"/>
          <w:szCs w:val="22"/>
          <w:lang w:val="en-GB"/>
        </w:rPr>
        <w:fldChar w:fldCharType="end"/>
      </w:r>
      <w:r w:rsidRPr="004E053C">
        <w:rPr>
          <w:rFonts w:eastAsia="Times New Roman" w:cstheme="majorHAnsi"/>
          <w:color w:val="333333"/>
          <w:sz w:val="22"/>
          <w:szCs w:val="22"/>
          <w:lang w:val="en-GB"/>
        </w:rPr>
        <w:t xml:space="preserve">, therefore seeing those who partake in it in a bad light. </w:t>
      </w:r>
      <w:r w:rsidRPr="004E053C">
        <w:rPr>
          <w:rFonts w:cstheme="majorHAnsi"/>
          <w:sz w:val="22"/>
          <w:szCs w:val="22"/>
          <w:lang w:val="en-GB"/>
        </w:rPr>
        <w:t xml:space="preserve">Thus, rather than the problem being ASM </w:t>
      </w:r>
      <w:r w:rsidRPr="004E053C">
        <w:rPr>
          <w:rFonts w:cstheme="majorHAnsi"/>
          <w:i/>
          <w:iCs/>
          <w:sz w:val="22"/>
          <w:szCs w:val="22"/>
          <w:lang w:val="en-GB"/>
        </w:rPr>
        <w:t>per se,</w:t>
      </w:r>
      <w:r w:rsidRPr="004E053C">
        <w:rPr>
          <w:rFonts w:cstheme="majorHAnsi"/>
          <w:sz w:val="22"/>
          <w:szCs w:val="22"/>
          <w:lang w:val="en-GB"/>
        </w:rPr>
        <w:t xml:space="preserve"> it is the act of migration leading to men being absent from the local area which is leading to relationship breakdowns. For example, </w:t>
      </w:r>
      <w:r w:rsidR="00EA7F80" w:rsidRPr="004E053C">
        <w:rPr>
          <w:rFonts w:cstheme="majorHAnsi"/>
          <w:sz w:val="22"/>
          <w:szCs w:val="22"/>
          <w:lang w:val="en-GB"/>
        </w:rPr>
        <w:t>Juan</w:t>
      </w:r>
      <w:r w:rsidRPr="004E053C">
        <w:rPr>
          <w:rFonts w:cstheme="majorHAnsi"/>
          <w:sz w:val="22"/>
          <w:szCs w:val="22"/>
          <w:lang w:val="en-GB"/>
        </w:rPr>
        <w:t xml:space="preserve">, a man of about 35 who was working in ASM, said that the local people were particularly annoyed as he went to work in the mines for most of the year and not just for a few months at a time. Anyone in the village who wants to work away for an extended period has to apply for a permit from the </w:t>
      </w:r>
      <w:r w:rsidRPr="004E053C">
        <w:rPr>
          <w:rFonts w:cstheme="majorHAnsi"/>
          <w:sz w:val="22"/>
          <w:szCs w:val="22"/>
          <w:lang w:val="en-GB"/>
        </w:rPr>
        <w:lastRenderedPageBreak/>
        <w:t xml:space="preserve">community leader or pay a collectively-agreed absentee fine, which is common in many Andean towns and villages </w:t>
      </w:r>
      <w:r w:rsidR="00C374D8" w:rsidRPr="004E053C">
        <w:rPr>
          <w:rFonts w:cstheme="majorHAnsi"/>
          <w:sz w:val="22"/>
          <w:szCs w:val="22"/>
          <w:lang w:val="en-GB"/>
        </w:rPr>
        <w:fldChar w:fldCharType="begin" w:fldLock="1"/>
      </w:r>
      <w:r w:rsidR="00C374D8" w:rsidRPr="004E053C">
        <w:rPr>
          <w:rFonts w:cstheme="majorHAnsi"/>
          <w:sz w:val="22"/>
          <w:szCs w:val="22"/>
          <w:lang w:val="en-GB"/>
        </w:rPr>
        <w:instrText>ADDIN CSL_CITATION {"citationItems":[{"id":"ITEM-1","itemData":{"author":[{"dropping-particle":"","family":"Boelens","given":"Rutgerd","non-dropping-particle":"","parse-names":false,"suffix":""}],"id":"ITEM-1","issued":{"date-parts":[["2015"]]},"publisher":"Routledge","publisher-place":"Oxford, UK","title":"Water, Power and Identity: The Cultural Politics of Water in the Andes","type":"book"},"uris":["http://www.mendeley.com/documents/?uuid=a9c3787f-40e7-4753-9eec-62944b13b88f"]}],"mendeley":{"formattedCitation":"(Boelens, 2015)","plainTextFormattedCitation":"(Boelens, 2015)","previouslyFormattedCitation":"(Boelens, 2015)"},"properties":{"noteIndex":0},"schema":"https://github.com/citation-style-language/schema/raw/master/csl-citation.json"}</w:instrText>
      </w:r>
      <w:r w:rsidR="00C374D8" w:rsidRPr="004E053C">
        <w:rPr>
          <w:rFonts w:cstheme="majorHAnsi"/>
          <w:sz w:val="22"/>
          <w:szCs w:val="22"/>
          <w:lang w:val="en-GB"/>
        </w:rPr>
        <w:fldChar w:fldCharType="separate"/>
      </w:r>
      <w:r w:rsidR="00C374D8" w:rsidRPr="004E053C">
        <w:rPr>
          <w:rFonts w:cstheme="majorHAnsi"/>
          <w:noProof/>
          <w:sz w:val="22"/>
          <w:szCs w:val="22"/>
          <w:lang w:val="en-GB"/>
        </w:rPr>
        <w:t>(Boelens, 2015)</w:t>
      </w:r>
      <w:r w:rsidR="00C374D8" w:rsidRPr="004E053C">
        <w:rPr>
          <w:rFonts w:cstheme="majorHAnsi"/>
          <w:sz w:val="22"/>
          <w:szCs w:val="22"/>
          <w:lang w:val="en-GB"/>
        </w:rPr>
        <w:fldChar w:fldCharType="end"/>
      </w:r>
      <w:r w:rsidRPr="004E053C">
        <w:rPr>
          <w:rFonts w:cstheme="majorHAnsi"/>
          <w:sz w:val="22"/>
          <w:szCs w:val="22"/>
          <w:lang w:val="en-GB"/>
        </w:rPr>
        <w:t>. However, despite these measures, the community leader said that problems still arose if the miners wanted to go away for more than 2-3 months of the year:</w:t>
      </w:r>
    </w:p>
    <w:p w14:paraId="0A8232A8" w14:textId="77777777" w:rsidR="008808BD" w:rsidRPr="004E053C" w:rsidRDefault="008808BD" w:rsidP="004E053C">
      <w:pPr>
        <w:spacing w:line="360" w:lineRule="auto"/>
        <w:jc w:val="both"/>
        <w:rPr>
          <w:rFonts w:cstheme="majorHAnsi"/>
          <w:sz w:val="22"/>
          <w:szCs w:val="22"/>
          <w:lang w:val="en-GB"/>
        </w:rPr>
      </w:pPr>
    </w:p>
    <w:p w14:paraId="562F8629" w14:textId="7AA67F8E" w:rsidR="00F2183E" w:rsidRPr="004E053C" w:rsidRDefault="00C374D8" w:rsidP="004E053C">
      <w:pPr>
        <w:ind w:left="720"/>
        <w:jc w:val="both"/>
        <w:rPr>
          <w:rFonts w:eastAsia="Times New Roman" w:cstheme="majorHAnsi"/>
          <w:sz w:val="22"/>
          <w:szCs w:val="22"/>
          <w:lang w:val="en-GB"/>
        </w:rPr>
      </w:pPr>
      <w:r w:rsidRPr="004E053C">
        <w:rPr>
          <w:rFonts w:cstheme="majorHAnsi"/>
          <w:sz w:val="22"/>
          <w:szCs w:val="22"/>
          <w:lang w:val="en-GB"/>
        </w:rPr>
        <w:t>‘</w:t>
      </w:r>
      <w:r w:rsidR="00F2183E" w:rsidRPr="004E053C">
        <w:rPr>
          <w:rFonts w:eastAsia="Times New Roman" w:cstheme="majorHAnsi"/>
          <w:i/>
          <w:sz w:val="22"/>
          <w:szCs w:val="22"/>
          <w:lang w:val="en-GB"/>
        </w:rPr>
        <w:t>The other community members say that they shouldn’t go because it is solely for their own progress and to build their house, and buy cars…and that we shoul</w:t>
      </w:r>
      <w:r w:rsidRPr="004E053C">
        <w:rPr>
          <w:rFonts w:eastAsia="Times New Roman" w:cstheme="majorHAnsi"/>
          <w:i/>
          <w:sz w:val="22"/>
          <w:szCs w:val="22"/>
          <w:lang w:val="en-GB"/>
        </w:rPr>
        <w:t>dn’t give them permission to go’</w:t>
      </w:r>
      <w:r w:rsidR="00F2183E" w:rsidRPr="004E053C">
        <w:rPr>
          <w:rFonts w:eastAsia="Times New Roman" w:cstheme="majorHAnsi"/>
          <w:i/>
          <w:sz w:val="22"/>
          <w:szCs w:val="22"/>
          <w:lang w:val="en-GB"/>
        </w:rPr>
        <w:t xml:space="preserve"> </w:t>
      </w:r>
      <w:r w:rsidR="00F2183E" w:rsidRPr="004E053C">
        <w:rPr>
          <w:rFonts w:eastAsia="Times New Roman" w:cstheme="majorHAnsi"/>
          <w:iCs/>
          <w:sz w:val="22"/>
          <w:szCs w:val="22"/>
          <w:lang w:val="en-GB"/>
        </w:rPr>
        <w:t>(Community leader, Ocongate).</w:t>
      </w:r>
    </w:p>
    <w:p w14:paraId="783AB4AC" w14:textId="77777777" w:rsidR="00F2183E" w:rsidRPr="004E053C" w:rsidRDefault="00F2183E" w:rsidP="004E053C">
      <w:pPr>
        <w:spacing w:line="360" w:lineRule="auto"/>
        <w:jc w:val="both"/>
        <w:rPr>
          <w:rFonts w:eastAsia="Times New Roman" w:cstheme="majorHAnsi"/>
          <w:sz w:val="22"/>
          <w:szCs w:val="22"/>
          <w:lang w:val="en-GB"/>
        </w:rPr>
      </w:pPr>
    </w:p>
    <w:p w14:paraId="7F322C42" w14:textId="7777777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Although the community leader’s comments could be taken as reflecting an element of jealousy between local people, it also suggests that there is perceived to be no wider benefit to households engaging in ASM. </w:t>
      </w:r>
    </w:p>
    <w:p w14:paraId="42D8D0E5" w14:textId="77777777" w:rsidR="00F2183E" w:rsidRPr="004E053C" w:rsidRDefault="00F2183E" w:rsidP="004E053C">
      <w:pPr>
        <w:spacing w:line="360" w:lineRule="auto"/>
        <w:jc w:val="both"/>
        <w:rPr>
          <w:rFonts w:cstheme="majorHAnsi"/>
          <w:sz w:val="22"/>
          <w:szCs w:val="22"/>
          <w:lang w:val="en-GB"/>
        </w:rPr>
      </w:pPr>
    </w:p>
    <w:p w14:paraId="12D2B0D8" w14:textId="13256D3A"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Many of the households who are still actively involved in ASM are quite young couples who have only been working in ASM for a few years, yet the older couples that continued to mine had remained embedded in the local community and did not report any deteriorating relationships. This implies that it may be the attitudes of the young men who are at home for less time than the older miners that have an impact on the way they are perceived by other local people. During the interview with </w:t>
      </w:r>
      <w:r w:rsidR="00EA7F80" w:rsidRPr="004E053C">
        <w:rPr>
          <w:rFonts w:cstheme="majorHAnsi"/>
          <w:sz w:val="22"/>
          <w:szCs w:val="22"/>
          <w:lang w:val="en-GB"/>
        </w:rPr>
        <w:t>Juan</w:t>
      </w:r>
      <w:r w:rsidRPr="004E053C">
        <w:rPr>
          <w:rFonts w:cstheme="majorHAnsi"/>
          <w:sz w:val="22"/>
          <w:szCs w:val="22"/>
          <w:lang w:val="en-GB"/>
        </w:rPr>
        <w:t xml:space="preserve">, he explained than in order to maintain local relationships he decided to return home more often and was in fact only at home at the time of interview because he had to help with the </w:t>
      </w:r>
      <w:r w:rsidRPr="004E053C">
        <w:rPr>
          <w:rFonts w:cstheme="majorHAnsi"/>
          <w:i/>
          <w:sz w:val="22"/>
          <w:szCs w:val="22"/>
          <w:lang w:val="en-GB"/>
        </w:rPr>
        <w:t>faenas</w:t>
      </w:r>
      <w:r w:rsidRPr="004E053C">
        <w:rPr>
          <w:rFonts w:cstheme="majorHAnsi"/>
          <w:sz w:val="22"/>
          <w:szCs w:val="22"/>
          <w:lang w:val="en-GB"/>
        </w:rPr>
        <w:t xml:space="preserve">. However, many of the other young miners did not do this, which may be linked to the fact that they intended to move to Cusco when they had saved enough money. It has been shown that when one proposes to move away permanently, their relations with local people are likely to be forever altered and possibly severed </w:t>
      </w:r>
      <w:r w:rsidR="00C374D8" w:rsidRPr="004E053C">
        <w:rPr>
          <w:rFonts w:cstheme="majorHAnsi"/>
          <w:sz w:val="22"/>
          <w:szCs w:val="22"/>
          <w:lang w:val="en-GB"/>
        </w:rPr>
        <w:fldChar w:fldCharType="begin" w:fldLock="1"/>
      </w:r>
      <w:r w:rsidR="007F27D0" w:rsidRPr="004E053C">
        <w:rPr>
          <w:rFonts w:cstheme="majorHAnsi"/>
          <w:sz w:val="22"/>
          <w:szCs w:val="22"/>
          <w:lang w:val="en-GB"/>
        </w:rPr>
        <w:instrText>ADDIN CSL_CITATION {"citationItems":[{"id":"ITEM-1","itemData":{"abstract":"This paper analyzes temporary migration, migration undertaken as a sojourn. Stressing migrant motivation, this paper shows that the institutionalization of intention, or what is here termed strategy, is an important aspect of all migrations. Using this perspective to distinguish between permanent and temporary migration, the author then analyzes the structural patterns and institutionalized sequence common to most temporary migrations. Four aspects of the sequence are discussed: (1) The structural conditions in societies in which temporary migration is most common, (2) Recruitment patterns and network formation linking home and host societies, (3) Patterns of settlement in host societies, and (4) Patternsof return migration. For each aspect, the paper shows that the institutionalization of motives is an important level of migration often left unanalyzed by theorists using social-psychological or macro-level push-pull theories of migration. © 1986.","author":[{"dropping-particle":"","family":"Hamilton","given":"Gary G.","non-dropping-particle":"","parse-names":false,"suffix":""}],"container-title":"International Journal of Intercultural Relations","id":"ITEM-1","issue":"4","issued":{"date-parts":[["1985"]]},"page":"405-425","title":"Temporary migration and the institutionalization of strategy","type":"article-journal","volume":"9"},"uris":["http://www.mendeley.com/documents/?uuid=17c00c85-bc1c-3e2e-bc42-e416d288504c"]}],"mendeley":{"formattedCitation":"(Hamilton, 1985)","plainTextFormattedCitation":"(Hamilton, 1985)","previouslyFormattedCitation":"(Hamilton, 1985)"},"properties":{"noteIndex":0},"schema":"https://github.com/citation-style-language/schema/raw/master/csl-citation.json"}</w:instrText>
      </w:r>
      <w:r w:rsidR="00C374D8" w:rsidRPr="004E053C">
        <w:rPr>
          <w:rFonts w:cstheme="majorHAnsi"/>
          <w:sz w:val="22"/>
          <w:szCs w:val="22"/>
          <w:lang w:val="en-GB"/>
        </w:rPr>
        <w:fldChar w:fldCharType="separate"/>
      </w:r>
      <w:r w:rsidR="00C374D8" w:rsidRPr="004E053C">
        <w:rPr>
          <w:rFonts w:cstheme="majorHAnsi"/>
          <w:noProof/>
          <w:sz w:val="22"/>
          <w:szCs w:val="22"/>
          <w:lang w:val="en-GB"/>
        </w:rPr>
        <w:t>(Hamilton, 1985)</w:t>
      </w:r>
      <w:r w:rsidR="00C374D8" w:rsidRPr="004E053C">
        <w:rPr>
          <w:rFonts w:cstheme="majorHAnsi"/>
          <w:sz w:val="22"/>
          <w:szCs w:val="22"/>
          <w:lang w:val="en-GB"/>
        </w:rPr>
        <w:fldChar w:fldCharType="end"/>
      </w:r>
      <w:r w:rsidRPr="004E053C">
        <w:rPr>
          <w:rFonts w:cstheme="majorHAnsi"/>
          <w:sz w:val="22"/>
          <w:szCs w:val="22"/>
          <w:lang w:val="en-GB"/>
        </w:rPr>
        <w:t xml:space="preserve">. Therefore these young men may be less interested in maintaining local links. While Walsh </w:t>
      </w:r>
      <w:r w:rsidR="00C374D8" w:rsidRPr="004E053C">
        <w:rPr>
          <w:rFonts w:cstheme="majorHAnsi"/>
          <w:sz w:val="22"/>
          <w:szCs w:val="22"/>
          <w:lang w:val="en-GB"/>
        </w:rPr>
        <w:fldChar w:fldCharType="begin" w:fldLock="1"/>
      </w:r>
      <w:r w:rsidR="00C374D8" w:rsidRPr="004E053C">
        <w:rPr>
          <w:rFonts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id":"ITEM-2","itemData":{"author":[{"dropping-particle":"","family":"Walsh","given":"Andrew","non-dropping-particle":"","parse-names":false,"suffix":""}],"container-title":"Africa: The Journal of the International African Institute","id":"ITEM-2","issue":"2","issued":{"date-parts":[["2012"]]},"page":"235-251","title":"After the rush: living with uncertainty in a Malagasy rural town, Africa","type":"article-journal","volume":"82"},"uris":["http://www.mendeley.com/documents/?uuid=cd2c67d7-e16d-478c-bb1b-5e15dca23af5"]}],"mendeley":{"formattedCitation":"(Walsh, 2003, 2012)","manualFormatting":"(2003, 2012)","plainTextFormattedCitation":"(Walsh, 2003, 2012)","previouslyFormattedCitation":"(Walsh, 2003, 2012)"},"properties":{"noteIndex":0},"schema":"https://github.com/citation-style-language/schema/raw/master/csl-citation.json"}</w:instrText>
      </w:r>
      <w:r w:rsidR="00C374D8" w:rsidRPr="004E053C">
        <w:rPr>
          <w:rFonts w:cstheme="majorHAnsi"/>
          <w:sz w:val="22"/>
          <w:szCs w:val="22"/>
          <w:lang w:val="en-GB"/>
        </w:rPr>
        <w:fldChar w:fldCharType="separate"/>
      </w:r>
      <w:r w:rsidR="00C374D8" w:rsidRPr="004E053C">
        <w:rPr>
          <w:rFonts w:cstheme="majorHAnsi"/>
          <w:noProof/>
          <w:sz w:val="22"/>
          <w:szCs w:val="22"/>
          <w:lang w:val="en-GB"/>
        </w:rPr>
        <w:t>(2003, 2012)</w:t>
      </w:r>
      <w:r w:rsidR="00C374D8" w:rsidRPr="004E053C">
        <w:rPr>
          <w:rFonts w:cstheme="majorHAnsi"/>
          <w:sz w:val="22"/>
          <w:szCs w:val="22"/>
          <w:lang w:val="en-GB"/>
        </w:rPr>
        <w:fldChar w:fldCharType="end"/>
      </w:r>
      <w:r w:rsidRPr="004E053C">
        <w:rPr>
          <w:rFonts w:cstheme="majorHAnsi"/>
          <w:sz w:val="22"/>
          <w:szCs w:val="22"/>
          <w:lang w:val="en-GB"/>
        </w:rPr>
        <w:t xml:space="preserve"> has explored the impact of young migrant miners ignoring local authority and norms in mining towns with high in-migration, this has not been explored in the context of places of origin.</w:t>
      </w:r>
    </w:p>
    <w:p w14:paraId="37D7052B" w14:textId="77777777" w:rsidR="00F2183E" w:rsidRPr="004E053C" w:rsidRDefault="00F2183E" w:rsidP="004E053C">
      <w:pPr>
        <w:spacing w:line="360" w:lineRule="auto"/>
        <w:jc w:val="both"/>
        <w:rPr>
          <w:rFonts w:cstheme="majorHAnsi"/>
          <w:sz w:val="22"/>
          <w:szCs w:val="22"/>
          <w:lang w:val="en-GB"/>
        </w:rPr>
      </w:pPr>
    </w:p>
    <w:p w14:paraId="4EEE0D06" w14:textId="0267432C"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For local people, one of the key issues is the completion of</w:t>
      </w:r>
      <w:r w:rsidRPr="004E053C">
        <w:rPr>
          <w:rFonts w:cstheme="majorHAnsi"/>
          <w:i/>
          <w:iCs/>
          <w:sz w:val="22"/>
          <w:szCs w:val="22"/>
          <w:lang w:val="en-GB"/>
        </w:rPr>
        <w:t xml:space="preserve"> faenas</w:t>
      </w:r>
      <w:r w:rsidRPr="004E053C">
        <w:rPr>
          <w:rFonts w:cstheme="majorHAnsi"/>
          <w:sz w:val="22"/>
          <w:szCs w:val="22"/>
          <w:lang w:val="en-GB"/>
        </w:rPr>
        <w:t>. F</w:t>
      </w:r>
      <w:r w:rsidRPr="004E053C">
        <w:rPr>
          <w:rFonts w:cstheme="majorHAnsi"/>
          <w:i/>
          <w:iCs/>
          <w:sz w:val="22"/>
          <w:szCs w:val="22"/>
          <w:lang w:val="en-GB"/>
        </w:rPr>
        <w:t>aenas</w:t>
      </w:r>
      <w:r w:rsidRPr="004E053C">
        <w:rPr>
          <w:rFonts w:cstheme="majorHAnsi"/>
          <w:sz w:val="22"/>
          <w:szCs w:val="22"/>
          <w:lang w:val="en-GB"/>
        </w:rPr>
        <w:t xml:space="preserve"> are community-based tasks, such as cleaning ditches and repairing public buildings, in which households contribute labour for free </w:t>
      </w:r>
      <w:r w:rsidR="00C374D8" w:rsidRPr="004E053C">
        <w:rPr>
          <w:rFonts w:cstheme="majorHAnsi"/>
          <w:sz w:val="22"/>
          <w:szCs w:val="22"/>
          <w:lang w:val="en-GB"/>
        </w:rPr>
        <w:fldChar w:fldCharType="begin" w:fldLock="1"/>
      </w:r>
      <w:r w:rsidR="00C374D8" w:rsidRPr="004E053C">
        <w:rPr>
          <w:rFonts w:cstheme="majorHAnsi"/>
          <w:sz w:val="22"/>
          <w:szCs w:val="22"/>
          <w:lang w:val="en-GB"/>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1997)","plainTextFormattedCitation":"(Paerregaard, 1997)","previouslyFormattedCitation":"(Paerregaard, 1997)"},"properties":{"noteIndex":0},"schema":"https://github.com/citation-style-language/schema/raw/master/csl-citation.json"}</w:instrText>
      </w:r>
      <w:r w:rsidR="00C374D8" w:rsidRPr="004E053C">
        <w:rPr>
          <w:rFonts w:cstheme="majorHAnsi"/>
          <w:sz w:val="22"/>
          <w:szCs w:val="22"/>
          <w:lang w:val="en-GB"/>
        </w:rPr>
        <w:fldChar w:fldCharType="separate"/>
      </w:r>
      <w:r w:rsidR="00C374D8" w:rsidRPr="004E053C">
        <w:rPr>
          <w:rFonts w:cstheme="majorHAnsi"/>
          <w:noProof/>
          <w:sz w:val="22"/>
          <w:szCs w:val="22"/>
          <w:lang w:val="en-GB"/>
        </w:rPr>
        <w:t>(Paerregaard, 1997)</w:t>
      </w:r>
      <w:r w:rsidR="00C374D8" w:rsidRPr="004E053C">
        <w:rPr>
          <w:rFonts w:cstheme="majorHAnsi"/>
          <w:sz w:val="22"/>
          <w:szCs w:val="22"/>
          <w:lang w:val="en-GB"/>
        </w:rPr>
        <w:fldChar w:fldCharType="end"/>
      </w:r>
      <w:r w:rsidRPr="004E053C">
        <w:rPr>
          <w:rFonts w:cstheme="majorHAnsi"/>
          <w:sz w:val="22"/>
          <w:szCs w:val="22"/>
          <w:lang w:val="en-GB"/>
        </w:rPr>
        <w:t xml:space="preserve">. However, while men are obligated to participate, women usually only contribute on a voluntary basis </w:t>
      </w:r>
      <w:r w:rsidR="00C374D8" w:rsidRPr="004E053C">
        <w:rPr>
          <w:rFonts w:cstheme="majorHAnsi"/>
          <w:sz w:val="22"/>
          <w:szCs w:val="22"/>
          <w:lang w:val="en-GB"/>
        </w:rPr>
        <w:fldChar w:fldCharType="begin" w:fldLock="1"/>
      </w:r>
      <w:r w:rsidR="00B67ED4" w:rsidRPr="004E053C">
        <w:rPr>
          <w:rFonts w:cstheme="majorHAnsi"/>
          <w:sz w:val="22"/>
          <w:szCs w:val="22"/>
          <w:lang w:val="en-GB"/>
        </w:rPr>
        <w:instrText>ADDIN CSL_CITATION {"citationItems":[{"id":"ITEM-1","itemData":{"author":[{"dropping-particle":"","family":"Paerregaard","given":"Karsten","non-dropping-particle":"","parse-names":false,"suffix":""}],"id":"ITEM-1","issued":{"date-parts":[["1997"]]},"number-of-pages":"292","publisher":"Berg","publisher-place":"Oxford, UK","title":"Linking Separate Worlds: Urban Migrants and Rural Lives in Peru","type":"book"},"uris":["http://www.mendeley.com/documents/?uuid=d6153191-fdf5-4809-b679-467130a14d0d"]}],"mendeley":{"formattedCitation":"(Paerregaard, 1997)","manualFormatting":"(Ibid.)","plainTextFormattedCitation":"(Paerregaard, 1997)","previouslyFormattedCitation":"(Paerregaard, 1997)"},"properties":{"noteIndex":0},"schema":"https://github.com/citation-style-language/schema/raw/master/csl-citation.json"}</w:instrText>
      </w:r>
      <w:r w:rsidR="00C374D8" w:rsidRPr="004E053C">
        <w:rPr>
          <w:rFonts w:cstheme="majorHAnsi"/>
          <w:sz w:val="22"/>
          <w:szCs w:val="22"/>
          <w:lang w:val="en-GB"/>
        </w:rPr>
        <w:fldChar w:fldCharType="separate"/>
      </w:r>
      <w:r w:rsidR="00830084" w:rsidRPr="004E053C">
        <w:rPr>
          <w:rFonts w:cstheme="majorHAnsi"/>
          <w:noProof/>
          <w:sz w:val="22"/>
          <w:szCs w:val="22"/>
          <w:lang w:val="en-GB"/>
        </w:rPr>
        <w:t>(Ibid</w:t>
      </w:r>
      <w:r w:rsidR="00EC4FAE" w:rsidRPr="004E053C">
        <w:rPr>
          <w:rFonts w:cstheme="majorHAnsi"/>
          <w:noProof/>
          <w:sz w:val="22"/>
          <w:szCs w:val="22"/>
          <w:lang w:val="en-GB"/>
        </w:rPr>
        <w:t>.</w:t>
      </w:r>
      <w:r w:rsidR="00C374D8" w:rsidRPr="004E053C">
        <w:rPr>
          <w:rFonts w:cstheme="majorHAnsi"/>
          <w:noProof/>
          <w:sz w:val="22"/>
          <w:szCs w:val="22"/>
          <w:lang w:val="en-GB"/>
        </w:rPr>
        <w:t>)</w:t>
      </w:r>
      <w:r w:rsidR="00C374D8" w:rsidRPr="004E053C">
        <w:rPr>
          <w:rFonts w:cstheme="majorHAnsi"/>
          <w:sz w:val="22"/>
          <w:szCs w:val="22"/>
          <w:lang w:val="en-GB"/>
        </w:rPr>
        <w:fldChar w:fldCharType="end"/>
      </w:r>
      <w:r w:rsidRPr="004E053C">
        <w:rPr>
          <w:rFonts w:cstheme="majorHAnsi"/>
          <w:sz w:val="22"/>
          <w:szCs w:val="22"/>
          <w:lang w:val="en-GB"/>
        </w:rPr>
        <w:t xml:space="preserve">. There are problems when the local people perceive men to be avoiding these responsibilities when they migrate, particularly if they are going to a place of ill repute where they will behave badly. In their absence, women take on the responsibilities of attending the </w:t>
      </w:r>
      <w:r w:rsidRPr="004E053C">
        <w:rPr>
          <w:rFonts w:cstheme="majorHAnsi"/>
          <w:i/>
          <w:iCs/>
          <w:sz w:val="22"/>
          <w:szCs w:val="22"/>
          <w:lang w:val="en-GB"/>
        </w:rPr>
        <w:t>faenas</w:t>
      </w:r>
      <w:r w:rsidRPr="004E053C">
        <w:rPr>
          <w:rFonts w:cstheme="majorHAnsi"/>
          <w:sz w:val="22"/>
          <w:szCs w:val="22"/>
          <w:lang w:val="en-GB"/>
        </w:rPr>
        <w:t xml:space="preserve">, and Valdiva et al </w:t>
      </w:r>
      <w:r w:rsidR="00C374D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{"citationItems":[{"id":"ITEM-1","itemData":{"abstract":"On the Ground The high Andes of South America include rangelands where pure pastoralists herd llama and alpaca and agropastoralists produce tubers, grains, sheep, and cattle. Women of the Aymara ethnic group live in both pastoral and agro-pastoral systems and have traditionally been responsible for many aspects of crop and livestock management. They also have ownership rights for land and most types of animals. The Aymara have adapted to large political and economic changes. Leadership profiles for women are increasing as rural communities diversify, men migrate in search of work, and females gain access to formal education. The way forward is to continue to engage Aymara women in ways that encourage their participation in development processes, yet minimize additional, work-related burdens.","author":[{"dropping-particle":"","family":"Valdivia","given":"Corinne","non-dropping-particle":"","parse-names":false,"suffix":""},{"dropping-particle":"","family":"Gilles","given":"Jere L.","non-dropping-particle":"","parse-names":false,"suffix":""},{"dropping-particle":"","family":"Turin","given":"Cecilia","non-dropping-particle":"","parse-names":false,"suffix":""}],"container-title":"Rangelands","id":"ITEM-1","issue":"6","issued":{"date-parts":[["2013"]]},"page":"75-81","title":"Andean pastoral women in a changing world: opportunities and challenges","type":"article-journal","volume":"35"},"uris":["http://www.mendeley.com/documents/?uuid=b08d8dd1-7df9-4ab2-b75e-63566ebe0402"]}],"mendeley":{"formattedCitation":"(Valdivia et al., 2013)","manualFormatting":"(2013)","plainTextFormattedCitation":"(Valdivia et al., 2013)","previouslyFormattedCitation":"(Valdivia et al., 2013)"},"properties":{"noteIndex":0},"schema":"https://github.com/citation-style-language/schema/raw/master/csl-citation.json"}</w:instrText>
      </w:r>
      <w:r w:rsidR="00C374D8" w:rsidRPr="004E053C">
        <w:rPr>
          <w:rFonts w:cstheme="majorHAnsi"/>
          <w:sz w:val="22"/>
          <w:szCs w:val="22"/>
          <w:lang w:val="en-GB"/>
        </w:rPr>
        <w:fldChar w:fldCharType="separate"/>
      </w:r>
      <w:r w:rsidR="00C374D8" w:rsidRPr="004E053C">
        <w:rPr>
          <w:rFonts w:cstheme="majorHAnsi"/>
          <w:noProof/>
          <w:sz w:val="22"/>
          <w:szCs w:val="22"/>
          <w:lang w:val="en-GB"/>
        </w:rPr>
        <w:t>(2013)</w:t>
      </w:r>
      <w:r w:rsidR="00C374D8" w:rsidRPr="004E053C">
        <w:rPr>
          <w:rFonts w:cstheme="majorHAnsi"/>
          <w:sz w:val="22"/>
          <w:szCs w:val="22"/>
          <w:lang w:val="en-GB"/>
        </w:rPr>
        <w:fldChar w:fldCharType="end"/>
      </w:r>
      <w:r w:rsidRPr="004E053C">
        <w:rPr>
          <w:rFonts w:cstheme="majorHAnsi"/>
          <w:sz w:val="22"/>
          <w:szCs w:val="22"/>
          <w:lang w:val="en-GB"/>
        </w:rPr>
        <w:t xml:space="preserve"> has previously shown that this may include representing their husband in local meetings and even assuming certain leadership roles. Some of </w:t>
      </w:r>
      <w:r w:rsidRPr="004E053C">
        <w:rPr>
          <w:rFonts w:cstheme="majorHAnsi"/>
          <w:sz w:val="22"/>
          <w:szCs w:val="22"/>
          <w:lang w:val="en-GB"/>
        </w:rPr>
        <w:lastRenderedPageBreak/>
        <w:t xml:space="preserve">the women in Ocongate explained that a further source of tension was that they were often unable to complete the </w:t>
      </w:r>
      <w:r w:rsidRPr="004E053C">
        <w:rPr>
          <w:rFonts w:cstheme="majorHAnsi"/>
          <w:i/>
          <w:iCs/>
          <w:sz w:val="22"/>
          <w:szCs w:val="22"/>
          <w:lang w:val="en-GB"/>
        </w:rPr>
        <w:t>faenas</w:t>
      </w:r>
      <w:r w:rsidRPr="004E053C">
        <w:rPr>
          <w:rFonts w:cstheme="majorHAnsi"/>
          <w:sz w:val="22"/>
          <w:szCs w:val="22"/>
          <w:lang w:val="en-GB"/>
        </w:rPr>
        <w:t xml:space="preserve"> to the same standard as the men, or with the same speed, because they lacked the physical strength. Furthermore, when the women participated in local meetings in the absence of their husbands they rarely spoke up and gave their opinion, which meant that the meetings were generally considered to be not as fruitful as when the men were able to attend. One woman said, ‘</w:t>
      </w:r>
      <w:r w:rsidRPr="004E053C">
        <w:rPr>
          <w:rFonts w:cstheme="majorHAnsi"/>
          <w:i/>
          <w:sz w:val="22"/>
          <w:szCs w:val="22"/>
          <w:lang w:val="en-GB"/>
        </w:rPr>
        <w:t>we don’t have opinions</w:t>
      </w:r>
      <w:r w:rsidRPr="004E053C">
        <w:rPr>
          <w:rFonts w:cstheme="majorHAnsi"/>
          <w:sz w:val="22"/>
          <w:szCs w:val="22"/>
          <w:lang w:val="en-GB"/>
        </w:rPr>
        <w:t xml:space="preserve">’, and said that the men who had remained in the village inevitably took all the decisions. This suggests that men who remain behind may become relatively empowered in the absence of those men who have gone to mine. It is not clear what implications this might have for broader gender relations within the local community. </w:t>
      </w:r>
    </w:p>
    <w:p w14:paraId="1D76872F" w14:textId="77777777" w:rsidR="00F2183E" w:rsidRPr="004E053C" w:rsidRDefault="00F2183E" w:rsidP="004E053C">
      <w:pPr>
        <w:spacing w:line="360" w:lineRule="auto"/>
        <w:jc w:val="both"/>
        <w:rPr>
          <w:rFonts w:cstheme="majorHAnsi"/>
          <w:sz w:val="22"/>
          <w:szCs w:val="22"/>
          <w:lang w:val="en-GB"/>
        </w:rPr>
      </w:pPr>
    </w:p>
    <w:p w14:paraId="672CCE0B" w14:textId="42F60A08" w:rsidR="00F2183E" w:rsidRPr="004E053C" w:rsidRDefault="001F63CA" w:rsidP="004E053C">
      <w:pPr>
        <w:pStyle w:val="NoSpacing"/>
        <w:spacing w:line="360" w:lineRule="auto"/>
        <w:jc w:val="both"/>
        <w:rPr>
          <w:rFonts w:cstheme="majorHAnsi"/>
          <w:sz w:val="22"/>
          <w:szCs w:val="22"/>
          <w:u w:val="single"/>
          <w:lang w:val="en-GB"/>
        </w:rPr>
      </w:pPr>
      <w:r w:rsidRPr="004E053C">
        <w:rPr>
          <w:rFonts w:cstheme="majorHAnsi"/>
          <w:sz w:val="22"/>
          <w:szCs w:val="22"/>
          <w:u w:val="single"/>
          <w:lang w:val="en-GB"/>
        </w:rPr>
        <w:t>I</w:t>
      </w:r>
      <w:r w:rsidR="00F2183E" w:rsidRPr="004E053C">
        <w:rPr>
          <w:rFonts w:cstheme="majorHAnsi"/>
          <w:sz w:val="22"/>
          <w:szCs w:val="22"/>
          <w:u w:val="single"/>
          <w:lang w:val="en-GB"/>
        </w:rPr>
        <w:t>mprovements</w:t>
      </w:r>
    </w:p>
    <w:p w14:paraId="3CE97023" w14:textId="77777777" w:rsidR="00F2183E" w:rsidRPr="004E053C" w:rsidRDefault="00F2183E" w:rsidP="004E053C">
      <w:pPr>
        <w:pStyle w:val="NoSpacing"/>
        <w:spacing w:line="360" w:lineRule="auto"/>
        <w:jc w:val="both"/>
        <w:rPr>
          <w:rFonts w:cstheme="majorHAnsi"/>
          <w:sz w:val="22"/>
          <w:szCs w:val="22"/>
          <w:lang w:val="en-GB"/>
        </w:rPr>
      </w:pPr>
    </w:p>
    <w:p w14:paraId="627FB705" w14:textId="5B507063"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Poverty has been shown to both erode social capital as well as strengthen kin ties through shared adversity </w:t>
      </w:r>
      <w:r w:rsidR="003E175A" w:rsidRPr="004E053C">
        <w:rPr>
          <w:rFonts w:cstheme="majorHAnsi"/>
          <w:sz w:val="22"/>
          <w:szCs w:val="22"/>
          <w:lang w:val="en-GB"/>
        </w:rPr>
        <w:fldChar w:fldCharType="begin" w:fldLock="1"/>
      </w:r>
      <w:r w:rsidR="003E175A" w:rsidRPr="004E053C">
        <w:rPr>
          <w:rFonts w:cstheme="majorHAnsi"/>
          <w:sz w:val="22"/>
          <w:szCs w:val="22"/>
          <w:lang w:val="en-GB"/>
        </w:rPr>
        <w:instrText>ADDIN CSL_CITATION {"citationItems":[{"id":"ITEM-1","itemData":{"author":[{"dropping-particle":"","family":"Molyneux","given":"Maxine","non-dropping-particle":"","parse-names":false,"suffix":""}],"container-title":"Development and Change","id":"ITEM-1","issue":"2","issued":{"date-parts":[["2002"]]},"page":"167-188","title":"Gender and the silences of social capital: lessons from Latin America","type":"article-journal","volume":"33"},"uris":["http://www.mendeley.com/documents/?uuid=f5e7dbc8-4cfa-46d8-9595-b98d63131729"]}],"mendeley":{"formattedCitation":"(Molyneux, 2002)","plainTextFormattedCitation":"(Molyneux, 2002)","previouslyFormattedCitation":"(Molyneux, 2002)"},"properties":{"noteIndex":0},"schema":"https://github.com/citation-style-language/schema/raw/master/csl-citation.json"}</w:instrText>
      </w:r>
      <w:r w:rsidR="003E175A" w:rsidRPr="004E053C">
        <w:rPr>
          <w:rFonts w:cstheme="majorHAnsi"/>
          <w:sz w:val="22"/>
          <w:szCs w:val="22"/>
          <w:lang w:val="en-GB"/>
        </w:rPr>
        <w:fldChar w:fldCharType="separate"/>
      </w:r>
      <w:r w:rsidR="003E175A" w:rsidRPr="004E053C">
        <w:rPr>
          <w:rFonts w:cstheme="majorHAnsi"/>
          <w:noProof/>
          <w:sz w:val="22"/>
          <w:szCs w:val="22"/>
          <w:lang w:val="en-GB"/>
        </w:rPr>
        <w:t>(Molyneux, 2002)</w:t>
      </w:r>
      <w:r w:rsidR="003E175A" w:rsidRPr="004E053C">
        <w:rPr>
          <w:rFonts w:cstheme="majorHAnsi"/>
          <w:sz w:val="22"/>
          <w:szCs w:val="22"/>
          <w:lang w:val="en-GB"/>
        </w:rPr>
        <w:fldChar w:fldCharType="end"/>
      </w:r>
      <w:r w:rsidRPr="004E053C">
        <w:rPr>
          <w:rFonts w:cstheme="majorHAnsi"/>
          <w:sz w:val="22"/>
          <w:szCs w:val="22"/>
          <w:lang w:val="en-GB"/>
        </w:rPr>
        <w:t>. When faced with poverty, households and women in particular, may have to develop coping strategies that rely on a form of cooperation, but we may expect to find local relationships change from forced cooperation to electiv</w:t>
      </w:r>
      <w:r w:rsidR="00130A52">
        <w:rPr>
          <w:rFonts w:cstheme="majorHAnsi"/>
          <w:sz w:val="22"/>
          <w:szCs w:val="22"/>
          <w:lang w:val="en-GB"/>
        </w:rPr>
        <w:t xml:space="preserve">e forms of solidarity as income </w:t>
      </w:r>
      <w:r w:rsidRPr="004E053C">
        <w:rPr>
          <w:rFonts w:cstheme="majorHAnsi"/>
          <w:sz w:val="22"/>
          <w:szCs w:val="22"/>
          <w:lang w:val="en-GB"/>
        </w:rPr>
        <w:t xml:space="preserve">levels rise </w:t>
      </w:r>
      <w:r w:rsidR="003E175A" w:rsidRPr="004E053C">
        <w:rPr>
          <w:rFonts w:cstheme="majorHAnsi"/>
          <w:sz w:val="22"/>
          <w:szCs w:val="22"/>
          <w:lang w:val="en-GB"/>
        </w:rPr>
        <w:fldChar w:fldCharType="begin" w:fldLock="1"/>
      </w:r>
      <w:r w:rsidR="00B67ED4" w:rsidRPr="004E053C">
        <w:rPr>
          <w:rFonts w:cstheme="majorHAnsi"/>
          <w:sz w:val="22"/>
          <w:szCs w:val="22"/>
          <w:lang w:val="en-GB"/>
        </w:rPr>
        <w:instrText>ADDIN CSL_CITATION {"citationItems":[{"id":"ITEM-1","itemData":{"author":[{"dropping-particle":"","family":"Molyneux","given":"Maxine","non-dropping-particle":"","parse-names":false,"suffix":""}],"container-title":"Development and Change","id":"ITEM-1","issue":"2","issued":{"date-parts":[["2002"]]},"page":"167-188","title":"Gender and the silences of social capital: lessons from Latin America","type":"article-journal","volume":"33"},"uris":["http://www.mendeley.com/documents/?uuid=f5e7dbc8-4cfa-46d8-9595-b98d63131729"]}],"mendeley":{"formattedCitation":"(Molyneux, 2002)","manualFormatting":"(Ibid.)","plainTextFormattedCitation":"(Molyneux, 2002)","previouslyFormattedCitation":"(Molyneux, 2002)"},"properties":{"noteIndex":0},"schema":"https://github.com/citation-style-language/schema/raw/master/csl-citation.json"}</w:instrText>
      </w:r>
      <w:r w:rsidR="003E175A" w:rsidRPr="004E053C">
        <w:rPr>
          <w:rFonts w:cstheme="majorHAnsi"/>
          <w:sz w:val="22"/>
          <w:szCs w:val="22"/>
          <w:lang w:val="en-GB"/>
        </w:rPr>
        <w:fldChar w:fldCharType="separate"/>
      </w:r>
      <w:r w:rsidR="00830084" w:rsidRPr="004E053C">
        <w:rPr>
          <w:rFonts w:cstheme="majorHAnsi"/>
          <w:noProof/>
          <w:sz w:val="22"/>
          <w:szCs w:val="22"/>
          <w:lang w:val="en-GB"/>
        </w:rPr>
        <w:t>(Ibid</w:t>
      </w:r>
      <w:r w:rsidR="00EC4FAE" w:rsidRPr="004E053C">
        <w:rPr>
          <w:rFonts w:cstheme="majorHAnsi"/>
          <w:noProof/>
          <w:sz w:val="22"/>
          <w:szCs w:val="22"/>
          <w:lang w:val="en-GB"/>
        </w:rPr>
        <w:t>.</w:t>
      </w:r>
      <w:r w:rsidR="003E175A" w:rsidRPr="004E053C">
        <w:rPr>
          <w:rFonts w:cstheme="majorHAnsi"/>
          <w:noProof/>
          <w:sz w:val="22"/>
          <w:szCs w:val="22"/>
          <w:lang w:val="en-GB"/>
        </w:rPr>
        <w:t>)</w:t>
      </w:r>
      <w:r w:rsidR="003E175A" w:rsidRPr="004E053C">
        <w:rPr>
          <w:rFonts w:cstheme="majorHAnsi"/>
          <w:sz w:val="22"/>
          <w:szCs w:val="22"/>
          <w:lang w:val="en-GB"/>
        </w:rPr>
        <w:fldChar w:fldCharType="end"/>
      </w:r>
      <w:r w:rsidRPr="004E053C">
        <w:rPr>
          <w:rFonts w:cstheme="majorHAnsi"/>
          <w:sz w:val="22"/>
          <w:szCs w:val="22"/>
          <w:lang w:val="en-GB"/>
        </w:rPr>
        <w:t xml:space="preserve">. Despite the deteriorations within Ocongate that were discussed above, there is also evidence of some improvements in local relations as a result of household engagement in ASM. Some of the women explained that they had previously been recognised as being a poor family and had been looked down upon. One said that people did not want to associate with them if they had no money. However, they said they were now able to participate more in the community and had more friends. </w:t>
      </w:r>
    </w:p>
    <w:p w14:paraId="589D1F85" w14:textId="77777777" w:rsidR="00F2183E" w:rsidRPr="004E053C" w:rsidRDefault="00F2183E" w:rsidP="004E053C">
      <w:pPr>
        <w:spacing w:line="360" w:lineRule="auto"/>
        <w:jc w:val="both"/>
        <w:rPr>
          <w:rFonts w:cstheme="majorHAnsi"/>
          <w:sz w:val="22"/>
          <w:szCs w:val="22"/>
          <w:lang w:val="en-GB"/>
        </w:rPr>
      </w:pPr>
    </w:p>
    <w:p w14:paraId="1ECF0FF4" w14:textId="3EC387D0"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Women among low</w:t>
      </w:r>
      <w:r w:rsidR="00130A52">
        <w:rPr>
          <w:rFonts w:cstheme="majorHAnsi"/>
          <w:sz w:val="22"/>
          <w:szCs w:val="22"/>
          <w:lang w:val="en-GB"/>
        </w:rPr>
        <w:t>-</w:t>
      </w:r>
      <w:r w:rsidRPr="004E053C">
        <w:rPr>
          <w:rFonts w:cstheme="majorHAnsi"/>
          <w:sz w:val="22"/>
          <w:szCs w:val="22"/>
          <w:lang w:val="en-GB"/>
        </w:rPr>
        <w:t xml:space="preserve">income groups are frequently those with the strongest local ties, and this includes supporting church activities and participating in associational life </w:t>
      </w:r>
      <w:r w:rsidR="003E175A" w:rsidRPr="004E053C">
        <w:rPr>
          <w:rFonts w:cstheme="majorHAnsi"/>
          <w:sz w:val="22"/>
          <w:szCs w:val="22"/>
          <w:lang w:val="en-GB"/>
        </w:rPr>
        <w:fldChar w:fldCharType="begin" w:fldLock="1"/>
      </w:r>
      <w:r w:rsidR="00B67ED4" w:rsidRPr="004E053C">
        <w:rPr>
          <w:rFonts w:cstheme="majorHAnsi"/>
          <w:sz w:val="22"/>
          <w:szCs w:val="22"/>
          <w:lang w:val="en-GB"/>
        </w:rPr>
        <w:instrText>ADDIN CSL_CITATION {"citationItems":[{"id":"ITEM-1","itemData":{"author":[{"dropping-particle":"","family":"Molyneux","given":"Maxine","non-dropping-particle":"","parse-names":false,"suffix":""}],"container-title":"Development and Change","id":"ITEM-1","issue":"2","issued":{"date-parts":[["2002"]]},"page":"167-188","title":"Gender and the silences of social capital: lessons from Latin America","type":"article-journal","volume":"33"},"uris":["http://www.mendeley.com/documents/?uuid=f5e7dbc8-4cfa-46d8-9595-b98d63131729"]}],"mendeley":{"formattedCitation":"(Molyneux, 2002)","manualFormatting":"(Ibid.)","plainTextFormattedCitation":"(Molyneux, 2002)","previouslyFormattedCitation":"(Molyneux, 2002)"},"properties":{"noteIndex":0},"schema":"https://github.com/citation-style-language/schema/raw/master/csl-citation.json"}</w:instrText>
      </w:r>
      <w:r w:rsidR="003E175A" w:rsidRPr="004E053C">
        <w:rPr>
          <w:rFonts w:cstheme="majorHAnsi"/>
          <w:sz w:val="22"/>
          <w:szCs w:val="22"/>
          <w:lang w:val="en-GB"/>
        </w:rPr>
        <w:fldChar w:fldCharType="separate"/>
      </w:r>
      <w:r w:rsidR="00830084" w:rsidRPr="004E053C">
        <w:rPr>
          <w:rFonts w:cstheme="majorHAnsi"/>
          <w:noProof/>
          <w:sz w:val="22"/>
          <w:szCs w:val="22"/>
          <w:lang w:val="en-GB"/>
        </w:rPr>
        <w:t>(Ibid</w:t>
      </w:r>
      <w:r w:rsidR="00EC4FAE" w:rsidRPr="004E053C">
        <w:rPr>
          <w:rFonts w:cstheme="majorHAnsi"/>
          <w:noProof/>
          <w:sz w:val="22"/>
          <w:szCs w:val="22"/>
          <w:lang w:val="en-GB"/>
        </w:rPr>
        <w:t>.</w:t>
      </w:r>
      <w:r w:rsidR="003E175A" w:rsidRPr="004E053C">
        <w:rPr>
          <w:rFonts w:cstheme="majorHAnsi"/>
          <w:noProof/>
          <w:sz w:val="22"/>
          <w:szCs w:val="22"/>
          <w:lang w:val="en-GB"/>
        </w:rPr>
        <w:t>)</w:t>
      </w:r>
      <w:r w:rsidR="003E175A" w:rsidRPr="004E053C">
        <w:rPr>
          <w:rFonts w:cstheme="majorHAnsi"/>
          <w:sz w:val="22"/>
          <w:szCs w:val="22"/>
          <w:lang w:val="en-GB"/>
        </w:rPr>
        <w:fldChar w:fldCharType="end"/>
      </w:r>
      <w:r w:rsidR="003E175A" w:rsidRPr="004E053C">
        <w:rPr>
          <w:rFonts w:cstheme="majorHAnsi"/>
          <w:sz w:val="22"/>
          <w:szCs w:val="22"/>
          <w:lang w:val="en-GB"/>
        </w:rPr>
        <w:t>.</w:t>
      </w:r>
      <w:r w:rsidRPr="004E053C">
        <w:rPr>
          <w:rFonts w:cstheme="majorHAnsi"/>
          <w:sz w:val="22"/>
          <w:szCs w:val="22"/>
          <w:lang w:val="en-GB"/>
        </w:rPr>
        <w:t xml:space="preserve"> Interestingly, in Ocongate, some female respondents said they were now able to participate in local associations, which further boosted their social status and was obviously extremely important to them. For example, one woman said she now had an important position within the Guinea-pig association</w:t>
      </w:r>
      <w:r w:rsidRPr="004E053C">
        <w:rPr>
          <w:rStyle w:val="FootnoteReference"/>
          <w:rFonts w:cstheme="majorHAnsi"/>
          <w:sz w:val="22"/>
          <w:szCs w:val="22"/>
          <w:lang w:val="en-GB"/>
        </w:rPr>
        <w:footnoteReference w:id="6"/>
      </w:r>
      <w:r w:rsidRPr="004E053C">
        <w:rPr>
          <w:rFonts w:cstheme="majorHAnsi"/>
          <w:sz w:val="22"/>
          <w:szCs w:val="22"/>
          <w:lang w:val="en-GB"/>
        </w:rPr>
        <w:t xml:space="preserve">. Furthermore, as some of the women had invested ASM income into buying materials to make handicrafts, they had been able to join the local association for artisanal crafts. Joining this association requires the individual to have enough money to have a small business in the first place. However, one woman said that on joining she had to pay some fees and although her family can afford to pay the fees, her husband is annoyed because he doesn’t want her to work. It seems that </w:t>
      </w:r>
      <w:r w:rsidRPr="004E053C">
        <w:rPr>
          <w:rFonts w:cstheme="majorHAnsi"/>
          <w:sz w:val="22"/>
          <w:szCs w:val="22"/>
          <w:lang w:val="en-GB"/>
        </w:rPr>
        <w:lastRenderedPageBreak/>
        <w:t>although he does not mind her making some handicrafts from within the home, but is unhappy for this to be seen as a job through joining an association.</w:t>
      </w:r>
    </w:p>
    <w:p w14:paraId="08A3C6EE" w14:textId="77777777" w:rsidR="00F2183E" w:rsidRPr="004E053C" w:rsidRDefault="00F2183E" w:rsidP="004E053C">
      <w:pPr>
        <w:spacing w:line="360" w:lineRule="auto"/>
        <w:jc w:val="both"/>
        <w:rPr>
          <w:rFonts w:cstheme="majorHAnsi"/>
          <w:sz w:val="22"/>
          <w:szCs w:val="22"/>
          <w:lang w:val="en-GB"/>
        </w:rPr>
      </w:pPr>
    </w:p>
    <w:p w14:paraId="0E135049" w14:textId="29344E97" w:rsidR="00F2183E" w:rsidRPr="004E053C" w:rsidRDefault="00F2183E" w:rsidP="004E053C">
      <w:pPr>
        <w:spacing w:line="360" w:lineRule="auto"/>
        <w:jc w:val="both"/>
        <w:rPr>
          <w:rFonts w:cstheme="majorHAnsi"/>
          <w:sz w:val="22"/>
          <w:szCs w:val="22"/>
          <w:lang w:val="en-GB"/>
        </w:rPr>
      </w:pPr>
      <w:r w:rsidRPr="004E053C">
        <w:rPr>
          <w:rFonts w:cstheme="majorHAnsi"/>
          <w:sz w:val="22"/>
          <w:szCs w:val="22"/>
          <w:lang w:val="en-GB"/>
        </w:rPr>
        <w:t xml:space="preserve">Another thing to note is that as women are also participating more in the </w:t>
      </w:r>
      <w:r w:rsidRPr="004E053C">
        <w:rPr>
          <w:rFonts w:cstheme="majorHAnsi"/>
          <w:i/>
          <w:iCs/>
          <w:sz w:val="22"/>
          <w:szCs w:val="22"/>
          <w:lang w:val="en-GB"/>
        </w:rPr>
        <w:t>feanas</w:t>
      </w:r>
      <w:r w:rsidRPr="004E053C">
        <w:rPr>
          <w:rFonts w:cstheme="majorHAnsi"/>
          <w:sz w:val="22"/>
          <w:szCs w:val="22"/>
          <w:lang w:val="en-GB"/>
        </w:rPr>
        <w:t xml:space="preserve"> and local meetings, this has the potential to contribute to their empowerment and give them a chance to be influential within the local area. However, as noted above, this does not seem to be happening, as the women rarely actively participated. This is similar to the findings of Valdivi</w:t>
      </w:r>
      <w:r w:rsidR="00D116F6" w:rsidRPr="004E053C">
        <w:rPr>
          <w:rFonts w:cstheme="majorHAnsi"/>
          <w:sz w:val="22"/>
          <w:szCs w:val="22"/>
          <w:lang w:val="en-GB"/>
        </w:rPr>
        <w:t xml:space="preserve">a et al </w:t>
      </w:r>
      <w:r w:rsidR="00D116F6"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{"citationItems":[{"id":"ITEM-1","itemData":{"abstract":"On the Ground The high Andes of South America include rangelands where pure pastoralists herd llama and alpaca and agropastoralists produce tubers, grains, sheep, and cattle. Women of the Aymara ethnic group live in both pastoral and agro-pastoral systems and have traditionally been responsible for many aspects of crop and livestock management. They also have ownership rights for land and most types of animals. The Aymara have adapted to large political and economic changes. Leadership profiles for women are increasing as rural communities diversify, men migrate in search of work, and females gain access to formal education. The way forward is to continue to engage Aymara women in ways that encourage their participation in development processes, yet minimize additional, work-related burdens.","author":[{"dropping-particle":"","family":"Valdivia","given":"Corinne","non-dropping-particle":"","parse-names":false,"suffix":""},{"dropping-particle":"","family":"Gilles","given":"Jere L.","non-dropping-particle":"","parse-names":false,"suffix":""},{"dropping-particle":"","family":"Turin","given":"Cecilia","non-dropping-particle":"","parse-names":false,"suffix":""}],"container-title":"Rangelands","id":"ITEM-1","issue":"6","issued":{"date-parts":[["2013"]]},"page":"75-81","title":"Andean pastoral women in a changing world: opportunities and challenges","type":"article-journal","volume":"35"},"uris":["http://www.mendeley.com/documents/?uuid=b08d8dd1-7df9-4ab2-b75e-63566ebe0402"]}],"mendeley":{"formattedCitation":"(Valdivia et al., 2013)","manualFormatting":"(2013)","plainTextFormattedCitation":"(Valdivia et al., 2013)","previouslyFormattedCitation":"(Valdivia et al., 2013)"},"properties":{"noteIndex":0},"schema":"https://github.com/citation-style-language/schema/raw/master/csl-citation.json"}</w:instrText>
      </w:r>
      <w:r w:rsidR="00D116F6" w:rsidRPr="004E053C">
        <w:rPr>
          <w:rFonts w:cstheme="majorHAnsi"/>
          <w:sz w:val="22"/>
          <w:szCs w:val="22"/>
          <w:lang w:val="en-GB"/>
        </w:rPr>
        <w:fldChar w:fldCharType="separate"/>
      </w:r>
      <w:r w:rsidR="00D116F6" w:rsidRPr="004E053C">
        <w:rPr>
          <w:rFonts w:cstheme="majorHAnsi"/>
          <w:noProof/>
          <w:sz w:val="22"/>
          <w:szCs w:val="22"/>
          <w:lang w:val="en-GB"/>
        </w:rPr>
        <w:t>(2013)</w:t>
      </w:r>
      <w:r w:rsidR="00D116F6" w:rsidRPr="004E053C">
        <w:rPr>
          <w:rFonts w:cstheme="majorHAnsi"/>
          <w:sz w:val="22"/>
          <w:szCs w:val="22"/>
          <w:lang w:val="en-GB"/>
        </w:rPr>
        <w:fldChar w:fldCharType="end"/>
      </w:r>
      <w:r w:rsidRPr="004E053C">
        <w:rPr>
          <w:rFonts w:cstheme="majorHAnsi"/>
          <w:sz w:val="22"/>
          <w:szCs w:val="22"/>
          <w:lang w:val="en-GB"/>
        </w:rPr>
        <w:t xml:space="preserve">, who noted that Aymara women in the Andes rarely speak at local meetings and public decisions are still usually taken by men </w:t>
      </w:r>
      <w:r w:rsidR="00D116F6"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{"citationItems":[{"id":"ITEM-1","itemData":{"abstract":"On the Ground The high Andes of South America include rangelands where pure pastoralists herd llama and alpaca and agropastoralists produce tubers, grains, sheep, and cattle. Women of the Aymara ethnic group live in both pastoral and agro-pastoral systems and have traditionally been responsible for many aspects of crop and livestock management. They also have ownership rights for land and most types of animals. The Aymara have adapted to large political and economic changes. Leadership profiles for women are increasing as rural communities diversify, men migrate in search of work, and females gain access to formal education. The way forward is to continue to engage Aymara women in ways that encourage their participation in development processes, yet minimize additional, work-related burdens.","author":[{"dropping-particle":"","family":"Valdivia","given":"Corinne","non-dropping-particle":"","parse-names":false,"suffix":""},{"dropping-particle":"","family":"Gilles","given":"Jere L.","non-dropping-particle":"","parse-names":false,"suffix":""},{"dropping-particle":"","family":"Turin","given":"Cecilia","non-dropping-particle":"","parse-names":false,"suffix":""}],"container-title":"Rangelands","id":"ITEM-1","issue":"6","issued":{"date-parts":[["2013"]]},"page":"75-81","title":"Andean pastoral women in a changing world: opportunities and challenges","type":"article-journal","volume":"35"},"uris":["http://www.mendeley.com/documents/?uuid=b08d8dd1-7df9-4ab2-b75e-63566ebe0402"]}],"mendeley":{"formattedCitation":"(Valdivia et al., 2013)","manualFormatting":"(Ibid.)","plainTextFormattedCitation":"(Valdivia et al., 2013)","previouslyFormattedCitation":"(Valdivia et al., 2013)"},"properties":{"noteIndex":0},"schema":"https://github.com/citation-style-language/schema/raw/master/csl-citation.json"}</w:instrText>
      </w:r>
      <w:r w:rsidR="00D116F6" w:rsidRPr="004E053C">
        <w:rPr>
          <w:rFonts w:cstheme="majorHAnsi"/>
          <w:sz w:val="22"/>
          <w:szCs w:val="22"/>
          <w:lang w:val="en-GB"/>
        </w:rPr>
        <w:fldChar w:fldCharType="separate"/>
      </w:r>
      <w:r w:rsidR="00D116F6" w:rsidRPr="004E053C">
        <w:rPr>
          <w:rFonts w:cstheme="majorHAnsi"/>
          <w:noProof/>
          <w:sz w:val="22"/>
          <w:szCs w:val="22"/>
          <w:lang w:val="en-GB"/>
        </w:rPr>
        <w:t>(Ibid</w:t>
      </w:r>
      <w:r w:rsidR="00EC4FAE" w:rsidRPr="004E053C">
        <w:rPr>
          <w:rFonts w:cstheme="majorHAnsi"/>
          <w:noProof/>
          <w:sz w:val="22"/>
          <w:szCs w:val="22"/>
          <w:lang w:val="en-GB"/>
        </w:rPr>
        <w:t>.</w:t>
      </w:r>
      <w:r w:rsidR="00D116F6" w:rsidRPr="004E053C">
        <w:rPr>
          <w:rFonts w:cstheme="majorHAnsi"/>
          <w:noProof/>
          <w:sz w:val="22"/>
          <w:szCs w:val="22"/>
          <w:lang w:val="en-GB"/>
        </w:rPr>
        <w:t>)</w:t>
      </w:r>
      <w:r w:rsidR="00D116F6" w:rsidRPr="004E053C">
        <w:rPr>
          <w:rFonts w:cstheme="majorHAnsi"/>
          <w:sz w:val="22"/>
          <w:szCs w:val="22"/>
          <w:lang w:val="en-GB"/>
        </w:rPr>
        <w:fldChar w:fldCharType="end"/>
      </w:r>
      <w:r w:rsidRPr="004E053C">
        <w:rPr>
          <w:rFonts w:cstheme="majorHAnsi"/>
          <w:sz w:val="22"/>
          <w:szCs w:val="22"/>
          <w:lang w:val="en-GB"/>
        </w:rPr>
        <w:t xml:space="preserve">. This perhaps highlights that there are other constraints on Andean women’s active participation in such social spaces other than their physical presence and that these cannot be easily negotiated or changed simply through an increase level of responsibility as a result of high out-migration and the absence of their husbands. </w:t>
      </w:r>
    </w:p>
    <w:p w14:paraId="15FBC05D" w14:textId="77777777" w:rsidR="00F2183E" w:rsidRPr="004E053C" w:rsidRDefault="00F2183E" w:rsidP="004E053C">
      <w:pPr>
        <w:spacing w:line="360" w:lineRule="auto"/>
        <w:jc w:val="both"/>
        <w:rPr>
          <w:rFonts w:cstheme="majorHAnsi"/>
          <w:sz w:val="22"/>
          <w:szCs w:val="22"/>
          <w:lang w:val="en-GB"/>
        </w:rPr>
      </w:pPr>
    </w:p>
    <w:p w14:paraId="760F59F8" w14:textId="3D1EDE9F" w:rsidR="00F2183E" w:rsidRPr="004E053C" w:rsidRDefault="00EA7F83" w:rsidP="004E053C">
      <w:pPr>
        <w:pStyle w:val="Heading3"/>
        <w:rPr>
          <w:rFonts w:asciiTheme="minorHAnsi" w:hAnsiTheme="minorHAnsi"/>
        </w:rPr>
      </w:pPr>
      <w:r w:rsidRPr="004E053C">
        <w:rPr>
          <w:rFonts w:asciiTheme="minorHAnsi" w:hAnsiTheme="minorHAnsi"/>
        </w:rPr>
        <w:t>7</w:t>
      </w:r>
      <w:r w:rsidR="00F2183E" w:rsidRPr="004E053C">
        <w:rPr>
          <w:rFonts w:asciiTheme="minorHAnsi" w:hAnsiTheme="minorHAnsi"/>
        </w:rPr>
        <w:t xml:space="preserve">.5.2. Extended family </w:t>
      </w:r>
    </w:p>
    <w:p w14:paraId="45FB630C" w14:textId="77777777" w:rsidR="00F2183E" w:rsidRPr="004E053C" w:rsidRDefault="00F2183E" w:rsidP="004E053C">
      <w:pPr>
        <w:spacing w:line="360" w:lineRule="auto"/>
        <w:jc w:val="both"/>
        <w:rPr>
          <w:rFonts w:cstheme="majorHAnsi"/>
          <w:b/>
          <w:sz w:val="22"/>
          <w:szCs w:val="22"/>
          <w:lang w:val="en-GB"/>
        </w:rPr>
      </w:pPr>
    </w:p>
    <w:p w14:paraId="5813A930" w14:textId="609D651E" w:rsidR="00F2183E" w:rsidRPr="004E053C" w:rsidRDefault="00F2183E" w:rsidP="004E053C">
      <w:pPr>
        <w:spacing w:line="360" w:lineRule="auto"/>
        <w:jc w:val="both"/>
        <w:rPr>
          <w:rFonts w:cstheme="majorHAnsi"/>
          <w:sz w:val="22"/>
          <w:szCs w:val="22"/>
          <w:lang w:val="en-GB"/>
        </w:rPr>
      </w:pPr>
      <w:r w:rsidRPr="004E053C">
        <w:rPr>
          <w:rFonts w:cstheme="majorHAnsi"/>
          <w:bCs/>
          <w:sz w:val="22"/>
          <w:szCs w:val="22"/>
          <w:lang w:val="en-GB"/>
        </w:rPr>
        <w:t xml:space="preserve">Women that remain immobile within the translocal mining community often find themselves needing to rely on neighbours and family in the absence of their husbands. It is therefore necessary to actively strengthen pre-existing relationships. </w:t>
      </w:r>
      <w:r w:rsidRPr="004E053C">
        <w:rPr>
          <w:rFonts w:cstheme="majorHAnsi"/>
          <w:sz w:val="22"/>
          <w:szCs w:val="22"/>
          <w:lang w:val="en-GB"/>
        </w:rPr>
        <w:t xml:space="preserve">Many of the women in Ocongate stressed the importance of family relationships in this regard, rather than those with other non-relatives. Perhaps this is not surprising, given the apparently divisive nature of their engagement in ASM. </w:t>
      </w:r>
      <w:r w:rsidRPr="004E053C">
        <w:rPr>
          <w:rFonts w:eastAsia="Times New Roman" w:cstheme="majorHAnsi"/>
          <w:sz w:val="22"/>
          <w:szCs w:val="22"/>
          <w:lang w:val="en-GB"/>
        </w:rPr>
        <w:t xml:space="preserve">As has been discussed earlier in this chapter, there can often be problems with women receiving sufficient money from their husbands. There are therefore several examples of women deliberately strengthening family relationships so that they can rely on them for financial support. </w:t>
      </w:r>
      <w:r w:rsidRPr="004E053C">
        <w:rPr>
          <w:rFonts w:cstheme="majorHAnsi"/>
          <w:bCs/>
          <w:sz w:val="22"/>
          <w:szCs w:val="22"/>
          <w:lang w:val="en-GB"/>
        </w:rPr>
        <w:t xml:space="preserve">For example, when </w:t>
      </w:r>
      <w:r w:rsidR="001B115B" w:rsidRPr="004E053C">
        <w:rPr>
          <w:rFonts w:cstheme="majorHAnsi"/>
          <w:bCs/>
          <w:sz w:val="22"/>
          <w:szCs w:val="22"/>
          <w:lang w:val="en-GB"/>
        </w:rPr>
        <w:t>Carolina</w:t>
      </w:r>
      <w:r w:rsidRPr="004E053C">
        <w:rPr>
          <w:rFonts w:cstheme="majorHAnsi"/>
          <w:bCs/>
          <w:sz w:val="22"/>
          <w:szCs w:val="22"/>
          <w:lang w:val="en-GB"/>
        </w:rPr>
        <w:t xml:space="preserve">’s husband first went to </w:t>
      </w:r>
      <w:r w:rsidRPr="004E053C">
        <w:rPr>
          <w:rFonts w:eastAsia="Times New Roman" w:cstheme="majorHAnsi"/>
          <w:sz w:val="22"/>
          <w:szCs w:val="22"/>
          <w:lang w:val="en-GB"/>
        </w:rPr>
        <w:t xml:space="preserve">work in ASM, he was frequently unable to send her money because he had not been paid. Sometimes he would even come for visits with just an IOU from his </w:t>
      </w:r>
      <w:r w:rsidRPr="004E053C">
        <w:rPr>
          <w:rFonts w:eastAsia="Times New Roman" w:cstheme="majorHAnsi"/>
          <w:i/>
          <w:iCs/>
          <w:sz w:val="22"/>
          <w:szCs w:val="22"/>
          <w:lang w:val="en-GB"/>
        </w:rPr>
        <w:t xml:space="preserve">dueno. </w:t>
      </w:r>
      <w:r w:rsidRPr="004E053C">
        <w:rPr>
          <w:rFonts w:eastAsia="Times New Roman" w:cstheme="majorHAnsi"/>
          <w:sz w:val="22"/>
          <w:szCs w:val="22"/>
          <w:lang w:val="en-GB"/>
        </w:rPr>
        <w:t xml:space="preserve">Fortunately, </w:t>
      </w:r>
      <w:r w:rsidR="001B115B" w:rsidRPr="004E053C">
        <w:rPr>
          <w:rFonts w:eastAsia="Times New Roman" w:cstheme="majorHAnsi"/>
          <w:sz w:val="22"/>
          <w:szCs w:val="22"/>
          <w:lang w:val="en-GB"/>
        </w:rPr>
        <w:t>Carolina</w:t>
      </w:r>
      <w:r w:rsidRPr="004E053C">
        <w:rPr>
          <w:rFonts w:eastAsia="Times New Roman" w:cstheme="majorHAnsi"/>
          <w:sz w:val="22"/>
          <w:szCs w:val="22"/>
          <w:lang w:val="en-GB"/>
        </w:rPr>
        <w:t xml:space="preserve"> was able to draw on her extended family, both on her side and her husband’s side, to borrow the money needed to smooth household consumption until he was paid.  </w:t>
      </w:r>
    </w:p>
    <w:p w14:paraId="054E6A83" w14:textId="77777777" w:rsidR="00F2183E" w:rsidRPr="004E053C" w:rsidRDefault="00F2183E" w:rsidP="004E053C">
      <w:pPr>
        <w:spacing w:line="360" w:lineRule="auto"/>
        <w:jc w:val="both"/>
        <w:rPr>
          <w:rFonts w:eastAsia="Times New Roman" w:cstheme="majorHAnsi"/>
          <w:sz w:val="22"/>
          <w:szCs w:val="22"/>
          <w:lang w:val="en-GB"/>
        </w:rPr>
      </w:pPr>
    </w:p>
    <w:p w14:paraId="2C58CF6D" w14:textId="4460FB47" w:rsidR="00F2183E" w:rsidRPr="004E053C" w:rsidRDefault="00F2183E"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At other times, women draw on family relationships for emotional support. For example, </w:t>
      </w:r>
      <w:r w:rsidR="00EA7F80" w:rsidRPr="004E053C">
        <w:rPr>
          <w:rFonts w:eastAsia="Times New Roman" w:cstheme="majorHAnsi"/>
          <w:sz w:val="22"/>
          <w:szCs w:val="22"/>
          <w:lang w:val="en-GB"/>
        </w:rPr>
        <w:t>Paola</w:t>
      </w:r>
      <w:r w:rsidRPr="004E053C">
        <w:rPr>
          <w:rFonts w:eastAsia="Times New Roman" w:cstheme="majorHAnsi"/>
          <w:sz w:val="22"/>
          <w:szCs w:val="22"/>
          <w:lang w:val="en-GB"/>
        </w:rPr>
        <w:t xml:space="preserve"> said she spent more time with her sisters in the absence of her husband and frequently ate meals with them. </w:t>
      </w:r>
      <w:r w:rsidRPr="004E053C">
        <w:rPr>
          <w:rFonts w:cstheme="majorHAnsi"/>
          <w:sz w:val="22"/>
          <w:szCs w:val="22"/>
          <w:lang w:val="en-GB"/>
        </w:rPr>
        <w:t xml:space="preserve">In some cases, there was evidence of women strengthening their relationships with in-laws. For example, </w:t>
      </w:r>
      <w:r w:rsidR="001B115B" w:rsidRPr="004E053C">
        <w:rPr>
          <w:rFonts w:cstheme="majorHAnsi"/>
          <w:sz w:val="22"/>
          <w:szCs w:val="22"/>
          <w:lang w:val="en-GB"/>
        </w:rPr>
        <w:t>Mayu</w:t>
      </w:r>
      <w:r w:rsidRPr="004E053C">
        <w:rPr>
          <w:rFonts w:cstheme="majorHAnsi"/>
          <w:sz w:val="22"/>
          <w:szCs w:val="22"/>
          <w:lang w:val="en-GB"/>
        </w:rPr>
        <w:t xml:space="preserve"> said that she had bonded with her in-laws since her husband had left and found that they were</w:t>
      </w:r>
      <w:r w:rsidR="003B5DCB" w:rsidRPr="004E053C">
        <w:rPr>
          <w:rFonts w:cstheme="majorHAnsi"/>
          <w:sz w:val="22"/>
          <w:szCs w:val="22"/>
          <w:lang w:val="en-GB"/>
        </w:rPr>
        <w:t xml:space="preserve"> getting along better now that ‘</w:t>
      </w:r>
      <w:r w:rsidRPr="004E053C">
        <w:rPr>
          <w:rFonts w:cstheme="majorHAnsi"/>
          <w:sz w:val="22"/>
          <w:szCs w:val="22"/>
          <w:lang w:val="en-GB"/>
        </w:rPr>
        <w:t>he</w:t>
      </w:r>
      <w:r w:rsidR="003B5DCB" w:rsidRPr="004E053C">
        <w:rPr>
          <w:rFonts w:cstheme="majorHAnsi"/>
          <w:sz w:val="22"/>
          <w:szCs w:val="22"/>
          <w:lang w:val="en-GB"/>
        </w:rPr>
        <w:t xml:space="preserve"> isn’t around being irritable’</w:t>
      </w:r>
      <w:r w:rsidRPr="004E053C">
        <w:rPr>
          <w:rFonts w:cstheme="majorHAnsi"/>
          <w:sz w:val="22"/>
          <w:szCs w:val="22"/>
          <w:lang w:val="en-GB"/>
        </w:rPr>
        <w:t xml:space="preserve">. </w:t>
      </w:r>
      <w:r w:rsidR="001B115B" w:rsidRPr="004E053C">
        <w:rPr>
          <w:rFonts w:cstheme="majorHAnsi"/>
          <w:sz w:val="22"/>
          <w:szCs w:val="22"/>
          <w:lang w:val="en-GB"/>
        </w:rPr>
        <w:t>Chaska</w:t>
      </w:r>
      <w:r w:rsidRPr="004E053C">
        <w:rPr>
          <w:rFonts w:cstheme="majorHAnsi"/>
          <w:sz w:val="22"/>
          <w:szCs w:val="22"/>
          <w:lang w:val="en-GB"/>
        </w:rPr>
        <w:t xml:space="preserve"> has purposefully strengthened her relationship with her husband’s mother while he has been away – </w:t>
      </w:r>
      <w:r w:rsidRPr="004E053C">
        <w:rPr>
          <w:rFonts w:cstheme="majorHAnsi"/>
          <w:sz w:val="22"/>
          <w:szCs w:val="22"/>
          <w:lang w:val="en-GB"/>
        </w:rPr>
        <w:lastRenderedPageBreak/>
        <w:t xml:space="preserve">both to prevent her feeling lonely and ensure her household has support in his absence, but perhaps also in an attempt to give her more leverage in household decisions and within her marital relationship in general. She says that she often tells him that she will tell his mother about his bad behaviour in the hope that it will make him be nice to her. Interestingly, this reflects Silvey’s </w:t>
      </w:r>
      <w:r w:rsidR="00D116F6"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{"citationItems":[{"id":"ITEM-1","itemData":{"author":[{"dropping-particle":"","family":"Silvey","given":"Rachel","non-dropping-particle":"","parse-names":false,"suffix":""}],"container-title":"The International Migration Review","id":"ITEM-1","issue":"1","issued":{"date-parts":[["1996"]]},"page":"64-81","title":"Geographies of gender and migration: spatializing social difference","type":"article-journal","volume":"40"},"uris":["http://www.mendeley.com/documents/?uuid=d4a41cfd-376d-42d1-a32b-3b2d23598c20"]}],"mendeley":{"formattedCitation":"(Silvey, 1996)","manualFormatting":"(1996)","plainTextFormattedCitation":"(Silvey, 1996)","previouslyFormattedCitation":"(Silvey, 1996)"},"properties":{"noteIndex":0},"schema":"https://github.com/citation-style-language/schema/raw/master/csl-citation.json"}</w:instrText>
      </w:r>
      <w:r w:rsidR="00D116F6" w:rsidRPr="004E053C">
        <w:rPr>
          <w:rFonts w:cstheme="majorHAnsi"/>
          <w:sz w:val="22"/>
          <w:szCs w:val="22"/>
          <w:lang w:val="en-GB"/>
        </w:rPr>
        <w:fldChar w:fldCharType="separate"/>
      </w:r>
      <w:r w:rsidR="00D116F6" w:rsidRPr="004E053C">
        <w:rPr>
          <w:rFonts w:cstheme="majorHAnsi"/>
          <w:noProof/>
          <w:sz w:val="22"/>
          <w:szCs w:val="22"/>
          <w:lang w:val="en-GB"/>
        </w:rPr>
        <w:t>(1996)</w:t>
      </w:r>
      <w:r w:rsidR="00D116F6" w:rsidRPr="004E053C">
        <w:rPr>
          <w:rFonts w:cstheme="majorHAnsi"/>
          <w:sz w:val="22"/>
          <w:szCs w:val="22"/>
          <w:lang w:val="en-GB"/>
        </w:rPr>
        <w:fldChar w:fldCharType="end"/>
      </w:r>
      <w:r w:rsidRPr="004E053C">
        <w:rPr>
          <w:rFonts w:cstheme="majorHAnsi"/>
          <w:sz w:val="22"/>
          <w:szCs w:val="22"/>
          <w:lang w:val="en-GB"/>
        </w:rPr>
        <w:t xml:space="preserve"> observations of African-American women using their spatial rootedness in a local community to their advantage, which suggests that in some respects immobility can represent power as well as oppression. </w:t>
      </w:r>
    </w:p>
    <w:p w14:paraId="661A4609" w14:textId="77777777" w:rsidR="00F2183E" w:rsidRPr="004E053C" w:rsidRDefault="00F2183E" w:rsidP="004E053C">
      <w:pPr>
        <w:spacing w:line="360" w:lineRule="auto"/>
        <w:jc w:val="both"/>
        <w:rPr>
          <w:rFonts w:cstheme="majorHAnsi"/>
          <w:sz w:val="22"/>
          <w:szCs w:val="22"/>
          <w:lang w:val="en-GB"/>
        </w:rPr>
      </w:pPr>
    </w:p>
    <w:p w14:paraId="18FDC560" w14:textId="1E1B6DAB" w:rsidR="00F2183E" w:rsidRPr="004E053C" w:rsidRDefault="00EA7F83" w:rsidP="004E053C">
      <w:pPr>
        <w:pStyle w:val="Heading2"/>
        <w:spacing w:before="0" w:line="360" w:lineRule="auto"/>
        <w:jc w:val="both"/>
        <w:rPr>
          <w:rFonts w:cstheme="majorHAnsi"/>
          <w:lang w:val="en-GB"/>
        </w:rPr>
      </w:pPr>
      <w:bookmarkStart w:id="88" w:name="_Toc424671910"/>
      <w:bookmarkStart w:id="89" w:name="_Toc33293120"/>
      <w:r w:rsidRPr="004E053C">
        <w:rPr>
          <w:rFonts w:cstheme="majorHAnsi"/>
          <w:lang w:val="en-GB"/>
        </w:rPr>
        <w:t>7</w:t>
      </w:r>
      <w:r w:rsidR="00F2183E" w:rsidRPr="004E053C">
        <w:rPr>
          <w:rFonts w:cstheme="majorHAnsi"/>
          <w:lang w:val="en-GB"/>
        </w:rPr>
        <w:t xml:space="preserve">.6. </w:t>
      </w:r>
      <w:bookmarkEnd w:id="88"/>
      <w:r w:rsidR="00F444F5" w:rsidRPr="004E053C">
        <w:rPr>
          <w:rFonts w:cstheme="majorHAnsi"/>
          <w:lang w:val="en-GB"/>
        </w:rPr>
        <w:t>Summary</w:t>
      </w:r>
      <w:bookmarkEnd w:id="89"/>
    </w:p>
    <w:p w14:paraId="5A89C240" w14:textId="77777777" w:rsidR="00F2183E" w:rsidRPr="004E053C" w:rsidRDefault="00F2183E" w:rsidP="004E053C">
      <w:pPr>
        <w:spacing w:line="360" w:lineRule="auto"/>
        <w:jc w:val="both"/>
        <w:rPr>
          <w:rFonts w:cstheme="majorHAnsi"/>
          <w:lang w:val="en-GB"/>
        </w:rPr>
      </w:pPr>
    </w:p>
    <w:p w14:paraId="71EDEAF0" w14:textId="495DCA25" w:rsidR="00F2183E" w:rsidRPr="004E053C" w:rsidRDefault="00F2183E" w:rsidP="004E053C">
      <w:pPr>
        <w:spacing w:line="360" w:lineRule="auto"/>
        <w:jc w:val="both"/>
        <w:rPr>
          <w:rFonts w:eastAsia="DengXian" w:cstheme="majorHAnsi"/>
          <w:sz w:val="22"/>
          <w:szCs w:val="22"/>
          <w:lang w:val="en-GB"/>
        </w:rPr>
      </w:pPr>
      <w:r w:rsidRPr="004E053C">
        <w:rPr>
          <w:rFonts w:eastAsia="DengXian" w:cstheme="majorHAnsi"/>
          <w:sz w:val="22"/>
          <w:szCs w:val="22"/>
          <w:lang w:val="en-GB"/>
        </w:rPr>
        <w:t xml:space="preserve">Through its application of a translocal livelihoods approach and its interest in the power dynamics that shape the various, overlapping social fields within the translocal community, this chapter has been able to </w:t>
      </w:r>
      <w:r w:rsidR="0084363F" w:rsidRPr="004E053C">
        <w:rPr>
          <w:rFonts w:eastAsia="DengXian" w:cstheme="majorHAnsi"/>
          <w:sz w:val="22"/>
          <w:szCs w:val="22"/>
          <w:lang w:val="en-GB"/>
        </w:rPr>
        <w:t>add to emerging literature that examines the</w:t>
      </w:r>
      <w:r w:rsidRPr="004E053C">
        <w:rPr>
          <w:rFonts w:eastAsia="DengXian" w:cstheme="majorHAnsi"/>
          <w:sz w:val="22"/>
          <w:szCs w:val="22"/>
          <w:lang w:val="en-GB"/>
        </w:rPr>
        <w:t xml:space="preserve"> i</w:t>
      </w:r>
      <w:r w:rsidR="00EA7F83" w:rsidRPr="004E053C">
        <w:rPr>
          <w:rFonts w:eastAsia="DengXian" w:cstheme="majorHAnsi"/>
          <w:sz w:val="22"/>
          <w:szCs w:val="22"/>
          <w:lang w:val="en-GB"/>
        </w:rPr>
        <w:t xml:space="preserve">nvolvement of women in ASM. In </w:t>
      </w:r>
      <w:r w:rsidR="00565C53" w:rsidRPr="004E053C">
        <w:rPr>
          <w:rFonts w:eastAsia="DengXian" w:cstheme="majorHAnsi"/>
          <w:sz w:val="22"/>
          <w:szCs w:val="22"/>
          <w:lang w:val="en-GB"/>
        </w:rPr>
        <w:t>chapter 4</w:t>
      </w:r>
      <w:r w:rsidRPr="004E053C">
        <w:rPr>
          <w:rFonts w:eastAsia="DengXian" w:cstheme="majorHAnsi"/>
          <w:sz w:val="22"/>
          <w:szCs w:val="22"/>
          <w:lang w:val="en-GB"/>
        </w:rPr>
        <w:t xml:space="preserve"> </w:t>
      </w:r>
      <w:r w:rsidR="00EA7F83" w:rsidRPr="004E053C">
        <w:rPr>
          <w:rFonts w:eastAsia="DengXian" w:cstheme="majorHAnsi"/>
          <w:sz w:val="22"/>
          <w:szCs w:val="22"/>
          <w:lang w:val="en-GB"/>
        </w:rPr>
        <w:t xml:space="preserve">it was </w:t>
      </w:r>
      <w:r w:rsidRPr="004E053C">
        <w:rPr>
          <w:rFonts w:eastAsia="DengXian" w:cstheme="majorHAnsi"/>
          <w:sz w:val="22"/>
          <w:szCs w:val="22"/>
          <w:lang w:val="en-GB"/>
        </w:rPr>
        <w:t xml:space="preserve">acknowledged that individual mobility may be restricted depending on one’s position within the social field </w:t>
      </w:r>
      <w:r w:rsidR="00D116F6" w:rsidRPr="004E053C">
        <w:rPr>
          <w:rFonts w:eastAsia="DengXian" w:cstheme="majorHAnsi"/>
          <w:sz w:val="22"/>
          <w:szCs w:val="22"/>
          <w:lang w:val="en-GB"/>
        </w:rPr>
        <w:fldChar w:fldCharType="begin" w:fldLock="1"/>
      </w:r>
      <w:r w:rsidR="00D116F6" w:rsidRPr="004E053C">
        <w:rPr>
          <w:rFonts w:eastAsia="DengXian" w:cstheme="majorHAnsi"/>
          <w:sz w:val="22"/>
          <w:szCs w:val="22"/>
          <w:lang w:val="en-GB"/>
        </w:rPr>
        <w:instrText>ADDIN CSL_CITATION {"citationItems":[{"id":"ITEM-1","itemData":{"author":[{"dropping-particle":"","family":"Thieme","given":"Susan","non-dropping-particle":"","parse-names":false,"suffix":""}],"container-title":"Mobilities","id":"ITEM-1","issue":"1","issued":{"date-parts":[["2008"]]},"page":"51-71","title":"Sustaining Livelihoods in Multi-local Settings: Possible Theoretical Linkages between Transnational Migration and Livelihood Studies","type":"article-journal","volume":"3"},"uris":["http://www.mendeley.com/documents/?uuid=f4a0aaa3-869f-4f87-9ad8-87699576ad9c"]}],"mendeley":{"formattedCitation":"(Susan Thieme, 2008)","manualFormatting":"(Thieme, 2008)","plainTextFormattedCitation":"(Susan Thieme, 2008)","previouslyFormattedCitation":"(Susan Thieme, 2008)"},"properties":{"noteIndex":0},"schema":"https://github.com/citation-style-language/schema/raw/master/csl-citation.json"}</w:instrText>
      </w:r>
      <w:r w:rsidR="00D116F6" w:rsidRPr="004E053C">
        <w:rPr>
          <w:rFonts w:eastAsia="DengXian" w:cstheme="majorHAnsi"/>
          <w:sz w:val="22"/>
          <w:szCs w:val="22"/>
          <w:lang w:val="en-GB"/>
        </w:rPr>
        <w:fldChar w:fldCharType="separate"/>
      </w:r>
      <w:r w:rsidR="00D116F6" w:rsidRPr="004E053C">
        <w:rPr>
          <w:rFonts w:eastAsia="DengXian" w:cstheme="majorHAnsi"/>
          <w:noProof/>
          <w:sz w:val="22"/>
          <w:szCs w:val="22"/>
          <w:lang w:val="en-GB"/>
        </w:rPr>
        <w:t>(Thieme, 2008)</w:t>
      </w:r>
      <w:r w:rsidR="00D116F6" w:rsidRPr="004E053C">
        <w:rPr>
          <w:rFonts w:eastAsia="DengXian" w:cstheme="majorHAnsi"/>
          <w:sz w:val="22"/>
          <w:szCs w:val="22"/>
          <w:lang w:val="en-GB"/>
        </w:rPr>
        <w:fldChar w:fldCharType="end"/>
      </w:r>
      <w:r w:rsidRPr="004E053C">
        <w:rPr>
          <w:rFonts w:eastAsia="DengXian" w:cstheme="majorHAnsi"/>
          <w:sz w:val="22"/>
          <w:szCs w:val="22"/>
          <w:lang w:val="en-GB"/>
        </w:rPr>
        <w:t xml:space="preserve">. Women in particular were likely to face multiple restrictions as a result of societal norms. Although women are actively involved in household livelihood strategies, there are gendered dimensions that not only restrict the ways they can engage in ASM but also in some cases limits the influence they can exert in decision-making processes. However, while both ASM and migration are often both seen as male-dominated pursuits, particularly in Peru, women are involved in both in a variety of ways. </w:t>
      </w:r>
    </w:p>
    <w:p w14:paraId="4A66A3CF" w14:textId="77777777" w:rsidR="008808BD" w:rsidRPr="004E053C" w:rsidRDefault="008808BD" w:rsidP="004E053C">
      <w:pPr>
        <w:spacing w:line="360" w:lineRule="auto"/>
        <w:jc w:val="both"/>
        <w:rPr>
          <w:rFonts w:eastAsia="DengXian" w:cstheme="majorHAnsi"/>
          <w:sz w:val="22"/>
          <w:szCs w:val="22"/>
          <w:lang w:val="en-GB"/>
        </w:rPr>
      </w:pPr>
    </w:p>
    <w:p w14:paraId="4F5AE349" w14:textId="659C27C4" w:rsidR="00F2183E" w:rsidRPr="004E053C" w:rsidRDefault="00F2183E" w:rsidP="004E053C">
      <w:pPr>
        <w:spacing w:line="360" w:lineRule="auto"/>
        <w:jc w:val="both"/>
        <w:rPr>
          <w:rFonts w:eastAsia="DengXian" w:cstheme="majorHAnsi"/>
          <w:sz w:val="22"/>
          <w:szCs w:val="22"/>
          <w:lang w:val="en-GB"/>
        </w:rPr>
      </w:pPr>
      <w:r w:rsidRPr="004E053C">
        <w:rPr>
          <w:rFonts w:eastAsia="DengXian" w:cstheme="majorHAnsi"/>
          <w:sz w:val="22"/>
          <w:szCs w:val="22"/>
          <w:lang w:val="en-GB"/>
        </w:rPr>
        <w:t xml:space="preserve">Many women migrate to work in the mining areas in Madre de Dios, and not all of them do so because they are following their husband. Women are able to travel with friends to find work and may either settle in the area with a new family, or return to their community of origin when they get married. Despite this, there remains a clear distinction between the mobility of men and women’s bodies in the context of ASM. Even those women who choose to settle in Laberinto may still find themselves to be relatively ‘immobile’ in comparison with men who move around the mining sites to work. There is also some evidence to suggest that women who become permanent residents of the mining town do so as a result of relatively weak relationships in the origin community. Here there are some similarities with the work of Werthmann </w:t>
      </w:r>
      <w:r w:rsidR="00D116F6" w:rsidRPr="004E053C">
        <w:rPr>
          <w:rFonts w:eastAsia="DengXian" w:cstheme="majorHAnsi"/>
          <w:sz w:val="22"/>
          <w:szCs w:val="22"/>
          <w:lang w:val="en-GB"/>
        </w:rPr>
        <w:fldChar w:fldCharType="begin" w:fldLock="1"/>
      </w:r>
      <w:r w:rsidR="0004146F" w:rsidRPr="004E053C">
        <w:rPr>
          <w:rFonts w:eastAsia="DengXian" w:cstheme="majorHAnsi"/>
          <w:sz w:val="22"/>
          <w:szCs w:val="22"/>
          <w:lang w:val="en-GB"/>
        </w:rPr>
        <w:instrText>ADDIN CSL_CITATION {"citationItems":[{"id":"ITEM-1","itemData":{"author":[{"dropping-particle":"","family":"Werthmann","given":"Katja","non-dropping-particle":"","parse-names":false,"suffix":""}],"container-title":"Resources Policy","id":"ITEM-1","issued":{"date-parts":[["2009"]]},"page":"18-23","title":"Working in a boom-town: Female perspectives on gold-mining in Burkina Faso","type":"article-journal","volume":"34"},"uris":["http://www.mendeley.com/documents/?uuid=da98f8ff-10f1-45ed-adfd-29236ef7847f"]},{"id":"ITEM-2","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-2","issued":{"date-parts":[["2010"]]},"page":"111-132","publisher":"Brill","publisher-place":"Leiden","title":"Following the hills: gold mining camps as heterotopias","type":"chapter"},"uris":["http://www.mendeley.com/documents/?uuid=83603393-cc44-4264-a8c3-b78d02289a5a"]}],"mendeley":{"formattedCitation":"(Werthmann, 2009, 2010)","manualFormatting":"(2009, 2010)","plainTextFormattedCitation":"(Werthmann, 2009, 2010)","previouslyFormattedCitation":"(Werthmann, 2009, 2010)"},"properties":{"noteIndex":0},"schema":"https://github.com/citation-style-language/schema/raw/master/csl-citation.json"}</w:instrText>
      </w:r>
      <w:r w:rsidR="00D116F6" w:rsidRPr="004E053C">
        <w:rPr>
          <w:rFonts w:eastAsia="DengXian" w:cstheme="majorHAnsi"/>
          <w:sz w:val="22"/>
          <w:szCs w:val="22"/>
          <w:lang w:val="en-GB"/>
        </w:rPr>
        <w:fldChar w:fldCharType="separate"/>
      </w:r>
      <w:r w:rsidR="00D116F6" w:rsidRPr="004E053C">
        <w:rPr>
          <w:rFonts w:eastAsia="DengXian" w:cstheme="majorHAnsi"/>
          <w:noProof/>
          <w:sz w:val="22"/>
          <w:szCs w:val="22"/>
          <w:lang w:val="en-GB"/>
        </w:rPr>
        <w:t>(2009, 2010)</w:t>
      </w:r>
      <w:r w:rsidR="00D116F6" w:rsidRPr="004E053C">
        <w:rPr>
          <w:rFonts w:eastAsia="DengXian" w:cstheme="majorHAnsi"/>
          <w:sz w:val="22"/>
          <w:szCs w:val="22"/>
          <w:lang w:val="en-GB"/>
        </w:rPr>
        <w:fldChar w:fldCharType="end"/>
      </w:r>
      <w:r w:rsidRPr="004E053C">
        <w:rPr>
          <w:rFonts w:eastAsia="DengXian" w:cstheme="majorHAnsi"/>
          <w:sz w:val="22"/>
          <w:szCs w:val="22"/>
          <w:lang w:val="en-GB"/>
        </w:rPr>
        <w:t xml:space="preserve"> in Burkina Faso, which have highlighted how women enjoy the relatively ‘loose’ social conventions in mining towns. </w:t>
      </w:r>
    </w:p>
    <w:p w14:paraId="5EA70960" w14:textId="77777777" w:rsidR="008808BD" w:rsidRPr="004E053C" w:rsidRDefault="008808BD" w:rsidP="004E053C">
      <w:pPr>
        <w:spacing w:line="360" w:lineRule="auto"/>
        <w:jc w:val="both"/>
        <w:rPr>
          <w:rFonts w:eastAsia="DengXian" w:cstheme="majorHAnsi"/>
          <w:sz w:val="22"/>
          <w:szCs w:val="22"/>
          <w:lang w:val="en-GB"/>
        </w:rPr>
      </w:pPr>
    </w:p>
    <w:p w14:paraId="6CCE4926" w14:textId="4C2D4E84" w:rsidR="00F2183E" w:rsidRPr="004E053C" w:rsidRDefault="0054500A" w:rsidP="004E053C">
      <w:pPr>
        <w:spacing w:line="360" w:lineRule="auto"/>
        <w:jc w:val="both"/>
        <w:rPr>
          <w:rFonts w:eastAsia="DengXian" w:cstheme="majorHAnsi"/>
          <w:sz w:val="22"/>
          <w:szCs w:val="22"/>
          <w:lang w:val="en-GB"/>
        </w:rPr>
      </w:pPr>
      <w:r>
        <w:rPr>
          <w:rFonts w:eastAsia="DengXian" w:cstheme="majorHAnsi"/>
          <w:sz w:val="22"/>
          <w:szCs w:val="22"/>
          <w:lang w:val="en-GB"/>
        </w:rPr>
        <w:t>Until recently, the ASM literature had</w:t>
      </w:r>
      <w:r w:rsidR="00F2183E" w:rsidRPr="004E053C">
        <w:rPr>
          <w:rFonts w:eastAsia="DengXian" w:cstheme="majorHAnsi"/>
          <w:sz w:val="22"/>
          <w:szCs w:val="22"/>
          <w:lang w:val="en-GB"/>
        </w:rPr>
        <w:t xml:space="preserve"> tended to ignore indirect engagement in the ASM sector. This chapter has </w:t>
      </w:r>
      <w:r>
        <w:rPr>
          <w:rFonts w:eastAsia="DengXian" w:cstheme="majorHAnsi"/>
          <w:sz w:val="22"/>
          <w:szCs w:val="22"/>
          <w:lang w:val="en-GB"/>
        </w:rPr>
        <w:t>added to this growing literature by documenting</w:t>
      </w:r>
      <w:r w:rsidR="00F2183E" w:rsidRPr="004E053C">
        <w:rPr>
          <w:rFonts w:eastAsia="DengXian" w:cstheme="majorHAnsi"/>
          <w:sz w:val="22"/>
          <w:szCs w:val="22"/>
          <w:lang w:val="en-GB"/>
        </w:rPr>
        <w:t xml:space="preserve"> </w:t>
      </w:r>
      <w:r>
        <w:rPr>
          <w:rFonts w:eastAsia="DengXian" w:cstheme="majorHAnsi"/>
          <w:sz w:val="22"/>
          <w:szCs w:val="22"/>
          <w:lang w:val="en-GB"/>
        </w:rPr>
        <w:t xml:space="preserve">Peruvian </w:t>
      </w:r>
      <w:r w:rsidR="00F2183E" w:rsidRPr="004E053C">
        <w:rPr>
          <w:rFonts w:eastAsia="DengXian" w:cstheme="majorHAnsi"/>
          <w:sz w:val="22"/>
          <w:szCs w:val="22"/>
          <w:lang w:val="en-GB"/>
        </w:rPr>
        <w:t xml:space="preserve">women’s engagement within </w:t>
      </w:r>
      <w:r w:rsidR="00F2183E" w:rsidRPr="004E053C">
        <w:rPr>
          <w:rFonts w:eastAsia="DengXian" w:cstheme="majorHAnsi"/>
          <w:sz w:val="22"/>
          <w:szCs w:val="22"/>
          <w:lang w:val="en-GB"/>
        </w:rPr>
        <w:lastRenderedPageBreak/>
        <w:t>mining sites, where they may be working directly on mining activity, usually with their husband, or working in one of the myriad of support services within the ASM economy. This has given a better representation of the lives of women in mining sites</w:t>
      </w:r>
      <w:r>
        <w:rPr>
          <w:rFonts w:eastAsia="DengXian" w:cstheme="majorHAnsi"/>
          <w:sz w:val="22"/>
          <w:szCs w:val="22"/>
          <w:lang w:val="en-GB"/>
        </w:rPr>
        <w:t xml:space="preserve"> in Madre de Dios</w:t>
      </w:r>
      <w:r w:rsidR="00F2183E" w:rsidRPr="004E053C">
        <w:rPr>
          <w:rFonts w:eastAsia="DengXian" w:cstheme="majorHAnsi"/>
          <w:sz w:val="22"/>
          <w:szCs w:val="22"/>
          <w:lang w:val="en-GB"/>
        </w:rPr>
        <w:t>, beyond a picture of prostitution, violence and bonded labour. Crucial</w:t>
      </w:r>
      <w:r w:rsidR="00653891" w:rsidRPr="004E053C">
        <w:rPr>
          <w:rFonts w:eastAsia="DengXian" w:cstheme="majorHAnsi"/>
          <w:sz w:val="22"/>
          <w:szCs w:val="22"/>
          <w:lang w:val="en-GB"/>
        </w:rPr>
        <w:t>ly, however, taking a</w:t>
      </w:r>
      <w:r w:rsidR="00F2183E" w:rsidRPr="004E053C">
        <w:rPr>
          <w:rFonts w:eastAsia="DengXian" w:cstheme="majorHAnsi"/>
          <w:sz w:val="22"/>
          <w:szCs w:val="22"/>
          <w:lang w:val="en-GB"/>
        </w:rPr>
        <w:t xml:space="preserve"> translocal lens to ASM has provided an insight into women’s roles in the origin community that contribute to the household’s livelihood. Often this involves continuing activities that the household was involved with before mining, such as subsistence agriculture and rearing alpacas, but also involves the investment of remittances in providing food, clothing etc. for children and other household members. This can be extremely difficult during times when their husband is able to send little money back from the mine sites. However, what is important to note is the ways in which households in Ocongate, and to some extent in Laberinto, have invested money in businesses that the women control, at least in the absence of their husband. Rather than women </w:t>
      </w:r>
      <w:r w:rsidR="00DA2C5F" w:rsidRPr="004E053C">
        <w:rPr>
          <w:rFonts w:eastAsia="DengXian" w:cstheme="majorHAnsi"/>
          <w:sz w:val="22"/>
          <w:szCs w:val="22"/>
          <w:lang w:val="en-GB"/>
        </w:rPr>
        <w:t xml:space="preserve">necessarily </w:t>
      </w:r>
      <w:r w:rsidR="00F2183E" w:rsidRPr="004E053C">
        <w:rPr>
          <w:rFonts w:eastAsia="DengXian" w:cstheme="majorHAnsi"/>
          <w:sz w:val="22"/>
          <w:szCs w:val="22"/>
          <w:lang w:val="en-GB"/>
        </w:rPr>
        <w:t xml:space="preserve">becoming more reliant on their husband as a result of migration, this suggests that </w:t>
      </w:r>
      <w:r w:rsidR="00DA2C5F" w:rsidRPr="004E053C">
        <w:rPr>
          <w:rFonts w:eastAsia="DengXian" w:cstheme="majorHAnsi"/>
          <w:sz w:val="22"/>
          <w:szCs w:val="22"/>
          <w:lang w:val="en-GB"/>
        </w:rPr>
        <w:t xml:space="preserve">those </w:t>
      </w:r>
      <w:r w:rsidR="00D33BF2" w:rsidRPr="004E053C">
        <w:rPr>
          <w:rFonts w:eastAsia="DengXian" w:cstheme="majorHAnsi"/>
          <w:sz w:val="22"/>
          <w:szCs w:val="22"/>
          <w:lang w:val="en-GB"/>
        </w:rPr>
        <w:t>women who successfully manage the households diversified</w:t>
      </w:r>
      <w:r w:rsidR="00F2183E" w:rsidRPr="004E053C">
        <w:rPr>
          <w:rFonts w:eastAsia="DengXian" w:cstheme="majorHAnsi"/>
          <w:sz w:val="22"/>
          <w:szCs w:val="22"/>
          <w:lang w:val="en-GB"/>
        </w:rPr>
        <w:t xml:space="preserve"> livelihood </w:t>
      </w:r>
      <w:r w:rsidR="00D33BF2" w:rsidRPr="004E053C">
        <w:rPr>
          <w:rFonts w:eastAsia="DengXian" w:cstheme="majorHAnsi"/>
          <w:sz w:val="22"/>
          <w:szCs w:val="22"/>
          <w:lang w:val="en-GB"/>
        </w:rPr>
        <w:t>option</w:t>
      </w:r>
      <w:r w:rsidR="00F2183E" w:rsidRPr="004E053C">
        <w:rPr>
          <w:rFonts w:eastAsia="DengXian" w:cstheme="majorHAnsi"/>
          <w:sz w:val="22"/>
          <w:szCs w:val="22"/>
          <w:lang w:val="en-GB"/>
        </w:rPr>
        <w:t>s amay also become economically empowered.</w:t>
      </w:r>
    </w:p>
    <w:p w14:paraId="41769C7E" w14:textId="77777777" w:rsidR="008808BD" w:rsidRPr="004E053C" w:rsidRDefault="008808BD" w:rsidP="004E053C">
      <w:pPr>
        <w:spacing w:line="360" w:lineRule="auto"/>
        <w:jc w:val="both"/>
        <w:rPr>
          <w:rFonts w:eastAsia="DengXian" w:cstheme="majorHAnsi"/>
          <w:sz w:val="22"/>
          <w:szCs w:val="22"/>
          <w:lang w:val="en-GB"/>
        </w:rPr>
      </w:pPr>
    </w:p>
    <w:p w14:paraId="40D92AA5" w14:textId="1D617D7C" w:rsidR="00F2183E" w:rsidRPr="004E053C" w:rsidRDefault="00F2183E" w:rsidP="004E053C">
      <w:pPr>
        <w:spacing w:line="360" w:lineRule="auto"/>
        <w:jc w:val="both"/>
        <w:rPr>
          <w:rFonts w:eastAsia="DengXian" w:cstheme="majorHAnsi"/>
          <w:sz w:val="22"/>
          <w:szCs w:val="22"/>
          <w:lang w:val="en-GB"/>
        </w:rPr>
      </w:pPr>
      <w:r w:rsidRPr="004E053C">
        <w:rPr>
          <w:rFonts w:eastAsia="DengXian" w:cstheme="majorHAnsi"/>
          <w:sz w:val="22"/>
          <w:szCs w:val="22"/>
          <w:lang w:val="en-GB"/>
        </w:rPr>
        <w:t xml:space="preserve">This chapter has also highlighted the ways in which women contribute to mining livelihoods through the development of social capital. This can help build the networks that are used to find work in mining sites. Even in cases where women remain in origin communities, connections can often be made through her relatives, which also seem to provide relative power within livelihood decisions. </w:t>
      </w:r>
      <w:r w:rsidR="00D33BF2" w:rsidRPr="004E053C">
        <w:rPr>
          <w:rFonts w:eastAsia="DengXian" w:cstheme="majorHAnsi"/>
          <w:sz w:val="22"/>
          <w:szCs w:val="22"/>
          <w:lang w:val="en-GB"/>
        </w:rPr>
        <w:t>T</w:t>
      </w:r>
      <w:r w:rsidRPr="004E053C">
        <w:rPr>
          <w:rFonts w:eastAsia="DengXian" w:cstheme="majorHAnsi"/>
          <w:sz w:val="22"/>
          <w:szCs w:val="22"/>
          <w:lang w:val="en-GB"/>
        </w:rPr>
        <w:t xml:space="preserve">he translocal analysis has also pointed to the role </w:t>
      </w:r>
      <w:r w:rsidR="00D33BF2" w:rsidRPr="004E053C">
        <w:rPr>
          <w:rFonts w:eastAsia="DengXian" w:cstheme="majorHAnsi"/>
          <w:sz w:val="22"/>
          <w:szCs w:val="22"/>
          <w:lang w:val="en-GB"/>
        </w:rPr>
        <w:t xml:space="preserve">of women who stay behind </w:t>
      </w:r>
      <w:r w:rsidRPr="004E053C">
        <w:rPr>
          <w:rFonts w:eastAsia="DengXian" w:cstheme="majorHAnsi"/>
          <w:sz w:val="22"/>
          <w:szCs w:val="22"/>
          <w:lang w:val="en-GB"/>
        </w:rPr>
        <w:t xml:space="preserve">in keeping their household </w:t>
      </w:r>
      <w:r w:rsidR="003B5DCB" w:rsidRPr="004E053C">
        <w:rPr>
          <w:rFonts w:eastAsia="DengXian" w:cstheme="majorHAnsi"/>
          <w:sz w:val="22"/>
          <w:szCs w:val="22"/>
          <w:lang w:val="en-GB"/>
        </w:rPr>
        <w:t>‘rooted’</w:t>
      </w:r>
      <w:r w:rsidRPr="004E053C">
        <w:rPr>
          <w:rFonts w:eastAsia="DengXian" w:cstheme="majorHAnsi"/>
          <w:sz w:val="22"/>
          <w:szCs w:val="22"/>
          <w:lang w:val="en-GB"/>
        </w:rPr>
        <w:t xml:space="preserve"> in the origin community. This is particularly challenging in the context of ASM in Peru, as it not only requires their partner missing out on compulsory community activities, but also tends to be viewed negatively due to the sector’s increasingly bad reputation. It is women that have to manage these social networks in the absence of their husband. At the same time however, women that remain in origin communities can to some extent benefit from their immobility. Through forging stronger relationships with extended family and community and utilising the translocal investments to increase their economic independence, women can gain a lot from their incorporation into the translocal space. </w:t>
      </w:r>
    </w:p>
    <w:p w14:paraId="482328E5" w14:textId="77777777" w:rsidR="003E574E" w:rsidRPr="004E053C" w:rsidRDefault="003E574E" w:rsidP="004E053C">
      <w:pPr>
        <w:pStyle w:val="CommentText"/>
        <w:spacing w:line="360" w:lineRule="auto"/>
        <w:jc w:val="both"/>
        <w:rPr>
          <w:rFonts w:cstheme="majorHAnsi"/>
          <w:sz w:val="22"/>
          <w:szCs w:val="22"/>
          <w:lang w:val="en-GB"/>
        </w:rPr>
      </w:pPr>
    </w:p>
    <w:p w14:paraId="07E4A878" w14:textId="77777777" w:rsidR="003E574E" w:rsidRPr="004E053C" w:rsidRDefault="003E574E" w:rsidP="004E053C">
      <w:pPr>
        <w:pStyle w:val="CommentText"/>
        <w:spacing w:line="360" w:lineRule="auto"/>
        <w:jc w:val="both"/>
        <w:rPr>
          <w:rFonts w:cstheme="majorHAnsi"/>
          <w:sz w:val="22"/>
          <w:szCs w:val="22"/>
          <w:lang w:val="en-GB"/>
        </w:rPr>
      </w:pPr>
    </w:p>
    <w:p w14:paraId="6A1FBDD0" w14:textId="77777777" w:rsidR="003E574E" w:rsidRPr="004E053C" w:rsidRDefault="003E574E" w:rsidP="004E053C">
      <w:pPr>
        <w:pStyle w:val="CommentText"/>
        <w:spacing w:line="360" w:lineRule="auto"/>
        <w:jc w:val="both"/>
        <w:rPr>
          <w:rFonts w:cstheme="majorHAnsi"/>
          <w:sz w:val="22"/>
          <w:szCs w:val="22"/>
          <w:lang w:val="en-GB"/>
        </w:rPr>
      </w:pPr>
    </w:p>
    <w:p w14:paraId="5EC1B392" w14:textId="77777777" w:rsidR="003E574E" w:rsidRPr="004E053C" w:rsidRDefault="003E574E" w:rsidP="004E053C">
      <w:pPr>
        <w:spacing w:line="360" w:lineRule="auto"/>
        <w:jc w:val="both"/>
        <w:rPr>
          <w:rFonts w:cstheme="majorHAnsi"/>
          <w:b/>
          <w:sz w:val="22"/>
          <w:szCs w:val="22"/>
          <w:lang w:val="en-GB"/>
        </w:rPr>
        <w:sectPr w:rsidR="003E574E" w:rsidRPr="004E053C">
          <w:pgSz w:w="11906" w:h="16838"/>
          <w:pgMar w:top="1440" w:right="1440" w:bottom="1440" w:left="1440" w:header="708" w:footer="708" w:gutter="0"/>
          <w:cols w:space="708"/>
          <w:docGrid w:linePitch="360"/>
        </w:sectPr>
      </w:pPr>
    </w:p>
    <w:p w14:paraId="4812CE2B" w14:textId="5CA38D2A" w:rsidR="003E574E" w:rsidRPr="004E053C" w:rsidRDefault="00EA7F83" w:rsidP="004E053C">
      <w:pPr>
        <w:pStyle w:val="Heading1"/>
        <w:spacing w:line="360" w:lineRule="auto"/>
        <w:jc w:val="both"/>
        <w:rPr>
          <w:rFonts w:asciiTheme="minorHAnsi" w:hAnsiTheme="minorHAnsi" w:cstheme="majorHAnsi"/>
          <w:b w:val="0"/>
          <w:lang w:val="en-GB"/>
        </w:rPr>
      </w:pPr>
      <w:bookmarkStart w:id="90" w:name="_Toc33293121"/>
      <w:r w:rsidRPr="004E053C">
        <w:rPr>
          <w:rFonts w:asciiTheme="minorHAnsi" w:hAnsiTheme="minorHAnsi" w:cstheme="majorHAnsi"/>
          <w:b w:val="0"/>
          <w:lang w:val="en-GB"/>
        </w:rPr>
        <w:lastRenderedPageBreak/>
        <w:t>8</w:t>
      </w:r>
      <w:r w:rsidR="00220995" w:rsidRPr="004E053C">
        <w:rPr>
          <w:rFonts w:asciiTheme="minorHAnsi" w:hAnsiTheme="minorHAnsi" w:cstheme="majorHAnsi"/>
          <w:b w:val="0"/>
          <w:lang w:val="en-GB"/>
        </w:rPr>
        <w:t xml:space="preserve">. </w:t>
      </w:r>
      <w:r w:rsidR="006D741E" w:rsidRPr="004E053C">
        <w:rPr>
          <w:rFonts w:asciiTheme="minorHAnsi" w:hAnsiTheme="minorHAnsi" w:cstheme="majorHAnsi"/>
          <w:b w:val="0"/>
          <w:lang w:val="en-GB"/>
        </w:rPr>
        <w:t>Divergent l</w:t>
      </w:r>
      <w:r w:rsidR="003E574E" w:rsidRPr="004E053C">
        <w:rPr>
          <w:rFonts w:asciiTheme="minorHAnsi" w:hAnsiTheme="minorHAnsi" w:cstheme="majorHAnsi"/>
          <w:b w:val="0"/>
          <w:lang w:val="en-GB"/>
        </w:rPr>
        <w:t>ivelihoods</w:t>
      </w:r>
      <w:r w:rsidR="00A1203C" w:rsidRPr="004E053C">
        <w:rPr>
          <w:rFonts w:asciiTheme="minorHAnsi" w:hAnsiTheme="minorHAnsi" w:cstheme="majorHAnsi"/>
          <w:b w:val="0"/>
          <w:lang w:val="en-GB"/>
        </w:rPr>
        <w:t>: tension and contestation</w:t>
      </w:r>
      <w:r w:rsidR="00834EED" w:rsidRPr="004E053C">
        <w:rPr>
          <w:rFonts w:asciiTheme="minorHAnsi" w:hAnsiTheme="minorHAnsi" w:cstheme="majorHAnsi"/>
          <w:b w:val="0"/>
          <w:lang w:val="en-GB"/>
        </w:rPr>
        <w:t xml:space="preserve"> within mining communities</w:t>
      </w:r>
      <w:bookmarkEnd w:id="90"/>
    </w:p>
    <w:p w14:paraId="147C1134" w14:textId="77777777" w:rsidR="003E574E" w:rsidRPr="004E053C" w:rsidRDefault="003E574E" w:rsidP="004E053C">
      <w:pPr>
        <w:spacing w:line="360" w:lineRule="auto"/>
        <w:jc w:val="both"/>
        <w:rPr>
          <w:rFonts w:cstheme="majorHAnsi"/>
          <w:sz w:val="22"/>
          <w:szCs w:val="22"/>
          <w:lang w:val="en-GB"/>
        </w:rPr>
      </w:pPr>
    </w:p>
    <w:p w14:paraId="2196C8D4" w14:textId="436A27D0" w:rsidR="00B53FA8" w:rsidRPr="004E053C" w:rsidRDefault="00EA7F83" w:rsidP="004E053C">
      <w:pPr>
        <w:pStyle w:val="Heading2"/>
        <w:spacing w:before="0" w:line="360" w:lineRule="auto"/>
        <w:jc w:val="both"/>
        <w:rPr>
          <w:rFonts w:cstheme="majorHAnsi"/>
          <w:lang w:val="en-GB"/>
        </w:rPr>
      </w:pPr>
      <w:bookmarkStart w:id="91" w:name="_Toc424671912"/>
      <w:bookmarkStart w:id="92" w:name="_Toc33293122"/>
      <w:r w:rsidRPr="004E053C">
        <w:rPr>
          <w:rFonts w:cstheme="majorHAnsi"/>
          <w:lang w:val="en-GB"/>
        </w:rPr>
        <w:t>8</w:t>
      </w:r>
      <w:r w:rsidR="00B53FA8" w:rsidRPr="004E053C">
        <w:rPr>
          <w:rFonts w:cstheme="majorHAnsi"/>
          <w:lang w:val="en-GB"/>
        </w:rPr>
        <w:t>.1. Introduction</w:t>
      </w:r>
      <w:bookmarkEnd w:id="91"/>
      <w:bookmarkEnd w:id="92"/>
      <w:r w:rsidR="00B53FA8" w:rsidRPr="004E053C">
        <w:rPr>
          <w:rFonts w:cstheme="majorHAnsi"/>
          <w:lang w:val="en-GB"/>
        </w:rPr>
        <w:t xml:space="preserve"> </w:t>
      </w:r>
    </w:p>
    <w:p w14:paraId="30A33EEA" w14:textId="77777777" w:rsidR="00B53FA8" w:rsidRPr="004E053C" w:rsidRDefault="00B53FA8" w:rsidP="004E053C">
      <w:pPr>
        <w:spacing w:line="360" w:lineRule="auto"/>
        <w:jc w:val="both"/>
        <w:rPr>
          <w:rFonts w:cstheme="majorHAnsi"/>
          <w:lang w:val="en-GB"/>
        </w:rPr>
      </w:pPr>
    </w:p>
    <w:p w14:paraId="01B15EF1" w14:textId="315B793E" w:rsidR="00B53FA8" w:rsidRPr="004E053C" w:rsidRDefault="00565C53"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While chapter 7</w:t>
      </w:r>
      <w:r w:rsidR="00B53FA8" w:rsidRPr="004E053C">
        <w:rPr>
          <w:rFonts w:eastAsia="Times New Roman" w:cstheme="majorHAnsi"/>
          <w:sz w:val="22"/>
          <w:szCs w:val="22"/>
          <w:lang w:val="en-GB"/>
        </w:rPr>
        <w:t xml:space="preserve"> </w:t>
      </w:r>
      <w:r w:rsidR="00F6233C" w:rsidRPr="004E053C">
        <w:rPr>
          <w:rFonts w:eastAsia="Times New Roman" w:cstheme="majorHAnsi"/>
          <w:sz w:val="22"/>
          <w:szCs w:val="22"/>
          <w:lang w:val="en-GB"/>
        </w:rPr>
        <w:t>highlighted the intra-household</w:t>
      </w:r>
      <w:r w:rsidR="00B53FA8" w:rsidRPr="004E053C">
        <w:rPr>
          <w:rFonts w:eastAsia="Times New Roman" w:cstheme="majorHAnsi"/>
          <w:sz w:val="22"/>
          <w:szCs w:val="22"/>
          <w:lang w:val="en-GB"/>
        </w:rPr>
        <w:t xml:space="preserve"> divisions that may occur within a translocal community, there are also wider community dynamics to consider. Th</w:t>
      </w:r>
      <w:r w:rsidRPr="004E053C">
        <w:rPr>
          <w:rFonts w:eastAsia="Times New Roman" w:cstheme="majorHAnsi"/>
          <w:sz w:val="22"/>
          <w:szCs w:val="22"/>
          <w:lang w:val="en-GB"/>
        </w:rPr>
        <w:t>e typology provided in chapter 6</w:t>
      </w:r>
      <w:r w:rsidR="00B53FA8" w:rsidRPr="004E053C">
        <w:rPr>
          <w:rFonts w:eastAsia="Times New Roman" w:cstheme="majorHAnsi"/>
          <w:sz w:val="22"/>
          <w:szCs w:val="22"/>
          <w:lang w:val="en-GB"/>
        </w:rPr>
        <w:t xml:space="preserve"> characterised the miners and other residents of mining settlements according to the nature of their translocal livelihood and migration habits – permanent, temporary, float</w:t>
      </w:r>
      <w:r w:rsidR="008678D3" w:rsidRPr="004E053C">
        <w:rPr>
          <w:rFonts w:eastAsia="Times New Roman" w:cstheme="majorHAnsi"/>
          <w:sz w:val="22"/>
          <w:szCs w:val="22"/>
          <w:lang w:val="en-GB"/>
        </w:rPr>
        <w:t>ing and non-migrant. Thus, whilst</w:t>
      </w:r>
      <w:r w:rsidR="00B53FA8" w:rsidRPr="004E053C">
        <w:rPr>
          <w:rFonts w:eastAsia="Times New Roman" w:cstheme="majorHAnsi"/>
          <w:sz w:val="22"/>
          <w:szCs w:val="22"/>
          <w:lang w:val="en-GB"/>
        </w:rPr>
        <w:t xml:space="preserve"> the individuals within the translocal ASM community all exist within the same social field, their divergent livelihood trajectories lead them to occupy very different positions with different personal interests. As I have highlighted previously, the divergent translocal livelihoods that lead actors to occupy different positions necessitates an extension to the concept of translocality that enables an analysis of the temporality of translocal livelihoods rather than just a spatial analysis. In this chapter, I highlight the importance of this extension through illustrating how divergent livelihood trajectories h</w:t>
      </w:r>
      <w:r w:rsidR="00F6233C" w:rsidRPr="004E053C">
        <w:rPr>
          <w:rFonts w:eastAsia="Times New Roman" w:cstheme="majorHAnsi"/>
          <w:sz w:val="22"/>
          <w:szCs w:val="22"/>
          <w:lang w:val="en-GB"/>
        </w:rPr>
        <w:t xml:space="preserve">ave implications for </w:t>
      </w:r>
      <w:r w:rsidR="00B53FA8" w:rsidRPr="004E053C">
        <w:rPr>
          <w:rFonts w:eastAsia="Times New Roman" w:cstheme="majorHAnsi"/>
          <w:sz w:val="22"/>
          <w:szCs w:val="22"/>
          <w:lang w:val="en-GB"/>
        </w:rPr>
        <w:t xml:space="preserve">place-attachment and may lead to tension and conflict within the social field. </w:t>
      </w:r>
      <w:r w:rsidR="00653891" w:rsidRPr="004E053C">
        <w:rPr>
          <w:rFonts w:eastAsia="Times New Roman" w:cstheme="majorHAnsi"/>
          <w:sz w:val="22"/>
          <w:szCs w:val="22"/>
          <w:lang w:val="en-GB"/>
        </w:rPr>
        <w:t xml:space="preserve">Such conflicts represent a form of contestation that I refer to as temporal friction. </w:t>
      </w:r>
      <w:r w:rsidR="00B53FA8" w:rsidRPr="004E053C">
        <w:rPr>
          <w:rFonts w:eastAsia="Times New Roman" w:cstheme="majorHAnsi"/>
          <w:sz w:val="22"/>
          <w:szCs w:val="22"/>
          <w:lang w:val="en-GB"/>
        </w:rPr>
        <w:t>This is important for understanding the heterogeneity of the population that resides within mining settlements and the implications for community dynamics</w:t>
      </w:r>
      <w:r w:rsidR="00653891" w:rsidRPr="004E053C">
        <w:rPr>
          <w:rFonts w:eastAsia="Times New Roman" w:cstheme="majorHAnsi"/>
          <w:sz w:val="22"/>
          <w:szCs w:val="22"/>
          <w:lang w:val="en-GB"/>
        </w:rPr>
        <w:t>, but also adds to our understanding of translocal livelihoods in general</w:t>
      </w:r>
      <w:r w:rsidR="00B53FA8" w:rsidRPr="004E053C">
        <w:rPr>
          <w:rFonts w:eastAsia="Times New Roman" w:cstheme="majorHAnsi"/>
          <w:sz w:val="22"/>
          <w:szCs w:val="22"/>
          <w:lang w:val="en-GB"/>
        </w:rPr>
        <w:t xml:space="preserve">.   </w:t>
      </w:r>
    </w:p>
    <w:p w14:paraId="0C94056B" w14:textId="77777777" w:rsidR="00B53FA8" w:rsidRPr="004E053C" w:rsidRDefault="00B53FA8" w:rsidP="004E053C">
      <w:pPr>
        <w:spacing w:line="360" w:lineRule="auto"/>
        <w:jc w:val="both"/>
        <w:rPr>
          <w:rFonts w:eastAsia="Times New Roman" w:cstheme="majorHAnsi"/>
          <w:sz w:val="22"/>
          <w:szCs w:val="22"/>
          <w:lang w:val="en-GB"/>
        </w:rPr>
      </w:pPr>
    </w:p>
    <w:p w14:paraId="25A08063" w14:textId="3086E79D" w:rsidR="00B53FA8" w:rsidRPr="004E053C" w:rsidRDefault="00B53FA8"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This chapter will draw on the typology of mining </w:t>
      </w:r>
      <w:r w:rsidR="00565C53" w:rsidRPr="004E053C">
        <w:rPr>
          <w:rFonts w:eastAsia="Times New Roman" w:cstheme="majorHAnsi"/>
          <w:sz w:val="22"/>
          <w:szCs w:val="22"/>
          <w:lang w:val="en-GB"/>
        </w:rPr>
        <w:t>migrants introduced in chapter 6</w:t>
      </w:r>
      <w:r w:rsidRPr="004E053C">
        <w:rPr>
          <w:rFonts w:eastAsia="Times New Roman" w:cstheme="majorHAnsi"/>
          <w:sz w:val="22"/>
          <w:szCs w:val="22"/>
          <w:lang w:val="en-GB"/>
        </w:rPr>
        <w:t xml:space="preserve"> and further our understanding of these various positions by drawing attention to the nature of relationships between them. Keeping in mind Bourdieu’s assertion that social fields are characterised by contestations </w:t>
      </w:r>
      <w:r w:rsidR="00F020F7" w:rsidRPr="004E053C">
        <w:rPr>
          <w:rFonts w:eastAsia="Times New Roman" w:cstheme="majorHAnsi"/>
          <w:sz w:val="22"/>
          <w:szCs w:val="22"/>
          <w:lang w:val="en-GB"/>
        </w:rPr>
        <w:fldChar w:fldCharType="begin" w:fldLock="1"/>
      </w:r>
      <w:r w:rsidR="00F020F7" w:rsidRPr="004E053C">
        <w:rPr>
          <w:rFonts w:eastAsia="Times New Roman" w:cstheme="majorHAnsi"/>
          <w:sz w:val="22"/>
          <w:szCs w:val="22"/>
          <w:lang w:val="en-GB"/>
        </w:rPr>
        <w:instrText>ADDIN CSL_CITATION {"citationItems":[{"id":"ITEM-1","itemData":{"author":[{"dropping-particle":"","family":"Bourdieu","given":"Pierre","non-dropping-particle":"","parse-names":false,"suffix":""},{"dropping-particle":"","family":"Wacquant","given":"Loic","non-dropping-particle":"","parse-names":false,"suffix":""}],"id":"ITEM-1","issued":{"date-parts":[["1992"]]},"publisher":"University of Chicago Press","publisher-place":"Chicago","title":"An Invitation to Reflexive Sociology","type":"book"},"uris":["http://www.mendeley.com/documents/?uuid=c1429f32-90a2-3b41-90c4-9a470864a959"]}],"mendeley":{"formattedCitation":"(Bourdieu &amp; Wacquant, 1992)","plainTextFormattedCitation":"(Bourdieu &amp; Wacquant, 1992)","previouslyFormattedCitation":"(Bourdieu &amp; Wacquant, 1992)"},"properties":{"noteIndex":0},"schema":"https://github.com/citation-style-language/schema/raw/master/csl-citation.json"}</w:instrText>
      </w:r>
      <w:r w:rsidR="00F020F7" w:rsidRPr="004E053C">
        <w:rPr>
          <w:rFonts w:eastAsia="Times New Roman" w:cstheme="majorHAnsi"/>
          <w:sz w:val="22"/>
          <w:szCs w:val="22"/>
          <w:lang w:val="en-GB"/>
        </w:rPr>
        <w:fldChar w:fldCharType="separate"/>
      </w:r>
      <w:r w:rsidR="00F020F7" w:rsidRPr="004E053C">
        <w:rPr>
          <w:rFonts w:eastAsia="Times New Roman" w:cstheme="majorHAnsi"/>
          <w:noProof/>
          <w:sz w:val="22"/>
          <w:szCs w:val="22"/>
          <w:lang w:val="en-GB"/>
        </w:rPr>
        <w:t>(Bourdieu &amp; Wacquant, 1992)</w:t>
      </w:r>
      <w:r w:rsidR="00F020F7" w:rsidRPr="004E053C">
        <w:rPr>
          <w:rFonts w:eastAsia="Times New Roman" w:cstheme="majorHAnsi"/>
          <w:sz w:val="22"/>
          <w:szCs w:val="22"/>
          <w:lang w:val="en-GB"/>
        </w:rPr>
        <w:fldChar w:fldCharType="end"/>
      </w:r>
      <w:r w:rsidRPr="004E053C">
        <w:rPr>
          <w:rFonts w:eastAsia="Times New Roman" w:cstheme="majorHAnsi"/>
          <w:sz w:val="22"/>
          <w:szCs w:val="22"/>
          <w:lang w:val="en-GB"/>
        </w:rPr>
        <w:t>, the exploration of thes</w:t>
      </w:r>
      <w:r w:rsidR="00F6233C" w:rsidRPr="004E053C">
        <w:rPr>
          <w:rFonts w:eastAsia="Times New Roman" w:cstheme="majorHAnsi"/>
          <w:sz w:val="22"/>
          <w:szCs w:val="22"/>
          <w:lang w:val="en-GB"/>
        </w:rPr>
        <w:t xml:space="preserve">e community relationships </w:t>
      </w:r>
      <w:r w:rsidRPr="004E053C">
        <w:rPr>
          <w:rFonts w:eastAsia="Times New Roman" w:cstheme="majorHAnsi"/>
          <w:sz w:val="22"/>
          <w:szCs w:val="22"/>
          <w:lang w:val="en-GB"/>
        </w:rPr>
        <w:t xml:space="preserve">highlights in particular the various ways in which translocality creates tension within a given locality. In true Bourdieusian fashion, it therefore provides a rather antagonistic vision </w:t>
      </w:r>
      <w:r w:rsidR="00F020F7"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2016)","plainTextFormattedCitation":"(Shammus &amp; Sandberg, 2016)","previouslyFormattedCitation":"(Shammus &amp; Sandberg, 2016)"},"properties":{"noteIndex":0},"schema":"https://github.com/citation-style-language/schema/raw/master/csl-citation.json"}</w:instrText>
      </w:r>
      <w:r w:rsidR="00F020F7" w:rsidRPr="004E053C">
        <w:rPr>
          <w:rFonts w:eastAsia="Times New Roman" w:cstheme="majorHAnsi"/>
          <w:sz w:val="22"/>
          <w:szCs w:val="22"/>
          <w:lang w:val="en-GB"/>
        </w:rPr>
        <w:fldChar w:fldCharType="separate"/>
      </w:r>
      <w:r w:rsidR="00F020F7" w:rsidRPr="004E053C">
        <w:rPr>
          <w:rFonts w:eastAsia="Times New Roman" w:cstheme="majorHAnsi"/>
          <w:noProof/>
          <w:sz w:val="22"/>
          <w:szCs w:val="22"/>
          <w:lang w:val="en-GB"/>
        </w:rPr>
        <w:t>(Shammus &amp; Sandberg, 2016)</w:t>
      </w:r>
      <w:r w:rsidR="00F020F7"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of social interactions within translocal mining communities. Translocal livelihoods have long been shown to fundamentally change the various places they connect </w:t>
      </w:r>
      <w:r w:rsidR="00F020F7" w:rsidRPr="004E053C">
        <w:rPr>
          <w:rFonts w:eastAsia="Times New Roman" w:cstheme="majorHAnsi"/>
          <w:sz w:val="22"/>
          <w:szCs w:val="22"/>
          <w:lang w:val="en-GB"/>
        </w:rPr>
        <w:fldChar w:fldCharType="begin" w:fldLock="1"/>
      </w:r>
      <w:r w:rsidR="00EB10C1" w:rsidRPr="004E053C">
        <w:rPr>
          <w:rFonts w:eastAsia="Times New Roman" w:cstheme="majorHAnsi"/>
          <w:sz w:val="22"/>
          <w:szCs w:val="22"/>
          <w:lang w:val="en-GB"/>
        </w:rPr>
        <w:instrText>ADDIN CSL_CITATION {"citationItems":[{"id":"ITEM-1","itemData":{"abstract":"Social relations in Namibia's southern Kunene region are shaped by translocal patterns of migration, exchange and identity. Young people move to urban areas for schooling and work, older family members return to the countryside upon retirement to take care of the livestock and the rural homesteads. These movements are accompanied by remittances and resource transfers, critical for securing livelihoods in rural as well as in urban contexts. People experience movement between households from childhood on, and many migrants develop identities that combine rural and urban lifestyles. Still, the rural homes remain the symbolic, social and economic center for most migrants. Based on data from multi-sited fieldwork, this article examines the emergence and current patterns of migration, exchange and identity formation. The author outlines a translocal perspective and argues that, in order to deepen our understanding of these dynamics, it might be productive to borrow insights from recent studies of transnationalism.","author":[{"dropping-particle":"","family":"Greiner","given":"Clemens","non-dropping-particle":"","parse-names":false,"suffix":""}],"container-title":"Sociologus","id":"ITEM-1","issue":"2","issued":{"date-parts":[["2010"]]},"page":"131-161","title":"Patterns of translocality: migration, livelihoods and identities in Northwest Namibia","type":"article-journal","volume":"60"},"uris":["http://www.mendeley.com/documents/?uuid=414887f7-c62a-48a7-b7bf-b65a4cc9aa41"]},{"id":"ITEM-2","itemData":{"author":[{"dropping-particle":"","family":"Long","given":"N","non-dropping-particle":"","parse-names":false,"suffix":""}],"container-title":"Migration and Development Within and Across Borders: Research and Policy Perspectives on Internal and International Migration","editor":[{"dropping-particle":"","family":"DeWind","given":"J","non-dropping-particle":"","parse-names":false,"suffix":""},{"dropping-particle":"","family":"Holdaway","given":"J.","non-dropping-particle":"","parse-names":false,"suffix":""}],"id":"ITEM-2","issued":{"date-parts":[["2008"]]},"page":"37-68","publisher":"International Organization for Migration","publisher-place":"Geneva/New York","title":"Translocal livelihoods, networks of family and community, and remmitances in Central Peru","type":"chapter"},"uris":["http://www.mendeley.com/documents/?uuid=74e4505d-80c8-44a1-bc39-ef72c7b77d58"]}],"mendeley":{"formattedCitation":"(Greiner, 2010; N Long, 2008)","plainTextFormattedCitation":"(Greiner, 2010; N Long, 2008)","previouslyFormattedCitation":"(Greiner, 2010; N Long, 2008)"},"properties":{"noteIndex":0},"schema":"https://github.com/citation-style-language/schema/raw/master/csl-citation.json"}</w:instrText>
      </w:r>
      <w:r w:rsidR="00F020F7" w:rsidRPr="004E053C">
        <w:rPr>
          <w:rFonts w:eastAsia="Times New Roman" w:cstheme="majorHAnsi"/>
          <w:sz w:val="22"/>
          <w:szCs w:val="22"/>
          <w:lang w:val="en-GB"/>
        </w:rPr>
        <w:fldChar w:fldCharType="separate"/>
      </w:r>
      <w:r w:rsidR="00EB10C1" w:rsidRPr="004E053C">
        <w:rPr>
          <w:rFonts w:eastAsia="Times New Roman" w:cstheme="majorHAnsi"/>
          <w:noProof/>
          <w:sz w:val="22"/>
          <w:szCs w:val="22"/>
          <w:lang w:val="en-GB"/>
        </w:rPr>
        <w:t>(Greiner, 2010; N Long, 2008)</w:t>
      </w:r>
      <w:r w:rsidR="00F020F7" w:rsidRPr="004E053C">
        <w:rPr>
          <w:rFonts w:eastAsia="Times New Roman" w:cstheme="majorHAnsi"/>
          <w:sz w:val="22"/>
          <w:szCs w:val="22"/>
          <w:lang w:val="en-GB"/>
        </w:rPr>
        <w:fldChar w:fldCharType="end"/>
      </w:r>
      <w:r w:rsidR="008678D3" w:rsidRPr="004E053C">
        <w:rPr>
          <w:rFonts w:eastAsia="Times New Roman" w:cstheme="majorHAnsi"/>
          <w:sz w:val="22"/>
          <w:szCs w:val="22"/>
          <w:lang w:val="en-GB"/>
        </w:rPr>
        <w:t>. I</w:t>
      </w:r>
      <w:r w:rsidRPr="004E053C">
        <w:rPr>
          <w:rFonts w:eastAsia="Times New Roman" w:cstheme="majorHAnsi"/>
          <w:sz w:val="22"/>
          <w:szCs w:val="22"/>
          <w:lang w:val="en-GB"/>
        </w:rPr>
        <w:t xml:space="preserve">t is unsurprising therefore that these changes may manifest themselves in tension within the various localities. </w:t>
      </w:r>
      <w:r w:rsidRPr="004E053C">
        <w:rPr>
          <w:rFonts w:cstheme="majorHAnsi"/>
          <w:sz w:val="22"/>
          <w:szCs w:val="22"/>
          <w:lang w:val="en-GB"/>
        </w:rPr>
        <w:t xml:space="preserve">Aside from tensions caused by current levels of mobility, future livelihood aspirations create </w:t>
      </w:r>
      <w:r w:rsidR="00C73001" w:rsidRPr="004E053C">
        <w:rPr>
          <w:rFonts w:cstheme="majorHAnsi"/>
          <w:sz w:val="22"/>
          <w:szCs w:val="22"/>
          <w:lang w:val="en-GB"/>
        </w:rPr>
        <w:t xml:space="preserve">competing long-term interests between community members. This leads to a variety of contestations that can be grouped together and thought of as temporal </w:t>
      </w:r>
      <w:r w:rsidR="00C73001" w:rsidRPr="004E053C">
        <w:rPr>
          <w:rFonts w:cstheme="majorHAnsi"/>
          <w:sz w:val="22"/>
          <w:szCs w:val="22"/>
          <w:lang w:val="en-GB"/>
        </w:rPr>
        <w:lastRenderedPageBreak/>
        <w:t>frictions</w:t>
      </w:r>
      <w:r w:rsidRPr="004E053C">
        <w:rPr>
          <w:rFonts w:cstheme="majorHAnsi"/>
          <w:sz w:val="22"/>
          <w:szCs w:val="22"/>
          <w:lang w:val="en-GB"/>
        </w:rPr>
        <w:t xml:space="preserve">. </w:t>
      </w:r>
      <w:r w:rsidRPr="004E053C">
        <w:rPr>
          <w:rFonts w:eastAsia="Times New Roman" w:cstheme="majorHAnsi"/>
          <w:sz w:val="22"/>
          <w:szCs w:val="22"/>
          <w:lang w:val="en-GB"/>
        </w:rPr>
        <w:t xml:space="preserve">Meanwhile, those who remain for long periods of time in the most highly transient mining settlements expose themselves to superficial working relationships and feelings of alienation. </w:t>
      </w:r>
      <w:r w:rsidRPr="004E053C">
        <w:rPr>
          <w:rFonts w:cstheme="majorHAnsi"/>
          <w:sz w:val="22"/>
          <w:szCs w:val="22"/>
          <w:lang w:val="en-GB"/>
        </w:rPr>
        <w:t>While these te</w:t>
      </w:r>
      <w:r w:rsidR="00C73001" w:rsidRPr="004E053C">
        <w:rPr>
          <w:rFonts w:cstheme="majorHAnsi"/>
          <w:sz w:val="22"/>
          <w:szCs w:val="22"/>
          <w:lang w:val="en-GB"/>
        </w:rPr>
        <w:t>mporal frictions</w:t>
      </w:r>
      <w:r w:rsidRPr="004E053C">
        <w:rPr>
          <w:rFonts w:cstheme="majorHAnsi"/>
          <w:sz w:val="22"/>
          <w:szCs w:val="22"/>
          <w:lang w:val="en-GB"/>
        </w:rPr>
        <w:t xml:space="preserve"> may not necessarily result in outright aggression and interpersonal violence, I will show that they nonetheless affect community dynamics. </w:t>
      </w:r>
    </w:p>
    <w:p w14:paraId="196A2E60" w14:textId="77777777" w:rsidR="00B53FA8" w:rsidRPr="004E053C" w:rsidRDefault="00B53FA8" w:rsidP="004E053C">
      <w:pPr>
        <w:spacing w:line="360" w:lineRule="auto"/>
        <w:jc w:val="both"/>
        <w:rPr>
          <w:rFonts w:cstheme="majorHAnsi"/>
          <w:sz w:val="22"/>
          <w:szCs w:val="22"/>
          <w:lang w:val="en-GB"/>
        </w:rPr>
      </w:pPr>
    </w:p>
    <w:p w14:paraId="1981C9FE" w14:textId="54A9A149"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The chapter discusses the key sources of tension within the community in order to highlight how the temporality of translocal livelihoods creates an underlying source of tension within th</w:t>
      </w:r>
      <w:r w:rsidR="00F6233C" w:rsidRPr="004E053C">
        <w:rPr>
          <w:rFonts w:cstheme="majorHAnsi"/>
          <w:sz w:val="22"/>
          <w:szCs w:val="22"/>
          <w:lang w:val="en-GB"/>
        </w:rPr>
        <w:t>e social field of ASM. Section 8</w:t>
      </w:r>
      <w:r w:rsidRPr="004E053C">
        <w:rPr>
          <w:rFonts w:cstheme="majorHAnsi"/>
          <w:sz w:val="22"/>
          <w:szCs w:val="22"/>
          <w:lang w:val="en-GB"/>
        </w:rPr>
        <w:t>.2 first looks at issues over access to land and labour mobility, before moving on to environmental sustainability concerns that exist within mining towns. It then considers the more social aspects of life, including weakening social networks, social exclusion and the pressure on social relationships. A key thread running through this section is the lack of interest that temporary and floating miners have in long-term economic security, environmental sustainability and the building of a community spirit within mining settlements, particularly when compared with their more permanently settled nei</w:t>
      </w:r>
      <w:r w:rsidR="00F6233C" w:rsidRPr="004E053C">
        <w:rPr>
          <w:rFonts w:cstheme="majorHAnsi"/>
          <w:sz w:val="22"/>
          <w:szCs w:val="22"/>
          <w:lang w:val="en-GB"/>
        </w:rPr>
        <w:t>ghbours. Section 8</w:t>
      </w:r>
      <w:r w:rsidRPr="004E053C">
        <w:rPr>
          <w:rFonts w:cstheme="majorHAnsi"/>
          <w:sz w:val="22"/>
          <w:szCs w:val="22"/>
          <w:lang w:val="en-GB"/>
        </w:rPr>
        <w:t xml:space="preserve">.3 then moves on to examine crime and violence, explaining that while this remains far worse in La Pampa, high mobility is becoming linked to rising insecurity in more settled mining towns such as Laberinto also. </w:t>
      </w:r>
    </w:p>
    <w:p w14:paraId="232EDE71" w14:textId="77777777" w:rsidR="00B53FA8" w:rsidRPr="004E053C" w:rsidRDefault="00B53FA8" w:rsidP="004E053C">
      <w:pPr>
        <w:spacing w:line="360" w:lineRule="auto"/>
        <w:jc w:val="both"/>
        <w:rPr>
          <w:rFonts w:cstheme="majorHAnsi"/>
          <w:sz w:val="22"/>
          <w:szCs w:val="22"/>
          <w:lang w:val="en-GB"/>
        </w:rPr>
      </w:pPr>
    </w:p>
    <w:p w14:paraId="581869FB" w14:textId="36E2F5BE" w:rsidR="00B53FA8" w:rsidRPr="004E053C" w:rsidRDefault="00565C53" w:rsidP="004E053C">
      <w:pPr>
        <w:spacing w:line="360" w:lineRule="auto"/>
        <w:jc w:val="both"/>
        <w:rPr>
          <w:rFonts w:cstheme="majorHAnsi"/>
          <w:sz w:val="22"/>
          <w:szCs w:val="22"/>
          <w:lang w:val="en-GB"/>
        </w:rPr>
      </w:pPr>
      <w:r w:rsidRPr="004E053C">
        <w:rPr>
          <w:rFonts w:cstheme="majorHAnsi"/>
          <w:sz w:val="22"/>
          <w:szCs w:val="22"/>
          <w:lang w:val="en-GB"/>
        </w:rPr>
        <w:t xml:space="preserve">The final section of chapter 8 </w:t>
      </w:r>
      <w:r w:rsidR="00B53FA8" w:rsidRPr="004E053C">
        <w:rPr>
          <w:rFonts w:cstheme="majorHAnsi"/>
          <w:sz w:val="22"/>
          <w:szCs w:val="22"/>
          <w:lang w:val="en-GB"/>
        </w:rPr>
        <w:t>then introduces the contestations that occur between the actors within the social field, including ASM operatives and other residents o</w:t>
      </w:r>
      <w:r w:rsidR="008678D3" w:rsidRPr="004E053C">
        <w:rPr>
          <w:rFonts w:cstheme="majorHAnsi"/>
          <w:sz w:val="22"/>
          <w:szCs w:val="22"/>
          <w:lang w:val="en-GB"/>
        </w:rPr>
        <w:t xml:space="preserve">f mining towns and settlements </w:t>
      </w:r>
      <w:r w:rsidR="00B53FA8" w:rsidRPr="004E053C">
        <w:rPr>
          <w:rFonts w:cstheme="majorHAnsi"/>
          <w:sz w:val="22"/>
          <w:szCs w:val="22"/>
          <w:lang w:val="en-GB"/>
        </w:rPr>
        <w:t>and the Peruvian Government. These cont</w:t>
      </w:r>
      <w:r w:rsidR="008678D3" w:rsidRPr="004E053C">
        <w:rPr>
          <w:rFonts w:cstheme="majorHAnsi"/>
          <w:sz w:val="22"/>
          <w:szCs w:val="22"/>
          <w:lang w:val="en-GB"/>
        </w:rPr>
        <w:t xml:space="preserve">estations manifest in sometimes </w:t>
      </w:r>
      <w:r w:rsidR="00B53FA8" w:rsidRPr="004E053C">
        <w:rPr>
          <w:rFonts w:cstheme="majorHAnsi"/>
          <w:sz w:val="22"/>
          <w:szCs w:val="22"/>
          <w:lang w:val="en-GB"/>
        </w:rPr>
        <w:t>violent protest and other forms of active resistance, such as the continuation of illegal mining activity, as a result of the perceived injustice of the Government’s policy on ASM. However, the temporal and spatial nature of translocal ASM livelihoods can sometimes result in a relative lack of willing amongst the temporary residents of Laberin</w:t>
      </w:r>
      <w:r w:rsidR="008678D3" w:rsidRPr="004E053C">
        <w:rPr>
          <w:rFonts w:cstheme="majorHAnsi"/>
          <w:sz w:val="22"/>
          <w:szCs w:val="22"/>
          <w:lang w:val="en-GB"/>
        </w:rPr>
        <w:t>to to engage in the more organis</w:t>
      </w:r>
      <w:r w:rsidR="00B53FA8" w:rsidRPr="004E053C">
        <w:rPr>
          <w:rFonts w:cstheme="majorHAnsi"/>
          <w:sz w:val="22"/>
          <w:szCs w:val="22"/>
          <w:lang w:val="en-GB"/>
        </w:rPr>
        <w:t>ed forms of protest. This is primarily because their long-term int</w:t>
      </w:r>
      <w:r w:rsidR="008678D3" w:rsidRPr="004E053C">
        <w:rPr>
          <w:rFonts w:cstheme="majorHAnsi"/>
          <w:sz w:val="22"/>
          <w:szCs w:val="22"/>
          <w:lang w:val="en-GB"/>
        </w:rPr>
        <w:t>erests are not in the town. T</w:t>
      </w:r>
      <w:r w:rsidR="00B53FA8" w:rsidRPr="004E053C">
        <w:rPr>
          <w:rFonts w:cstheme="majorHAnsi"/>
          <w:sz w:val="22"/>
          <w:szCs w:val="22"/>
          <w:lang w:val="en-GB"/>
        </w:rPr>
        <w:t xml:space="preserve">hey will simply move on, to a new place and/or a new livelihood, if the Government becomes too repressive. An understanding of these dynamics is important to set up for the following chapter, which will look at how contestations within the social field are manifested in discourses of illegality. </w:t>
      </w:r>
    </w:p>
    <w:p w14:paraId="3BA6AAF9" w14:textId="77777777" w:rsidR="00B53FA8" w:rsidRPr="004E053C" w:rsidRDefault="00B53FA8" w:rsidP="004E053C">
      <w:pPr>
        <w:spacing w:line="360" w:lineRule="auto"/>
        <w:jc w:val="both"/>
        <w:rPr>
          <w:rFonts w:cstheme="majorHAnsi"/>
          <w:sz w:val="22"/>
          <w:szCs w:val="22"/>
          <w:lang w:val="en-GB"/>
        </w:rPr>
      </w:pPr>
    </w:p>
    <w:p w14:paraId="03F9DA18" w14:textId="5D8C912B" w:rsidR="00B53FA8" w:rsidRPr="004E053C" w:rsidRDefault="00EA7F83" w:rsidP="004E053C">
      <w:pPr>
        <w:pStyle w:val="Heading2"/>
        <w:spacing w:before="0" w:line="360" w:lineRule="auto"/>
        <w:jc w:val="both"/>
        <w:rPr>
          <w:rFonts w:cstheme="majorHAnsi"/>
          <w:lang w:val="en-GB"/>
        </w:rPr>
      </w:pPr>
      <w:bookmarkStart w:id="93" w:name="_Toc424671913"/>
      <w:bookmarkStart w:id="94" w:name="_Toc33293123"/>
      <w:r w:rsidRPr="004E053C">
        <w:rPr>
          <w:rFonts w:cstheme="majorHAnsi"/>
          <w:bCs/>
          <w:lang w:val="en-GB"/>
        </w:rPr>
        <w:t>8</w:t>
      </w:r>
      <w:r w:rsidR="00B53FA8" w:rsidRPr="004E053C">
        <w:rPr>
          <w:rFonts w:cstheme="majorHAnsi"/>
          <w:bCs/>
          <w:lang w:val="en-GB"/>
        </w:rPr>
        <w:t>.2.</w:t>
      </w:r>
      <w:r w:rsidR="004A3EF1" w:rsidRPr="004E053C">
        <w:rPr>
          <w:rFonts w:cstheme="majorHAnsi"/>
          <w:lang w:val="en-GB"/>
        </w:rPr>
        <w:t xml:space="preserve"> Sources of tension within the translocal ASM c</w:t>
      </w:r>
      <w:r w:rsidR="00B53FA8" w:rsidRPr="004E053C">
        <w:rPr>
          <w:rFonts w:cstheme="majorHAnsi"/>
          <w:lang w:val="en-GB"/>
        </w:rPr>
        <w:t>ommunity</w:t>
      </w:r>
      <w:bookmarkEnd w:id="93"/>
      <w:bookmarkEnd w:id="94"/>
    </w:p>
    <w:p w14:paraId="19EDEF06" w14:textId="77777777" w:rsidR="00D51819" w:rsidRPr="004E053C" w:rsidRDefault="00D51819" w:rsidP="004E053C">
      <w:pPr>
        <w:jc w:val="both"/>
        <w:rPr>
          <w:lang w:val="en-GB"/>
        </w:rPr>
      </w:pPr>
    </w:p>
    <w:p w14:paraId="1460AD1E" w14:textId="4B37B0D1" w:rsidR="00B53FA8" w:rsidRPr="004E053C" w:rsidRDefault="00B53FA8"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eastAsia="Times New Roman" w:hAnsiTheme="minorHAnsi" w:cstheme="majorHAnsi"/>
          <w:sz w:val="22"/>
          <w:szCs w:val="22"/>
        </w:rPr>
        <w:t xml:space="preserve">In the Bourdieusian conceptualisation of contestation, agents primarily struggle with each other over scarce resources and the right to dominant the direction of the field </w:t>
      </w:r>
      <w:r w:rsidR="00F020F7" w:rsidRPr="004E053C">
        <w:rPr>
          <w:rFonts w:asciiTheme="minorHAnsi" w:eastAsia="Times New Roman" w:hAnsiTheme="minorHAnsi" w:cstheme="majorHAnsi"/>
          <w:sz w:val="22"/>
          <w:szCs w:val="22"/>
        </w:rPr>
        <w:fldChar w:fldCharType="begin" w:fldLock="1"/>
      </w:r>
      <w:r w:rsidR="00F020F7" w:rsidRPr="004E053C">
        <w:rPr>
          <w:rFonts w:asciiTheme="minorHAnsi" w:eastAsia="Times New Roman" w:hAnsiTheme="minorHAnsi" w:cstheme="majorHAnsi"/>
          <w:sz w:val="22"/>
          <w:szCs w:val="22"/>
        </w:rPr>
        <w:instrText>ADDIN CSL_CITATION {"citationItems":[{"id":"ITEM-1","itemData":{"author":[{"dropping-particle":"","family":"Bourdieu","given":"Pierre","non-dropping-particle":"","parse-names":false,"suffix":""},{"dropping-particle":"","family":"Wacquant","given":"Loic","non-dropping-particle":"","parse-names":false,"suffix":""}],"id":"ITEM-1","issued":{"date-parts":[["1992"]]},"publisher":"University of Chicago Press","publisher-place":"Chicago","title":"An Invitation to Reflexive Sociology","type":"book"},"uris":["http://www.mendeley.com/documents/?uuid=c1429f32-90a2-3b41-90c4-9a470864a959"]}],"mendeley":{"formattedCitation":"(Bourdieu &amp; Wacquant, 1992)","plainTextFormattedCitation":"(Bourdieu &amp; Wacquant, 1992)","previouslyFormattedCitation":"(Bourdieu &amp; Wacquant, 1992)"},"properties":{"noteIndex":0},"schema":"https://github.com/citation-style-language/schema/raw/master/csl-citation.json"}</w:instrText>
      </w:r>
      <w:r w:rsidR="00F020F7" w:rsidRPr="004E053C">
        <w:rPr>
          <w:rFonts w:asciiTheme="minorHAnsi" w:eastAsia="Times New Roman" w:hAnsiTheme="minorHAnsi" w:cstheme="majorHAnsi"/>
          <w:sz w:val="22"/>
          <w:szCs w:val="22"/>
        </w:rPr>
        <w:fldChar w:fldCharType="separate"/>
      </w:r>
      <w:r w:rsidR="00F020F7" w:rsidRPr="004E053C">
        <w:rPr>
          <w:rFonts w:asciiTheme="minorHAnsi" w:eastAsia="Times New Roman" w:hAnsiTheme="minorHAnsi" w:cstheme="majorHAnsi"/>
          <w:noProof/>
          <w:sz w:val="22"/>
          <w:szCs w:val="22"/>
        </w:rPr>
        <w:t>(Bourdieu &amp; Wacquant, 1992)</w:t>
      </w:r>
      <w:r w:rsidR="00F020F7" w:rsidRPr="004E053C">
        <w:rPr>
          <w:rFonts w:asciiTheme="minorHAnsi" w:eastAsia="Times New Roman" w:hAnsiTheme="minorHAnsi" w:cstheme="majorHAnsi"/>
          <w:sz w:val="22"/>
          <w:szCs w:val="22"/>
        </w:rPr>
        <w:fldChar w:fldCharType="end"/>
      </w:r>
      <w:r w:rsidR="008678D3" w:rsidRPr="004E053C">
        <w:rPr>
          <w:rFonts w:asciiTheme="minorHAnsi" w:eastAsia="Times New Roman" w:hAnsiTheme="minorHAnsi" w:cstheme="majorHAnsi"/>
          <w:sz w:val="22"/>
          <w:szCs w:val="22"/>
        </w:rPr>
        <w:t>. Whilst</w:t>
      </w:r>
      <w:r w:rsidRPr="004E053C">
        <w:rPr>
          <w:rFonts w:asciiTheme="minorHAnsi" w:eastAsia="Times New Roman" w:hAnsiTheme="minorHAnsi" w:cstheme="majorHAnsi"/>
          <w:sz w:val="22"/>
          <w:szCs w:val="22"/>
        </w:rPr>
        <w:t xml:space="preserve"> these contestations are often conceptualised as occurring at the</w:t>
      </w:r>
      <w:r w:rsidRPr="004E053C">
        <w:rPr>
          <w:rFonts w:asciiTheme="minorHAnsi" w:hAnsiTheme="minorHAnsi" w:cstheme="majorHAnsi"/>
          <w:sz w:val="22"/>
          <w:szCs w:val="22"/>
        </w:rPr>
        <w:t xml:space="preserve"> elite level, it has also been shown that similar contestations play out at the lower echelons of society, such as within street </w:t>
      </w:r>
      <w:r w:rsidRPr="004E053C">
        <w:rPr>
          <w:rFonts w:asciiTheme="minorHAnsi" w:hAnsiTheme="minorHAnsi" w:cstheme="majorHAnsi"/>
          <w:sz w:val="22"/>
          <w:szCs w:val="22"/>
        </w:rPr>
        <w:lastRenderedPageBreak/>
        <w:t xml:space="preserve">crime and gang culture </w:t>
      </w:r>
      <w:r w:rsidR="00F020F7"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{"citationItems":[{"id":"ITEM-1","itemData":{"abstract":"Most of Pierre Bourdieu’s work describes struggles over symbolic capital and hierarchies among the economic and cultural elite. However, his theories and concepts are not exclusive to studies of those with power. By using Bourdieu’s conceptualizations of social space, capital and habitus, the article discusses the hierarchies and struggles over symbolic capital at the bottom of societies. The analysis is grounded in interviews and fieldwork with ethnic minority youths on the streets of Oslo, Norway. Analysing the violence among the young men, the article argues that marginalized ethnic minorities and certain groups of refugees use particular strategies in order to accumulate symbolic capital. They have embodied experiences that can be transformed into forms of ‘street capital’ favourable in a violent street culture.","author":[{"dropping-particle":"","family":"Sandberg","given":"Sveinung","non-dropping-particle":"","parse-names":false,"suffix":""}],"container-title":"Theoretical Criminology","id":"ITEM-1","issue":"2","issued":{"date-parts":[["2008"]]},"page":"153-171","title":"Street capital: ethnicity and violence on the streets of Oslo","type":"article-journal","volume":"12"},"uris":["http://www.mendeley.com/documents/?uuid=adef821f-3946-4c33-bdec-ac47eca11b5b"]},{"id":"ITEM-2","itemData":{"author":[{"dropping-particle":"","family":"Shammus","given":"Victor L","non-dropping-particle":"","parse-names":false,"suffix":""},{"dropping-particle":"","family":"Sandberg","given":"Sveinung","non-dropping-particle":"","parse-names":false,"suffix":""}],"container-title":"Criminology &amp; Criminal Justice","id":"ITEM-2","issue":"2","issued":{"date-parts":[["2016"]]},"page":"195-213","title":"Habitus, capital and conflict: bringing Bourdieusian field theory to criminoligy","type":"article-journal","volume":"16"},"uris":["http://www.mendeley.com/documents/?uuid=ee4a3f60-2227-491f-bc45-f9d879b301c5"]}],"mendeley":{"formattedCitation":"(Sandberg, 2008; Shammus &amp; Sandberg, 2016)","plainTextFormattedCitation":"(Sandberg, 2008; Shammus &amp; Sandberg, 2016)","previouslyFormattedCitation":"(Sandberg, 2008; Shammus &amp; Sandberg, 2016)"},"properties":{"noteIndex":0},"schema":"https://github.com/citation-style-language/schema/raw/master/csl-citation.json"}</w:instrText>
      </w:r>
      <w:r w:rsidR="00F020F7" w:rsidRPr="004E053C">
        <w:rPr>
          <w:rFonts w:asciiTheme="minorHAnsi" w:hAnsiTheme="minorHAnsi" w:cstheme="majorHAnsi"/>
          <w:sz w:val="22"/>
          <w:szCs w:val="22"/>
        </w:rPr>
        <w:fldChar w:fldCharType="separate"/>
      </w:r>
      <w:r w:rsidR="00F020F7" w:rsidRPr="004E053C">
        <w:rPr>
          <w:rFonts w:asciiTheme="minorHAnsi" w:hAnsiTheme="minorHAnsi" w:cstheme="majorHAnsi"/>
          <w:noProof/>
          <w:sz w:val="22"/>
          <w:szCs w:val="22"/>
        </w:rPr>
        <w:t>(Sandberg, 2008; Shammus &amp; Sandberg, 2016)</w:t>
      </w:r>
      <w:r w:rsidR="00F020F7" w:rsidRPr="004E053C">
        <w:rPr>
          <w:rFonts w:asciiTheme="minorHAnsi" w:hAnsiTheme="minorHAnsi" w:cstheme="majorHAnsi"/>
          <w:sz w:val="22"/>
          <w:szCs w:val="22"/>
        </w:rPr>
        <w:fldChar w:fldCharType="end"/>
      </w:r>
      <w:r w:rsidR="008678D3" w:rsidRPr="004E053C">
        <w:rPr>
          <w:rFonts w:asciiTheme="minorHAnsi" w:hAnsiTheme="minorHAnsi" w:cstheme="majorHAnsi"/>
          <w:sz w:val="22"/>
          <w:szCs w:val="22"/>
        </w:rPr>
        <w:t xml:space="preserve">. </w:t>
      </w:r>
      <w:r w:rsidRPr="004E053C">
        <w:rPr>
          <w:rFonts w:asciiTheme="minorHAnsi" w:hAnsiTheme="minorHAnsi" w:cstheme="majorHAnsi"/>
          <w:sz w:val="22"/>
          <w:szCs w:val="22"/>
        </w:rPr>
        <w:t>Within the mining economy, active agents follow very individ</w:t>
      </w:r>
      <w:r w:rsidR="008678D3" w:rsidRPr="004E053C">
        <w:rPr>
          <w:rFonts w:asciiTheme="minorHAnsi" w:hAnsiTheme="minorHAnsi" w:cstheme="majorHAnsi"/>
          <w:sz w:val="22"/>
          <w:szCs w:val="22"/>
        </w:rPr>
        <w:t>ualised livelihood trajectories</w:t>
      </w:r>
      <w:r w:rsidRPr="004E053C">
        <w:rPr>
          <w:rFonts w:asciiTheme="minorHAnsi" w:hAnsiTheme="minorHAnsi" w:cstheme="majorHAnsi"/>
          <w:sz w:val="22"/>
          <w:szCs w:val="22"/>
        </w:rPr>
        <w:t xml:space="preserve"> and thus vary both in the degree to which they identify with the sector and the extent to which they see the mining town or settlement as their home. This leads to competing livelihood interests, as the various actors not only have different access to resources, such as access to concessions or mining equipment, but also have different long-term plans and interests. Bourdieu </w:t>
      </w:r>
      <w:r w:rsidR="00F020F7" w:rsidRPr="004E053C">
        <w:rPr>
          <w:rFonts w:asciiTheme="minorHAnsi" w:hAnsiTheme="minorHAnsi" w:cstheme="majorHAnsi"/>
          <w:sz w:val="22"/>
          <w:szCs w:val="22"/>
        </w:rPr>
        <w:fldChar w:fldCharType="begin" w:fldLock="1"/>
      </w:r>
      <w:r w:rsidR="00C6499C" w:rsidRPr="004E053C">
        <w:rPr>
          <w:rFonts w:asciiTheme="minorHAnsi" w:hAnsiTheme="minorHAnsi" w:cstheme="majorHAnsi"/>
          <w:sz w:val="22"/>
          <w:szCs w:val="22"/>
        </w:rPr>
        <w:instrText>ADDIN CSL_CITATION {"citationItems":[{"id":"ITEM-1","itemData":{"author":[{"dropping-particle":"","family":"Bourdieu","given":"Pierre","non-dropping-particle":"","parse-names":false,"suffix":""}],"id":"ITEM-1","issued":{"date-parts":[["1977"]]},"publisher":"Cambridge University Press","publisher-place":"Cambridge","title":"Outline of a Theory of Practice","type":"book"},"uris":["http://www.mendeley.com/documents/?uuid=8266da53-3861-3711-81ba-d99179335688"]},{"id":"ITEM-2","itemData":{"author":[{"dropping-particle":"","family":"Bourdieu","given":"Pierre","non-dropping-particle":"","parse-names":false,"suffix":""}],"container-title":"Source: Theory and Society","id":"ITEM-2","issue":"6","issued":{"date-parts":[["1985"]]},"number-of-pages":"723-744","title":"The Social Space and the Genesis of Groups","type":"report","volume":"14"},"uris":["http://www.mendeley.com/documents/?uuid=f0c35b42-1dca-3e1c-80e1-fc37c7ba756a"]}],"mendeley":{"formattedCitation":"(Bourdieu, 1977, 1985)","manualFormatting":"(1985)","plainTextFormattedCitation":"(Bourdieu, 1977, 1985)","previouslyFormattedCitation":"(Bourdieu, 1977, 1985)"},"properties":{"noteIndex":0},"schema":"https://github.com/citation-style-language/schema/raw/master/csl-citation.json"}</w:instrText>
      </w:r>
      <w:r w:rsidR="00F020F7" w:rsidRPr="004E053C">
        <w:rPr>
          <w:rFonts w:asciiTheme="minorHAnsi" w:hAnsiTheme="minorHAnsi" w:cstheme="majorHAnsi"/>
          <w:sz w:val="22"/>
          <w:szCs w:val="22"/>
        </w:rPr>
        <w:fldChar w:fldCharType="separate"/>
      </w:r>
      <w:r w:rsidR="0096299A" w:rsidRPr="004E053C">
        <w:rPr>
          <w:rFonts w:asciiTheme="minorHAnsi" w:hAnsiTheme="minorHAnsi" w:cstheme="majorHAnsi"/>
          <w:noProof/>
          <w:sz w:val="22"/>
          <w:szCs w:val="22"/>
        </w:rPr>
        <w:t>(</w:t>
      </w:r>
      <w:r w:rsidR="00F020F7" w:rsidRPr="004E053C">
        <w:rPr>
          <w:rFonts w:asciiTheme="minorHAnsi" w:hAnsiTheme="minorHAnsi" w:cstheme="majorHAnsi"/>
          <w:noProof/>
          <w:sz w:val="22"/>
          <w:szCs w:val="22"/>
        </w:rPr>
        <w:t>1985)</w:t>
      </w:r>
      <w:r w:rsidR="00F020F7"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argued that these opposing interests within the social field would lead to</w:t>
      </w:r>
      <w:r w:rsidR="008678D3" w:rsidRPr="004E053C">
        <w:rPr>
          <w:rFonts w:asciiTheme="minorHAnsi" w:hAnsiTheme="minorHAnsi" w:cstheme="majorHAnsi"/>
          <w:sz w:val="22"/>
          <w:szCs w:val="22"/>
        </w:rPr>
        <w:t xml:space="preserve"> the emergence of contestations</w:t>
      </w:r>
      <w:r w:rsidRPr="004E053C">
        <w:rPr>
          <w:rFonts w:asciiTheme="minorHAnsi" w:hAnsiTheme="minorHAnsi" w:cstheme="majorHAnsi"/>
          <w:sz w:val="22"/>
          <w:szCs w:val="22"/>
        </w:rPr>
        <w:t xml:space="preserve"> and we do indeed find that the different positioning of actors within the translocal ASM community leads to tension within mining settlements. While these tensions do not necessarily break out into physical conflict and violent disputes, although certainly may do so in some cases, they have important implications for community dynamics. This section will discuss several sources of tension that occur within Laberinto as a result of the translocal nature of ASM livelihoods, and will illustrate how they are particularly exacerbated by the fluid movement of miners between Laberinto and La Pampa. </w:t>
      </w:r>
    </w:p>
    <w:p w14:paraId="4D91125A" w14:textId="77777777" w:rsidR="00D51819" w:rsidRPr="004E053C" w:rsidRDefault="00D51819" w:rsidP="004E053C">
      <w:pPr>
        <w:pStyle w:val="NormalWeb"/>
        <w:spacing w:before="0" w:beforeAutospacing="0" w:after="0" w:afterAutospacing="0" w:line="360" w:lineRule="auto"/>
        <w:jc w:val="both"/>
        <w:rPr>
          <w:rFonts w:asciiTheme="minorHAnsi" w:hAnsiTheme="minorHAnsi" w:cstheme="majorHAnsi"/>
          <w:sz w:val="22"/>
          <w:szCs w:val="22"/>
          <w:highlight w:val="yellow"/>
        </w:rPr>
      </w:pPr>
    </w:p>
    <w:p w14:paraId="5BDE17D0" w14:textId="47EE224E" w:rsidR="00B53FA8" w:rsidRPr="004E053C" w:rsidRDefault="00EA7F83" w:rsidP="004E053C">
      <w:pPr>
        <w:pStyle w:val="Heading3"/>
        <w:rPr>
          <w:rFonts w:asciiTheme="minorHAnsi" w:hAnsiTheme="minorHAnsi"/>
        </w:rPr>
      </w:pPr>
      <w:r w:rsidRPr="004E053C">
        <w:rPr>
          <w:rFonts w:asciiTheme="minorHAnsi" w:hAnsiTheme="minorHAnsi"/>
        </w:rPr>
        <w:t>8</w:t>
      </w:r>
      <w:r w:rsidR="00B53FA8" w:rsidRPr="004E053C">
        <w:rPr>
          <w:rFonts w:asciiTheme="minorHAnsi" w:hAnsiTheme="minorHAnsi"/>
        </w:rPr>
        <w:t>.2.1. Access to land and resources</w:t>
      </w:r>
    </w:p>
    <w:p w14:paraId="72445E13" w14:textId="77777777" w:rsidR="00B53FA8" w:rsidRPr="004E053C" w:rsidRDefault="00B53FA8" w:rsidP="004E053C">
      <w:pPr>
        <w:spacing w:line="360" w:lineRule="auto"/>
        <w:jc w:val="both"/>
        <w:rPr>
          <w:rFonts w:cstheme="majorHAnsi"/>
          <w:lang w:val="en-GB"/>
        </w:rPr>
      </w:pPr>
    </w:p>
    <w:p w14:paraId="43DA0519" w14:textId="6AAC9E68"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The lack of land rights and continuous changes in ASM policy result in highly insecure livelihoods for</w:t>
      </w:r>
      <w:r w:rsidR="008678D3" w:rsidRPr="004E053C">
        <w:rPr>
          <w:rFonts w:cstheme="majorHAnsi"/>
          <w:sz w:val="22"/>
          <w:szCs w:val="22"/>
          <w:lang w:val="en-GB"/>
        </w:rPr>
        <w:t xml:space="preserve"> ASM operatives in Laberinto. T</w:t>
      </w:r>
      <w:r w:rsidRPr="004E053C">
        <w:rPr>
          <w:rFonts w:cstheme="majorHAnsi"/>
          <w:sz w:val="22"/>
          <w:szCs w:val="22"/>
          <w:lang w:val="en-GB"/>
        </w:rPr>
        <w:t xml:space="preserve">his has been further exacerbated by the massive influx of miners. Permanent miners keen to protect their land have had to compete with increasing numbers of temporary and floating miners, who they sometimes refer to as ‘invaders’. A key problem is that many </w:t>
      </w:r>
      <w:r w:rsidRPr="004E053C">
        <w:rPr>
          <w:rFonts w:cstheme="majorHAnsi"/>
          <w:i/>
          <w:sz w:val="22"/>
          <w:szCs w:val="22"/>
          <w:lang w:val="en-GB"/>
        </w:rPr>
        <w:t xml:space="preserve">concessionarios </w:t>
      </w:r>
      <w:r w:rsidRPr="004E053C">
        <w:rPr>
          <w:rFonts w:cstheme="majorHAnsi"/>
          <w:sz w:val="22"/>
          <w:szCs w:val="22"/>
          <w:lang w:val="en-GB"/>
        </w:rPr>
        <w:t>have lost the titles to their land due to increasing taxes and changes in policy, which poses a threat to the miners’ lo</w:t>
      </w:r>
      <w:r w:rsidR="008678D3" w:rsidRPr="004E053C">
        <w:rPr>
          <w:rFonts w:cstheme="majorHAnsi"/>
          <w:sz w:val="22"/>
          <w:szCs w:val="22"/>
          <w:lang w:val="en-GB"/>
        </w:rPr>
        <w:t>ng-term economic security. The G</w:t>
      </w:r>
      <w:r w:rsidRPr="004E053C">
        <w:rPr>
          <w:rFonts w:cstheme="majorHAnsi"/>
          <w:sz w:val="22"/>
          <w:szCs w:val="22"/>
          <w:lang w:val="en-GB"/>
        </w:rPr>
        <w:t>overnment does however not resell the land, as it is no longer issuing new concessions, even within the mining corridor. The ex-</w:t>
      </w:r>
      <w:r w:rsidRPr="004E053C">
        <w:rPr>
          <w:rFonts w:cstheme="majorHAnsi"/>
          <w:i/>
          <w:sz w:val="22"/>
          <w:szCs w:val="22"/>
          <w:lang w:val="en-GB"/>
        </w:rPr>
        <w:t>concessionarios</w:t>
      </w:r>
      <w:r w:rsidRPr="004E053C">
        <w:rPr>
          <w:rFonts w:cstheme="majorHAnsi"/>
          <w:sz w:val="22"/>
          <w:szCs w:val="22"/>
          <w:lang w:val="en-GB"/>
        </w:rPr>
        <w:t xml:space="preserve"> thus continue to claim a social ownership of the land, which may rely on physical force when it becomes common knowledge that the concession is now free. </w:t>
      </w:r>
      <w:r w:rsidR="00EA7F80" w:rsidRPr="004E053C">
        <w:rPr>
          <w:rFonts w:cstheme="majorHAnsi"/>
          <w:sz w:val="22"/>
          <w:szCs w:val="22"/>
          <w:lang w:val="en-GB"/>
        </w:rPr>
        <w:t>Jorge</w:t>
      </w:r>
      <w:r w:rsidRPr="004E053C">
        <w:rPr>
          <w:rFonts w:cstheme="majorHAnsi"/>
          <w:sz w:val="22"/>
          <w:szCs w:val="22"/>
          <w:lang w:val="en-GB"/>
        </w:rPr>
        <w:t xml:space="preserve"> discussed his experience of continuing working on his concession after he lost ownership of it:</w:t>
      </w:r>
    </w:p>
    <w:p w14:paraId="1E027636" w14:textId="77777777" w:rsidR="00B53FA8" w:rsidRPr="004E053C" w:rsidRDefault="00B53FA8" w:rsidP="004E053C">
      <w:pPr>
        <w:spacing w:line="360" w:lineRule="auto"/>
        <w:jc w:val="both"/>
        <w:rPr>
          <w:rFonts w:cstheme="majorHAnsi"/>
          <w:sz w:val="22"/>
          <w:szCs w:val="22"/>
          <w:lang w:val="en-GB"/>
        </w:rPr>
      </w:pPr>
    </w:p>
    <w:p w14:paraId="5F7DBF32" w14:textId="375E9EFB" w:rsidR="00B53FA8" w:rsidRPr="004E053C" w:rsidRDefault="00B53FA8" w:rsidP="004E053C">
      <w:pPr>
        <w:ind w:left="720"/>
        <w:jc w:val="both"/>
        <w:rPr>
          <w:rFonts w:cstheme="majorHAnsi"/>
          <w:sz w:val="22"/>
          <w:szCs w:val="22"/>
          <w:lang w:val="en-GB"/>
        </w:rPr>
      </w:pPr>
      <w:r w:rsidRPr="004E053C">
        <w:rPr>
          <w:rFonts w:cstheme="majorHAnsi"/>
          <w:i/>
          <w:sz w:val="22"/>
          <w:szCs w:val="22"/>
          <w:lang w:val="en-GB"/>
        </w:rPr>
        <w:t xml:space="preserve">‘Well, I lost my land but I’m still there. I’ll fight to protect my land (from invaders), and I stay there. They can’t sell </w:t>
      </w:r>
      <w:r w:rsidR="008678D3" w:rsidRPr="004E053C">
        <w:rPr>
          <w:rFonts w:cstheme="majorHAnsi"/>
          <w:i/>
          <w:sz w:val="22"/>
          <w:szCs w:val="22"/>
          <w:lang w:val="en-GB"/>
        </w:rPr>
        <w:t>the land because we are recognis</w:t>
      </w:r>
      <w:r w:rsidRPr="004E053C">
        <w:rPr>
          <w:rFonts w:cstheme="majorHAnsi"/>
          <w:i/>
          <w:sz w:val="22"/>
          <w:szCs w:val="22"/>
          <w:lang w:val="en-GB"/>
        </w:rPr>
        <w:t>ed as owners, we just don’t have any documents</w:t>
      </w:r>
      <w:r w:rsidRPr="004E053C">
        <w:rPr>
          <w:rFonts w:cstheme="majorHAnsi"/>
          <w:sz w:val="22"/>
          <w:szCs w:val="22"/>
          <w:lang w:val="en-GB"/>
        </w:rPr>
        <w:t>’ (</w:t>
      </w:r>
      <w:r w:rsidR="00EA7F80" w:rsidRPr="004E053C">
        <w:rPr>
          <w:rFonts w:cstheme="majorHAnsi"/>
          <w:sz w:val="22"/>
          <w:szCs w:val="22"/>
          <w:lang w:val="en-GB"/>
        </w:rPr>
        <w:t>Jorge</w:t>
      </w:r>
      <w:r w:rsidRPr="004E053C">
        <w:rPr>
          <w:rFonts w:cstheme="majorHAnsi"/>
          <w:sz w:val="22"/>
          <w:szCs w:val="22"/>
          <w:lang w:val="en-GB"/>
        </w:rPr>
        <w:t>, ASM miner)</w:t>
      </w:r>
      <w:r w:rsidR="007857AB" w:rsidRPr="004E053C">
        <w:rPr>
          <w:rFonts w:cstheme="majorHAnsi"/>
          <w:sz w:val="22"/>
          <w:szCs w:val="22"/>
          <w:lang w:val="en-GB"/>
        </w:rPr>
        <w:t>.</w:t>
      </w:r>
    </w:p>
    <w:p w14:paraId="761CC93D" w14:textId="77777777" w:rsidR="00B53FA8" w:rsidRPr="004E053C" w:rsidRDefault="00B53FA8" w:rsidP="004E053C">
      <w:pPr>
        <w:spacing w:line="360" w:lineRule="auto"/>
        <w:jc w:val="both"/>
        <w:rPr>
          <w:rFonts w:cstheme="majorHAnsi"/>
          <w:sz w:val="22"/>
          <w:szCs w:val="22"/>
          <w:lang w:val="en-GB"/>
        </w:rPr>
      </w:pPr>
    </w:p>
    <w:p w14:paraId="49610E77" w14:textId="6C783896"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Although </w:t>
      </w:r>
      <w:r w:rsidR="00EA7F80" w:rsidRPr="004E053C">
        <w:rPr>
          <w:rFonts w:cstheme="majorHAnsi"/>
          <w:sz w:val="22"/>
          <w:szCs w:val="22"/>
          <w:lang w:val="en-GB"/>
        </w:rPr>
        <w:t>Jorge</w:t>
      </w:r>
      <w:r w:rsidRPr="004E053C">
        <w:rPr>
          <w:rFonts w:cstheme="majorHAnsi"/>
          <w:sz w:val="22"/>
          <w:szCs w:val="22"/>
          <w:lang w:val="en-GB"/>
        </w:rPr>
        <w:t xml:space="preserve"> continues to work on the same land, his ability to ensure his family’s long-ter</w:t>
      </w:r>
      <w:r w:rsidR="008678D3" w:rsidRPr="004E053C">
        <w:rPr>
          <w:rFonts w:cstheme="majorHAnsi"/>
          <w:sz w:val="22"/>
          <w:szCs w:val="22"/>
          <w:lang w:val="en-GB"/>
        </w:rPr>
        <w:t>m economic security is jeopardis</w:t>
      </w:r>
      <w:r w:rsidRPr="004E053C">
        <w:rPr>
          <w:rFonts w:cstheme="majorHAnsi"/>
          <w:sz w:val="22"/>
          <w:szCs w:val="22"/>
          <w:lang w:val="en-GB"/>
        </w:rPr>
        <w:t>ed and he has no legal entitlement to the land he is trying to defend. The influx of new miners, who are unable to buy their own concessions even if they want to, see this as an opportunity, resulting in increasing tension and outbreaks of violence.</w:t>
      </w:r>
    </w:p>
    <w:p w14:paraId="2B74B4E3" w14:textId="77777777" w:rsidR="00B53FA8" w:rsidRPr="004E053C" w:rsidRDefault="00B53FA8" w:rsidP="004E053C">
      <w:pPr>
        <w:spacing w:line="360" w:lineRule="auto"/>
        <w:jc w:val="both"/>
        <w:rPr>
          <w:rFonts w:cstheme="majorHAnsi"/>
          <w:sz w:val="22"/>
          <w:szCs w:val="22"/>
          <w:lang w:val="en-GB"/>
        </w:rPr>
      </w:pPr>
    </w:p>
    <w:p w14:paraId="374C3125" w14:textId="13D0F95E"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Not all temporary miners would be pejoratively referred</w:t>
      </w:r>
      <w:r w:rsidR="008678D3" w:rsidRPr="004E053C">
        <w:rPr>
          <w:rFonts w:cstheme="majorHAnsi"/>
          <w:sz w:val="22"/>
          <w:szCs w:val="22"/>
          <w:lang w:val="en-GB"/>
        </w:rPr>
        <w:t xml:space="preserve"> to as invaders, as many organis</w:t>
      </w:r>
      <w:r w:rsidRPr="004E053C">
        <w:rPr>
          <w:rFonts w:cstheme="majorHAnsi"/>
          <w:sz w:val="22"/>
          <w:szCs w:val="22"/>
          <w:lang w:val="en-GB"/>
        </w:rPr>
        <w:t xml:space="preserve">e work through </w:t>
      </w:r>
      <w:r w:rsidRPr="004E053C">
        <w:rPr>
          <w:rFonts w:cstheme="majorHAnsi"/>
          <w:i/>
          <w:iCs/>
          <w:sz w:val="22"/>
          <w:szCs w:val="22"/>
          <w:lang w:val="en-GB"/>
        </w:rPr>
        <w:t>duenos</w:t>
      </w:r>
      <w:r w:rsidRPr="004E053C">
        <w:rPr>
          <w:rFonts w:cstheme="majorHAnsi"/>
          <w:sz w:val="22"/>
          <w:szCs w:val="22"/>
          <w:lang w:val="en-GB"/>
        </w:rPr>
        <w:t xml:space="preserve"> or arrange access to land with the </w:t>
      </w:r>
      <w:r w:rsidRPr="004E053C">
        <w:rPr>
          <w:rFonts w:cstheme="majorHAnsi"/>
          <w:i/>
          <w:iCs/>
          <w:sz w:val="22"/>
          <w:szCs w:val="22"/>
          <w:lang w:val="en-GB"/>
        </w:rPr>
        <w:t xml:space="preserve">concessionarios </w:t>
      </w:r>
      <w:r w:rsidRPr="004E053C">
        <w:rPr>
          <w:rFonts w:cstheme="majorHAnsi"/>
          <w:sz w:val="22"/>
          <w:szCs w:val="22"/>
          <w:lang w:val="en-GB"/>
        </w:rPr>
        <w:t>in order to use their own machines on their land. Even t</w:t>
      </w:r>
      <w:r w:rsidR="008678D3" w:rsidRPr="004E053C">
        <w:rPr>
          <w:rFonts w:cstheme="majorHAnsi"/>
          <w:sz w:val="22"/>
          <w:szCs w:val="22"/>
          <w:lang w:val="en-GB"/>
        </w:rPr>
        <w:t>he floating miners often organise work in a similar fashion</w:t>
      </w:r>
      <w:r w:rsidRPr="004E053C">
        <w:rPr>
          <w:rFonts w:cstheme="majorHAnsi"/>
          <w:sz w:val="22"/>
          <w:szCs w:val="22"/>
          <w:lang w:val="en-GB"/>
        </w:rPr>
        <w:t xml:space="preserve"> and thus do not access land without permission. However, </w:t>
      </w:r>
      <w:r w:rsidR="00565C53" w:rsidRPr="004E053C">
        <w:rPr>
          <w:rFonts w:cstheme="majorHAnsi"/>
          <w:sz w:val="22"/>
          <w:szCs w:val="22"/>
          <w:lang w:val="en-GB"/>
        </w:rPr>
        <w:t>as noted in chapter 6</w:t>
      </w:r>
      <w:r w:rsidRPr="004E053C">
        <w:rPr>
          <w:rFonts w:cstheme="majorHAnsi"/>
          <w:sz w:val="22"/>
          <w:szCs w:val="22"/>
          <w:lang w:val="en-GB"/>
        </w:rPr>
        <w:t xml:space="preserve">, the relative mobility of the temporary miners and particularly the </w:t>
      </w:r>
      <w:r w:rsidRPr="004E053C">
        <w:rPr>
          <w:rFonts w:cstheme="majorHAnsi"/>
          <w:i/>
          <w:iCs/>
          <w:sz w:val="22"/>
          <w:szCs w:val="22"/>
          <w:lang w:val="en-GB"/>
        </w:rPr>
        <w:t xml:space="preserve">floatantes </w:t>
      </w:r>
      <w:r w:rsidRPr="004E053C">
        <w:rPr>
          <w:rFonts w:cstheme="majorHAnsi"/>
          <w:sz w:val="22"/>
          <w:szCs w:val="22"/>
          <w:lang w:val="en-GB"/>
        </w:rPr>
        <w:t>means they move around a lot and sometimes operate without contracts. As Wal</w:t>
      </w:r>
      <w:r w:rsidR="00771E28" w:rsidRPr="004E053C">
        <w:rPr>
          <w:rFonts w:cstheme="majorHAnsi"/>
          <w:sz w:val="22"/>
          <w:szCs w:val="22"/>
          <w:lang w:val="en-GB"/>
        </w:rPr>
        <w:t xml:space="preserve">sh </w:t>
      </w:r>
      <w:r w:rsidR="00771E28" w:rsidRPr="004E053C">
        <w:rPr>
          <w:rFonts w:cstheme="majorHAnsi"/>
          <w:sz w:val="22"/>
          <w:szCs w:val="22"/>
          <w:lang w:val="en-GB"/>
        </w:rPr>
        <w:fldChar w:fldCharType="begin" w:fldLock="1"/>
      </w:r>
      <w:r w:rsidR="00771E28" w:rsidRPr="004E053C">
        <w:rPr>
          <w:rFonts w:cstheme="majorHAnsi"/>
          <w:sz w:val="22"/>
          <w:szCs w:val="22"/>
          <w:lang w:val="en-GB"/>
        </w:rPr>
        <w:instrText>ADDIN CSL_CITATION {"citationItems":[{"id":"ITEM-1","itemData":{"abstract":"In the once booming, but now slumping, northern Malagasy sapphire mining town of Ambondromifehy, people make do in the face of uncertainty. As a place of internal migrants organized around the mining and trade of a commodity destined for complex and fickle foreign markets, this town features a wide range of distinctive arrangements and compromises. Of special concern here are the arrangements through which people strive to live responsibly – in accordance with traditional Malagasy norms of sociality – while still managing to make a living through work that can lead them astray. I argue that such distinctive arrangements owe a great deal to the particular articulations of place and mobility one finds problematized in a context like this one. The first articulation is well encapsulated in the experience of what Malagasy people term being very or ‘‘lost’’, a condition of mobile people who either don’t know or have no hope of returning to the places from which they have come. The second articulation is apparent in the experi- ence of being tavela or ‘‘left behind’’, the condition of people who find themselves staying put while the things, people and possibilities they value flow away from them. For the many people in Ambondromifehy who are managing either or both of these conditions and the circumstances that come with them, idealized systems of social and moral exchange – systems of responsibility – are inevitably forums for compromise.","author":[{"dropping-particle":"","family":"Walsh","given":"Andrew","non-dropping-particle":"","parse-names":false,"suffix":""}],"container-title":"Critique of Anthropology","id":"ITEM-1","issue":"2","issued":{"date-parts":[["2015"]]},"page":"235-251","title":"Lost and/or left behind in a Malagasy outpost of the “underworld of gemstones”","type":"article-journal","volume":"82"},"uris":["http://www.mendeley.com/documents/?uuid=45b8a6cb-89e3-448b-a578-9f6946f0e876"]}],"mendeley":{"formattedCitation":"(Walsh, 2015)","manualFormatting":"(2015)","plainTextFormattedCitation":"(Walsh, 2015)","previouslyFormattedCitation":"(Walsh, 2015)"},"properties":{"noteIndex":0},"schema":"https://github.com/citation-style-language/schema/raw/master/csl-citation.json"}</w:instrText>
      </w:r>
      <w:r w:rsidR="00771E28" w:rsidRPr="004E053C">
        <w:rPr>
          <w:rFonts w:cstheme="majorHAnsi"/>
          <w:sz w:val="22"/>
          <w:szCs w:val="22"/>
          <w:lang w:val="en-GB"/>
        </w:rPr>
        <w:fldChar w:fldCharType="separate"/>
      </w:r>
      <w:r w:rsidR="00771E28" w:rsidRPr="004E053C">
        <w:rPr>
          <w:rFonts w:cstheme="majorHAnsi"/>
          <w:noProof/>
          <w:sz w:val="22"/>
          <w:szCs w:val="22"/>
          <w:lang w:val="en-GB"/>
        </w:rPr>
        <w:t>(2015)</w:t>
      </w:r>
      <w:r w:rsidR="00771E28" w:rsidRPr="004E053C">
        <w:rPr>
          <w:rFonts w:cstheme="majorHAnsi"/>
          <w:sz w:val="22"/>
          <w:szCs w:val="22"/>
          <w:lang w:val="en-GB"/>
        </w:rPr>
        <w:fldChar w:fldCharType="end"/>
      </w:r>
      <w:r w:rsidRPr="004E053C">
        <w:rPr>
          <w:rFonts w:cstheme="majorHAnsi"/>
          <w:sz w:val="22"/>
          <w:szCs w:val="22"/>
          <w:lang w:val="en-GB"/>
        </w:rPr>
        <w:t xml:space="preserve"> observed in mining communities in Madagascar, these young, relatively mobile populations tend to adhere less to traditional modes of authority. In Laberinto too, mobile populations are not as bounded by the no</w:t>
      </w:r>
      <w:r w:rsidR="008678D3" w:rsidRPr="004E053C">
        <w:rPr>
          <w:rFonts w:cstheme="majorHAnsi"/>
          <w:sz w:val="22"/>
          <w:szCs w:val="22"/>
          <w:lang w:val="en-GB"/>
        </w:rPr>
        <w:t>rms within the mining community</w:t>
      </w:r>
      <w:r w:rsidRPr="004E053C">
        <w:rPr>
          <w:rFonts w:cstheme="majorHAnsi"/>
          <w:sz w:val="22"/>
          <w:szCs w:val="22"/>
          <w:lang w:val="en-GB"/>
        </w:rPr>
        <w:t xml:space="preserve"> and have less to lose from en</w:t>
      </w:r>
      <w:r w:rsidR="008678D3" w:rsidRPr="004E053C">
        <w:rPr>
          <w:rFonts w:cstheme="majorHAnsi"/>
          <w:sz w:val="22"/>
          <w:szCs w:val="22"/>
          <w:lang w:val="en-GB"/>
        </w:rPr>
        <w:t>croaching on the land of others</w:t>
      </w:r>
      <w:r w:rsidRPr="004E053C">
        <w:rPr>
          <w:rFonts w:cstheme="majorHAnsi"/>
          <w:sz w:val="22"/>
          <w:szCs w:val="22"/>
          <w:lang w:val="en-GB"/>
        </w:rPr>
        <w:t xml:space="preserve"> and occasionally stealing gold. </w:t>
      </w:r>
    </w:p>
    <w:p w14:paraId="010639A1" w14:textId="77777777" w:rsidR="00B53FA8" w:rsidRPr="004E053C" w:rsidRDefault="00B53FA8" w:rsidP="004E053C">
      <w:pPr>
        <w:spacing w:line="360" w:lineRule="auto"/>
        <w:jc w:val="both"/>
        <w:rPr>
          <w:rFonts w:cstheme="majorHAnsi"/>
          <w:color w:val="FF0000"/>
          <w:sz w:val="22"/>
          <w:szCs w:val="22"/>
          <w:lang w:val="en-GB"/>
        </w:rPr>
      </w:pPr>
    </w:p>
    <w:p w14:paraId="66DD7927" w14:textId="61788724"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The problem is that the other miners invade. You can be working in the mine and when other miners hear you have a lot of gold, they will do whatever they can to steal it. That happened to me. There’s no solution for this, we just have to fight’</w:t>
      </w:r>
      <w:r w:rsidRPr="004E053C">
        <w:rPr>
          <w:rFonts w:cstheme="majorHAnsi"/>
          <w:sz w:val="22"/>
          <w:szCs w:val="22"/>
          <w:lang w:val="en-GB"/>
        </w:rPr>
        <w:t xml:space="preserve"> (</w:t>
      </w:r>
      <w:r w:rsidR="006F6757" w:rsidRPr="004E053C">
        <w:rPr>
          <w:rFonts w:cstheme="majorHAnsi"/>
          <w:sz w:val="22"/>
          <w:szCs w:val="22"/>
          <w:lang w:val="en-GB"/>
        </w:rPr>
        <w:t>Xavier</w:t>
      </w:r>
      <w:r w:rsidRPr="004E053C">
        <w:rPr>
          <w:rFonts w:cstheme="majorHAnsi"/>
          <w:sz w:val="22"/>
          <w:szCs w:val="22"/>
          <w:lang w:val="en-GB"/>
        </w:rPr>
        <w:t>, ASM miner).</w:t>
      </w:r>
    </w:p>
    <w:p w14:paraId="597DB8B1" w14:textId="77777777" w:rsidR="00B53FA8" w:rsidRPr="004E053C" w:rsidRDefault="00B53FA8" w:rsidP="004E053C">
      <w:pPr>
        <w:spacing w:line="360" w:lineRule="auto"/>
        <w:jc w:val="both"/>
        <w:rPr>
          <w:rFonts w:cstheme="majorHAnsi"/>
          <w:sz w:val="22"/>
          <w:szCs w:val="22"/>
          <w:lang w:val="en-GB"/>
        </w:rPr>
      </w:pPr>
    </w:p>
    <w:p w14:paraId="47233657" w14:textId="6293AB11"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Interestingly, </w:t>
      </w:r>
      <w:r w:rsidR="006F6757" w:rsidRPr="004E053C">
        <w:rPr>
          <w:rFonts w:cstheme="majorHAnsi"/>
          <w:sz w:val="22"/>
          <w:szCs w:val="22"/>
          <w:lang w:val="en-GB"/>
        </w:rPr>
        <w:t>Xavier</w:t>
      </w:r>
      <w:r w:rsidRPr="004E053C">
        <w:rPr>
          <w:rFonts w:cstheme="majorHAnsi"/>
          <w:sz w:val="22"/>
          <w:szCs w:val="22"/>
          <w:lang w:val="en-GB"/>
        </w:rPr>
        <w:t xml:space="preserve"> is himself a temporary miner, although he has invested some money in his own mining equipment and has developed relationships within the community. His experience juxtaposed with the more transient miners highlights both the varying degrees of translocality within ASM livelihoods but also how this can erode some of the social norms that may otherwise prevent such conflict emerging.</w:t>
      </w:r>
    </w:p>
    <w:p w14:paraId="2CE891DB" w14:textId="77777777" w:rsidR="00B53FA8" w:rsidRPr="004E053C" w:rsidRDefault="00B53FA8" w:rsidP="004E053C">
      <w:pPr>
        <w:spacing w:line="360" w:lineRule="auto"/>
        <w:jc w:val="both"/>
        <w:rPr>
          <w:rFonts w:cstheme="majorHAnsi"/>
          <w:sz w:val="22"/>
          <w:szCs w:val="22"/>
          <w:lang w:val="en-GB"/>
        </w:rPr>
      </w:pPr>
    </w:p>
    <w:p w14:paraId="713047C3" w14:textId="65A24381" w:rsidR="00B53FA8" w:rsidRPr="004E053C" w:rsidRDefault="00B53FA8" w:rsidP="004E053C">
      <w:pPr>
        <w:spacing w:line="360" w:lineRule="auto"/>
        <w:jc w:val="both"/>
        <w:rPr>
          <w:rFonts w:cstheme="majorHAnsi"/>
          <w:color w:val="FF0000"/>
          <w:sz w:val="22"/>
          <w:szCs w:val="22"/>
          <w:lang w:val="en-GB"/>
        </w:rPr>
      </w:pPr>
      <w:r w:rsidRPr="004E053C">
        <w:rPr>
          <w:rFonts w:cstheme="majorHAnsi"/>
          <w:sz w:val="22"/>
          <w:szCs w:val="22"/>
          <w:lang w:val="en-GB"/>
        </w:rPr>
        <w:t>The intensity of conflicts over land and protection of access to gold deposits is such that it even manifests itself between peop</w:t>
      </w:r>
      <w:r w:rsidR="008678D3" w:rsidRPr="004E053C">
        <w:rPr>
          <w:rFonts w:cstheme="majorHAnsi"/>
          <w:sz w:val="22"/>
          <w:szCs w:val="22"/>
          <w:lang w:val="en-GB"/>
        </w:rPr>
        <w:t>le who have legitimately organis</w:t>
      </w:r>
      <w:r w:rsidRPr="004E053C">
        <w:rPr>
          <w:rFonts w:cstheme="majorHAnsi"/>
          <w:sz w:val="22"/>
          <w:szCs w:val="22"/>
          <w:lang w:val="en-GB"/>
        </w:rPr>
        <w:t xml:space="preserve">ed work on neighbouring concessions. </w:t>
      </w:r>
      <w:r w:rsidR="00EA7F80" w:rsidRPr="004E053C">
        <w:rPr>
          <w:rFonts w:cstheme="majorHAnsi"/>
          <w:sz w:val="22"/>
          <w:szCs w:val="22"/>
          <w:lang w:val="en-GB"/>
        </w:rPr>
        <w:t>David</w:t>
      </w:r>
      <w:r w:rsidRPr="004E053C">
        <w:rPr>
          <w:rFonts w:cstheme="majorHAnsi"/>
          <w:sz w:val="22"/>
          <w:szCs w:val="22"/>
          <w:lang w:val="en-GB"/>
        </w:rPr>
        <w:t xml:space="preserve">, a permanent miner in Laberinto explained that </w:t>
      </w:r>
      <w:r w:rsidRPr="004E053C">
        <w:rPr>
          <w:rFonts w:eastAsia="Times New Roman" w:cstheme="majorHAnsi"/>
          <w:sz w:val="22"/>
          <w:szCs w:val="22"/>
          <w:lang w:val="en-GB"/>
        </w:rPr>
        <w:t>when the</w:t>
      </w:r>
      <w:r w:rsidRPr="004E053C">
        <w:rPr>
          <w:rFonts w:eastAsia="Times New Roman" w:cstheme="majorHAnsi"/>
          <w:i/>
          <w:sz w:val="22"/>
          <w:szCs w:val="22"/>
          <w:lang w:val="en-GB"/>
        </w:rPr>
        <w:t xml:space="preserve"> concessionarios</w:t>
      </w:r>
      <w:r w:rsidRPr="004E053C">
        <w:rPr>
          <w:rFonts w:eastAsia="Times New Roman" w:cstheme="majorHAnsi"/>
          <w:sz w:val="22"/>
          <w:szCs w:val="22"/>
          <w:lang w:val="en-GB"/>
        </w:rPr>
        <w:t xml:space="preserve"> give the miners (those who own motors) permission to mine on their land, they can sometimes accidently move over the boundary and work on other people’s lands –‘</w:t>
      </w:r>
      <w:r w:rsidRPr="004E053C">
        <w:rPr>
          <w:rFonts w:eastAsia="Times New Roman" w:cstheme="majorHAnsi"/>
          <w:i/>
          <w:sz w:val="22"/>
          <w:szCs w:val="22"/>
          <w:lang w:val="en-GB"/>
        </w:rPr>
        <w:t>This causes a lot of problems (and) they could then fight with guns or knives</w:t>
      </w:r>
      <w:r w:rsidRPr="004E053C">
        <w:rPr>
          <w:rFonts w:eastAsia="Times New Roman" w:cstheme="majorHAnsi"/>
          <w:sz w:val="22"/>
          <w:szCs w:val="22"/>
          <w:lang w:val="en-GB"/>
        </w:rPr>
        <w:t>’ (</w:t>
      </w:r>
      <w:r w:rsidR="00EA7F80" w:rsidRPr="004E053C">
        <w:rPr>
          <w:rFonts w:eastAsia="Times New Roman" w:cstheme="majorHAnsi"/>
          <w:sz w:val="22"/>
          <w:szCs w:val="22"/>
          <w:lang w:val="en-GB"/>
        </w:rPr>
        <w:t>David</w:t>
      </w:r>
      <w:r w:rsidRPr="004E053C">
        <w:rPr>
          <w:rFonts w:eastAsia="Times New Roman" w:cstheme="majorHAnsi"/>
          <w:sz w:val="22"/>
          <w:szCs w:val="22"/>
          <w:lang w:val="en-GB"/>
        </w:rPr>
        <w:t xml:space="preserve">, ASM miner, Laberinto). While an LGA representative insisted that there were no problems like this in Laberinto, </w:t>
      </w:r>
      <w:r w:rsidRPr="004E053C">
        <w:rPr>
          <w:rFonts w:eastAsia="Times New Roman" w:cstheme="majorHAnsi"/>
          <w:iCs/>
          <w:sz w:val="22"/>
          <w:szCs w:val="22"/>
          <w:lang w:val="en-GB"/>
        </w:rPr>
        <w:t>because they take the problems to the authorities and make a solution immediately,</w:t>
      </w:r>
      <w:r w:rsidRPr="004E053C">
        <w:rPr>
          <w:rFonts w:eastAsia="Times New Roman" w:cstheme="majorHAnsi"/>
          <w:sz w:val="22"/>
          <w:szCs w:val="22"/>
          <w:lang w:val="en-GB"/>
        </w:rPr>
        <w:t xml:space="preserve"> this was not mentioned by any of the other community members. Even if it were applicable to those who had been resident in Laberinto for some time, it is unlikely to be in place for the </w:t>
      </w:r>
      <w:r w:rsidR="00C21441" w:rsidRPr="004E053C">
        <w:rPr>
          <w:rFonts w:eastAsia="Times New Roman" w:cstheme="majorHAnsi"/>
          <w:sz w:val="22"/>
          <w:szCs w:val="22"/>
          <w:lang w:val="en-GB"/>
        </w:rPr>
        <w:t>temporary</w:t>
      </w:r>
      <w:r w:rsidRPr="004E053C">
        <w:rPr>
          <w:rFonts w:eastAsia="Times New Roman" w:cstheme="majorHAnsi"/>
          <w:sz w:val="22"/>
          <w:szCs w:val="22"/>
          <w:lang w:val="en-GB"/>
        </w:rPr>
        <w:t xml:space="preserve"> miners who have not yet become sufficiently integrated into the community.</w:t>
      </w:r>
      <w:r w:rsidRPr="004E053C">
        <w:rPr>
          <w:rFonts w:cstheme="majorHAnsi"/>
          <w:color w:val="FF0000"/>
          <w:sz w:val="22"/>
          <w:szCs w:val="22"/>
          <w:lang w:val="en-GB"/>
        </w:rPr>
        <w:t xml:space="preserve"> </w:t>
      </w:r>
    </w:p>
    <w:p w14:paraId="643DEF6F" w14:textId="77777777" w:rsidR="00B53FA8" w:rsidRPr="004E053C" w:rsidRDefault="00B53FA8" w:rsidP="004E053C">
      <w:pPr>
        <w:spacing w:line="360" w:lineRule="auto"/>
        <w:jc w:val="both"/>
        <w:rPr>
          <w:rFonts w:eastAsia="Times New Roman" w:cstheme="majorHAnsi"/>
          <w:sz w:val="22"/>
          <w:szCs w:val="22"/>
          <w:lang w:val="en-GB"/>
        </w:rPr>
      </w:pPr>
    </w:p>
    <w:p w14:paraId="37176F3C" w14:textId="0D025A87" w:rsidR="00B53FA8" w:rsidRPr="004E053C" w:rsidRDefault="00B53FA8" w:rsidP="004E053C">
      <w:pPr>
        <w:spacing w:line="360" w:lineRule="auto"/>
        <w:contextualSpacing/>
        <w:jc w:val="both"/>
        <w:rPr>
          <w:rFonts w:cstheme="majorHAnsi"/>
          <w:sz w:val="22"/>
          <w:szCs w:val="22"/>
          <w:lang w:val="en-GB"/>
        </w:rPr>
      </w:pPr>
      <w:r w:rsidRPr="004E053C">
        <w:rPr>
          <w:rFonts w:cstheme="majorHAnsi"/>
          <w:sz w:val="22"/>
          <w:szCs w:val="22"/>
          <w:lang w:val="en-GB"/>
        </w:rPr>
        <w:t xml:space="preserve">In La Pampa the situation is worse, as it lies outside of the designated </w:t>
      </w:r>
      <w:r w:rsidRPr="004E053C">
        <w:rPr>
          <w:rFonts w:cstheme="majorHAnsi"/>
          <w:i/>
          <w:iCs/>
          <w:sz w:val="22"/>
          <w:szCs w:val="22"/>
          <w:lang w:val="en-GB"/>
        </w:rPr>
        <w:t>Corridor Minero</w:t>
      </w:r>
      <w:r w:rsidRPr="004E053C">
        <w:rPr>
          <w:rFonts w:cstheme="majorHAnsi"/>
          <w:sz w:val="22"/>
          <w:szCs w:val="22"/>
          <w:lang w:val="en-GB"/>
        </w:rPr>
        <w:t xml:space="preserve"> and there are no concessions or </w:t>
      </w:r>
      <w:r w:rsidRPr="004E053C">
        <w:rPr>
          <w:rFonts w:cstheme="majorHAnsi"/>
          <w:i/>
          <w:iCs/>
          <w:sz w:val="22"/>
          <w:szCs w:val="22"/>
          <w:lang w:val="en-GB"/>
        </w:rPr>
        <w:t>concessionarios</w:t>
      </w:r>
      <w:r w:rsidRPr="004E053C">
        <w:rPr>
          <w:rFonts w:cstheme="majorHAnsi"/>
          <w:sz w:val="22"/>
          <w:szCs w:val="22"/>
          <w:lang w:val="en-GB"/>
        </w:rPr>
        <w:t xml:space="preserve">. Although mining there is completely illegal, miners can </w:t>
      </w:r>
      <w:r w:rsidRPr="004E053C">
        <w:rPr>
          <w:rFonts w:cstheme="majorHAnsi"/>
          <w:sz w:val="22"/>
          <w:szCs w:val="22"/>
          <w:lang w:val="en-GB"/>
        </w:rPr>
        <w:lastRenderedPageBreak/>
        <w:t>potentially earn more due to the high density of gold deposits, which have</w:t>
      </w:r>
      <w:r w:rsidR="008678D3" w:rsidRPr="004E053C">
        <w:rPr>
          <w:rFonts w:cstheme="majorHAnsi"/>
          <w:sz w:val="22"/>
          <w:szCs w:val="22"/>
          <w:lang w:val="en-GB"/>
        </w:rPr>
        <w:t xml:space="preserve"> not yet been extensively mined</w:t>
      </w:r>
      <w:r w:rsidRPr="004E053C">
        <w:rPr>
          <w:rFonts w:cstheme="majorHAnsi"/>
          <w:sz w:val="22"/>
          <w:szCs w:val="22"/>
          <w:lang w:val="en-GB"/>
        </w:rPr>
        <w:t xml:space="preserve"> and the access to land which has not already been sold as concessions. The vast majority of people have arrived since 2007, as both a response to the high price of gold and the improved accessibility to these remote areas due to the completion of the Transoceanic Highway. As all of the inhabitants of La Pampa reside in settlements that are not formal towns, they are unable to settle permanently and are constantly under threat of being physically removed by state interventions. Their livelihoods are inherently therefore more translocal than the permanent miners in Laberinto, as there it is at least possible for people to reside legally and therefore settle long-term. There are however a number of mining families in La Pampa who have been mining i</w:t>
      </w:r>
      <w:r w:rsidR="008678D3" w:rsidRPr="004E053C">
        <w:rPr>
          <w:rFonts w:cstheme="majorHAnsi"/>
          <w:sz w:val="22"/>
          <w:szCs w:val="22"/>
          <w:lang w:val="en-GB"/>
        </w:rPr>
        <w:t>n the area for decades without g</w:t>
      </w:r>
      <w:r w:rsidRPr="004E053C">
        <w:rPr>
          <w:rFonts w:cstheme="majorHAnsi"/>
          <w:sz w:val="22"/>
          <w:szCs w:val="22"/>
          <w:lang w:val="en-GB"/>
        </w:rPr>
        <w:t>overnment interference, but became ‘illegal miners’ in 2000 when the boundarie</w:t>
      </w:r>
      <w:r w:rsidR="008678D3" w:rsidRPr="004E053C">
        <w:rPr>
          <w:rFonts w:cstheme="majorHAnsi"/>
          <w:sz w:val="22"/>
          <w:szCs w:val="22"/>
          <w:lang w:val="en-GB"/>
        </w:rPr>
        <w:t>s of the National P</w:t>
      </w:r>
      <w:r w:rsidRPr="004E053C">
        <w:rPr>
          <w:rFonts w:cstheme="majorHAnsi"/>
          <w:sz w:val="22"/>
          <w:szCs w:val="22"/>
          <w:lang w:val="en-GB"/>
        </w:rPr>
        <w:t>ark buffer zone were drawn up around where they lived. In order to protect their livelihood and ensure long-term economic sustainability, these families formed into small associations and have been trying for many years to negotiate with</w:t>
      </w:r>
      <w:r w:rsidR="008678D3" w:rsidRPr="004E053C">
        <w:rPr>
          <w:rFonts w:cstheme="majorHAnsi"/>
          <w:sz w:val="22"/>
          <w:szCs w:val="22"/>
          <w:lang w:val="en-GB"/>
        </w:rPr>
        <w:t xml:space="preserve"> the G</w:t>
      </w:r>
      <w:r w:rsidRPr="004E053C">
        <w:rPr>
          <w:rFonts w:cstheme="majorHAnsi"/>
          <w:sz w:val="22"/>
          <w:szCs w:val="22"/>
          <w:lang w:val="en-GB"/>
        </w:rPr>
        <w:t xml:space="preserve">overnment to change their position and secure their rights as miners, which has been well documented by Damonte </w:t>
      </w:r>
      <w:r w:rsidR="00771E28"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2016)","manualFormatting":"(2016)","plainTextFormattedCitation":"(Damonte, 2016)","previouslyFormattedCitation":"(Damonte, 2016)"},"properties":{"noteIndex":0},"schema":"https://github.com/citation-style-language/schema/raw/master/csl-citation.json"}</w:instrText>
      </w:r>
      <w:r w:rsidR="00771E28" w:rsidRPr="004E053C">
        <w:rPr>
          <w:rFonts w:cstheme="majorHAnsi"/>
          <w:sz w:val="22"/>
          <w:szCs w:val="22"/>
          <w:lang w:val="en-GB"/>
        </w:rPr>
        <w:fldChar w:fldCharType="separate"/>
      </w:r>
      <w:r w:rsidR="00771E28" w:rsidRPr="004E053C">
        <w:rPr>
          <w:rFonts w:cstheme="majorHAnsi"/>
          <w:noProof/>
          <w:sz w:val="22"/>
          <w:szCs w:val="22"/>
          <w:lang w:val="en-GB"/>
        </w:rPr>
        <w:t>(2016)</w:t>
      </w:r>
      <w:r w:rsidR="00771E28" w:rsidRPr="004E053C">
        <w:rPr>
          <w:rFonts w:cstheme="majorHAnsi"/>
          <w:sz w:val="22"/>
          <w:szCs w:val="22"/>
          <w:lang w:val="en-GB"/>
        </w:rPr>
        <w:fldChar w:fldCharType="end"/>
      </w:r>
      <w:r w:rsidRPr="004E053C">
        <w:rPr>
          <w:rFonts w:cstheme="majorHAnsi"/>
          <w:sz w:val="22"/>
          <w:szCs w:val="22"/>
          <w:lang w:val="en-GB"/>
        </w:rPr>
        <w:t xml:space="preserve">. However, as the price of gold has increased and more temporary and floating miners have come to work in La Pampa, the sustainability of their livelihood has become increasingly threatened. </w:t>
      </w:r>
    </w:p>
    <w:p w14:paraId="19131895" w14:textId="77777777" w:rsidR="00B53FA8" w:rsidRPr="004E053C" w:rsidRDefault="00B53FA8" w:rsidP="004E053C">
      <w:pPr>
        <w:spacing w:line="360" w:lineRule="auto"/>
        <w:jc w:val="both"/>
        <w:rPr>
          <w:rFonts w:cstheme="majorHAnsi"/>
          <w:sz w:val="22"/>
          <w:szCs w:val="22"/>
          <w:lang w:val="en-GB"/>
        </w:rPr>
      </w:pPr>
    </w:p>
    <w:p w14:paraId="0CA2C00F" w14:textId="6878941A"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The problems that exist for the permanent miners in La Pampa are well represented by the experience of </w:t>
      </w:r>
      <w:r w:rsidR="00B21FFD" w:rsidRPr="004E053C">
        <w:rPr>
          <w:rFonts w:cstheme="majorHAnsi"/>
          <w:sz w:val="22"/>
          <w:szCs w:val="22"/>
          <w:lang w:val="en-GB"/>
        </w:rPr>
        <w:t>Azucena</w:t>
      </w:r>
      <w:r w:rsidRPr="004E053C">
        <w:rPr>
          <w:rFonts w:cstheme="majorHAnsi"/>
          <w:sz w:val="22"/>
          <w:szCs w:val="22"/>
          <w:lang w:val="en-GB"/>
        </w:rPr>
        <w:t>, a female miner and a member of one of the mining associations in La Pampa.</w:t>
      </w:r>
      <w:r w:rsidRPr="004E053C">
        <w:rPr>
          <w:rFonts w:eastAsia="Times New Roman" w:cstheme="majorHAnsi"/>
          <w:sz w:val="22"/>
          <w:szCs w:val="22"/>
          <w:lang w:val="en-GB"/>
        </w:rPr>
        <w:t xml:space="preserve"> </w:t>
      </w:r>
      <w:r w:rsidR="00B21FFD" w:rsidRPr="004E053C">
        <w:rPr>
          <w:rFonts w:eastAsia="Times New Roman" w:cstheme="majorHAnsi"/>
          <w:sz w:val="22"/>
          <w:szCs w:val="22"/>
          <w:lang w:val="en-GB"/>
        </w:rPr>
        <w:t>Azucena</w:t>
      </w:r>
      <w:r w:rsidRPr="004E053C">
        <w:rPr>
          <w:rFonts w:eastAsia="Times New Roman" w:cstheme="majorHAnsi"/>
          <w:sz w:val="22"/>
          <w:szCs w:val="22"/>
          <w:lang w:val="en-GB"/>
        </w:rPr>
        <w:t xml:space="preserve"> said that although her small community had</w:t>
      </w:r>
      <w:r w:rsidR="008678D3" w:rsidRPr="004E053C">
        <w:rPr>
          <w:rFonts w:eastAsia="Times New Roman" w:cstheme="majorHAnsi"/>
          <w:sz w:val="22"/>
          <w:szCs w:val="22"/>
          <w:lang w:val="en-GB"/>
        </w:rPr>
        <w:t xml:space="preserve"> experienced problems with the G</w:t>
      </w:r>
      <w:r w:rsidRPr="004E053C">
        <w:rPr>
          <w:rFonts w:eastAsia="Times New Roman" w:cstheme="majorHAnsi"/>
          <w:sz w:val="22"/>
          <w:szCs w:val="22"/>
          <w:lang w:val="en-GB"/>
        </w:rPr>
        <w:t xml:space="preserve">overnment for many years, their real problems started in 2007, when a group of miners cleared a small road close to their community to provide access </w:t>
      </w:r>
      <w:r w:rsidR="00F6233C" w:rsidRPr="004E053C">
        <w:rPr>
          <w:rFonts w:eastAsia="Times New Roman" w:cstheme="majorHAnsi"/>
          <w:sz w:val="22"/>
          <w:szCs w:val="22"/>
          <w:lang w:val="en-GB"/>
        </w:rPr>
        <w:t>from the newly constructed Transoceanic H</w:t>
      </w:r>
      <w:r w:rsidRPr="004E053C">
        <w:rPr>
          <w:rFonts w:eastAsia="Times New Roman" w:cstheme="majorHAnsi"/>
          <w:sz w:val="22"/>
          <w:szCs w:val="22"/>
          <w:lang w:val="en-GB"/>
        </w:rPr>
        <w:t xml:space="preserve">ighway into the jungle. </w:t>
      </w:r>
      <w:r w:rsidRPr="004E053C">
        <w:rPr>
          <w:rFonts w:cstheme="majorHAnsi"/>
          <w:sz w:val="22"/>
          <w:szCs w:val="22"/>
          <w:lang w:val="en-GB"/>
        </w:rPr>
        <w:t xml:space="preserve">Shortly after, the first of many ‘invaders’ arrived, using </w:t>
      </w:r>
      <w:r w:rsidR="00F6233C" w:rsidRPr="004E053C">
        <w:rPr>
          <w:rFonts w:cstheme="majorHAnsi"/>
          <w:sz w:val="22"/>
          <w:szCs w:val="22"/>
          <w:lang w:val="en-GB"/>
        </w:rPr>
        <w:t xml:space="preserve">highly destructive </w:t>
      </w:r>
      <w:r w:rsidRPr="004E053C">
        <w:rPr>
          <w:rFonts w:cstheme="majorHAnsi"/>
          <w:sz w:val="22"/>
          <w:szCs w:val="22"/>
          <w:lang w:val="en-GB"/>
        </w:rPr>
        <w:t xml:space="preserve">gold mining techniques. The local </w:t>
      </w:r>
      <w:r w:rsidR="008678D3" w:rsidRPr="004E053C">
        <w:rPr>
          <w:rFonts w:cstheme="majorHAnsi"/>
          <w:sz w:val="22"/>
          <w:szCs w:val="22"/>
          <w:lang w:val="en-GB"/>
        </w:rPr>
        <w:t>associations complained to the G</w:t>
      </w:r>
      <w:r w:rsidRPr="004E053C">
        <w:rPr>
          <w:rFonts w:cstheme="majorHAnsi"/>
          <w:sz w:val="22"/>
          <w:szCs w:val="22"/>
          <w:lang w:val="en-GB"/>
        </w:rPr>
        <w:t>overnment about the impact the new miner invaders were having on the local environment, but were not offered any support to keep the new miners out and so the problem escalated –‘</w:t>
      </w:r>
      <w:r w:rsidRPr="004E053C">
        <w:rPr>
          <w:rFonts w:cstheme="majorHAnsi"/>
          <w:i/>
          <w:sz w:val="22"/>
          <w:szCs w:val="22"/>
          <w:lang w:val="en-GB"/>
        </w:rPr>
        <w:t>The next year there were not two people, there were lots of people, and there wasn’t</w:t>
      </w:r>
      <w:r w:rsidR="00A40D10" w:rsidRPr="004E053C">
        <w:rPr>
          <w:rFonts w:cstheme="majorHAnsi"/>
          <w:i/>
          <w:sz w:val="22"/>
          <w:szCs w:val="22"/>
          <w:lang w:val="en-GB"/>
        </w:rPr>
        <w:t xml:space="preserve"> one hole there were many. The G</w:t>
      </w:r>
      <w:r w:rsidRPr="004E053C">
        <w:rPr>
          <w:rFonts w:cstheme="majorHAnsi"/>
          <w:i/>
          <w:sz w:val="22"/>
          <w:szCs w:val="22"/>
          <w:lang w:val="en-GB"/>
        </w:rPr>
        <w:t>overnment did nothing when we told them they were starting mining there</w:t>
      </w:r>
      <w:r w:rsidRPr="004E053C">
        <w:rPr>
          <w:rFonts w:cstheme="majorHAnsi"/>
          <w:sz w:val="22"/>
          <w:szCs w:val="22"/>
          <w:lang w:val="en-GB"/>
        </w:rPr>
        <w:t>’ (</w:t>
      </w:r>
      <w:r w:rsidR="00B21FFD" w:rsidRPr="004E053C">
        <w:rPr>
          <w:rFonts w:cstheme="majorHAnsi"/>
          <w:sz w:val="22"/>
          <w:szCs w:val="22"/>
          <w:lang w:val="en-GB"/>
        </w:rPr>
        <w:t>Azucena</w:t>
      </w:r>
      <w:r w:rsidRPr="004E053C">
        <w:rPr>
          <w:rFonts w:cstheme="majorHAnsi"/>
          <w:sz w:val="22"/>
          <w:szCs w:val="22"/>
          <w:lang w:val="en-GB"/>
        </w:rPr>
        <w:t xml:space="preserve">, ASM </w:t>
      </w:r>
      <w:r w:rsidR="00771E28" w:rsidRPr="004E053C">
        <w:rPr>
          <w:rFonts w:cstheme="majorHAnsi"/>
          <w:sz w:val="22"/>
          <w:szCs w:val="22"/>
          <w:lang w:val="en-GB"/>
        </w:rPr>
        <w:t xml:space="preserve">miner, La Pampa). Damonte </w:t>
      </w:r>
      <w:r w:rsidR="00771E28"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2016)","manualFormatting":"(2016)","plainTextFormattedCitation":"(Damonte, 2016)","previouslyFormattedCitation":"(Damonte, 2016)"},"properties":{"noteIndex":0},"schema":"https://github.com/citation-style-language/schema/raw/master/csl-citation.json"}</w:instrText>
      </w:r>
      <w:r w:rsidR="00771E28" w:rsidRPr="004E053C">
        <w:rPr>
          <w:rFonts w:cstheme="majorHAnsi"/>
          <w:sz w:val="22"/>
          <w:szCs w:val="22"/>
          <w:lang w:val="en-GB"/>
        </w:rPr>
        <w:fldChar w:fldCharType="separate"/>
      </w:r>
      <w:r w:rsidR="00771E28" w:rsidRPr="004E053C">
        <w:rPr>
          <w:rFonts w:cstheme="majorHAnsi"/>
          <w:noProof/>
          <w:sz w:val="22"/>
          <w:szCs w:val="22"/>
          <w:lang w:val="en-GB"/>
        </w:rPr>
        <w:t>(2016)</w:t>
      </w:r>
      <w:r w:rsidR="00771E28" w:rsidRPr="004E053C">
        <w:rPr>
          <w:rFonts w:cstheme="majorHAnsi"/>
          <w:sz w:val="22"/>
          <w:szCs w:val="22"/>
          <w:lang w:val="en-GB"/>
        </w:rPr>
        <w:fldChar w:fldCharType="end"/>
      </w:r>
      <w:r w:rsidRPr="004E053C">
        <w:rPr>
          <w:rFonts w:cstheme="majorHAnsi"/>
          <w:sz w:val="22"/>
          <w:szCs w:val="22"/>
          <w:lang w:val="en-GB"/>
        </w:rPr>
        <w:t xml:space="preserve"> has documented similar problems as experienced by members of other local associations who are based within the buffer zone.</w:t>
      </w:r>
    </w:p>
    <w:p w14:paraId="5AAEAE34" w14:textId="77777777" w:rsidR="00B53FA8" w:rsidRPr="004E053C" w:rsidRDefault="00B53FA8" w:rsidP="004E053C">
      <w:pPr>
        <w:spacing w:line="360" w:lineRule="auto"/>
        <w:jc w:val="both"/>
        <w:rPr>
          <w:rFonts w:cstheme="majorHAnsi"/>
          <w:sz w:val="22"/>
          <w:szCs w:val="22"/>
          <w:lang w:val="en-GB"/>
        </w:rPr>
      </w:pPr>
    </w:p>
    <w:p w14:paraId="7A5DE7EA" w14:textId="08179328" w:rsidR="00B53FA8" w:rsidRPr="004E053C" w:rsidRDefault="00B53FA8"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While economic security in La Pampa is threatened by changes in government policy, a larger problem is the extent of in-migration. Increasing numbers of miners competing for land have caused </w:t>
      </w:r>
      <w:r w:rsidRPr="004E053C">
        <w:rPr>
          <w:rFonts w:cstheme="majorHAnsi"/>
          <w:sz w:val="22"/>
          <w:szCs w:val="22"/>
          <w:lang w:val="en-GB"/>
        </w:rPr>
        <w:lastRenderedPageBreak/>
        <w:t xml:space="preserve">big changes in local ASM livelihoods. </w:t>
      </w:r>
      <w:r w:rsidR="00B21FFD" w:rsidRPr="004E053C">
        <w:rPr>
          <w:rFonts w:cstheme="majorHAnsi"/>
          <w:sz w:val="22"/>
          <w:szCs w:val="22"/>
          <w:lang w:val="en-GB"/>
        </w:rPr>
        <w:t>Azucena</w:t>
      </w:r>
      <w:r w:rsidRPr="004E053C">
        <w:rPr>
          <w:rFonts w:cstheme="majorHAnsi"/>
          <w:sz w:val="22"/>
          <w:szCs w:val="22"/>
          <w:lang w:val="en-GB"/>
        </w:rPr>
        <w:t xml:space="preserve"> described in detail the changes she had faced since migrants came to La Pampa:</w:t>
      </w:r>
    </w:p>
    <w:p w14:paraId="7F96F2D7" w14:textId="77777777" w:rsidR="00B53FA8" w:rsidRPr="004E053C" w:rsidRDefault="00B53FA8" w:rsidP="004E053C">
      <w:pPr>
        <w:spacing w:line="360" w:lineRule="auto"/>
        <w:jc w:val="both"/>
        <w:rPr>
          <w:rFonts w:cstheme="majorHAnsi"/>
          <w:b/>
          <w:sz w:val="22"/>
          <w:szCs w:val="22"/>
          <w:lang w:val="en-GB"/>
        </w:rPr>
      </w:pPr>
    </w:p>
    <w:p w14:paraId="5CEF259A" w14:textId="2416ECE1" w:rsidR="00B53FA8" w:rsidRPr="004E053C" w:rsidRDefault="00B53FA8" w:rsidP="004E053C">
      <w:pPr>
        <w:ind w:left="720"/>
        <w:jc w:val="both"/>
        <w:rPr>
          <w:rFonts w:cstheme="majorHAnsi"/>
          <w:sz w:val="22"/>
          <w:szCs w:val="22"/>
          <w:lang w:val="en-GB"/>
        </w:rPr>
      </w:pPr>
      <w:r w:rsidRPr="004E053C">
        <w:rPr>
          <w:rFonts w:cstheme="majorHAnsi"/>
          <w:i/>
          <w:sz w:val="22"/>
          <w:szCs w:val="22"/>
          <w:lang w:val="en-GB"/>
        </w:rPr>
        <w:t>‘In the past, it was just the family working. There was no pressure, you weren’t doing something wrong or building a hole. You worked one day, and then the next day you could rest. You only worked some hours a day. But now you need to work 24 hours a day, and you need at least 4 people – two people working today and resting tomorrow…. If you don’t get the gold, someone else is going to take it. Nowadays there are so many people inside (the jungle), and so much pressure. People are working the most they can. In the past we used to work and have a good life, but now it’s so insecure…Every time you can work and make money, you are going to do it</w:t>
      </w:r>
      <w:r w:rsidRPr="004E053C">
        <w:rPr>
          <w:rFonts w:cstheme="majorHAnsi"/>
          <w:sz w:val="22"/>
          <w:szCs w:val="22"/>
          <w:lang w:val="en-GB"/>
        </w:rPr>
        <w:t>’  (</w:t>
      </w:r>
      <w:r w:rsidR="00B21FFD" w:rsidRPr="004E053C">
        <w:rPr>
          <w:rFonts w:cstheme="majorHAnsi"/>
          <w:sz w:val="22"/>
          <w:szCs w:val="22"/>
          <w:lang w:val="en-GB"/>
        </w:rPr>
        <w:t>Azucena</w:t>
      </w:r>
      <w:r w:rsidRPr="004E053C">
        <w:rPr>
          <w:rFonts w:cstheme="majorHAnsi"/>
          <w:sz w:val="22"/>
          <w:szCs w:val="22"/>
          <w:lang w:val="en-GB"/>
        </w:rPr>
        <w:t xml:space="preserve">, ASM miner, La Pampa). </w:t>
      </w:r>
    </w:p>
    <w:p w14:paraId="5D827CC1" w14:textId="77777777" w:rsidR="00B53FA8" w:rsidRPr="004E053C" w:rsidRDefault="00B53FA8" w:rsidP="004E053C">
      <w:pPr>
        <w:spacing w:line="360" w:lineRule="auto"/>
        <w:jc w:val="both"/>
        <w:rPr>
          <w:rFonts w:cstheme="majorHAnsi"/>
          <w:sz w:val="22"/>
          <w:szCs w:val="22"/>
          <w:lang w:val="en-GB"/>
        </w:rPr>
      </w:pPr>
    </w:p>
    <w:p w14:paraId="71F8E2F5" w14:textId="3DED8C7E" w:rsidR="00B53FA8" w:rsidRPr="004E053C" w:rsidRDefault="00B21FFD" w:rsidP="004E053C">
      <w:pPr>
        <w:spacing w:line="360" w:lineRule="auto"/>
        <w:jc w:val="both"/>
        <w:rPr>
          <w:rFonts w:eastAsia="Times New Roman" w:cstheme="majorHAnsi"/>
          <w:sz w:val="22"/>
          <w:szCs w:val="22"/>
          <w:lang w:val="en-GB"/>
        </w:rPr>
      </w:pPr>
      <w:r w:rsidRPr="004E053C">
        <w:rPr>
          <w:rFonts w:cstheme="majorHAnsi"/>
          <w:sz w:val="22"/>
          <w:szCs w:val="22"/>
          <w:lang w:val="en-GB"/>
        </w:rPr>
        <w:t>Azucena</w:t>
      </w:r>
      <w:r w:rsidR="00B53FA8" w:rsidRPr="004E053C">
        <w:rPr>
          <w:rFonts w:cstheme="majorHAnsi"/>
          <w:sz w:val="22"/>
          <w:szCs w:val="22"/>
          <w:lang w:val="en-GB"/>
        </w:rPr>
        <w:t xml:space="preserve"> explained that due to the high numbers of migrants competing for gold, their livelihood activ</w:t>
      </w:r>
      <w:r w:rsidR="00130A52">
        <w:rPr>
          <w:rFonts w:cstheme="majorHAnsi"/>
          <w:sz w:val="22"/>
          <w:szCs w:val="22"/>
          <w:lang w:val="en-GB"/>
        </w:rPr>
        <w:t xml:space="preserve">ities had become extremely time </w:t>
      </w:r>
      <w:r w:rsidR="00B53FA8" w:rsidRPr="004E053C">
        <w:rPr>
          <w:rFonts w:cstheme="majorHAnsi"/>
          <w:sz w:val="22"/>
          <w:szCs w:val="22"/>
          <w:lang w:val="en-GB"/>
        </w:rPr>
        <w:t>pressured – ‘</w:t>
      </w:r>
      <w:r w:rsidR="00B53FA8" w:rsidRPr="004E053C">
        <w:rPr>
          <w:rFonts w:eastAsia="Times New Roman" w:cstheme="majorHAnsi"/>
          <w:i/>
          <w:sz w:val="22"/>
          <w:szCs w:val="22"/>
          <w:lang w:val="en-GB"/>
        </w:rPr>
        <w:t>Everything is such a hurry…there is less gold and many more problems</w:t>
      </w:r>
      <w:r w:rsidR="00B53FA8" w:rsidRPr="004E053C">
        <w:rPr>
          <w:rFonts w:eastAsia="Times New Roman" w:cstheme="majorHAnsi"/>
          <w:sz w:val="22"/>
          <w:szCs w:val="22"/>
          <w:lang w:val="en-GB"/>
        </w:rPr>
        <w:t>’ (</w:t>
      </w:r>
      <w:r w:rsidRPr="004E053C">
        <w:rPr>
          <w:rFonts w:eastAsia="Times New Roman" w:cstheme="majorHAnsi"/>
          <w:sz w:val="22"/>
          <w:szCs w:val="22"/>
          <w:lang w:val="en-GB"/>
        </w:rPr>
        <w:t>Azucena</w:t>
      </w:r>
      <w:r w:rsidR="00B53FA8" w:rsidRPr="004E053C">
        <w:rPr>
          <w:rFonts w:eastAsia="Times New Roman" w:cstheme="majorHAnsi"/>
          <w:sz w:val="22"/>
          <w:szCs w:val="22"/>
          <w:lang w:val="en-GB"/>
        </w:rPr>
        <w:t xml:space="preserve">, ASM miner, La Pampa). Again, this highlights how the influx of people causes problems for the miners’ economic security. </w:t>
      </w:r>
    </w:p>
    <w:p w14:paraId="7427D1F4" w14:textId="77777777" w:rsidR="00B53FA8" w:rsidRPr="004E053C" w:rsidRDefault="00B53FA8" w:rsidP="004E053C">
      <w:pPr>
        <w:spacing w:line="360" w:lineRule="auto"/>
        <w:jc w:val="both"/>
        <w:rPr>
          <w:rFonts w:eastAsia="Times New Roman" w:cstheme="majorHAnsi"/>
          <w:sz w:val="22"/>
          <w:szCs w:val="22"/>
          <w:lang w:val="en-GB"/>
        </w:rPr>
      </w:pPr>
    </w:p>
    <w:p w14:paraId="36AE6EB5" w14:textId="49C5D777" w:rsidR="00B53FA8" w:rsidRPr="004E053C" w:rsidRDefault="00B53FA8"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What is clear is that the permanent miners have come to blame the new invaders for many of their problems. The benefits of applying a translocal approach to this research have been to illuminate the experiences of some of the migrants that </w:t>
      </w:r>
      <w:r w:rsidR="00B21FFD" w:rsidRPr="004E053C">
        <w:rPr>
          <w:rFonts w:eastAsia="Times New Roman" w:cstheme="majorHAnsi"/>
          <w:sz w:val="22"/>
          <w:szCs w:val="22"/>
          <w:lang w:val="en-GB"/>
        </w:rPr>
        <w:t>Azucena</w:t>
      </w:r>
      <w:r w:rsidRPr="004E053C">
        <w:rPr>
          <w:rFonts w:eastAsia="Times New Roman" w:cstheme="majorHAnsi"/>
          <w:sz w:val="22"/>
          <w:szCs w:val="22"/>
          <w:lang w:val="en-GB"/>
        </w:rPr>
        <w:t xml:space="preserve"> and others may consider to be invaders</w:t>
      </w:r>
      <w:r w:rsidRPr="004E053C">
        <w:rPr>
          <w:rFonts w:eastAsia="Times New Roman" w:cstheme="majorHAnsi"/>
          <w:i/>
          <w:sz w:val="22"/>
          <w:szCs w:val="22"/>
          <w:lang w:val="en-GB"/>
        </w:rPr>
        <w:t>.</w:t>
      </w:r>
      <w:r w:rsidRPr="004E053C">
        <w:rPr>
          <w:rFonts w:eastAsia="Times New Roman" w:cstheme="majorHAnsi"/>
          <w:sz w:val="22"/>
          <w:szCs w:val="22"/>
          <w:lang w:val="en-GB"/>
        </w:rPr>
        <w:t xml:space="preserve"> During interviews with households in Ocongate it became apparent that most people from there m</w:t>
      </w:r>
      <w:r w:rsidR="00130A52">
        <w:rPr>
          <w:rFonts w:eastAsia="Times New Roman" w:cstheme="majorHAnsi"/>
          <w:sz w:val="22"/>
          <w:szCs w:val="22"/>
          <w:lang w:val="en-GB"/>
        </w:rPr>
        <w:t xml:space="preserve">igrate to La Pampa in a poverty </w:t>
      </w:r>
      <w:r w:rsidRPr="004E053C">
        <w:rPr>
          <w:rFonts w:eastAsia="Times New Roman" w:cstheme="majorHAnsi"/>
          <w:sz w:val="22"/>
          <w:szCs w:val="22"/>
          <w:lang w:val="en-GB"/>
        </w:rPr>
        <w:t xml:space="preserve">driven attempt to make money to support their families. </w:t>
      </w:r>
      <w:r w:rsidRPr="004E053C">
        <w:rPr>
          <w:rFonts w:cstheme="majorHAnsi"/>
          <w:sz w:val="22"/>
          <w:szCs w:val="22"/>
          <w:lang w:val="en-GB"/>
        </w:rPr>
        <w:t xml:space="preserve">However, even for temporary miners, the realities of life in La Pampa can be difficult to deal with. </w:t>
      </w:r>
      <w:r w:rsidR="00C21441" w:rsidRPr="004E053C">
        <w:rPr>
          <w:rFonts w:cstheme="majorHAnsi"/>
          <w:sz w:val="22"/>
          <w:szCs w:val="22"/>
          <w:lang w:val="en-GB"/>
        </w:rPr>
        <w:t>Temporary</w:t>
      </w:r>
      <w:r w:rsidRPr="004E053C">
        <w:rPr>
          <w:rFonts w:cstheme="majorHAnsi"/>
          <w:sz w:val="22"/>
          <w:szCs w:val="22"/>
          <w:lang w:val="en-GB"/>
        </w:rPr>
        <w:t xml:space="preserve"> migrants such as </w:t>
      </w:r>
      <w:r w:rsidR="00EA7F80" w:rsidRPr="004E053C">
        <w:rPr>
          <w:rFonts w:eastAsia="Times New Roman" w:cstheme="majorHAnsi"/>
          <w:sz w:val="22"/>
          <w:szCs w:val="22"/>
          <w:lang w:val="en-GB"/>
        </w:rPr>
        <w:t>Carlos</w:t>
      </w:r>
      <w:r w:rsidRPr="004E053C">
        <w:rPr>
          <w:rFonts w:eastAsia="Times New Roman" w:cstheme="majorHAnsi"/>
          <w:sz w:val="22"/>
          <w:szCs w:val="22"/>
          <w:lang w:val="en-GB"/>
        </w:rPr>
        <w:t xml:space="preserve"> and </w:t>
      </w:r>
      <w:r w:rsidR="00B21FFD" w:rsidRPr="004E053C">
        <w:rPr>
          <w:rFonts w:eastAsia="Times New Roman" w:cstheme="majorHAnsi"/>
          <w:sz w:val="22"/>
          <w:szCs w:val="22"/>
          <w:lang w:val="en-GB"/>
        </w:rPr>
        <w:t>Rosaria</w:t>
      </w:r>
      <w:r w:rsidRPr="004E053C">
        <w:rPr>
          <w:rFonts w:eastAsia="Times New Roman" w:cstheme="majorHAnsi"/>
          <w:sz w:val="22"/>
          <w:szCs w:val="22"/>
          <w:lang w:val="en-GB"/>
        </w:rPr>
        <w:t xml:space="preserve">, who would be considered </w:t>
      </w:r>
      <w:r w:rsidRPr="004E053C">
        <w:rPr>
          <w:rFonts w:eastAsia="Times New Roman" w:cstheme="majorHAnsi"/>
          <w:i/>
          <w:sz w:val="22"/>
          <w:szCs w:val="22"/>
          <w:lang w:val="en-GB"/>
        </w:rPr>
        <w:t>invaders</w:t>
      </w:r>
      <w:r w:rsidRPr="004E053C">
        <w:rPr>
          <w:rFonts w:eastAsia="Times New Roman" w:cstheme="majorHAnsi"/>
          <w:sz w:val="22"/>
          <w:szCs w:val="22"/>
          <w:lang w:val="en-GB"/>
        </w:rPr>
        <w:t xml:space="preserve"> by </w:t>
      </w:r>
      <w:r w:rsidR="00B21FFD" w:rsidRPr="004E053C">
        <w:rPr>
          <w:rFonts w:eastAsia="Times New Roman" w:cstheme="majorHAnsi"/>
          <w:sz w:val="22"/>
          <w:szCs w:val="22"/>
          <w:lang w:val="en-GB"/>
        </w:rPr>
        <w:t>Azucena</w:t>
      </w:r>
      <w:r w:rsidRPr="004E053C">
        <w:rPr>
          <w:rFonts w:eastAsia="Times New Roman" w:cstheme="majorHAnsi"/>
          <w:sz w:val="22"/>
          <w:szCs w:val="22"/>
          <w:lang w:val="en-GB"/>
        </w:rPr>
        <w:t>, discussed how they had found the environment in La Pampa to be extremely hostile:</w:t>
      </w:r>
    </w:p>
    <w:p w14:paraId="5CD9F357" w14:textId="77777777" w:rsidR="00B53FA8" w:rsidRPr="004E053C" w:rsidRDefault="00B53FA8" w:rsidP="004E053C">
      <w:pPr>
        <w:spacing w:line="360" w:lineRule="auto"/>
        <w:jc w:val="both"/>
        <w:rPr>
          <w:rFonts w:cstheme="majorHAnsi"/>
          <w:sz w:val="22"/>
          <w:szCs w:val="22"/>
          <w:lang w:val="en-GB"/>
        </w:rPr>
      </w:pPr>
    </w:p>
    <w:p w14:paraId="3059256D" w14:textId="7250D099" w:rsidR="00B53FA8" w:rsidRPr="004E053C" w:rsidRDefault="00B53FA8" w:rsidP="004E053C">
      <w:pPr>
        <w:ind w:left="720"/>
        <w:jc w:val="both"/>
        <w:rPr>
          <w:rFonts w:cstheme="majorHAnsi"/>
          <w:sz w:val="22"/>
          <w:szCs w:val="22"/>
          <w:lang w:val="en-GB"/>
        </w:rPr>
      </w:pPr>
      <w:r w:rsidRPr="004E053C">
        <w:rPr>
          <w:rFonts w:cstheme="majorHAnsi"/>
          <w:i/>
          <w:sz w:val="22"/>
          <w:szCs w:val="22"/>
          <w:lang w:val="en-GB"/>
        </w:rPr>
        <w:t>‘There is not a friendly environment in La Pampa. Everybody is there just for the money, and everyone is in competition with each other. Even the businesses are trying to raise more money than their neighbour’</w:t>
      </w:r>
      <w:r w:rsidRPr="004E053C">
        <w:rPr>
          <w:rFonts w:cstheme="majorHAnsi"/>
          <w:sz w:val="22"/>
          <w:szCs w:val="22"/>
          <w:lang w:val="en-GB"/>
        </w:rPr>
        <w:t xml:space="preserve"> (</w:t>
      </w:r>
      <w:r w:rsidR="00B21FFD" w:rsidRPr="004E053C">
        <w:rPr>
          <w:rFonts w:cstheme="majorHAnsi"/>
          <w:sz w:val="22"/>
          <w:szCs w:val="22"/>
          <w:lang w:val="en-GB"/>
        </w:rPr>
        <w:t>Rosaria</w:t>
      </w:r>
      <w:r w:rsidRPr="004E053C">
        <w:rPr>
          <w:rFonts w:cstheme="majorHAnsi"/>
          <w:sz w:val="22"/>
          <w:szCs w:val="22"/>
          <w:lang w:val="en-GB"/>
        </w:rPr>
        <w:t xml:space="preserve">, hotel owner, Puerto Maldonado). </w:t>
      </w:r>
    </w:p>
    <w:p w14:paraId="66FD91C0" w14:textId="77777777" w:rsidR="00B53FA8" w:rsidRPr="004E053C" w:rsidRDefault="00B53FA8" w:rsidP="004E053C">
      <w:pPr>
        <w:spacing w:line="360" w:lineRule="auto"/>
        <w:jc w:val="both"/>
        <w:rPr>
          <w:rFonts w:cstheme="majorHAnsi"/>
          <w:sz w:val="22"/>
          <w:szCs w:val="22"/>
          <w:lang w:val="en-GB"/>
        </w:rPr>
      </w:pPr>
    </w:p>
    <w:p w14:paraId="28CD53B5" w14:textId="77777777" w:rsidR="00B53FA8" w:rsidRPr="004E053C" w:rsidRDefault="00B53FA8"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This shows the </w:t>
      </w:r>
      <w:r w:rsidRPr="004E053C">
        <w:rPr>
          <w:rFonts w:eastAsia="Times New Roman" w:cstheme="majorHAnsi"/>
          <w:sz w:val="22"/>
          <w:szCs w:val="22"/>
          <w:lang w:val="en-GB"/>
        </w:rPr>
        <w:t xml:space="preserve">difficulties in building a livelihood when everyone is primarily motivated by immediate pay-off and has no long-term interest in developing a sense of community. Instead, we find agents within the translocal community entering into varying degrees of contestation with one another in order to improve their own position in relation to the available resources and their own long-term interests. </w:t>
      </w:r>
    </w:p>
    <w:p w14:paraId="6811223D" w14:textId="77777777" w:rsidR="00B53FA8" w:rsidRPr="004E053C" w:rsidRDefault="00B53FA8"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 </w:t>
      </w:r>
    </w:p>
    <w:p w14:paraId="745B760B" w14:textId="57156663" w:rsidR="00B53FA8" w:rsidRPr="004E053C" w:rsidRDefault="00EA7F83" w:rsidP="004E053C">
      <w:pPr>
        <w:pStyle w:val="Heading3"/>
        <w:rPr>
          <w:rFonts w:asciiTheme="minorHAnsi" w:hAnsiTheme="minorHAnsi"/>
        </w:rPr>
      </w:pPr>
      <w:r w:rsidRPr="004E053C">
        <w:rPr>
          <w:rFonts w:asciiTheme="minorHAnsi" w:hAnsiTheme="minorHAnsi"/>
        </w:rPr>
        <w:t>8</w:t>
      </w:r>
      <w:r w:rsidR="004A3EF1" w:rsidRPr="004E053C">
        <w:rPr>
          <w:rFonts w:asciiTheme="minorHAnsi" w:hAnsiTheme="minorHAnsi"/>
        </w:rPr>
        <w:t>.2.2. Labour m</w:t>
      </w:r>
      <w:r w:rsidR="00B53FA8" w:rsidRPr="004E053C">
        <w:rPr>
          <w:rFonts w:asciiTheme="minorHAnsi" w:hAnsiTheme="minorHAnsi"/>
        </w:rPr>
        <w:t>obility</w:t>
      </w:r>
    </w:p>
    <w:p w14:paraId="73CC75CF" w14:textId="77777777" w:rsidR="00B53FA8" w:rsidRPr="004E053C" w:rsidRDefault="00B53FA8" w:rsidP="004E053C">
      <w:pPr>
        <w:spacing w:line="360" w:lineRule="auto"/>
        <w:jc w:val="both"/>
        <w:rPr>
          <w:rFonts w:cstheme="majorHAnsi"/>
          <w:lang w:val="en-GB"/>
        </w:rPr>
      </w:pPr>
    </w:p>
    <w:p w14:paraId="05D0831C" w14:textId="4B9CB280"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lastRenderedPageBreak/>
        <w:t xml:space="preserve">Informality is often seen as being </w:t>
      </w:r>
      <w:r w:rsidR="00FF7621" w:rsidRPr="004E053C">
        <w:rPr>
          <w:rFonts w:cstheme="majorHAnsi"/>
          <w:sz w:val="22"/>
          <w:szCs w:val="22"/>
          <w:lang w:val="en-GB"/>
        </w:rPr>
        <w:t>one o</w:t>
      </w:r>
      <w:r w:rsidRPr="004E053C">
        <w:rPr>
          <w:rFonts w:cstheme="majorHAnsi"/>
          <w:sz w:val="22"/>
          <w:szCs w:val="22"/>
          <w:lang w:val="en-GB"/>
        </w:rPr>
        <w:t xml:space="preserve">the defining characteristic of the ASM sector </w:t>
      </w:r>
      <w:r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{"citationItems":[{"id":"ITEM-1","itemData":{"abstract":"This paper addresses the role of formalization in artisanal and small-scale mining (ASM) in sub-Saharan Africa, focusing specifically on Uganda. Most ASM activity occurs outside mainstream legal economies, occupying a hazy world of informal, yet essential, economic activity. There is an emerging consensus that formalization must be part of any strategy to develop the ASM sector. However, the meaning of formalization is not always clear; nor how formalization contributes to economic development. While formalization can be defined in a number of ways, it is argued here that formalizing ASM should be understood in the context of Hernando De Soto's theory of \"extralegality\". In this framework, formalization is the means of absorbing existing customary practices-developed informally by miners-into the mainstream of a country's legal and economic affairs. This concept of formalization is applied to the case of Uganda, where, despite official formalization policies on the books, ASM continues to operate outside the formal economy. It is argued that to make formalization work, miners must also be \"capitalized\" in ways that permit them to move from transient artisanal mining, to more sustainable small- and medium-scale mining. International development organizations can help to facilitate the transition of ASM from an extralegal to a legal economy by creating revolving loan funds, and helping to carry the risk of lending money to miners. © 2008 Elsevier Ltd. All rights reserved.","author":[{"dropping-particle":"","family":"Siegel","given":"Shefa","non-dropping-particle":"","parse-names":false,"suffix":""},{"dropping-particle":"","family":"Veiga","given":"Marcello M.","non-dropping-particle":"","parse-names":false,"suffix":""}],"container-title":"Resources Policy","id":"ITEM-1","issue":"1-2","issued":{"date-parts":[["2009"]]},"page":"51-56","title":"Artisanal and small-scale mining as an extralegal economy: De Soto and the redefinition of 'formalization'","type":"article-journal","volume":"34"},"uris":["http://www.mendeley.com/documents/?uuid=0cd7f80e-58cc-4421-9a78-f30864db4d69"]}],"mendeley":{"formattedCitation":"(Siegel &amp; Veiga, 2009)","plainTextFormattedCitation":"(Siegel &amp; Veiga, 2009)","previouslyFormattedCitation":"(Siegel &amp; Veiga, 2009)"},"properties":{"noteIndex":0},"schema":"https://github.com/citation-style-language/schema/raw/master/csl-citation.json"}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(Siegel &amp; Veiga, 2009)</w:t>
      </w:r>
      <w:r w:rsidRPr="004E053C">
        <w:rPr>
          <w:rFonts w:cstheme="majorHAnsi"/>
          <w:sz w:val="22"/>
          <w:szCs w:val="22"/>
          <w:lang w:val="en-GB"/>
        </w:rPr>
        <w:fldChar w:fldCharType="end"/>
      </w:r>
      <w:r w:rsidRPr="004E053C">
        <w:rPr>
          <w:rFonts w:cstheme="majorHAnsi"/>
          <w:sz w:val="22"/>
          <w:szCs w:val="22"/>
          <w:lang w:val="en-GB"/>
        </w:rPr>
        <w:t xml:space="preserve">, which also inherently means there is a lack of employment regulations and labour rights </w:t>
      </w:r>
      <w:r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{"citationItems":[{"id":"ITEM-1","itemData":{"abstract":"This article critically evaluates existing causal explanations for the persistence of informality in artisanal and small-scale mining (ASM). These explanations share a legalistic focus on entry barriers and political impediments that prevent or discourage the formalization of poverty-driven ASM operators: however, they fail to fully explain cases such as that of the Philippines, where ASM is characterized by differentiation between a poverty-driven workforce and a dominant stratum of ASM entrepreneurs. Even where limited formalization frameworks provide ASM with a degree of legal recognition, this recognition is usually restricted to these more powerful ASM interests, while excluding the workforce at large. This article therefore proposes an integrative approach to analysing informality in ASM, which complements the existing legalistic focus on entry barriers with a structuralist concern over the exploitation of informal labour. Seen from this perspective, the massive expansion of ASM in the Philippines can be seen as the product of a transition away from capital-intensive large-scale mining to a flexible regime of accumulation built around the exploitation of informal ASM labour. This observation highlights the need to pay more critical attention to the economic logic and the vested interests underlying the (selective) persistence of informality in the workforce.","author":[{"dropping-particle":"","family":"Verbrugge","given":"Boris","non-dropping-particle":"","parse-names":false,"suffix":""}],"container-title":"Development and Change","id":"ITEM-1","issue":"5","issued":{"date-parts":[["2015"]]},"page":"1023-1046","title":"The economic logic of persistent informality: artisanal and small-scale mining in the Southern Philippines","type":"article-journal","volume":"46"},"uris":["http://www.mendeley.com/documents/?uuid=ea2a3549-433b-4412-ba6d-6c99ae5ab0c8"]}],"mendeley":{"formattedCitation":"(Verbrugge, 2015)","plainTextFormattedCitation":"(Verbrugge, 2015)","previouslyFormattedCitation":"(Verbrugge, 2015)"},"properties":{"noteIndex":0},"schema":"https://github.com/citation-style-language/schema/raw/master/csl-citation.json"}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(Verbrugge, 2015)</w:t>
      </w:r>
      <w:r w:rsidRPr="004E053C">
        <w:rPr>
          <w:rFonts w:cstheme="majorHAnsi"/>
          <w:sz w:val="22"/>
          <w:szCs w:val="22"/>
          <w:lang w:val="en-GB"/>
        </w:rPr>
        <w:fldChar w:fldCharType="end"/>
      </w:r>
      <w:r w:rsidRPr="004E053C">
        <w:rPr>
          <w:rFonts w:cstheme="majorHAnsi"/>
          <w:sz w:val="22"/>
          <w:szCs w:val="22"/>
          <w:lang w:val="en-GB"/>
        </w:rPr>
        <w:t>. This lack of right</w:t>
      </w:r>
      <w:r w:rsidR="00A40D10" w:rsidRPr="004E053C">
        <w:rPr>
          <w:rFonts w:cstheme="majorHAnsi"/>
          <w:sz w:val="22"/>
          <w:szCs w:val="22"/>
          <w:lang w:val="en-GB"/>
        </w:rPr>
        <w:t>s means that informality can oft</w:t>
      </w:r>
      <w:r w:rsidRPr="004E053C">
        <w:rPr>
          <w:rFonts w:cstheme="majorHAnsi"/>
          <w:sz w:val="22"/>
          <w:szCs w:val="22"/>
          <w:lang w:val="en-GB"/>
        </w:rPr>
        <w:t>en lead to the exploitation of the labour force, but it ha</w:t>
      </w:r>
      <w:r w:rsidR="00475547" w:rsidRPr="004E053C">
        <w:rPr>
          <w:rFonts w:cstheme="majorHAnsi"/>
          <w:sz w:val="22"/>
          <w:szCs w:val="22"/>
          <w:lang w:val="en-GB"/>
        </w:rPr>
        <w:t>s also been argued that formalis</w:t>
      </w:r>
      <w:r w:rsidRPr="004E053C">
        <w:rPr>
          <w:rFonts w:cstheme="majorHAnsi"/>
          <w:sz w:val="22"/>
          <w:szCs w:val="22"/>
          <w:lang w:val="en-GB"/>
        </w:rPr>
        <w:t xml:space="preserve">ation only benefits the elite entrepreneurs within the sector and not the general poverty-driven workforce </w:t>
      </w:r>
      <w:r w:rsidR="00771E2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{"citationItems":[{"id":"ITEM-1","itemData":{"abstract":"This article critically evaluates existing causal explanations for the persistence of informality in artisanal and small-scale mining (ASM). These explanations share a legalistic focus on entry barriers and political impediments that prevent or discourage the formalization of poverty-driven ASM operators: however, they fail to fully explain cases such as that of the Philippines, where ASM is characterized by differentiation between a poverty-driven workforce and a dominant stratum of ASM entrepreneurs. Even where limited formalization frameworks provide ASM with a degree of legal recognition, this recognition is usually restricted to these more powerful ASM interests, while excluding the workforce at large. This article therefore proposes an integrative approach to analysing informality in ASM, which complements the existing legalistic focus on entry barriers with a structuralist concern over the exploitation of informal labour. Seen from this perspective, the massive expansion of ASM in the Philippines can be seen as the product of a transition away from capital-intensive large-scale mining to a flexible regime of accumulation built around the exploitation of informal ASM labour. This observation highlights the need to pay more critical attention to the economic logic and the vested interests underlying the (selective) persistence of informality in the workforce.","author":[{"dropping-particle":"","family":"Verbrugge","given":"Boris","non-dropping-particle":"","parse-names":false,"suffix":""}],"container-title":"Development and Change","id":"ITEM-1","issue":"5","issued":{"date-parts":[["2015"]]},"page":"1023-1046","title":"The economic logic of persistent informality: artisanal and small-scale mining in the Southern Philippines","type":"article-journal","volume":"46"},"uris":["http://www.mendeley.com/documents/?uuid=ea2a3549-433b-4412-ba6d-6c99ae5ab0c8"]}],"mendeley":{"formattedCitation":"(Verbrugge, 2015)","plainTextFormattedCitation":"(Verbrugge, 2015)","previouslyFormattedCitation":"(Verbrugge, 2015)"},"properties":{"noteIndex":0},"schema":"https://github.com/citation-style-language/schema/raw/master/csl-citation.json"}</w:instrText>
      </w:r>
      <w:r w:rsidR="00771E28" w:rsidRPr="004E053C">
        <w:rPr>
          <w:rFonts w:cstheme="majorHAnsi"/>
          <w:sz w:val="22"/>
          <w:szCs w:val="22"/>
          <w:lang w:val="en-GB"/>
        </w:rPr>
        <w:fldChar w:fldCharType="separate"/>
      </w:r>
      <w:r w:rsidR="00771E28" w:rsidRPr="004E053C">
        <w:rPr>
          <w:rFonts w:cstheme="majorHAnsi"/>
          <w:noProof/>
          <w:sz w:val="22"/>
          <w:szCs w:val="22"/>
          <w:lang w:val="en-GB"/>
        </w:rPr>
        <w:t>(Verbrugge, 2015)</w:t>
      </w:r>
      <w:r w:rsidR="00771E28" w:rsidRPr="004E053C">
        <w:rPr>
          <w:rFonts w:cstheme="majorHAnsi"/>
          <w:sz w:val="22"/>
          <w:szCs w:val="22"/>
          <w:lang w:val="en-GB"/>
        </w:rPr>
        <w:fldChar w:fldCharType="end"/>
      </w:r>
      <w:r w:rsidRPr="004E053C">
        <w:rPr>
          <w:rFonts w:cstheme="majorHAnsi"/>
          <w:sz w:val="22"/>
          <w:szCs w:val="22"/>
          <w:lang w:val="en-GB"/>
        </w:rPr>
        <w:t xml:space="preserve">. Thus, while the benefits seem obvious, many </w:t>
      </w:r>
      <w:r w:rsidRPr="004E053C">
        <w:rPr>
          <w:rFonts w:cstheme="majorHAnsi"/>
          <w:i/>
          <w:sz w:val="22"/>
          <w:szCs w:val="22"/>
          <w:lang w:val="en-GB"/>
        </w:rPr>
        <w:t>obreros</w:t>
      </w:r>
      <w:r w:rsidRPr="004E053C">
        <w:rPr>
          <w:rFonts w:cstheme="majorHAnsi"/>
          <w:sz w:val="22"/>
          <w:szCs w:val="22"/>
          <w:lang w:val="en-GB"/>
        </w:rPr>
        <w:t xml:space="preserve"> and temporary miners have little inte</w:t>
      </w:r>
      <w:r w:rsidR="00A40D10" w:rsidRPr="004E053C">
        <w:rPr>
          <w:rFonts w:cstheme="majorHAnsi"/>
          <w:sz w:val="22"/>
          <w:szCs w:val="22"/>
          <w:lang w:val="en-GB"/>
        </w:rPr>
        <w:t>rest in formalis</w:t>
      </w:r>
      <w:r w:rsidRPr="004E053C">
        <w:rPr>
          <w:rFonts w:cstheme="majorHAnsi"/>
          <w:sz w:val="22"/>
          <w:szCs w:val="22"/>
          <w:lang w:val="en-GB"/>
        </w:rPr>
        <w:t>ation, not least because of the restrictions it may place on their mob</w:t>
      </w:r>
      <w:r w:rsidR="00565C53" w:rsidRPr="004E053C">
        <w:rPr>
          <w:rFonts w:cstheme="majorHAnsi"/>
          <w:sz w:val="22"/>
          <w:szCs w:val="22"/>
          <w:lang w:val="en-GB"/>
        </w:rPr>
        <w:t>ility. As discussed in chapter 6</w:t>
      </w:r>
      <w:r w:rsidRPr="004E053C">
        <w:rPr>
          <w:rFonts w:cstheme="majorHAnsi"/>
          <w:sz w:val="22"/>
          <w:szCs w:val="22"/>
          <w:lang w:val="en-GB"/>
        </w:rPr>
        <w:t>, there are economic benefits for the temporary/floating miners in remaining mobile, because it enables them to move to areas with more gold and claim a higher price for their labour. Remaining mobile also enables them to avoid government crackdowns. However, their high mobility can cause problems for permanent miners. A repres</w:t>
      </w:r>
      <w:r w:rsidR="00A40D10" w:rsidRPr="004E053C">
        <w:rPr>
          <w:rFonts w:cstheme="majorHAnsi"/>
          <w:sz w:val="22"/>
          <w:szCs w:val="22"/>
          <w:lang w:val="en-GB"/>
        </w:rPr>
        <w:t>entative from the women’s centre</w:t>
      </w:r>
      <w:r w:rsidRPr="004E053C">
        <w:rPr>
          <w:rFonts w:cstheme="majorHAnsi"/>
          <w:sz w:val="22"/>
          <w:szCs w:val="22"/>
          <w:lang w:val="en-GB"/>
        </w:rPr>
        <w:t xml:space="preserve"> noted that population fluidity in Laberinto, a key characteristic of life in translocal mining towns, meant that workers may only be ar</w:t>
      </w:r>
      <w:r w:rsidR="00A40D10" w:rsidRPr="004E053C">
        <w:rPr>
          <w:rFonts w:cstheme="majorHAnsi"/>
          <w:sz w:val="22"/>
          <w:szCs w:val="22"/>
          <w:lang w:val="en-GB"/>
        </w:rPr>
        <w:t>ound for three months at a time</w:t>
      </w:r>
      <w:r w:rsidRPr="004E053C">
        <w:rPr>
          <w:rFonts w:cstheme="majorHAnsi"/>
          <w:sz w:val="22"/>
          <w:szCs w:val="22"/>
          <w:lang w:val="en-GB"/>
        </w:rPr>
        <w:t xml:space="preserve"> and it was never definite if and when they would return. The transience of the </w:t>
      </w:r>
      <w:r w:rsidRPr="004E053C">
        <w:rPr>
          <w:rFonts w:cstheme="majorHAnsi"/>
          <w:i/>
          <w:sz w:val="22"/>
          <w:szCs w:val="22"/>
          <w:lang w:val="en-GB"/>
        </w:rPr>
        <w:t>obreros</w:t>
      </w:r>
      <w:r w:rsidRPr="004E053C">
        <w:rPr>
          <w:rFonts w:cstheme="majorHAnsi"/>
          <w:sz w:val="22"/>
          <w:szCs w:val="22"/>
          <w:lang w:val="en-GB"/>
        </w:rPr>
        <w:t xml:space="preserve"> in particular can cause problems for permanent miners’ revenue, as it decreases the reliability of labour, as was explained by </w:t>
      </w:r>
      <w:r w:rsidR="00EA7F80" w:rsidRPr="004E053C">
        <w:rPr>
          <w:rFonts w:cstheme="majorHAnsi"/>
          <w:sz w:val="22"/>
          <w:szCs w:val="22"/>
          <w:lang w:val="en-GB"/>
        </w:rPr>
        <w:t>Gustavo</w:t>
      </w:r>
      <w:r w:rsidRPr="004E053C">
        <w:rPr>
          <w:rFonts w:cstheme="majorHAnsi"/>
          <w:sz w:val="22"/>
          <w:szCs w:val="22"/>
          <w:lang w:val="en-GB"/>
        </w:rPr>
        <w:t xml:space="preserve">: </w:t>
      </w:r>
    </w:p>
    <w:p w14:paraId="2B4274DB" w14:textId="77777777" w:rsidR="00B53FA8" w:rsidRPr="004E053C" w:rsidRDefault="00B53FA8" w:rsidP="004E053C">
      <w:pPr>
        <w:spacing w:line="360" w:lineRule="auto"/>
        <w:jc w:val="both"/>
        <w:rPr>
          <w:rFonts w:cstheme="majorHAnsi"/>
          <w:sz w:val="22"/>
          <w:szCs w:val="22"/>
          <w:lang w:val="en-GB"/>
        </w:rPr>
      </w:pPr>
    </w:p>
    <w:p w14:paraId="2F89CB6E" w14:textId="2D0468ED" w:rsidR="00B53FA8" w:rsidRPr="004E053C" w:rsidRDefault="00B53FA8"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‘The problem is these people often don’t tell the miner when they are going to leave the mine. In Fortuna there are no bars or canteens, if they want to drink alcohol, they have to go to Laberinto. Its 20 minutes away. If they go to Laberinto and get drunk they are not going to work the next day, which means a loss for us</w:t>
      </w:r>
      <w:r w:rsidRPr="004E053C">
        <w:rPr>
          <w:rFonts w:eastAsia="Times New Roman" w:cstheme="majorHAnsi"/>
          <w:sz w:val="22"/>
          <w:szCs w:val="22"/>
          <w:lang w:val="en-GB"/>
        </w:rPr>
        <w:t>’ (</w:t>
      </w:r>
      <w:r w:rsidR="00EA7F80" w:rsidRPr="004E053C">
        <w:rPr>
          <w:rFonts w:eastAsia="Times New Roman" w:cstheme="majorHAnsi"/>
          <w:sz w:val="22"/>
          <w:szCs w:val="22"/>
          <w:lang w:val="en-GB"/>
        </w:rPr>
        <w:t>Gustavo</w:t>
      </w:r>
      <w:r w:rsidRPr="004E053C">
        <w:rPr>
          <w:rFonts w:eastAsia="Times New Roman" w:cstheme="majorHAnsi"/>
          <w:sz w:val="22"/>
          <w:szCs w:val="22"/>
          <w:lang w:val="en-GB"/>
        </w:rPr>
        <w:t xml:space="preserve">, ASM miner, Fortuna mine near Laberinto). </w:t>
      </w:r>
    </w:p>
    <w:p w14:paraId="544DF494" w14:textId="77777777" w:rsidR="00B53FA8" w:rsidRPr="004E053C" w:rsidRDefault="00B53FA8" w:rsidP="004E053C">
      <w:pPr>
        <w:spacing w:line="360" w:lineRule="auto"/>
        <w:jc w:val="both"/>
        <w:rPr>
          <w:rFonts w:cstheme="majorHAnsi"/>
          <w:sz w:val="22"/>
          <w:szCs w:val="22"/>
          <w:lang w:val="en-GB"/>
        </w:rPr>
      </w:pPr>
    </w:p>
    <w:p w14:paraId="4DACC5C1" w14:textId="5F24033F"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Although the permanent miners benefit from the</w:t>
      </w:r>
      <w:r w:rsidRPr="004E053C">
        <w:rPr>
          <w:rFonts w:cstheme="majorHAnsi"/>
          <w:i/>
          <w:iCs/>
          <w:sz w:val="22"/>
          <w:szCs w:val="22"/>
          <w:lang w:val="en-GB"/>
        </w:rPr>
        <w:t xml:space="preserve"> obrero</w:t>
      </w:r>
      <w:r w:rsidR="00F6233C" w:rsidRPr="004E053C">
        <w:rPr>
          <w:rFonts w:cstheme="majorHAnsi"/>
          <w:i/>
          <w:iCs/>
          <w:sz w:val="22"/>
          <w:szCs w:val="22"/>
          <w:lang w:val="en-GB"/>
        </w:rPr>
        <w:t>s</w:t>
      </w:r>
      <w:r w:rsidRPr="004E053C">
        <w:rPr>
          <w:rFonts w:cstheme="majorHAnsi"/>
          <w:i/>
          <w:iCs/>
          <w:sz w:val="22"/>
          <w:szCs w:val="22"/>
          <w:lang w:val="en-GB"/>
        </w:rPr>
        <w:t>’</w:t>
      </w:r>
      <w:r w:rsidRPr="004E053C">
        <w:rPr>
          <w:rFonts w:cstheme="majorHAnsi"/>
          <w:sz w:val="22"/>
          <w:szCs w:val="22"/>
          <w:lang w:val="en-GB"/>
        </w:rPr>
        <w:t xml:space="preserve"> lack of labour rights, this goes hand-in-hand with the </w:t>
      </w:r>
      <w:r w:rsidRPr="004E053C">
        <w:rPr>
          <w:rFonts w:cstheme="majorHAnsi"/>
          <w:i/>
          <w:iCs/>
          <w:sz w:val="22"/>
          <w:szCs w:val="22"/>
          <w:lang w:val="en-GB"/>
        </w:rPr>
        <w:t>obrero</w:t>
      </w:r>
      <w:r w:rsidRPr="004E053C">
        <w:rPr>
          <w:rFonts w:cstheme="majorHAnsi"/>
          <w:sz w:val="22"/>
          <w:szCs w:val="22"/>
          <w:lang w:val="en-GB"/>
        </w:rPr>
        <w:t>s</w:t>
      </w:r>
      <w:r w:rsidR="00F6233C" w:rsidRPr="004E053C">
        <w:rPr>
          <w:rFonts w:cstheme="majorHAnsi"/>
          <w:sz w:val="22"/>
          <w:szCs w:val="22"/>
          <w:lang w:val="en-GB"/>
        </w:rPr>
        <w:t>’</w:t>
      </w:r>
      <w:r w:rsidRPr="004E053C">
        <w:rPr>
          <w:rFonts w:cstheme="majorHAnsi"/>
          <w:sz w:val="22"/>
          <w:szCs w:val="22"/>
          <w:lang w:val="en-GB"/>
        </w:rPr>
        <w:t xml:space="preserve"> high l</w:t>
      </w:r>
      <w:r w:rsidR="00A40D10" w:rsidRPr="004E053C">
        <w:rPr>
          <w:rFonts w:cstheme="majorHAnsi"/>
          <w:sz w:val="22"/>
          <w:szCs w:val="22"/>
          <w:lang w:val="en-GB"/>
        </w:rPr>
        <w:t>evel of mobility. Thus, maximisi</w:t>
      </w:r>
      <w:r w:rsidRPr="004E053C">
        <w:rPr>
          <w:rFonts w:cstheme="majorHAnsi"/>
          <w:sz w:val="22"/>
          <w:szCs w:val="22"/>
          <w:lang w:val="en-GB"/>
        </w:rPr>
        <w:t xml:space="preserve">ng income becomes a balance between the maintaining flexible working arrangements and not losing revenue through an unreliable workforce. However, it is not just the </w:t>
      </w:r>
      <w:r w:rsidRPr="004E053C">
        <w:rPr>
          <w:rFonts w:cstheme="majorHAnsi"/>
          <w:i/>
          <w:sz w:val="22"/>
          <w:szCs w:val="22"/>
          <w:lang w:val="en-GB"/>
        </w:rPr>
        <w:t>obreros</w:t>
      </w:r>
      <w:r w:rsidRPr="004E053C">
        <w:rPr>
          <w:rFonts w:cstheme="majorHAnsi"/>
          <w:sz w:val="22"/>
          <w:szCs w:val="22"/>
          <w:lang w:val="en-GB"/>
        </w:rPr>
        <w:t xml:space="preserve"> whose highly-translocal livelihood benefits from their mobility. Even </w:t>
      </w:r>
      <w:r w:rsidRPr="004E053C">
        <w:rPr>
          <w:rFonts w:cstheme="majorHAnsi"/>
          <w:i/>
          <w:iCs/>
          <w:sz w:val="22"/>
          <w:szCs w:val="22"/>
          <w:lang w:val="en-GB"/>
        </w:rPr>
        <w:t xml:space="preserve">duenos </w:t>
      </w:r>
      <w:r w:rsidRPr="004E053C">
        <w:rPr>
          <w:rFonts w:cstheme="majorHAnsi"/>
          <w:sz w:val="22"/>
          <w:szCs w:val="22"/>
          <w:lang w:val="en-GB"/>
        </w:rPr>
        <w:t xml:space="preserve">can be mobile with their equipment if they do not have to remain fixed to one concession. </w:t>
      </w:r>
      <w:r w:rsidR="00EA7F80" w:rsidRPr="004E053C">
        <w:rPr>
          <w:rFonts w:cstheme="majorHAnsi"/>
          <w:sz w:val="22"/>
          <w:szCs w:val="22"/>
          <w:lang w:val="en-GB"/>
        </w:rPr>
        <w:t>Rodrigo</w:t>
      </w:r>
      <w:r w:rsidRPr="004E053C">
        <w:rPr>
          <w:rFonts w:cstheme="majorHAnsi"/>
          <w:sz w:val="22"/>
          <w:szCs w:val="22"/>
          <w:lang w:val="en-GB"/>
        </w:rPr>
        <w:t xml:space="preserve"> is not a </w:t>
      </w:r>
      <w:r w:rsidRPr="004E053C">
        <w:rPr>
          <w:rFonts w:cstheme="majorHAnsi"/>
          <w:i/>
          <w:sz w:val="22"/>
          <w:szCs w:val="22"/>
          <w:lang w:val="en-GB"/>
        </w:rPr>
        <w:t>concessionario</w:t>
      </w:r>
      <w:r w:rsidRPr="004E053C">
        <w:rPr>
          <w:rFonts w:cstheme="majorHAnsi"/>
          <w:sz w:val="22"/>
          <w:szCs w:val="22"/>
          <w:lang w:val="en-GB"/>
        </w:rPr>
        <w:t xml:space="preserve"> so currently he is free to work wherever he wants, and as he is only a temporary miner he is not invested in Laberinto:</w:t>
      </w:r>
    </w:p>
    <w:p w14:paraId="782B5DD8" w14:textId="77777777" w:rsidR="00B53FA8" w:rsidRPr="004E053C" w:rsidRDefault="00B53FA8" w:rsidP="004E053C">
      <w:pPr>
        <w:spacing w:line="360" w:lineRule="auto"/>
        <w:jc w:val="both"/>
        <w:rPr>
          <w:rFonts w:cstheme="majorHAnsi"/>
          <w:sz w:val="22"/>
          <w:szCs w:val="22"/>
          <w:lang w:val="en-GB"/>
        </w:rPr>
      </w:pPr>
    </w:p>
    <w:p w14:paraId="32BC146A" w14:textId="3F147B79"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I work in different places. I am looking for another place at the moment. Sometimes I might only find 1-2grams of gold a day, and that is not enough. I have my workers, two of them, and…we sleep in a compartmento away from the town. We have a kitchen and other things there. We built it, but it is only temporary, and made with things we found in the jungle</w:t>
      </w:r>
      <w:r w:rsidRPr="004E053C">
        <w:rPr>
          <w:rFonts w:cstheme="majorHAnsi"/>
          <w:sz w:val="22"/>
          <w:szCs w:val="22"/>
          <w:lang w:val="en-GB"/>
        </w:rPr>
        <w:t>’ (</w:t>
      </w:r>
      <w:r w:rsidR="00EA7F80" w:rsidRPr="004E053C">
        <w:rPr>
          <w:rFonts w:cstheme="majorHAnsi"/>
          <w:sz w:val="22"/>
          <w:szCs w:val="22"/>
          <w:lang w:val="en-GB"/>
        </w:rPr>
        <w:t>Rodrigo</w:t>
      </w:r>
      <w:r w:rsidRPr="004E053C">
        <w:rPr>
          <w:rFonts w:cstheme="majorHAnsi"/>
          <w:sz w:val="22"/>
          <w:szCs w:val="22"/>
          <w:lang w:val="en-GB"/>
        </w:rPr>
        <w:t>, ASM miner, near Laberinto).</w:t>
      </w:r>
    </w:p>
    <w:p w14:paraId="7468048A" w14:textId="77777777" w:rsidR="00B53FA8" w:rsidRPr="004E053C" w:rsidRDefault="00B53FA8" w:rsidP="004E053C">
      <w:pPr>
        <w:spacing w:line="360" w:lineRule="auto"/>
        <w:jc w:val="both"/>
        <w:rPr>
          <w:rFonts w:cstheme="majorHAnsi"/>
          <w:sz w:val="22"/>
          <w:szCs w:val="22"/>
          <w:lang w:val="en-GB"/>
        </w:rPr>
      </w:pPr>
    </w:p>
    <w:p w14:paraId="558320C3" w14:textId="77777777"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As many of the </w:t>
      </w:r>
      <w:r w:rsidRPr="004E053C">
        <w:rPr>
          <w:rFonts w:cstheme="majorHAnsi"/>
          <w:i/>
          <w:sz w:val="22"/>
          <w:szCs w:val="22"/>
          <w:lang w:val="en-GB"/>
        </w:rPr>
        <w:t>obreros</w:t>
      </w:r>
      <w:r w:rsidRPr="004E053C">
        <w:rPr>
          <w:rFonts w:cstheme="majorHAnsi"/>
          <w:sz w:val="22"/>
          <w:szCs w:val="22"/>
          <w:lang w:val="en-GB"/>
        </w:rPr>
        <w:t xml:space="preserve"> in Laberinto are unable to earn a lot, partly due to the inability to own land or purchase their own motor, La Pampa becomes a more attractive option. There is therefore high </w:t>
      </w:r>
      <w:r w:rsidRPr="004E053C">
        <w:rPr>
          <w:rFonts w:cstheme="majorHAnsi"/>
          <w:sz w:val="22"/>
          <w:szCs w:val="22"/>
          <w:lang w:val="en-GB"/>
        </w:rPr>
        <w:lastRenderedPageBreak/>
        <w:t xml:space="preserve">mobility between La Pampa, Laberinto, and the numerous other mining sites in the region, which is a key feature of the translocal ASM community. </w:t>
      </w:r>
    </w:p>
    <w:p w14:paraId="228CB1C8" w14:textId="77777777" w:rsidR="00B53FA8" w:rsidRPr="004E053C" w:rsidRDefault="00B53FA8" w:rsidP="004E053C">
      <w:pPr>
        <w:spacing w:line="360" w:lineRule="auto"/>
        <w:jc w:val="both"/>
        <w:rPr>
          <w:rFonts w:cstheme="majorHAnsi"/>
          <w:sz w:val="22"/>
          <w:szCs w:val="22"/>
          <w:lang w:val="en-GB"/>
        </w:rPr>
      </w:pPr>
    </w:p>
    <w:p w14:paraId="0A8D1070" w14:textId="5188081E"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There is a working link between Laberinto and La Pampa, some people here go there because they don’t have money. You can earn more money there. We don’t blame those guys, it’s fine if La Pampa guys work there, because they need money and everyone needs to make a livelihood but it should be controlled</w:t>
      </w:r>
      <w:r w:rsidRPr="004E053C">
        <w:rPr>
          <w:rFonts w:cstheme="majorHAnsi"/>
          <w:sz w:val="22"/>
          <w:szCs w:val="22"/>
          <w:lang w:val="en-GB"/>
        </w:rPr>
        <w:t>’ (</w:t>
      </w:r>
      <w:r w:rsidR="00EA7F80" w:rsidRPr="004E053C">
        <w:rPr>
          <w:rFonts w:cstheme="majorHAnsi"/>
          <w:sz w:val="22"/>
          <w:szCs w:val="22"/>
          <w:lang w:val="en-GB"/>
        </w:rPr>
        <w:t>Diego</w:t>
      </w:r>
      <w:r w:rsidR="007857AB" w:rsidRPr="004E053C">
        <w:rPr>
          <w:rFonts w:cstheme="majorHAnsi"/>
          <w:sz w:val="22"/>
          <w:szCs w:val="22"/>
          <w:lang w:val="en-GB"/>
        </w:rPr>
        <w:t>, ASM miner).</w:t>
      </w:r>
    </w:p>
    <w:p w14:paraId="60BC56CD" w14:textId="77777777" w:rsidR="00B53FA8" w:rsidRPr="004E053C" w:rsidRDefault="00B53FA8" w:rsidP="004E053C">
      <w:pPr>
        <w:spacing w:line="360" w:lineRule="auto"/>
        <w:jc w:val="both"/>
        <w:rPr>
          <w:rFonts w:cstheme="majorHAnsi"/>
          <w:sz w:val="22"/>
          <w:szCs w:val="22"/>
          <w:lang w:val="en-GB"/>
        </w:rPr>
      </w:pPr>
    </w:p>
    <w:p w14:paraId="345AE691" w14:textId="58160E3A"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In the above quote, </w:t>
      </w:r>
      <w:r w:rsidR="00EA7F80" w:rsidRPr="004E053C">
        <w:rPr>
          <w:rFonts w:cstheme="majorHAnsi"/>
          <w:sz w:val="22"/>
          <w:szCs w:val="22"/>
          <w:lang w:val="en-GB"/>
        </w:rPr>
        <w:t>Diego</w:t>
      </w:r>
      <w:r w:rsidRPr="004E053C">
        <w:rPr>
          <w:rFonts w:cstheme="majorHAnsi"/>
          <w:sz w:val="22"/>
          <w:szCs w:val="22"/>
          <w:lang w:val="en-GB"/>
        </w:rPr>
        <w:t xml:space="preserve"> mentions the link that is formed between the localities. These interconnections make it difficult for those in Laberinto to disassociate themselves from the social and environmental problems in La Pampa. For th</w:t>
      </w:r>
      <w:r w:rsidR="00A40D10" w:rsidRPr="004E053C">
        <w:rPr>
          <w:rFonts w:cstheme="majorHAnsi"/>
          <w:sz w:val="22"/>
          <w:szCs w:val="22"/>
          <w:lang w:val="en-GB"/>
        </w:rPr>
        <w:t>ose miners committed to formalis</w:t>
      </w:r>
      <w:r w:rsidRPr="004E053C">
        <w:rPr>
          <w:rFonts w:cstheme="majorHAnsi"/>
          <w:sz w:val="22"/>
          <w:szCs w:val="22"/>
          <w:lang w:val="en-GB"/>
        </w:rPr>
        <w:t xml:space="preserve">ation to secure their long-term </w:t>
      </w:r>
      <w:r w:rsidR="00C21441" w:rsidRPr="004E053C">
        <w:rPr>
          <w:rFonts w:cstheme="majorHAnsi"/>
          <w:sz w:val="22"/>
          <w:szCs w:val="22"/>
          <w:lang w:val="en-GB"/>
        </w:rPr>
        <w:t>economic prospects</w:t>
      </w:r>
      <w:r w:rsidRPr="004E053C">
        <w:rPr>
          <w:rFonts w:cstheme="majorHAnsi"/>
          <w:sz w:val="22"/>
          <w:szCs w:val="22"/>
          <w:lang w:val="en-GB"/>
        </w:rPr>
        <w:t>, the continuing crime and violence in La Pampa provides a source of tension as it hin</w:t>
      </w:r>
      <w:r w:rsidR="00A40D10" w:rsidRPr="004E053C">
        <w:rPr>
          <w:rFonts w:cstheme="majorHAnsi"/>
          <w:sz w:val="22"/>
          <w:szCs w:val="22"/>
          <w:lang w:val="en-GB"/>
        </w:rPr>
        <w:t>ders progress and makes formalis</w:t>
      </w:r>
      <w:r w:rsidRPr="004E053C">
        <w:rPr>
          <w:rFonts w:cstheme="majorHAnsi"/>
          <w:sz w:val="22"/>
          <w:szCs w:val="22"/>
          <w:lang w:val="en-GB"/>
        </w:rPr>
        <w:t>ation more complicated. Thus, the high mobility that is a feature of some miners’ translocal livelihoods creates insecurity for the more permanent, rooted miners, highlighting again how the contestations within the field of ASM have both a spatial and temporal nature.</w:t>
      </w:r>
    </w:p>
    <w:p w14:paraId="1E4C1854" w14:textId="77777777" w:rsidR="00B53FA8" w:rsidRPr="004E053C" w:rsidRDefault="00B53FA8" w:rsidP="004E053C">
      <w:pPr>
        <w:spacing w:line="360" w:lineRule="auto"/>
        <w:jc w:val="both"/>
        <w:rPr>
          <w:rFonts w:cstheme="majorHAnsi"/>
          <w:sz w:val="22"/>
          <w:szCs w:val="22"/>
          <w:lang w:val="en-GB"/>
        </w:rPr>
      </w:pPr>
    </w:p>
    <w:p w14:paraId="684E0536" w14:textId="2CB1F307" w:rsidR="00B53FA8" w:rsidRPr="004E053C" w:rsidRDefault="00EA7F83" w:rsidP="004E053C">
      <w:pPr>
        <w:pStyle w:val="Heading3"/>
        <w:rPr>
          <w:rFonts w:asciiTheme="minorHAnsi" w:hAnsiTheme="minorHAnsi"/>
        </w:rPr>
      </w:pPr>
      <w:r w:rsidRPr="004E053C">
        <w:rPr>
          <w:rFonts w:asciiTheme="minorHAnsi" w:hAnsiTheme="minorHAnsi"/>
        </w:rPr>
        <w:t>8</w:t>
      </w:r>
      <w:r w:rsidR="004A3EF1" w:rsidRPr="004E053C">
        <w:rPr>
          <w:rFonts w:asciiTheme="minorHAnsi" w:hAnsiTheme="minorHAnsi"/>
        </w:rPr>
        <w:t>.2.3. Environmental s</w:t>
      </w:r>
      <w:r w:rsidR="00B53FA8" w:rsidRPr="004E053C">
        <w:rPr>
          <w:rFonts w:asciiTheme="minorHAnsi" w:hAnsiTheme="minorHAnsi"/>
        </w:rPr>
        <w:t>ustainability</w:t>
      </w:r>
    </w:p>
    <w:p w14:paraId="142AD963" w14:textId="77777777" w:rsidR="00B53FA8" w:rsidRPr="004E053C" w:rsidRDefault="00B53FA8" w:rsidP="004E053C">
      <w:pPr>
        <w:spacing w:line="360" w:lineRule="auto"/>
        <w:jc w:val="both"/>
        <w:rPr>
          <w:rFonts w:cstheme="majorHAnsi"/>
          <w:sz w:val="22"/>
          <w:szCs w:val="22"/>
          <w:lang w:val="en-GB"/>
        </w:rPr>
      </w:pPr>
    </w:p>
    <w:p w14:paraId="4AE26C9A" w14:textId="7A24142F"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ASM and the related migration to Madre de Dios is unequivocally resulting in accelerated destruction of the Amazon </w:t>
      </w:r>
      <w:r w:rsidR="00771E28" w:rsidRPr="004E053C">
        <w:rPr>
          <w:rFonts w:cstheme="majorHAnsi"/>
          <w:sz w:val="22"/>
          <w:szCs w:val="22"/>
          <w:lang w:val="en-GB"/>
        </w:rPr>
        <w:fldChar w:fldCharType="begin" w:fldLock="1"/>
      </w:r>
      <w:r w:rsidR="00771E28" w:rsidRPr="004E053C">
        <w:rPr>
          <w:rFonts w:cstheme="majorHAnsi"/>
          <w:sz w:val="22"/>
          <w:szCs w:val="22"/>
          <w:lang w:val="en-GB"/>
        </w:rPr>
        <w:instrText>ADDIN CSL_CITATION {"citationItems":[{"id":"ITEM-1","itemData":{"author":[{"dropping-particle":"","family":"Centro de Innovacion Cientifica Amazonica (CINCIA)","given":"","non-dropping-particle":"","parse-names":false,"suffix":""}],"id":"ITEM-1","issued":{"date-parts":[["2018"]]},"publisher-place":"Puerto Maldonado","title":"Three Decades of Deforestation from Artisanal Gold Mining in the Peruvian Amazon","type":"report"},"uris":["http://www.mendeley.com/documents/?uuid=733082f8-84aa-43d7-a312-31bd9e22d7a1"]}],"mendeley":{"formattedCitation":"(Centro de Innovacion Cientifica Amazonica (CINCIA), 2018)","manualFormatting":"(CINCIA, 2018)","plainTextFormattedCitation":"(Centro de Innovacion Cientifica Amazonica (CINCIA), 2018)","previouslyFormattedCitation":"(Centro de Innovacion Cientifica Amazonica (CINCIA), 2018)"},"properties":{"noteIndex":0},"schema":"https://github.com/citation-style-language/schema/raw/master/csl-citation.json"}</w:instrText>
      </w:r>
      <w:r w:rsidR="00771E28" w:rsidRPr="004E053C">
        <w:rPr>
          <w:rFonts w:cstheme="majorHAnsi"/>
          <w:sz w:val="22"/>
          <w:szCs w:val="22"/>
          <w:lang w:val="en-GB"/>
        </w:rPr>
        <w:fldChar w:fldCharType="separate"/>
      </w:r>
      <w:r w:rsidR="00771E28" w:rsidRPr="004E053C">
        <w:rPr>
          <w:rFonts w:cstheme="majorHAnsi"/>
          <w:noProof/>
          <w:sz w:val="22"/>
          <w:szCs w:val="22"/>
          <w:lang w:val="en-GB"/>
        </w:rPr>
        <w:t>(CINCIA, 2018)</w:t>
      </w:r>
      <w:r w:rsidR="00771E28" w:rsidRPr="004E053C">
        <w:rPr>
          <w:rFonts w:cstheme="majorHAnsi"/>
          <w:sz w:val="22"/>
          <w:szCs w:val="22"/>
          <w:lang w:val="en-GB"/>
        </w:rPr>
        <w:fldChar w:fldCharType="end"/>
      </w:r>
      <w:r w:rsidRPr="004E053C">
        <w:rPr>
          <w:rFonts w:cstheme="majorHAnsi"/>
          <w:sz w:val="22"/>
          <w:szCs w:val="22"/>
          <w:lang w:val="en-GB"/>
        </w:rPr>
        <w:t xml:space="preserve">, although in many ways this destruction fits into the region’s history </w:t>
      </w:r>
      <w:r w:rsidR="00771E28"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Amazon","type":"article-journal","volume":"48"},"uris":["http://www.mendeley.com/documents/?uuid=fc7d8531-86b5-35b7-a817-8d0034336ad3"]},{"id":"ITEM-2","itemData":{"abstract":"A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Society","id":"ITEM-2","issue":"4","issued":{"date-parts":[["2016"]]},"page":"1058-1066","publisher":"Elsevier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Peru","type":"article-journal","volume":"3"},"uris":["http://www.mendeley.com/documents/?uuid=c58e85fb-cf81-4a8b-acb3-317eb51efe53"]}],"mendeley":{"formattedCitation":"(Damonte, 2016; Salo et al., 2016)","manualFormatting":"(Damonte, 2016; Salo et al., 2016)","plainTextFormattedCitation":"(Damonte, 2016; Salo et al., 2016)","previouslyFormattedCitation":"(Damonte, 2016; Salo et al., 2016)"},"properties":{"noteIndex":0},"schema":"https://github.com/citation-style-language/schema/raw/master/csl-citation.json"}</w:instrText>
      </w:r>
      <w:r w:rsidR="00771E28" w:rsidRPr="004E053C">
        <w:rPr>
          <w:rFonts w:cstheme="majorHAnsi"/>
          <w:sz w:val="22"/>
          <w:szCs w:val="22"/>
          <w:lang w:val="en-GB"/>
        </w:rPr>
        <w:fldChar w:fldCharType="separate"/>
      </w:r>
      <w:r w:rsidR="00A40D10" w:rsidRPr="004E053C">
        <w:rPr>
          <w:rFonts w:cstheme="majorHAnsi"/>
          <w:noProof/>
          <w:sz w:val="22"/>
          <w:szCs w:val="22"/>
          <w:lang w:val="en-GB"/>
        </w:rPr>
        <w:t>(</w:t>
      </w:r>
      <w:r w:rsidR="00126F72" w:rsidRPr="004E053C">
        <w:rPr>
          <w:rFonts w:cstheme="majorHAnsi"/>
          <w:noProof/>
          <w:sz w:val="22"/>
          <w:szCs w:val="22"/>
          <w:lang w:val="en-GB"/>
        </w:rPr>
        <w:t>Damonte, 2016; Salo et al., 2016)</w:t>
      </w:r>
      <w:r w:rsidR="00771E28" w:rsidRPr="004E053C">
        <w:rPr>
          <w:rFonts w:cstheme="majorHAnsi"/>
          <w:sz w:val="22"/>
          <w:szCs w:val="22"/>
          <w:lang w:val="en-GB"/>
        </w:rPr>
        <w:fldChar w:fldCharType="end"/>
      </w:r>
      <w:r w:rsidRPr="004E053C">
        <w:rPr>
          <w:rFonts w:cstheme="majorHAnsi"/>
          <w:sz w:val="22"/>
          <w:szCs w:val="22"/>
          <w:lang w:val="en-GB"/>
        </w:rPr>
        <w:t>. As one NGO respondent noted, ‘</w:t>
      </w:r>
      <w:r w:rsidRPr="004E053C">
        <w:rPr>
          <w:rFonts w:cstheme="majorHAnsi"/>
          <w:i/>
          <w:sz w:val="22"/>
          <w:szCs w:val="22"/>
          <w:lang w:val="en-GB"/>
        </w:rPr>
        <w:t>this kind of migration to extract resources has been happ</w:t>
      </w:r>
      <w:r w:rsidR="00E06A67" w:rsidRPr="004E053C">
        <w:rPr>
          <w:rFonts w:cstheme="majorHAnsi"/>
          <w:i/>
          <w:sz w:val="22"/>
          <w:szCs w:val="22"/>
          <w:lang w:val="en-GB"/>
        </w:rPr>
        <w:t>en</w:t>
      </w:r>
      <w:r w:rsidRPr="004E053C">
        <w:rPr>
          <w:rFonts w:cstheme="majorHAnsi"/>
          <w:i/>
          <w:sz w:val="22"/>
          <w:szCs w:val="22"/>
          <w:lang w:val="en-GB"/>
        </w:rPr>
        <w:t>ing for years. This has shaped the history of migration; people coming here to destroy everything</w:t>
      </w:r>
      <w:r w:rsidRPr="004E053C">
        <w:rPr>
          <w:rFonts w:cstheme="majorHAnsi"/>
          <w:sz w:val="22"/>
          <w:szCs w:val="22"/>
          <w:lang w:val="en-GB"/>
        </w:rPr>
        <w:t>’ (NGO representative, Puerto Maldonado). While environmental destruction is occurring in Laberinto, particularly through contamination of waterways, the scale of the problem is far worse in La Pampa. La Pampa not only lies within the buffer zone of the protected Tambopata National Park, which is an area of extreme biodiversity and home to indigenous tribes, but the mining activity there is inherently more destructive. Whereas in Laberinto the gold deposits are in the rivers, allowing the miners to extract the minerals without cutting down any trees, in La Pampa the gold deposits follow the path of a dried up river bed and land must be excavated to get to it. The mining activity is therefore heavily associated with deforestation that is clearly visible from the air – ‘</w:t>
      </w:r>
      <w:r w:rsidR="00A40D10" w:rsidRPr="004E053C">
        <w:rPr>
          <w:rFonts w:cstheme="majorHAnsi"/>
          <w:i/>
          <w:sz w:val="22"/>
          <w:szCs w:val="22"/>
          <w:lang w:val="en-GB"/>
        </w:rPr>
        <w:t>When the G</w:t>
      </w:r>
      <w:r w:rsidRPr="004E053C">
        <w:rPr>
          <w:rFonts w:cstheme="majorHAnsi"/>
          <w:i/>
          <w:sz w:val="22"/>
          <w:szCs w:val="22"/>
          <w:lang w:val="en-GB"/>
        </w:rPr>
        <w:t>overnment fly over they can see the destruction as they can see the big holes’</w:t>
      </w:r>
      <w:r w:rsidRPr="004E053C">
        <w:rPr>
          <w:rFonts w:cstheme="majorHAnsi"/>
          <w:sz w:val="22"/>
          <w:szCs w:val="22"/>
          <w:lang w:val="en-GB"/>
        </w:rPr>
        <w:t xml:space="preserve"> (</w:t>
      </w:r>
      <w:r w:rsidR="00EA7F80" w:rsidRPr="004E053C">
        <w:rPr>
          <w:rFonts w:cstheme="majorHAnsi"/>
          <w:sz w:val="22"/>
          <w:szCs w:val="22"/>
          <w:lang w:val="en-GB"/>
        </w:rPr>
        <w:t>Alejandro</w:t>
      </w:r>
      <w:r w:rsidRPr="004E053C">
        <w:rPr>
          <w:rFonts w:cstheme="majorHAnsi"/>
          <w:sz w:val="22"/>
          <w:szCs w:val="22"/>
          <w:lang w:val="en-GB"/>
        </w:rPr>
        <w:t xml:space="preserve">, ASM miner, Laberinto). Furthermore, its location in a place that has been ascribed environmental meaning at a global level means that it attracts condemnation far beyond national borders. </w:t>
      </w:r>
    </w:p>
    <w:p w14:paraId="6B6D2E47" w14:textId="77777777" w:rsidR="00B53FA8" w:rsidRPr="004E053C" w:rsidRDefault="00B53FA8" w:rsidP="004E053C">
      <w:pPr>
        <w:spacing w:line="360" w:lineRule="auto"/>
        <w:jc w:val="both"/>
        <w:rPr>
          <w:rFonts w:cstheme="majorHAnsi"/>
          <w:sz w:val="22"/>
          <w:szCs w:val="22"/>
          <w:lang w:val="en-GB"/>
        </w:rPr>
      </w:pPr>
    </w:p>
    <w:p w14:paraId="56954DEE" w14:textId="12F79DD1"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lastRenderedPageBreak/>
        <w:t xml:space="preserve">While </w:t>
      </w:r>
      <w:r w:rsidR="00F13313" w:rsidRPr="004E053C">
        <w:rPr>
          <w:rFonts w:cstheme="majorHAnsi"/>
          <w:sz w:val="22"/>
          <w:szCs w:val="22"/>
          <w:lang w:val="en-GB"/>
        </w:rPr>
        <w:t>it is the</w:t>
      </w:r>
      <w:r w:rsidR="00771E28" w:rsidRPr="004E053C">
        <w:rPr>
          <w:rFonts w:cstheme="majorHAnsi"/>
          <w:sz w:val="22"/>
          <w:szCs w:val="22"/>
          <w:lang w:val="en-GB"/>
        </w:rPr>
        <w:t xml:space="preserve"> informal</w:t>
      </w:r>
      <w:r w:rsidR="00F13313" w:rsidRPr="004E053C">
        <w:rPr>
          <w:rFonts w:cstheme="majorHAnsi"/>
          <w:sz w:val="22"/>
          <w:szCs w:val="22"/>
          <w:lang w:val="en-GB"/>
        </w:rPr>
        <w:t xml:space="preserve"> nature </w:t>
      </w:r>
      <w:r w:rsidRPr="004E053C">
        <w:rPr>
          <w:rFonts w:cstheme="majorHAnsi"/>
          <w:sz w:val="22"/>
          <w:szCs w:val="22"/>
          <w:lang w:val="en-GB"/>
        </w:rPr>
        <w:t xml:space="preserve">of </w:t>
      </w:r>
      <w:r w:rsidR="00F13313" w:rsidRPr="004E053C">
        <w:rPr>
          <w:rFonts w:cstheme="majorHAnsi"/>
          <w:sz w:val="22"/>
          <w:szCs w:val="22"/>
          <w:lang w:val="en-GB"/>
        </w:rPr>
        <w:t>ASM that is often thought to be the cause of</w:t>
      </w:r>
      <w:r w:rsidR="00771E28" w:rsidRPr="004E053C">
        <w:rPr>
          <w:rFonts w:cstheme="majorHAnsi"/>
          <w:sz w:val="22"/>
          <w:szCs w:val="22"/>
          <w:lang w:val="en-GB"/>
        </w:rPr>
        <w:t xml:space="preserve"> </w:t>
      </w:r>
      <w:r w:rsidR="00F13313" w:rsidRPr="004E053C">
        <w:rPr>
          <w:rFonts w:cstheme="majorHAnsi"/>
          <w:sz w:val="22"/>
          <w:szCs w:val="22"/>
          <w:lang w:val="en-GB"/>
        </w:rPr>
        <w:t xml:space="preserve">the sector’s </w:t>
      </w:r>
      <w:r w:rsidRPr="004E053C">
        <w:rPr>
          <w:rFonts w:cstheme="majorHAnsi"/>
          <w:sz w:val="22"/>
          <w:szCs w:val="22"/>
          <w:lang w:val="en-GB"/>
        </w:rPr>
        <w:t xml:space="preserve">environmental destruction </w:t>
      </w:r>
      <w:r w:rsidR="00F13313"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{"citationItems":[{"id":"ITEM-1","itemData":{"author":[{"dropping-particle":"","family":"Hilson","given":"Gavin","non-dropping-particle":"","parse-names":false,"suffix":""}],"container-title":"The SAIS Review of International Affairs","id":"ITEM-1","issue":"1","issued":{"date-parts":[["2013"]]},"page":"51-64","title":"\"Creating\" rural informality: the case of artisanal gold mining in sub-Saharan africa","type":"article-journal","volume":"33"},"uris":["http://www.mendeley.com/documents/?uuid=a063227a-8fe9-4317-872d-69fe7207661a"]}],"mendeley":{"formattedCitation":"(Gavin Hilson, 2013)","manualFormatting":"(Hilson, 2013)","plainTextFormattedCitation":"(Gavin Hilson, 2013)","previouslyFormattedCitation":"(Gavin Hilson, 2013)"},"properties":{"noteIndex":0},"schema":"https://github.com/citation-style-language/schema/raw/master/csl-citation.json"}</w:instrText>
      </w:r>
      <w:r w:rsidR="00F13313" w:rsidRPr="004E053C">
        <w:rPr>
          <w:rFonts w:cstheme="majorHAnsi"/>
          <w:sz w:val="22"/>
          <w:szCs w:val="22"/>
          <w:lang w:val="en-GB"/>
        </w:rPr>
        <w:fldChar w:fldCharType="separate"/>
      </w:r>
      <w:r w:rsidR="00F13313" w:rsidRPr="004E053C">
        <w:rPr>
          <w:rFonts w:cstheme="majorHAnsi"/>
          <w:noProof/>
          <w:sz w:val="22"/>
          <w:szCs w:val="22"/>
          <w:lang w:val="en-GB"/>
        </w:rPr>
        <w:t>(Hilson, 2013)</w:t>
      </w:r>
      <w:r w:rsidR="00F13313" w:rsidRPr="004E053C">
        <w:rPr>
          <w:rFonts w:cstheme="majorHAnsi"/>
          <w:sz w:val="22"/>
          <w:szCs w:val="22"/>
          <w:lang w:val="en-GB"/>
        </w:rPr>
        <w:fldChar w:fldCharType="end"/>
      </w:r>
      <w:r w:rsidRPr="004E053C">
        <w:rPr>
          <w:rFonts w:cstheme="majorHAnsi"/>
          <w:sz w:val="22"/>
          <w:szCs w:val="22"/>
          <w:lang w:val="en-GB"/>
        </w:rPr>
        <w:t xml:space="preserve">, one NGO representative specifically attributed it to the fact that miners in La Pampa are not invested in the area. They therefore have little reason to care about environmental sustainability within host communities. Conversely, local people in Ocongate were worried that the discovery of gold nearby would lead to a similar level of environment destruction in their own locality, despite the fact that many of them carry out ASM activity in Madre de Dios with little concern. Interviews in La Pampa also suggested that it is the translocality of ASM livelihoods that contributes to the miners’ apparent lack of concern about the environment, rather than simply the sector’s informal nature. One permanent miner explained how her local association have been involved with an NGO to work on reforestation of certain concessions using new techniques. Meanwhile, many of the permanent miners in Laberinto were growing plants and vegetables in their gardens, which one ex-miner claimed was evidence that they cared about environmental sustainability. This perhaps reflects a desire amongst permanent residents for a sustainable livelihood and a growing understanding of the importance of conservation. This was also supported by a couple of NGO representatives, as they acknowledged that miners in Laberinto were more conscious about environmental issues than those in La Pampa. </w:t>
      </w:r>
    </w:p>
    <w:p w14:paraId="38DB9248" w14:textId="77777777" w:rsidR="00B53FA8" w:rsidRPr="004E053C" w:rsidRDefault="00B53FA8" w:rsidP="004E053C">
      <w:pPr>
        <w:spacing w:line="360" w:lineRule="auto"/>
        <w:jc w:val="both"/>
        <w:rPr>
          <w:rFonts w:cstheme="majorHAnsi"/>
          <w:sz w:val="22"/>
          <w:szCs w:val="22"/>
          <w:lang w:val="en-GB"/>
        </w:rPr>
      </w:pPr>
    </w:p>
    <w:p w14:paraId="5A87A06F" w14:textId="2896A9D2"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The increasing numbers of miners who operate their livelihoods on a more translocal basis seem to have less interest in </w:t>
      </w:r>
      <w:r w:rsidR="00A40D10" w:rsidRPr="004E053C">
        <w:rPr>
          <w:rFonts w:cstheme="majorHAnsi"/>
          <w:sz w:val="22"/>
          <w:szCs w:val="22"/>
          <w:lang w:val="en-GB"/>
        </w:rPr>
        <w:t xml:space="preserve">securing their environment long </w:t>
      </w:r>
      <w:r w:rsidRPr="004E053C">
        <w:rPr>
          <w:rFonts w:cstheme="majorHAnsi"/>
          <w:sz w:val="22"/>
          <w:szCs w:val="22"/>
          <w:lang w:val="en-GB"/>
        </w:rPr>
        <w:t>term. A few of the miners explained the problem of new miners arriving and cutting down trees or polluting the water, highlighting their own awareness of the environmental problems associated with ASM:</w:t>
      </w:r>
    </w:p>
    <w:p w14:paraId="202298B8" w14:textId="77777777" w:rsidR="00B53FA8" w:rsidRPr="004E053C" w:rsidRDefault="00B53FA8" w:rsidP="004E053C">
      <w:pPr>
        <w:spacing w:line="360" w:lineRule="auto"/>
        <w:jc w:val="both"/>
        <w:rPr>
          <w:rFonts w:eastAsia="Times New Roman" w:cstheme="majorHAnsi"/>
          <w:sz w:val="22"/>
          <w:szCs w:val="22"/>
          <w:lang w:val="en-GB"/>
        </w:rPr>
      </w:pPr>
    </w:p>
    <w:p w14:paraId="6A498EE0" w14:textId="33D464C4"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The miners are like gypsy...Where these guys came there were no trees after. I have never seen one person in 20-30 years ever planting one thing at all</w:t>
      </w:r>
      <w:r w:rsidRPr="004E053C">
        <w:rPr>
          <w:rFonts w:cstheme="majorHAnsi"/>
          <w:sz w:val="22"/>
          <w:szCs w:val="22"/>
          <w:lang w:val="en-GB"/>
        </w:rPr>
        <w:t>’ (</w:t>
      </w:r>
      <w:r w:rsidR="00EA7F80" w:rsidRPr="004E053C">
        <w:rPr>
          <w:rFonts w:cstheme="majorHAnsi"/>
          <w:sz w:val="22"/>
          <w:szCs w:val="22"/>
          <w:lang w:val="en-GB"/>
        </w:rPr>
        <w:t>Mario</w:t>
      </w:r>
      <w:r w:rsidRPr="004E053C">
        <w:rPr>
          <w:rFonts w:cstheme="majorHAnsi"/>
          <w:sz w:val="22"/>
          <w:szCs w:val="22"/>
          <w:lang w:val="en-GB"/>
        </w:rPr>
        <w:t xml:space="preserve">, ASM miner, </w:t>
      </w:r>
      <w:r w:rsidR="00DC2965" w:rsidRPr="004E053C">
        <w:rPr>
          <w:rFonts w:cstheme="majorHAnsi"/>
          <w:sz w:val="22"/>
          <w:szCs w:val="22"/>
          <w:lang w:val="en-GB"/>
        </w:rPr>
        <w:t xml:space="preserve">Boca </w:t>
      </w:r>
      <w:r w:rsidRPr="004E053C">
        <w:rPr>
          <w:rFonts w:cstheme="majorHAnsi"/>
          <w:sz w:val="22"/>
          <w:szCs w:val="22"/>
          <w:lang w:val="en-GB"/>
        </w:rPr>
        <w:t>Union).</w:t>
      </w:r>
    </w:p>
    <w:p w14:paraId="22FB24E2" w14:textId="77777777" w:rsidR="00B53FA8" w:rsidRPr="004E053C" w:rsidRDefault="00B53FA8" w:rsidP="004E053C">
      <w:pPr>
        <w:spacing w:line="360" w:lineRule="auto"/>
        <w:jc w:val="both"/>
        <w:rPr>
          <w:rFonts w:cstheme="majorHAnsi"/>
          <w:sz w:val="22"/>
          <w:szCs w:val="22"/>
          <w:lang w:val="en-GB"/>
        </w:rPr>
      </w:pPr>
    </w:p>
    <w:p w14:paraId="17C2AF19" w14:textId="7CAADB9C"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Such opinions suggest that environmental degradation arises because transient migrants do not plan to live in the area long-term and therefore have less desire to protect common-pool resources</w:t>
      </w:r>
      <w:r w:rsidR="00815B47" w:rsidRPr="004E053C">
        <w:rPr>
          <w:rFonts w:cstheme="majorHAnsi"/>
          <w:sz w:val="22"/>
          <w:szCs w:val="22"/>
          <w:lang w:val="en-GB"/>
        </w:rPr>
        <w:t xml:space="preserve">. </w:t>
      </w:r>
      <w:r w:rsidRPr="004E053C">
        <w:rPr>
          <w:rFonts w:cstheme="majorHAnsi"/>
          <w:sz w:val="22"/>
          <w:szCs w:val="22"/>
          <w:lang w:val="en-GB"/>
        </w:rPr>
        <w:t>This also reflects Bourdieu’s ideas about contestation, as those holding different positions within the social field will attempt to gain access to available resources in ways that further their own self-interest. Interestingly, the permanent miners are also likely to be the ones to own a concession, suggesting their relatively elevated position within the social hierarchy of the field. As they have access to this resource, it is in their interest to protect it. The temporary and floating miners often do not own co</w:t>
      </w:r>
      <w:r w:rsidR="00A40D10" w:rsidRPr="004E053C">
        <w:rPr>
          <w:rFonts w:cstheme="majorHAnsi"/>
          <w:sz w:val="22"/>
          <w:szCs w:val="22"/>
          <w:lang w:val="en-GB"/>
        </w:rPr>
        <w:t>ncessions, and they must maximis</w:t>
      </w:r>
      <w:r w:rsidRPr="004E053C">
        <w:rPr>
          <w:rFonts w:cstheme="majorHAnsi"/>
          <w:sz w:val="22"/>
          <w:szCs w:val="22"/>
          <w:lang w:val="en-GB"/>
        </w:rPr>
        <w:t xml:space="preserve">e their resources through any means possible, even if it leads to greater environmental destructions. </w:t>
      </w:r>
    </w:p>
    <w:p w14:paraId="22C40004" w14:textId="77777777" w:rsidR="00B53FA8" w:rsidRPr="004E053C" w:rsidRDefault="00B53FA8" w:rsidP="004E053C">
      <w:pPr>
        <w:spacing w:line="360" w:lineRule="auto"/>
        <w:jc w:val="both"/>
        <w:rPr>
          <w:rFonts w:cstheme="majorHAnsi"/>
          <w:sz w:val="22"/>
          <w:szCs w:val="22"/>
          <w:lang w:val="en-GB"/>
        </w:rPr>
      </w:pPr>
    </w:p>
    <w:p w14:paraId="54415A31" w14:textId="32641723" w:rsidR="00B53FA8" w:rsidRPr="004E053C" w:rsidRDefault="00B53FA8"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A further issue is that in the context of a translocal community, the social relationships that may modify behaviour in line with social norms are weakened, as people feel less connection to those around them. For example, </w:t>
      </w:r>
      <w:r w:rsidR="00EA7F80" w:rsidRPr="004E053C">
        <w:rPr>
          <w:rFonts w:eastAsia="Times New Roman" w:cstheme="majorHAnsi"/>
          <w:sz w:val="22"/>
          <w:szCs w:val="22"/>
          <w:lang w:val="en-GB"/>
        </w:rPr>
        <w:t>Justiniano</w:t>
      </w:r>
      <w:r w:rsidRPr="004E053C">
        <w:rPr>
          <w:rFonts w:eastAsia="Times New Roman" w:cstheme="majorHAnsi"/>
          <w:sz w:val="22"/>
          <w:szCs w:val="22"/>
          <w:lang w:val="en-GB"/>
        </w:rPr>
        <w:t xml:space="preserve"> </w:t>
      </w:r>
      <w:r w:rsidRPr="004E053C">
        <w:rPr>
          <w:rFonts w:cstheme="majorHAnsi"/>
          <w:sz w:val="22"/>
          <w:szCs w:val="22"/>
          <w:lang w:val="en-GB"/>
        </w:rPr>
        <w:t xml:space="preserve">explained that the association of miners in Laberinto had signed laws in the past trying to protect the environment, especially with regard to mercury contamination, but that some of the more temporary and transient miners didn’t respect those laws. </w:t>
      </w:r>
      <w:r w:rsidR="00EA7F80" w:rsidRPr="004E053C">
        <w:rPr>
          <w:rFonts w:cstheme="majorHAnsi"/>
          <w:sz w:val="22"/>
          <w:szCs w:val="22"/>
          <w:lang w:val="en-GB"/>
        </w:rPr>
        <w:t>Justiniano</w:t>
      </w:r>
      <w:r w:rsidRPr="004E053C">
        <w:rPr>
          <w:rFonts w:cstheme="majorHAnsi"/>
          <w:sz w:val="22"/>
          <w:szCs w:val="22"/>
          <w:lang w:val="en-GB"/>
        </w:rPr>
        <w:t xml:space="preserve"> thought that a key problem was that FEDAMIN were not strong enough to ensure that everyone abides by the rules, because the leaders were too busy working to go after any miners that broke the laws. Thus, due to the temporal and spatial dynamics of translocal livelihoods, not only do temporary miners care less about the environment in host communities but they also are less bound by the local social norms that may mediate their behaviour. This clearly has implications for community dynamics and creates sources of tension and contestation within mining settlements. For example, the destruction from ASM attracts national and international condemnation towards </w:t>
      </w:r>
      <w:r w:rsidR="00A40D10" w:rsidRPr="004E053C">
        <w:rPr>
          <w:rFonts w:cstheme="majorHAnsi"/>
          <w:sz w:val="22"/>
          <w:szCs w:val="22"/>
          <w:lang w:val="en-GB"/>
        </w:rPr>
        <w:t>the whole of Madre de Dios. T</w:t>
      </w:r>
      <w:r w:rsidRPr="004E053C">
        <w:rPr>
          <w:rFonts w:cstheme="majorHAnsi"/>
          <w:sz w:val="22"/>
          <w:szCs w:val="22"/>
          <w:lang w:val="en-GB"/>
        </w:rPr>
        <w:t xml:space="preserve">he miners in Laberinto blame La Pampa for the current political situation and the stability it causes to their livelihood – </w:t>
      </w:r>
      <w:r w:rsidRPr="004E053C">
        <w:rPr>
          <w:rFonts w:cstheme="majorHAnsi"/>
          <w:i/>
          <w:sz w:val="22"/>
          <w:szCs w:val="22"/>
          <w:lang w:val="en-GB"/>
        </w:rPr>
        <w:t>‘If La Pampa hadn’t existed we would be fine. We’re not destroying the environment, they are, because they don’t care what they put in the water</w:t>
      </w:r>
      <w:r w:rsidRPr="004E053C">
        <w:rPr>
          <w:rFonts w:cstheme="majorHAnsi"/>
          <w:sz w:val="22"/>
          <w:szCs w:val="22"/>
          <w:lang w:val="en-GB"/>
        </w:rPr>
        <w:t>’ (</w:t>
      </w:r>
      <w:r w:rsidR="00EA7F80" w:rsidRPr="004E053C">
        <w:rPr>
          <w:rFonts w:cstheme="majorHAnsi"/>
          <w:sz w:val="22"/>
          <w:szCs w:val="22"/>
          <w:lang w:val="en-GB"/>
        </w:rPr>
        <w:t>Diego</w:t>
      </w:r>
      <w:r w:rsidRPr="004E053C">
        <w:rPr>
          <w:rFonts w:cstheme="majorHAnsi"/>
          <w:sz w:val="22"/>
          <w:szCs w:val="22"/>
          <w:lang w:val="en-GB"/>
        </w:rPr>
        <w:t>, ASM miner). This will be explore</w:t>
      </w:r>
      <w:r w:rsidR="00565C53" w:rsidRPr="004E053C">
        <w:rPr>
          <w:rFonts w:cstheme="majorHAnsi"/>
          <w:sz w:val="22"/>
          <w:szCs w:val="22"/>
          <w:lang w:val="en-GB"/>
        </w:rPr>
        <w:t>d in greater detail in chapter 9</w:t>
      </w:r>
      <w:r w:rsidRPr="004E053C">
        <w:rPr>
          <w:rFonts w:cstheme="majorHAnsi"/>
          <w:sz w:val="22"/>
          <w:szCs w:val="22"/>
          <w:lang w:val="en-GB"/>
        </w:rPr>
        <w:t xml:space="preserve">. </w:t>
      </w:r>
    </w:p>
    <w:p w14:paraId="6A2DE13D" w14:textId="77777777" w:rsidR="00B53FA8" w:rsidRPr="004E053C" w:rsidRDefault="00B53FA8" w:rsidP="004E053C">
      <w:pPr>
        <w:spacing w:line="360" w:lineRule="auto"/>
        <w:jc w:val="both"/>
        <w:rPr>
          <w:rFonts w:cstheme="majorHAnsi"/>
          <w:sz w:val="22"/>
          <w:szCs w:val="22"/>
          <w:lang w:val="en-GB"/>
        </w:rPr>
      </w:pPr>
    </w:p>
    <w:p w14:paraId="1BFA30B8" w14:textId="57771FED"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There are clear antagonisms between the miner</w:t>
      </w:r>
      <w:r w:rsidR="00A40D10" w:rsidRPr="004E053C">
        <w:rPr>
          <w:rFonts w:cstheme="majorHAnsi"/>
          <w:sz w:val="22"/>
          <w:szCs w:val="22"/>
          <w:lang w:val="en-GB"/>
        </w:rPr>
        <w:t>s in Laberinto and the G</w:t>
      </w:r>
      <w:r w:rsidRPr="004E053C">
        <w:rPr>
          <w:rFonts w:cstheme="majorHAnsi"/>
          <w:sz w:val="22"/>
          <w:szCs w:val="22"/>
          <w:lang w:val="en-GB"/>
        </w:rPr>
        <w:t>overnment, which may affect the desire of the miners to protect the environment. Some miners in Laberinto seemed to want to pass the bu</w:t>
      </w:r>
      <w:r w:rsidR="00A40D10" w:rsidRPr="004E053C">
        <w:rPr>
          <w:rFonts w:cstheme="majorHAnsi"/>
          <w:sz w:val="22"/>
          <w:szCs w:val="22"/>
          <w:lang w:val="en-GB"/>
        </w:rPr>
        <w:t>ck, saying the onus was on the G</w:t>
      </w:r>
      <w:r w:rsidRPr="004E053C">
        <w:rPr>
          <w:rFonts w:cstheme="majorHAnsi"/>
          <w:sz w:val="22"/>
          <w:szCs w:val="22"/>
          <w:lang w:val="en-GB"/>
        </w:rPr>
        <w:t xml:space="preserve">overnment to stop environmental degradation, which is interesting given their opposition to any form of intervention that may stop their mining activity. </w:t>
      </w:r>
      <w:r w:rsidRPr="004E053C">
        <w:rPr>
          <w:rFonts w:eastAsia="Times New Roman" w:cstheme="majorHAnsi"/>
          <w:sz w:val="22"/>
          <w:szCs w:val="22"/>
          <w:lang w:val="en-GB"/>
        </w:rPr>
        <w:t xml:space="preserve">It is however true that while there is a risk of the state forces blowing up or confiscating machines, miners remain unwilling to invest in expensive greener technology, although several expressed an interest otherwise. </w:t>
      </w:r>
      <w:r w:rsidRPr="004E053C">
        <w:rPr>
          <w:rFonts w:cstheme="majorHAnsi"/>
          <w:sz w:val="22"/>
          <w:szCs w:val="22"/>
          <w:lang w:val="en-GB"/>
        </w:rPr>
        <w:t>It is however difficult to assess the extent to which they ar</w:t>
      </w:r>
      <w:r w:rsidR="00A40D10" w:rsidRPr="004E053C">
        <w:rPr>
          <w:rFonts w:cstheme="majorHAnsi"/>
          <w:sz w:val="22"/>
          <w:szCs w:val="22"/>
          <w:lang w:val="en-GB"/>
        </w:rPr>
        <w:t xml:space="preserve">e serious about such </w:t>
      </w:r>
      <w:r w:rsidR="00D3785B" w:rsidRPr="004E053C">
        <w:rPr>
          <w:rFonts w:cstheme="majorHAnsi"/>
          <w:sz w:val="22"/>
          <w:szCs w:val="22"/>
          <w:lang w:val="en-GB"/>
        </w:rPr>
        <w:t>endeavours</w:t>
      </w:r>
      <w:r w:rsidR="00A40D10" w:rsidRPr="004E053C">
        <w:rPr>
          <w:rFonts w:cstheme="majorHAnsi"/>
          <w:sz w:val="22"/>
          <w:szCs w:val="22"/>
          <w:lang w:val="en-GB"/>
        </w:rPr>
        <w:t>. O</w:t>
      </w:r>
      <w:r w:rsidRPr="004E053C">
        <w:rPr>
          <w:rFonts w:cstheme="majorHAnsi"/>
          <w:sz w:val="22"/>
          <w:szCs w:val="22"/>
          <w:lang w:val="en-GB"/>
        </w:rPr>
        <w:t xml:space="preserve">ther miners such as </w:t>
      </w:r>
      <w:r w:rsidR="00EA7F80" w:rsidRPr="004E053C">
        <w:rPr>
          <w:rFonts w:cstheme="majorHAnsi"/>
          <w:sz w:val="22"/>
          <w:szCs w:val="22"/>
          <w:lang w:val="en-GB"/>
        </w:rPr>
        <w:t>Francisco</w:t>
      </w:r>
      <w:r w:rsidRPr="004E053C">
        <w:rPr>
          <w:rFonts w:cstheme="majorHAnsi"/>
          <w:sz w:val="22"/>
          <w:szCs w:val="22"/>
          <w:lang w:val="en-GB"/>
        </w:rPr>
        <w:t xml:space="preserve"> admit that they are polluting, but that it is what they have to do in order to mine. This is especially true in relation to</w:t>
      </w:r>
      <w:r w:rsidR="00A40D10" w:rsidRPr="004E053C">
        <w:rPr>
          <w:rFonts w:cstheme="majorHAnsi"/>
          <w:sz w:val="22"/>
          <w:szCs w:val="22"/>
          <w:lang w:val="en-GB"/>
        </w:rPr>
        <w:t xml:space="preserve"> protecting the rivers, as the G</w:t>
      </w:r>
      <w:r w:rsidRPr="004E053C">
        <w:rPr>
          <w:rFonts w:cstheme="majorHAnsi"/>
          <w:sz w:val="22"/>
          <w:szCs w:val="22"/>
          <w:lang w:val="en-GB"/>
        </w:rPr>
        <w:t xml:space="preserve">overnment want to prevent them transporting oil on the rivers or working in them. Nearly all the miners discussed this problem, but they all had differing opinions on how much of a legitimate concern this is and if there is any way the miners could continue with their livelihood whilst adhering to the rules.  </w:t>
      </w:r>
    </w:p>
    <w:p w14:paraId="682BCE85" w14:textId="77777777" w:rsidR="00B53FA8" w:rsidRPr="004E053C" w:rsidRDefault="00B53FA8" w:rsidP="004E053C">
      <w:pPr>
        <w:spacing w:line="360" w:lineRule="auto"/>
        <w:jc w:val="both"/>
        <w:rPr>
          <w:rFonts w:cstheme="majorHAnsi"/>
          <w:sz w:val="22"/>
          <w:szCs w:val="22"/>
          <w:lang w:val="en-GB"/>
        </w:rPr>
      </w:pPr>
    </w:p>
    <w:p w14:paraId="739EAFB0" w14:textId="0B00C310"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There is </w:t>
      </w:r>
      <w:r w:rsidR="00A40D10" w:rsidRPr="004E053C">
        <w:rPr>
          <w:rFonts w:cstheme="majorHAnsi"/>
          <w:sz w:val="22"/>
          <w:szCs w:val="22"/>
          <w:lang w:val="en-GB"/>
        </w:rPr>
        <w:t>also a lot of sc</w:t>
      </w:r>
      <w:r w:rsidRPr="004E053C">
        <w:rPr>
          <w:rFonts w:cstheme="majorHAnsi"/>
          <w:sz w:val="22"/>
          <w:szCs w:val="22"/>
          <w:lang w:val="en-GB"/>
        </w:rPr>
        <w:t>ept</w:t>
      </w:r>
      <w:r w:rsidR="00A40D10" w:rsidRPr="004E053C">
        <w:rPr>
          <w:rFonts w:cstheme="majorHAnsi"/>
          <w:sz w:val="22"/>
          <w:szCs w:val="22"/>
          <w:lang w:val="en-GB"/>
        </w:rPr>
        <w:t>i</w:t>
      </w:r>
      <w:r w:rsidRPr="004E053C">
        <w:rPr>
          <w:rFonts w:cstheme="majorHAnsi"/>
          <w:sz w:val="22"/>
          <w:szCs w:val="22"/>
          <w:lang w:val="en-GB"/>
        </w:rPr>
        <w:t xml:space="preserve">cism about the environmental impact of mining, but this comes particularly from the </w:t>
      </w:r>
      <w:r w:rsidR="00C21441" w:rsidRPr="004E053C">
        <w:rPr>
          <w:rFonts w:cstheme="majorHAnsi"/>
          <w:sz w:val="22"/>
          <w:szCs w:val="22"/>
          <w:lang w:val="en-GB"/>
        </w:rPr>
        <w:t>permanent</w:t>
      </w:r>
      <w:r w:rsidRPr="004E053C">
        <w:rPr>
          <w:rFonts w:cstheme="majorHAnsi"/>
          <w:sz w:val="22"/>
          <w:szCs w:val="22"/>
          <w:lang w:val="en-GB"/>
        </w:rPr>
        <w:t xml:space="preserve"> miners. The </w:t>
      </w:r>
      <w:r w:rsidR="00C21441" w:rsidRPr="004E053C">
        <w:rPr>
          <w:rFonts w:cstheme="majorHAnsi"/>
          <w:sz w:val="22"/>
          <w:szCs w:val="22"/>
          <w:lang w:val="en-GB"/>
        </w:rPr>
        <w:t>temporary</w:t>
      </w:r>
      <w:r w:rsidRPr="004E053C">
        <w:rPr>
          <w:rFonts w:cstheme="majorHAnsi"/>
          <w:sz w:val="22"/>
          <w:szCs w:val="22"/>
          <w:lang w:val="en-GB"/>
        </w:rPr>
        <w:t xml:space="preserve"> miners seemed much more open to </w:t>
      </w:r>
      <w:r w:rsidRPr="004E053C">
        <w:rPr>
          <w:rFonts w:cstheme="majorHAnsi"/>
          <w:sz w:val="22"/>
          <w:szCs w:val="22"/>
          <w:lang w:val="en-GB"/>
        </w:rPr>
        <w:lastRenderedPageBreak/>
        <w:t>admitting that yes, ASM was damaging to the environment and of course th</w:t>
      </w:r>
      <w:r w:rsidR="00A40D10" w:rsidRPr="004E053C">
        <w:rPr>
          <w:rFonts w:cstheme="majorHAnsi"/>
          <w:sz w:val="22"/>
          <w:szCs w:val="22"/>
          <w:lang w:val="en-GB"/>
        </w:rPr>
        <w:t>e G</w:t>
      </w:r>
      <w:r w:rsidRPr="004E053C">
        <w:rPr>
          <w:rFonts w:cstheme="majorHAnsi"/>
          <w:sz w:val="22"/>
          <w:szCs w:val="22"/>
          <w:lang w:val="en-GB"/>
        </w:rPr>
        <w:t>overnment would try to stop them</w:t>
      </w:r>
      <w:r w:rsidR="00A40D10" w:rsidRPr="004E053C">
        <w:rPr>
          <w:rFonts w:cstheme="majorHAnsi"/>
          <w:sz w:val="22"/>
          <w:szCs w:val="22"/>
          <w:lang w:val="en-GB"/>
        </w:rPr>
        <w:t xml:space="preserve"> doing it. The sc</w:t>
      </w:r>
      <w:r w:rsidRPr="004E053C">
        <w:rPr>
          <w:rFonts w:cstheme="majorHAnsi"/>
          <w:sz w:val="22"/>
          <w:szCs w:val="22"/>
          <w:lang w:val="en-GB"/>
        </w:rPr>
        <w:t>eptic</w:t>
      </w:r>
      <w:r w:rsidR="00C21441" w:rsidRPr="004E053C">
        <w:rPr>
          <w:rFonts w:cstheme="majorHAnsi"/>
          <w:sz w:val="22"/>
          <w:szCs w:val="22"/>
          <w:lang w:val="en-GB"/>
        </w:rPr>
        <w:t>ism on the part of the permanent</w:t>
      </w:r>
      <w:r w:rsidRPr="004E053C">
        <w:rPr>
          <w:rFonts w:cstheme="majorHAnsi"/>
          <w:sz w:val="22"/>
          <w:szCs w:val="22"/>
          <w:lang w:val="en-GB"/>
        </w:rPr>
        <w:t xml:space="preserve"> miners ranges from assertions that other countries and big mining and petroleum countries contaminate far more than ASM (</w:t>
      </w:r>
      <w:r w:rsidR="00B21FFD" w:rsidRPr="004E053C">
        <w:rPr>
          <w:rFonts w:cstheme="majorHAnsi"/>
          <w:sz w:val="22"/>
          <w:szCs w:val="22"/>
          <w:lang w:val="en-GB"/>
        </w:rPr>
        <w:t>Miriam</w:t>
      </w:r>
      <w:r w:rsidRPr="004E053C">
        <w:rPr>
          <w:rFonts w:cstheme="majorHAnsi"/>
          <w:sz w:val="22"/>
          <w:szCs w:val="22"/>
          <w:lang w:val="en-GB"/>
        </w:rPr>
        <w:t xml:space="preserve">), Meanwhile, </w:t>
      </w:r>
      <w:r w:rsidR="00F6233C" w:rsidRPr="004E053C">
        <w:rPr>
          <w:rFonts w:cstheme="majorHAnsi"/>
          <w:sz w:val="22"/>
          <w:szCs w:val="22"/>
          <w:lang w:val="en-GB"/>
        </w:rPr>
        <w:t xml:space="preserve">three respondents </w:t>
      </w:r>
      <w:r w:rsidRPr="004E053C">
        <w:rPr>
          <w:rFonts w:cstheme="majorHAnsi"/>
          <w:sz w:val="22"/>
          <w:szCs w:val="22"/>
          <w:lang w:val="en-GB"/>
        </w:rPr>
        <w:t>doubted that mercury was even dangerous</w:t>
      </w:r>
      <w:r w:rsidR="00F6233C" w:rsidRPr="004E053C">
        <w:rPr>
          <w:rFonts w:cstheme="majorHAnsi"/>
          <w:sz w:val="22"/>
          <w:szCs w:val="22"/>
          <w:lang w:val="en-GB"/>
        </w:rPr>
        <w:t>, as reflected in the quotes below from Gustavo and Mateo</w:t>
      </w:r>
      <w:r w:rsidRPr="004E053C">
        <w:rPr>
          <w:rFonts w:cstheme="majorHAnsi"/>
          <w:sz w:val="22"/>
          <w:szCs w:val="22"/>
          <w:lang w:val="en-GB"/>
        </w:rPr>
        <w:t>:</w:t>
      </w:r>
    </w:p>
    <w:p w14:paraId="29C6D7F1" w14:textId="77777777" w:rsidR="00B53FA8" w:rsidRPr="004E053C" w:rsidRDefault="00B53FA8" w:rsidP="004E053C">
      <w:pPr>
        <w:spacing w:line="360" w:lineRule="auto"/>
        <w:jc w:val="both"/>
        <w:rPr>
          <w:rFonts w:cstheme="majorHAnsi"/>
          <w:sz w:val="22"/>
          <w:szCs w:val="22"/>
          <w:lang w:val="en-GB"/>
        </w:rPr>
      </w:pPr>
    </w:p>
    <w:p w14:paraId="4C570CB2" w14:textId="47C1F5F1" w:rsidR="00B53FA8" w:rsidRPr="004E053C" w:rsidRDefault="00B53FA8" w:rsidP="004E053C">
      <w:pPr>
        <w:ind w:left="720"/>
        <w:jc w:val="both"/>
        <w:rPr>
          <w:rFonts w:cstheme="majorHAnsi"/>
          <w:sz w:val="22"/>
          <w:szCs w:val="22"/>
          <w:lang w:val="en-GB"/>
        </w:rPr>
      </w:pPr>
      <w:r w:rsidRPr="004E053C">
        <w:rPr>
          <w:rFonts w:cstheme="majorHAnsi"/>
          <w:i/>
          <w:sz w:val="22"/>
          <w:szCs w:val="22"/>
          <w:lang w:val="en-GB"/>
        </w:rPr>
        <w:t>‘I am 71, since I was a young man I’ve had so much contact with mercury. Sometimes I’ve even drunk mercury, because people told me it would be good to help me forget about my problems. It just tastes like Chicha’</w:t>
      </w:r>
      <w:r w:rsidRPr="004E053C">
        <w:rPr>
          <w:rFonts w:cstheme="majorHAnsi"/>
          <w:sz w:val="22"/>
          <w:szCs w:val="22"/>
          <w:lang w:val="en-GB"/>
        </w:rPr>
        <w:t xml:space="preserve"> (</w:t>
      </w:r>
      <w:r w:rsidR="00EA7F80" w:rsidRPr="004E053C">
        <w:rPr>
          <w:rFonts w:cstheme="majorHAnsi"/>
          <w:sz w:val="22"/>
          <w:szCs w:val="22"/>
          <w:lang w:val="en-GB"/>
        </w:rPr>
        <w:t>Gustavo</w:t>
      </w:r>
      <w:r w:rsidRPr="004E053C">
        <w:rPr>
          <w:rFonts w:cstheme="majorHAnsi"/>
          <w:sz w:val="22"/>
          <w:szCs w:val="22"/>
          <w:lang w:val="en-GB"/>
        </w:rPr>
        <w:t>, ASM miner, Laberinto)</w:t>
      </w:r>
      <w:r w:rsidR="006F6757" w:rsidRPr="004E053C">
        <w:rPr>
          <w:rFonts w:cstheme="majorHAnsi"/>
          <w:sz w:val="22"/>
          <w:szCs w:val="22"/>
          <w:lang w:val="en-GB"/>
        </w:rPr>
        <w:t>.</w:t>
      </w:r>
    </w:p>
    <w:p w14:paraId="428EE1D4" w14:textId="77777777" w:rsidR="00B53FA8" w:rsidRPr="004E053C" w:rsidRDefault="00B53FA8" w:rsidP="004E053C">
      <w:pPr>
        <w:jc w:val="both"/>
        <w:rPr>
          <w:rFonts w:cstheme="majorHAnsi"/>
          <w:sz w:val="22"/>
          <w:szCs w:val="22"/>
          <w:lang w:val="en-GB"/>
        </w:rPr>
      </w:pPr>
    </w:p>
    <w:p w14:paraId="7E7A61B2" w14:textId="6580E3C1" w:rsidR="00B53FA8" w:rsidRPr="004E053C" w:rsidRDefault="00A40D10" w:rsidP="004E053C">
      <w:pPr>
        <w:ind w:left="720"/>
        <w:jc w:val="both"/>
        <w:rPr>
          <w:rFonts w:cstheme="majorHAnsi"/>
          <w:sz w:val="22"/>
          <w:szCs w:val="22"/>
          <w:lang w:val="en-GB"/>
        </w:rPr>
      </w:pPr>
      <w:r w:rsidRPr="004E053C">
        <w:rPr>
          <w:rFonts w:cstheme="majorHAnsi"/>
          <w:i/>
          <w:sz w:val="22"/>
          <w:szCs w:val="22"/>
          <w:lang w:val="en-GB"/>
        </w:rPr>
        <w:t>‘The G</w:t>
      </w:r>
      <w:r w:rsidR="00B53FA8" w:rsidRPr="004E053C">
        <w:rPr>
          <w:rFonts w:cstheme="majorHAnsi"/>
          <w:i/>
          <w:sz w:val="22"/>
          <w:szCs w:val="22"/>
          <w:lang w:val="en-GB"/>
        </w:rPr>
        <w:t>overnment exaggerates the environmental destruction…It’s natural to have mercury in the fish etc</w:t>
      </w:r>
      <w:r w:rsidR="00EA7F80" w:rsidRPr="004E053C">
        <w:rPr>
          <w:rFonts w:cstheme="majorHAnsi"/>
          <w:sz w:val="22"/>
          <w:szCs w:val="22"/>
          <w:lang w:val="en-GB"/>
        </w:rPr>
        <w:t>’ (Mateo</w:t>
      </w:r>
      <w:r w:rsidR="00B53FA8" w:rsidRPr="004E053C">
        <w:rPr>
          <w:rFonts w:cstheme="majorHAnsi"/>
          <w:sz w:val="22"/>
          <w:szCs w:val="22"/>
          <w:lang w:val="en-GB"/>
        </w:rPr>
        <w:t>, Engineer, Puerto Maldonado).</w:t>
      </w:r>
    </w:p>
    <w:p w14:paraId="3802E825" w14:textId="77777777" w:rsidR="00B53FA8" w:rsidRPr="004E053C" w:rsidRDefault="00B53FA8" w:rsidP="004E053C">
      <w:pPr>
        <w:spacing w:line="360" w:lineRule="auto"/>
        <w:jc w:val="both"/>
        <w:rPr>
          <w:rFonts w:cstheme="majorHAnsi"/>
          <w:iCs/>
          <w:sz w:val="22"/>
          <w:szCs w:val="22"/>
          <w:lang w:val="en-GB"/>
        </w:rPr>
      </w:pPr>
    </w:p>
    <w:p w14:paraId="62909E4B" w14:textId="62FA9BCF" w:rsidR="00B53FA8" w:rsidRPr="004E053C" w:rsidRDefault="00B53FA8" w:rsidP="004E053C">
      <w:pPr>
        <w:spacing w:line="360" w:lineRule="auto"/>
        <w:jc w:val="both"/>
        <w:rPr>
          <w:rFonts w:cstheme="majorHAnsi"/>
          <w:sz w:val="22"/>
          <w:szCs w:val="22"/>
          <w:lang w:val="en-GB"/>
        </w:rPr>
      </w:pPr>
      <w:r w:rsidRPr="004E053C">
        <w:rPr>
          <w:rFonts w:cstheme="majorHAnsi"/>
          <w:iCs/>
          <w:sz w:val="22"/>
          <w:szCs w:val="22"/>
          <w:lang w:val="en-GB"/>
        </w:rPr>
        <w:t xml:space="preserve">It is impossible to analyse the systems of belief that underpin these statements, or why it is that the permanent residents seem so worried about the future of their locality but not its environmental sustainability. On one hand, </w:t>
      </w:r>
      <w:r w:rsidRPr="004E053C">
        <w:rPr>
          <w:rFonts w:cstheme="majorHAnsi"/>
          <w:sz w:val="22"/>
          <w:szCs w:val="22"/>
          <w:lang w:val="en-GB"/>
        </w:rPr>
        <w:t xml:space="preserve">the permanent residents’ identities may be so bound up with mining that they are in denial about its relative consequences. Shammus and Sandberg </w:t>
      </w:r>
      <w:r w:rsidR="00F13313"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2016)","manualFormatting":"(2016)","plainTextFormattedCitation":"(Shammus &amp; Sandberg, 2016)","previouslyFormattedCitation":"(Shammus &amp; Sandberg, 2016)"},"properties":{"noteIndex":0},"schema":"https://github.com/citation-style-language/schema/raw/master/csl-citation.json"}</w:instrText>
      </w:r>
      <w:r w:rsidR="00F13313" w:rsidRPr="004E053C">
        <w:rPr>
          <w:rFonts w:cstheme="majorHAnsi"/>
          <w:sz w:val="22"/>
          <w:szCs w:val="22"/>
          <w:lang w:val="en-GB"/>
        </w:rPr>
        <w:fldChar w:fldCharType="separate"/>
      </w:r>
      <w:r w:rsidR="00F13313" w:rsidRPr="004E053C">
        <w:rPr>
          <w:rFonts w:cstheme="majorHAnsi"/>
          <w:noProof/>
          <w:sz w:val="22"/>
          <w:szCs w:val="22"/>
          <w:lang w:val="en-GB"/>
        </w:rPr>
        <w:t>(2016)</w:t>
      </w:r>
      <w:r w:rsidR="00F13313" w:rsidRPr="004E053C">
        <w:rPr>
          <w:rFonts w:cstheme="majorHAnsi"/>
          <w:sz w:val="22"/>
          <w:szCs w:val="22"/>
          <w:lang w:val="en-GB"/>
        </w:rPr>
        <w:fldChar w:fldCharType="end"/>
      </w:r>
      <w:r w:rsidRPr="004E053C">
        <w:rPr>
          <w:rFonts w:cstheme="majorHAnsi"/>
          <w:sz w:val="22"/>
          <w:szCs w:val="22"/>
          <w:lang w:val="en-GB"/>
        </w:rPr>
        <w:t xml:space="preserve"> have argued that existence within a social field can lead to transformative eff</w:t>
      </w:r>
      <w:r w:rsidR="00A40D10" w:rsidRPr="004E053C">
        <w:rPr>
          <w:rFonts w:cstheme="majorHAnsi"/>
          <w:sz w:val="22"/>
          <w:szCs w:val="22"/>
          <w:lang w:val="en-GB"/>
        </w:rPr>
        <w:t>ects on an individual’s habitus</w:t>
      </w:r>
      <w:r w:rsidRPr="004E053C">
        <w:rPr>
          <w:rFonts w:cstheme="majorHAnsi"/>
          <w:sz w:val="22"/>
          <w:szCs w:val="22"/>
          <w:lang w:val="en-GB"/>
        </w:rPr>
        <w:t xml:space="preserve"> and these narratives may become part of the miners’ field-bounded existence. On the other hand, the miners may be making such claims despite knowing them to be</w:t>
      </w:r>
      <w:r w:rsidRPr="004E053C">
        <w:rPr>
          <w:rFonts w:cstheme="majorHAnsi"/>
          <w:iCs/>
          <w:sz w:val="22"/>
          <w:szCs w:val="22"/>
          <w:lang w:val="en-GB"/>
        </w:rPr>
        <w:t xml:space="preserve"> false</w:t>
      </w:r>
      <w:r w:rsidR="00A40D10" w:rsidRPr="004E053C">
        <w:rPr>
          <w:rFonts w:cstheme="majorHAnsi"/>
          <w:iCs/>
          <w:sz w:val="22"/>
          <w:szCs w:val="22"/>
          <w:lang w:val="en-GB"/>
        </w:rPr>
        <w:t>, perhaps in a bid to de-demonis</w:t>
      </w:r>
      <w:r w:rsidRPr="004E053C">
        <w:rPr>
          <w:rFonts w:cstheme="majorHAnsi"/>
          <w:iCs/>
          <w:sz w:val="22"/>
          <w:szCs w:val="22"/>
          <w:lang w:val="en-GB"/>
        </w:rPr>
        <w:t xml:space="preserve">e the sector. While it is impossible to verify this, it is still interesting to see the ways in which the permanent miners develop narratives about the environment that support their cause. Similar </w:t>
      </w:r>
      <w:r w:rsidRPr="004E053C">
        <w:rPr>
          <w:rFonts w:cstheme="majorHAnsi"/>
          <w:sz w:val="22"/>
          <w:szCs w:val="22"/>
          <w:lang w:val="en-GB"/>
        </w:rPr>
        <w:t xml:space="preserve">discourses around sustainability that seek to </w:t>
      </w:r>
      <w:r w:rsidRPr="004E053C">
        <w:rPr>
          <w:rFonts w:eastAsia="Times New Roman" w:cstheme="majorHAnsi"/>
          <w:sz w:val="22"/>
          <w:szCs w:val="22"/>
          <w:lang w:val="en-GB"/>
        </w:rPr>
        <w:t xml:space="preserve">contrast their own ASM activity with that of large-scale mining </w:t>
      </w:r>
      <w:r w:rsidRPr="004E053C">
        <w:rPr>
          <w:rFonts w:cstheme="majorHAnsi"/>
          <w:sz w:val="22"/>
          <w:szCs w:val="22"/>
          <w:lang w:val="en-GB"/>
        </w:rPr>
        <w:t xml:space="preserve">have been observed amongst </w:t>
      </w:r>
      <w:r w:rsidRPr="004E053C">
        <w:rPr>
          <w:rFonts w:eastAsia="Times New Roman" w:cstheme="majorHAnsi"/>
          <w:sz w:val="22"/>
          <w:szCs w:val="22"/>
          <w:lang w:val="en-GB"/>
        </w:rPr>
        <w:t xml:space="preserve">small-scale miners in </w:t>
      </w:r>
      <w:r w:rsidR="00A40D10" w:rsidRPr="004E053C">
        <w:rPr>
          <w:rFonts w:eastAsia="Times New Roman" w:cstheme="majorHAnsi"/>
          <w:sz w:val="22"/>
          <w:szCs w:val="22"/>
          <w:lang w:val="en-GB"/>
        </w:rPr>
        <w:t>Colombia when trying to formalis</w:t>
      </w:r>
      <w:r w:rsidRPr="004E053C">
        <w:rPr>
          <w:rFonts w:eastAsia="Times New Roman" w:cstheme="majorHAnsi"/>
          <w:sz w:val="22"/>
          <w:szCs w:val="22"/>
          <w:lang w:val="en-GB"/>
        </w:rPr>
        <w:t xml:space="preserve">e their industry through marches, lobbying, and political engagements </w:t>
      </w:r>
      <w:r w:rsidR="00F13313" w:rsidRPr="004E053C">
        <w:rPr>
          <w:rFonts w:eastAsia="Times New Roman" w:cstheme="majorHAnsi"/>
          <w:sz w:val="22"/>
          <w:szCs w:val="22"/>
          <w:lang w:val="en-GB"/>
        </w:rPr>
        <w:fldChar w:fldCharType="begin" w:fldLock="1"/>
      </w:r>
      <w:r w:rsidR="00680892" w:rsidRPr="004E053C">
        <w:rPr>
          <w:rFonts w:eastAsia="Times New Roman" w:cstheme="majorHAnsi"/>
          <w:sz w:val="22"/>
          <w:szCs w:val="22"/>
          <w:lang w:val="en-GB"/>
        </w:rPr>
        <w:instrText>ADDIN CSL_CITATION {"citationItems":[{"id":"ITEM-1","itemData":{"abstract":"As gold prices rose between 2002 and 2012, Afro-descendant gold miners confronted illegal outsider-owned gold mines on their land in Colombia’s northwest Chocó department. This article examines why these Afro-descendant miners, who used hand tools and techniques, often invited the outsiders, who used heavy machinery and mercury, to work their mines. Their reasons included: familial pressure over land, profit sharing, high prices, access to gold, and dangerous working conditions. The decision to invite in the outsiders complicates the conventional narrative of a coercive relationship between outsiders and Afro-descendant communities, even as the relationship produced worse than expected outcomes for both sides.","author":[{"dropping-particle":"","family":"Tubb","given":"Daniel","non-dropping-particle":"","parse-names":false,"suffix":""}],"container-title":"The Extractive Industries and Society","id":"ITEM-1","issue":"4","issued":{"date-parts":[["2015"]]},"page":"722-733","title":"Muddy decisions: Gold in the Choco, Colombia","type":"article-journal","volume":"2"},"uris":["http://www.mendeley.com/documents/?uuid=0a37e678-351f-4105-81a4-df99fce7704c"]}],"mendeley":{"formattedCitation":"(Tubb, 2015)","plainTextFormattedCitation":"(Tubb, 2015)","previouslyFormattedCitation":"(Tubb, 2015)"},"properties":{"noteIndex":0},"schema":"https://github.com/citation-style-language/schema/raw/master/csl-citation.json"}</w:instrText>
      </w:r>
      <w:r w:rsidR="00F13313" w:rsidRPr="004E053C">
        <w:rPr>
          <w:rFonts w:eastAsia="Times New Roman" w:cstheme="majorHAnsi"/>
          <w:sz w:val="22"/>
          <w:szCs w:val="22"/>
          <w:lang w:val="en-GB"/>
        </w:rPr>
        <w:fldChar w:fldCharType="separate"/>
      </w:r>
      <w:r w:rsidR="009220E9" w:rsidRPr="004E053C">
        <w:rPr>
          <w:rFonts w:eastAsia="Times New Roman" w:cstheme="majorHAnsi"/>
          <w:noProof/>
          <w:sz w:val="22"/>
          <w:szCs w:val="22"/>
          <w:lang w:val="en-GB"/>
        </w:rPr>
        <w:t>(Tubb, 2015)</w:t>
      </w:r>
      <w:r w:rsidR="00F13313" w:rsidRPr="004E053C">
        <w:rPr>
          <w:rFonts w:eastAsia="Times New Roman" w:cstheme="majorHAnsi"/>
          <w:sz w:val="22"/>
          <w:szCs w:val="22"/>
          <w:lang w:val="en-GB"/>
        </w:rPr>
        <w:fldChar w:fldCharType="end"/>
      </w:r>
      <w:r w:rsidRPr="004E053C">
        <w:rPr>
          <w:rFonts w:eastAsia="Times New Roman" w:cstheme="majorHAnsi"/>
          <w:sz w:val="22"/>
          <w:szCs w:val="22"/>
          <w:lang w:val="en-GB"/>
        </w:rPr>
        <w:t>. I will elabor</w:t>
      </w:r>
      <w:r w:rsidR="00565C53" w:rsidRPr="004E053C">
        <w:rPr>
          <w:rFonts w:eastAsia="Times New Roman" w:cstheme="majorHAnsi"/>
          <w:sz w:val="22"/>
          <w:szCs w:val="22"/>
          <w:lang w:val="en-GB"/>
        </w:rPr>
        <w:t>ate on this further in Chapter 9</w:t>
      </w:r>
      <w:r w:rsidRPr="004E053C">
        <w:rPr>
          <w:rFonts w:eastAsia="Times New Roman" w:cstheme="majorHAnsi"/>
          <w:sz w:val="22"/>
          <w:szCs w:val="22"/>
          <w:lang w:val="en-GB"/>
        </w:rPr>
        <w:t xml:space="preserve">, where I reflect on how these narratives and discourses are shaped by a collective identity that is linked to a sense of injustice at the criminalisation of ASM and a perceived threat to place and livelihood.  </w:t>
      </w:r>
    </w:p>
    <w:p w14:paraId="61158EB1" w14:textId="77777777" w:rsidR="00B53FA8" w:rsidRPr="004E053C" w:rsidRDefault="00B53FA8" w:rsidP="004E053C">
      <w:pPr>
        <w:spacing w:line="360" w:lineRule="auto"/>
        <w:jc w:val="both"/>
        <w:rPr>
          <w:rFonts w:cstheme="majorHAnsi"/>
          <w:b/>
          <w:sz w:val="22"/>
          <w:szCs w:val="22"/>
          <w:lang w:val="en-GB"/>
        </w:rPr>
      </w:pPr>
    </w:p>
    <w:p w14:paraId="13100847" w14:textId="38367E28" w:rsidR="00B53FA8" w:rsidRPr="004E053C" w:rsidRDefault="00EA7F83" w:rsidP="004E053C">
      <w:pPr>
        <w:pStyle w:val="Heading3"/>
        <w:rPr>
          <w:rFonts w:asciiTheme="minorHAnsi" w:hAnsiTheme="minorHAnsi"/>
        </w:rPr>
      </w:pPr>
      <w:r w:rsidRPr="004E053C">
        <w:rPr>
          <w:rFonts w:asciiTheme="minorHAnsi" w:hAnsiTheme="minorHAnsi"/>
        </w:rPr>
        <w:t>8</w:t>
      </w:r>
      <w:r w:rsidR="004A3EF1" w:rsidRPr="004E053C">
        <w:rPr>
          <w:rFonts w:asciiTheme="minorHAnsi" w:hAnsiTheme="minorHAnsi"/>
        </w:rPr>
        <w:t>.2.4. Social networks and t</w:t>
      </w:r>
      <w:r w:rsidR="00B53FA8" w:rsidRPr="004E053C">
        <w:rPr>
          <w:rFonts w:asciiTheme="minorHAnsi" w:hAnsiTheme="minorHAnsi"/>
        </w:rPr>
        <w:t>rust</w:t>
      </w:r>
    </w:p>
    <w:p w14:paraId="691A3573" w14:textId="77777777" w:rsidR="00B53FA8" w:rsidRPr="004E053C" w:rsidRDefault="00B53FA8" w:rsidP="004E053C">
      <w:pPr>
        <w:spacing w:line="360" w:lineRule="auto"/>
        <w:jc w:val="both"/>
        <w:rPr>
          <w:rFonts w:cstheme="majorHAnsi"/>
          <w:lang w:val="en-GB"/>
        </w:rPr>
      </w:pPr>
    </w:p>
    <w:p w14:paraId="2D817CAE" w14:textId="2C2C6484" w:rsidR="00B53FA8" w:rsidRPr="004E053C" w:rsidRDefault="00B53FA8" w:rsidP="004E053C">
      <w:pPr>
        <w:spacing w:line="360" w:lineRule="auto"/>
        <w:jc w:val="both"/>
        <w:rPr>
          <w:rFonts w:eastAsia="Times New Roman" w:cstheme="majorHAnsi"/>
          <w:sz w:val="22"/>
          <w:szCs w:val="22"/>
          <w:lang w:val="en-GB"/>
        </w:rPr>
      </w:pPr>
      <w:r w:rsidRPr="004E053C">
        <w:rPr>
          <w:rFonts w:cstheme="majorHAnsi"/>
          <w:sz w:val="22"/>
          <w:szCs w:val="22"/>
          <w:lang w:val="en-GB"/>
        </w:rPr>
        <w:t>As descri</w:t>
      </w:r>
      <w:r w:rsidR="00565C53" w:rsidRPr="004E053C">
        <w:rPr>
          <w:rFonts w:cstheme="majorHAnsi"/>
          <w:sz w:val="22"/>
          <w:szCs w:val="22"/>
          <w:lang w:val="en-GB"/>
        </w:rPr>
        <w:t>bed in chapter 4</w:t>
      </w:r>
      <w:r w:rsidR="00D30E66" w:rsidRPr="004E053C">
        <w:rPr>
          <w:rFonts w:cstheme="majorHAnsi"/>
          <w:sz w:val="22"/>
          <w:szCs w:val="22"/>
          <w:lang w:val="en-GB"/>
        </w:rPr>
        <w:t xml:space="preserve">, Bourdieu </w:t>
      </w:r>
      <w:r w:rsidR="00D30E66" w:rsidRPr="004E053C">
        <w:rPr>
          <w:rFonts w:cstheme="majorHAnsi"/>
          <w:sz w:val="22"/>
          <w:szCs w:val="22"/>
          <w:lang w:val="en-GB"/>
        </w:rPr>
        <w:fldChar w:fldCharType="begin" w:fldLock="1"/>
      </w:r>
      <w:r w:rsidR="00BE5EE2" w:rsidRPr="004E053C">
        <w:rPr>
          <w:rFonts w:cstheme="majorHAnsi"/>
          <w:sz w:val="22"/>
          <w:szCs w:val="22"/>
          <w:lang w:val="en-GB"/>
        </w:rPr>
        <w:instrText>ADDIN CSL_CITATION {"citationItems":[{"id":"ITEM-1","itemData":{"author":[{"dropping-particle":"","family":"Bourdieu","given":"Pierre","non-dropping-particle":"","parse-names":false,"suffix":""}],"id":"ITEM-1","issued":{"date-parts":[["1977"]]},"publisher":"Cambridge University Press","publisher-place":"Cambridge","title":"Outline of a Theory of Practice","type":"book"},"uris":["http://www.mendeley.com/documents/?uuid=8266da53-3861-3711-81ba-d99179335688"]},{"id":"ITEM-2","itemData":{"author":[{"dropping-particle":"","family":"Bourdieu","given":"Pierre","non-dropping-particle":"","parse-names":false,"suffix":""}],"chapter-number":"1","container-title":"Handbook of Theory and Research for the Sociology of Education","editor":[{"dropping-particle":"","family":"Richardson","given":"John G","non-dropping-particle":"","parse-names":false,"suffix":""}],"id":"ITEM-2","issued":{"date-parts":[["1986"]]},"page":"241-258","publisher":"Greenwood Press","publisher-place":"New York, NY","title":"The Forms of Capital","type":"chapter"},"uris":["http://www.mendeley.com/documents/?uuid=40e1d66b-fde9-4b9c-8637-77ea98146e73"]},{"id":"ITEM-3","itemData":{"author":[{"dropping-particle":"","family":"Bourdieu","given":"Pierre","non-dropping-particle":"","parse-names":false,"suffix":""},{"dropping-particle":"","family":"Wacquant","given":"Loic","non-dropping-particle":"","parse-names":false,"suffix":""}],"id":"ITEM-3","issued":{"date-parts":[["1992"]]},"publisher":"University of Chicago Press","publisher-place":"Chicago","title":"An Invitation to Reflexive Sociology","type":"book"},"uris":["http://www.mendeley.com/documents/?uuid=c1429f32-90a2-3b41-90c4-9a470864a959"]}],"mendeley":{"formattedCitation":"(Bourdieu, 1977, 1986; Bourdieu &amp; Wacquant, 1992)","plainTextFormattedCitation":"(Bourdieu, 1977, 1986; Bourdieu &amp; Wacquant, 1992)","previouslyFormattedCitation":"(Bourdieu, 1977, 1986; Bourdieu &amp; Wacquant, 1992)"},"properties":{"noteIndex":0},"schema":"https://github.com/citation-style-language/schema/raw/master/csl-citation.json"}</w:instrText>
      </w:r>
      <w:r w:rsidR="00D30E66" w:rsidRPr="004E053C">
        <w:rPr>
          <w:rFonts w:cstheme="majorHAnsi"/>
          <w:sz w:val="22"/>
          <w:szCs w:val="22"/>
          <w:lang w:val="en-GB"/>
        </w:rPr>
        <w:fldChar w:fldCharType="separate"/>
      </w:r>
      <w:r w:rsidR="00D30E66" w:rsidRPr="004E053C">
        <w:rPr>
          <w:rFonts w:cstheme="majorHAnsi"/>
          <w:noProof/>
          <w:sz w:val="22"/>
          <w:szCs w:val="22"/>
          <w:lang w:val="en-GB"/>
        </w:rPr>
        <w:t>(Bourdieu, 1977, 1986; Bourdieu &amp; Wacquant, 1992)</w:t>
      </w:r>
      <w:r w:rsidR="00D30E66" w:rsidRPr="004E053C">
        <w:rPr>
          <w:rFonts w:cstheme="majorHAnsi"/>
          <w:sz w:val="22"/>
          <w:szCs w:val="22"/>
          <w:lang w:val="en-GB"/>
        </w:rPr>
        <w:fldChar w:fldCharType="end"/>
      </w:r>
      <w:r w:rsidRPr="004E053C">
        <w:rPr>
          <w:rFonts w:cstheme="majorHAnsi"/>
          <w:sz w:val="22"/>
          <w:szCs w:val="22"/>
          <w:lang w:val="en-GB"/>
        </w:rPr>
        <w:t xml:space="preserve"> saw an individual’s social capital as being a key element of one’s positi</w:t>
      </w:r>
      <w:r w:rsidR="00A40D10" w:rsidRPr="004E053C">
        <w:rPr>
          <w:rFonts w:cstheme="majorHAnsi"/>
          <w:sz w:val="22"/>
          <w:szCs w:val="22"/>
          <w:lang w:val="en-GB"/>
        </w:rPr>
        <w:t xml:space="preserve">on within the social field. </w:t>
      </w:r>
      <w:r w:rsidRPr="004E053C">
        <w:rPr>
          <w:rFonts w:cstheme="majorHAnsi"/>
          <w:sz w:val="22"/>
          <w:szCs w:val="22"/>
          <w:lang w:val="en-GB"/>
        </w:rPr>
        <w:t xml:space="preserve">The </w:t>
      </w:r>
      <w:r w:rsidRPr="004E053C">
        <w:rPr>
          <w:rFonts w:eastAsia="Times New Roman" w:cstheme="majorHAnsi"/>
          <w:sz w:val="22"/>
          <w:szCs w:val="22"/>
          <w:lang w:val="en-GB"/>
        </w:rPr>
        <w:t>translocal nature of mining communities means that migrants have to forge new relationships wi</w:t>
      </w:r>
      <w:r w:rsidR="00A40D10" w:rsidRPr="004E053C">
        <w:rPr>
          <w:rFonts w:eastAsia="Times New Roman" w:cstheme="majorHAnsi"/>
          <w:sz w:val="22"/>
          <w:szCs w:val="22"/>
          <w:lang w:val="en-GB"/>
        </w:rPr>
        <w:t>th people they do not know. T</w:t>
      </w:r>
      <w:r w:rsidRPr="004E053C">
        <w:rPr>
          <w:rFonts w:eastAsia="Times New Roman" w:cstheme="majorHAnsi"/>
          <w:sz w:val="22"/>
          <w:szCs w:val="22"/>
          <w:lang w:val="en-GB"/>
        </w:rPr>
        <w:t>he fastest way to do this is through a shared working environment, due to the close proximity of one</w:t>
      </w:r>
      <w:r w:rsidR="00E06A67" w:rsidRPr="004E053C">
        <w:rPr>
          <w:rFonts w:eastAsia="Times New Roman" w:cstheme="majorHAnsi"/>
          <w:sz w:val="22"/>
          <w:szCs w:val="22"/>
          <w:lang w:val="en-GB"/>
        </w:rPr>
        <w:t>’</w:t>
      </w:r>
      <w:r w:rsidRPr="004E053C">
        <w:rPr>
          <w:rFonts w:eastAsia="Times New Roman" w:cstheme="majorHAnsi"/>
          <w:sz w:val="22"/>
          <w:szCs w:val="22"/>
          <w:lang w:val="en-GB"/>
        </w:rPr>
        <w:t xml:space="preserve">s work colleagues and the physical and sometimes dangerous nature of </w:t>
      </w:r>
      <w:r w:rsidRPr="004E053C">
        <w:rPr>
          <w:rFonts w:eastAsia="Times New Roman" w:cstheme="majorHAnsi"/>
          <w:sz w:val="22"/>
          <w:szCs w:val="22"/>
          <w:lang w:val="en-GB"/>
        </w:rPr>
        <w:lastRenderedPageBreak/>
        <w:t xml:space="preserve">the work. </w:t>
      </w:r>
      <w:r w:rsidRPr="004E053C">
        <w:rPr>
          <w:rFonts w:cstheme="majorHAnsi"/>
          <w:sz w:val="22"/>
          <w:szCs w:val="22"/>
          <w:lang w:val="en-GB"/>
        </w:rPr>
        <w:t>Several of the respondents in Laberinto talked about the ease with which they had made friends, discussing how their work gave them something in common –‘</w:t>
      </w:r>
      <w:r w:rsidRPr="004E053C">
        <w:rPr>
          <w:rFonts w:eastAsia="Times New Roman" w:cstheme="majorHAnsi"/>
          <w:i/>
          <w:sz w:val="22"/>
          <w:szCs w:val="22"/>
          <w:lang w:val="en-GB"/>
        </w:rPr>
        <w:t>Most of them are really fun and they talk a lot and we get on well</w:t>
      </w:r>
      <w:r w:rsidRPr="004E053C">
        <w:rPr>
          <w:rFonts w:eastAsia="Times New Roman" w:cstheme="majorHAnsi"/>
          <w:sz w:val="22"/>
          <w:szCs w:val="22"/>
          <w:lang w:val="en-GB"/>
        </w:rPr>
        <w:t>’ (</w:t>
      </w:r>
      <w:r w:rsidR="00EA7F80" w:rsidRPr="004E053C">
        <w:rPr>
          <w:rFonts w:eastAsia="Times New Roman" w:cstheme="majorHAnsi"/>
          <w:sz w:val="22"/>
          <w:szCs w:val="22"/>
          <w:lang w:val="en-GB"/>
        </w:rPr>
        <w:t>Mario</w:t>
      </w:r>
      <w:r w:rsidRPr="004E053C">
        <w:rPr>
          <w:rFonts w:eastAsia="Times New Roman" w:cstheme="majorHAnsi"/>
          <w:sz w:val="22"/>
          <w:szCs w:val="22"/>
          <w:lang w:val="en-GB"/>
        </w:rPr>
        <w:t>, ASM miner, Laberinto)</w:t>
      </w:r>
      <w:r w:rsidRPr="004E053C">
        <w:rPr>
          <w:rFonts w:cstheme="majorHAnsi"/>
          <w:sz w:val="22"/>
          <w:szCs w:val="22"/>
          <w:lang w:val="en-GB"/>
        </w:rPr>
        <w:t xml:space="preserve">. The miners draw on these relationships to find new working opportunities or increase their income in other ways, as described in this quote from </w:t>
      </w:r>
      <w:r w:rsidR="00EA7F80" w:rsidRPr="004E053C">
        <w:rPr>
          <w:rFonts w:cstheme="majorHAnsi"/>
          <w:sz w:val="22"/>
          <w:szCs w:val="22"/>
          <w:lang w:val="en-GB"/>
        </w:rPr>
        <w:t>Christian</w:t>
      </w:r>
      <w:r w:rsidRPr="004E053C">
        <w:rPr>
          <w:rFonts w:cstheme="majorHAnsi"/>
          <w:sz w:val="22"/>
          <w:szCs w:val="22"/>
          <w:lang w:val="en-GB"/>
        </w:rPr>
        <w:t>:</w:t>
      </w:r>
    </w:p>
    <w:p w14:paraId="5B98FB5F" w14:textId="77777777" w:rsidR="00B53FA8" w:rsidRPr="004E053C" w:rsidRDefault="00B53FA8" w:rsidP="004E053C">
      <w:pPr>
        <w:spacing w:line="360" w:lineRule="auto"/>
        <w:jc w:val="both"/>
        <w:rPr>
          <w:rFonts w:cstheme="majorHAnsi"/>
          <w:sz w:val="22"/>
          <w:szCs w:val="22"/>
          <w:lang w:val="en-GB"/>
        </w:rPr>
      </w:pPr>
    </w:p>
    <w:p w14:paraId="16F05563" w14:textId="60555BF9"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Sometimes when I leave the work to go to be with my family, for one month or even longer, I can give the work to my friends, and they do my work for me – in a “coupo”. This allows me to earn more money. One example is that my friend had to leave the mining area and he gave us some land to work on while he was away. Sometimes also there are accidents, and they supported me with some money’</w:t>
      </w:r>
      <w:r w:rsidRPr="004E053C">
        <w:rPr>
          <w:rFonts w:cstheme="majorHAnsi"/>
          <w:sz w:val="22"/>
          <w:szCs w:val="22"/>
          <w:lang w:val="en-GB"/>
        </w:rPr>
        <w:t xml:space="preserve"> (</w:t>
      </w:r>
      <w:r w:rsidR="00EA7F80" w:rsidRPr="004E053C">
        <w:rPr>
          <w:rFonts w:cstheme="majorHAnsi"/>
          <w:sz w:val="22"/>
          <w:szCs w:val="22"/>
          <w:lang w:val="en-GB"/>
        </w:rPr>
        <w:t>Christian</w:t>
      </w:r>
      <w:r w:rsidRPr="004E053C">
        <w:rPr>
          <w:rFonts w:cstheme="majorHAnsi"/>
          <w:sz w:val="22"/>
          <w:szCs w:val="22"/>
          <w:lang w:val="en-GB"/>
        </w:rPr>
        <w:t>,</w:t>
      </w:r>
      <w:r w:rsidR="00F6233C" w:rsidRPr="004E053C">
        <w:rPr>
          <w:rFonts w:cstheme="majorHAnsi"/>
          <w:sz w:val="22"/>
          <w:szCs w:val="22"/>
          <w:lang w:val="en-GB"/>
        </w:rPr>
        <w:t xml:space="preserve"> ASM operative</w:t>
      </w:r>
      <w:r w:rsidRPr="004E053C">
        <w:rPr>
          <w:rFonts w:cstheme="majorHAnsi"/>
          <w:sz w:val="22"/>
          <w:szCs w:val="22"/>
          <w:lang w:val="en-GB"/>
        </w:rPr>
        <w:t>, near Laberinto).</w:t>
      </w:r>
    </w:p>
    <w:p w14:paraId="1D0883B2" w14:textId="77777777" w:rsidR="00B53FA8" w:rsidRPr="004E053C" w:rsidRDefault="00B53FA8" w:rsidP="004E053C">
      <w:pPr>
        <w:spacing w:line="360" w:lineRule="auto"/>
        <w:jc w:val="both"/>
        <w:rPr>
          <w:rFonts w:cstheme="majorHAnsi"/>
          <w:sz w:val="22"/>
          <w:szCs w:val="22"/>
          <w:lang w:val="en-GB"/>
        </w:rPr>
      </w:pPr>
    </w:p>
    <w:p w14:paraId="6AB0F723" w14:textId="2964D294" w:rsidR="00B53FA8" w:rsidRPr="004E053C" w:rsidRDefault="00B53FA8" w:rsidP="004E053C">
      <w:pPr>
        <w:pStyle w:val="NoSpacing"/>
        <w:spacing w:line="360" w:lineRule="auto"/>
        <w:jc w:val="both"/>
        <w:rPr>
          <w:rFonts w:eastAsia="Times New Roman" w:cstheme="majorHAnsi"/>
          <w:b/>
          <w:bCs/>
          <w:sz w:val="22"/>
          <w:szCs w:val="22"/>
          <w:lang w:val="en-GB"/>
        </w:rPr>
      </w:pPr>
      <w:r w:rsidRPr="004E053C">
        <w:rPr>
          <w:rFonts w:cstheme="majorHAnsi"/>
          <w:sz w:val="22"/>
          <w:szCs w:val="22"/>
          <w:lang w:val="en-GB"/>
        </w:rPr>
        <w:t xml:space="preserve">However, the translocality of some ASM livelihoods and the associated high levels of migration are resulting in relatively weak relationships between the temporary and floating miners. This makes it increasingly difficult for them to trust each other, which is problematic given Bryceson and </w:t>
      </w:r>
      <w:r w:rsidRPr="004E053C">
        <w:rPr>
          <w:rFonts w:eastAsia="Times New Roman" w:cstheme="majorHAnsi"/>
          <w:sz w:val="22"/>
          <w:szCs w:val="22"/>
          <w:lang w:val="en-GB"/>
        </w:rPr>
        <w:t xml:space="preserve">Jønsson’s </w:t>
      </w:r>
      <w:r w:rsidR="00BE5EE2"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2010)","manualFormatting":"(2010)","plainTextFormattedCitation":"(D. F. Bryceson &amp; Jønsson, 2010)","previouslyFormattedCitation":"(D. F. Bryceson &amp; Jønsson, 2010)"},"properties":{"noteIndex":0},"schema":"https://github.com/citation-style-language/schema/raw/master/csl-citation.json"}</w:instrText>
      </w:r>
      <w:r w:rsidR="00BE5EE2" w:rsidRPr="004E053C">
        <w:rPr>
          <w:rFonts w:eastAsia="Times New Roman" w:cstheme="majorHAnsi"/>
          <w:sz w:val="22"/>
          <w:szCs w:val="22"/>
          <w:lang w:val="en-GB"/>
        </w:rPr>
        <w:fldChar w:fldCharType="separate"/>
      </w:r>
      <w:r w:rsidR="00BE5EE2" w:rsidRPr="004E053C">
        <w:rPr>
          <w:rFonts w:eastAsia="Times New Roman" w:cstheme="majorHAnsi"/>
          <w:noProof/>
          <w:sz w:val="22"/>
          <w:szCs w:val="22"/>
          <w:lang w:val="en-GB"/>
        </w:rPr>
        <w:t>(2010)</w:t>
      </w:r>
      <w:r w:rsidR="00BE5EE2"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assertion that miners have to be capable of trust and cooperation, as well as hard work and sobriety, if they are to make a success of artisanal gold mining. Even when working within the </w:t>
      </w:r>
      <w:r w:rsidRPr="004E053C">
        <w:rPr>
          <w:rFonts w:eastAsia="Times New Roman" w:cstheme="majorHAnsi"/>
          <w:i/>
          <w:iCs/>
          <w:sz w:val="22"/>
          <w:szCs w:val="22"/>
          <w:lang w:val="en-GB"/>
        </w:rPr>
        <w:t>Corridor Minero</w:t>
      </w:r>
      <w:r w:rsidRPr="004E053C">
        <w:rPr>
          <w:rFonts w:eastAsia="Times New Roman" w:cstheme="majorHAnsi"/>
          <w:sz w:val="22"/>
          <w:szCs w:val="22"/>
          <w:lang w:val="en-GB"/>
        </w:rPr>
        <w:t>, the weakening of relationships and unfamiliarity means that it is becoming difficult to know if other people are</w:t>
      </w:r>
      <w:r w:rsidRPr="004E053C">
        <w:rPr>
          <w:rFonts w:cstheme="majorHAnsi"/>
          <w:sz w:val="22"/>
          <w:szCs w:val="22"/>
          <w:lang w:val="en-GB"/>
        </w:rPr>
        <w:t xml:space="preserve"> thieves or not, let alone if they are able to work hard. </w:t>
      </w:r>
      <w:r w:rsidR="00EA7F80" w:rsidRPr="004E053C">
        <w:rPr>
          <w:rFonts w:cstheme="majorHAnsi"/>
          <w:sz w:val="22"/>
          <w:szCs w:val="22"/>
          <w:lang w:val="en-GB"/>
        </w:rPr>
        <w:t>Rodrigo</w:t>
      </w:r>
      <w:r w:rsidRPr="004E053C">
        <w:rPr>
          <w:rFonts w:cstheme="majorHAnsi"/>
          <w:sz w:val="22"/>
          <w:szCs w:val="22"/>
          <w:lang w:val="en-GB"/>
        </w:rPr>
        <w:t xml:space="preserve"> has been working in Madre de Dios for some years, but as his translocal livelihood means that he moves around a lot and sleeps in a camp, he has not developed good support networks with other miners. As a result, he said that he felt he could only rely on his family: </w:t>
      </w:r>
    </w:p>
    <w:p w14:paraId="2205F1C1" w14:textId="77777777" w:rsidR="00B53FA8" w:rsidRPr="004E053C" w:rsidRDefault="00B53FA8" w:rsidP="004E053C">
      <w:pPr>
        <w:pStyle w:val="NoSpacing"/>
        <w:spacing w:line="360" w:lineRule="auto"/>
        <w:jc w:val="both"/>
        <w:rPr>
          <w:rFonts w:cstheme="majorHAnsi"/>
          <w:i/>
          <w:sz w:val="22"/>
          <w:szCs w:val="22"/>
          <w:lang w:val="en-GB"/>
        </w:rPr>
      </w:pPr>
    </w:p>
    <w:p w14:paraId="59182C23" w14:textId="1AD7C77D" w:rsidR="00B53FA8" w:rsidRPr="004E053C" w:rsidRDefault="00B53FA8" w:rsidP="004E053C">
      <w:pPr>
        <w:ind w:left="720"/>
        <w:jc w:val="both"/>
        <w:rPr>
          <w:rFonts w:cstheme="majorHAnsi"/>
          <w:sz w:val="22"/>
          <w:szCs w:val="22"/>
          <w:lang w:val="en-GB"/>
        </w:rPr>
      </w:pPr>
      <w:r w:rsidRPr="004E053C">
        <w:rPr>
          <w:rFonts w:cstheme="majorHAnsi"/>
          <w:i/>
          <w:sz w:val="22"/>
          <w:szCs w:val="22"/>
          <w:lang w:val="en-GB"/>
        </w:rPr>
        <w:t>‘It’s difficult at first to make friends because you are changing the place, your friends, and to make friends is difficult because you don’t have the same trust in the new people. Also, there is so much crime here, and there is so much insecurity, it is hard to know whom to trust. Things are not reliable for us, and I don’t trust people’</w:t>
      </w:r>
      <w:r w:rsidRPr="004E053C">
        <w:rPr>
          <w:rFonts w:cstheme="majorHAnsi"/>
          <w:sz w:val="22"/>
          <w:szCs w:val="22"/>
          <w:lang w:val="en-GB"/>
        </w:rPr>
        <w:t xml:space="preserve"> (</w:t>
      </w:r>
      <w:r w:rsidR="00EA7F80" w:rsidRPr="004E053C">
        <w:rPr>
          <w:rFonts w:cstheme="majorHAnsi"/>
          <w:sz w:val="22"/>
          <w:szCs w:val="22"/>
          <w:lang w:val="en-GB"/>
        </w:rPr>
        <w:t>Rodrigo</w:t>
      </w:r>
      <w:r w:rsidRPr="004E053C">
        <w:rPr>
          <w:rFonts w:cstheme="majorHAnsi"/>
          <w:sz w:val="22"/>
          <w:szCs w:val="22"/>
          <w:lang w:val="en-GB"/>
        </w:rPr>
        <w:t xml:space="preserve">, ASM miner, near Laberinto). </w:t>
      </w:r>
    </w:p>
    <w:p w14:paraId="0F622F4E" w14:textId="77777777" w:rsidR="00B53FA8" w:rsidRPr="004E053C" w:rsidRDefault="00B53FA8" w:rsidP="004E053C">
      <w:pPr>
        <w:spacing w:line="360" w:lineRule="auto"/>
        <w:jc w:val="both"/>
        <w:rPr>
          <w:rFonts w:cstheme="majorHAnsi"/>
          <w:sz w:val="22"/>
          <w:szCs w:val="22"/>
          <w:lang w:val="en-GB"/>
        </w:rPr>
      </w:pPr>
    </w:p>
    <w:p w14:paraId="44BD8F17" w14:textId="699E0C6A"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Now that </w:t>
      </w:r>
      <w:r w:rsidR="00EA7F80" w:rsidRPr="004E053C">
        <w:rPr>
          <w:rFonts w:cstheme="majorHAnsi"/>
          <w:sz w:val="22"/>
          <w:szCs w:val="22"/>
          <w:lang w:val="en-GB"/>
        </w:rPr>
        <w:t>Rodrigo</w:t>
      </w:r>
      <w:r w:rsidRPr="004E053C">
        <w:rPr>
          <w:rFonts w:cstheme="majorHAnsi"/>
          <w:sz w:val="22"/>
          <w:szCs w:val="22"/>
          <w:lang w:val="en-GB"/>
        </w:rPr>
        <w:t xml:space="preserve"> has his own motor and small mining business, he is struggling to hire people he can trust. He explained how he has resorted to testing people by leaving money lying around to see if they steal it. </w:t>
      </w:r>
      <w:r w:rsidR="00EA7F80" w:rsidRPr="004E053C">
        <w:rPr>
          <w:rFonts w:cstheme="majorHAnsi"/>
          <w:sz w:val="22"/>
          <w:szCs w:val="22"/>
          <w:lang w:val="en-GB"/>
        </w:rPr>
        <w:t>Rodrigo</w:t>
      </w:r>
      <w:r w:rsidRPr="004E053C">
        <w:rPr>
          <w:rFonts w:cstheme="majorHAnsi"/>
          <w:sz w:val="22"/>
          <w:szCs w:val="22"/>
          <w:lang w:val="en-GB"/>
        </w:rPr>
        <w:t>’s desire to remain mobile rather than being based in Laberinto means that he tends to come into contact with other highly mobile</w:t>
      </w:r>
      <w:r w:rsidR="00A40D10" w:rsidRPr="004E053C">
        <w:rPr>
          <w:rFonts w:cstheme="majorHAnsi"/>
          <w:sz w:val="22"/>
          <w:szCs w:val="22"/>
          <w:lang w:val="en-GB"/>
        </w:rPr>
        <w:t>,</w:t>
      </w:r>
      <w:r w:rsidRPr="004E053C">
        <w:rPr>
          <w:rFonts w:cstheme="majorHAnsi"/>
          <w:sz w:val="22"/>
          <w:szCs w:val="22"/>
          <w:lang w:val="en-GB"/>
        </w:rPr>
        <w:t xml:space="preserve"> </w:t>
      </w:r>
      <w:r w:rsidR="00C21441" w:rsidRPr="004E053C">
        <w:rPr>
          <w:rFonts w:cstheme="majorHAnsi"/>
          <w:sz w:val="22"/>
          <w:szCs w:val="22"/>
          <w:lang w:val="en-GB"/>
        </w:rPr>
        <w:t>temporary</w:t>
      </w:r>
      <w:r w:rsidRPr="004E053C">
        <w:rPr>
          <w:rFonts w:cstheme="majorHAnsi"/>
          <w:sz w:val="22"/>
          <w:szCs w:val="22"/>
          <w:lang w:val="en-GB"/>
        </w:rPr>
        <w:t xml:space="preserve"> and floating miners, which has prevented him from developing strong social relationships. Several other miners also complained that the increasing crime and violence was making it more difficult for mine owners to trust new people enough to give them jobs. </w:t>
      </w:r>
    </w:p>
    <w:p w14:paraId="37273155" w14:textId="77777777" w:rsidR="00B53FA8" w:rsidRPr="004E053C" w:rsidRDefault="00B53FA8" w:rsidP="004E053C">
      <w:pPr>
        <w:pStyle w:val="NoSpacing"/>
        <w:spacing w:line="360" w:lineRule="auto"/>
        <w:jc w:val="both"/>
        <w:rPr>
          <w:rFonts w:cstheme="majorHAnsi"/>
          <w:b/>
          <w:bCs/>
          <w:sz w:val="22"/>
          <w:szCs w:val="22"/>
          <w:u w:val="single"/>
          <w:lang w:val="en-GB"/>
        </w:rPr>
      </w:pPr>
    </w:p>
    <w:p w14:paraId="759C6AC2" w14:textId="03A0CACB" w:rsidR="00B53FA8" w:rsidRPr="004E053C" w:rsidRDefault="00B53FA8" w:rsidP="004E053C">
      <w:pPr>
        <w:pStyle w:val="NoSpacing"/>
        <w:spacing w:line="360" w:lineRule="auto"/>
        <w:jc w:val="both"/>
        <w:rPr>
          <w:rFonts w:cstheme="majorHAnsi"/>
          <w:b/>
          <w:bCs/>
          <w:sz w:val="22"/>
          <w:szCs w:val="22"/>
          <w:lang w:val="en-GB"/>
        </w:rPr>
      </w:pPr>
      <w:r w:rsidRPr="004E053C">
        <w:rPr>
          <w:rFonts w:cstheme="majorHAnsi"/>
          <w:sz w:val="22"/>
          <w:szCs w:val="22"/>
          <w:lang w:val="en-GB"/>
        </w:rPr>
        <w:lastRenderedPageBreak/>
        <w:t>In La Pampa there are particularly high levels of crime and violence, linked to high in-migration and the total ill</w:t>
      </w:r>
      <w:r w:rsidR="00A40D10" w:rsidRPr="004E053C">
        <w:rPr>
          <w:rFonts w:cstheme="majorHAnsi"/>
          <w:sz w:val="22"/>
          <w:szCs w:val="22"/>
          <w:lang w:val="en-GB"/>
        </w:rPr>
        <w:t xml:space="preserve">egality of mining activity. </w:t>
      </w:r>
      <w:r w:rsidR="00D3785B" w:rsidRPr="004E053C">
        <w:rPr>
          <w:rFonts w:cstheme="majorHAnsi"/>
          <w:sz w:val="22"/>
          <w:szCs w:val="22"/>
          <w:lang w:val="en-GB"/>
        </w:rPr>
        <w:t>This</w:t>
      </w:r>
      <w:r w:rsidRPr="004E053C">
        <w:rPr>
          <w:rFonts w:cstheme="majorHAnsi"/>
          <w:sz w:val="22"/>
          <w:szCs w:val="22"/>
          <w:lang w:val="en-GB"/>
        </w:rPr>
        <w:t xml:space="preserve"> is destroying forms of social</w:t>
      </w:r>
      <w:r w:rsidR="00A40D10" w:rsidRPr="004E053C">
        <w:rPr>
          <w:rFonts w:cstheme="majorHAnsi"/>
          <w:sz w:val="22"/>
          <w:szCs w:val="22"/>
          <w:lang w:val="en-GB"/>
        </w:rPr>
        <w:t xml:space="preserve"> organis</w:t>
      </w:r>
      <w:r w:rsidRPr="004E053C">
        <w:rPr>
          <w:rFonts w:cstheme="majorHAnsi"/>
          <w:sz w:val="22"/>
          <w:szCs w:val="22"/>
          <w:lang w:val="en-GB"/>
        </w:rPr>
        <w:t xml:space="preserve">ation such as trust, norms and networks </w:t>
      </w:r>
      <w:r w:rsidR="00BE5EE2" w:rsidRPr="004E053C">
        <w:rPr>
          <w:rFonts w:cstheme="majorHAnsi"/>
          <w:sz w:val="22"/>
          <w:szCs w:val="22"/>
          <w:lang w:val="en-GB"/>
        </w:rPr>
        <w:fldChar w:fldCharType="begin" w:fldLock="1"/>
      </w:r>
      <w:r w:rsidR="00BE5EE2" w:rsidRPr="004E053C">
        <w:rPr>
          <w:rFonts w:cstheme="majorHAnsi"/>
          <w:sz w:val="22"/>
          <w:szCs w:val="22"/>
          <w:lang w:val="en-GB"/>
        </w:rPr>
        <w:instrText>ADDIN CSL_CITATION {"citationItems":[{"id":"ITEM-1","itemData":{"author":[{"dropping-particle":"","family":"Andrade Filho","given":"L","non-dropping-particle":"De","parse-names":false,"suffix":""}],"container-title":"Journal of Financial Crime","id":"ITEM-1","issue":"91","issued":{"date-parts":[["2008"]]},"page":"49-59","title":"The dynamics of drug-related organized crime and corruption in Brazil from a development perspective","type":"article-journal","volume":"15"},"uris":["http://www.mendeley.com/documents/?uuid=a36be428-f8fb-482b-9f11-9f9eb9f88af7"]}],"mendeley":{"formattedCitation":"(De Andrade Filho, 2008)","manualFormatting":"(de Andrade Filho, 2008)","plainTextFormattedCitation":"(De Andrade Filho, 2008)","previouslyFormattedCitation":"(De Andrade Filho, 2008)"},"properties":{"noteIndex":0},"schema":"https://github.com/citation-style-language/schema/raw/master/csl-citation.json"}</w:instrText>
      </w:r>
      <w:r w:rsidR="00BE5EE2" w:rsidRPr="004E053C">
        <w:rPr>
          <w:rFonts w:cstheme="majorHAnsi"/>
          <w:sz w:val="22"/>
          <w:szCs w:val="22"/>
          <w:lang w:val="en-GB"/>
        </w:rPr>
        <w:fldChar w:fldCharType="separate"/>
      </w:r>
      <w:r w:rsidR="00BE5EE2" w:rsidRPr="004E053C">
        <w:rPr>
          <w:rFonts w:cstheme="majorHAnsi"/>
          <w:noProof/>
          <w:sz w:val="22"/>
          <w:szCs w:val="22"/>
          <w:lang w:val="en-GB"/>
        </w:rPr>
        <w:t>(de Andrade Filho, 2008)</w:t>
      </w:r>
      <w:r w:rsidR="00BE5EE2" w:rsidRPr="004E053C">
        <w:rPr>
          <w:rFonts w:cstheme="majorHAnsi"/>
          <w:sz w:val="22"/>
          <w:szCs w:val="22"/>
          <w:lang w:val="en-GB"/>
        </w:rPr>
        <w:fldChar w:fldCharType="end"/>
      </w:r>
      <w:r w:rsidRPr="004E053C">
        <w:rPr>
          <w:rFonts w:cstheme="majorHAnsi"/>
          <w:sz w:val="22"/>
          <w:szCs w:val="22"/>
          <w:lang w:val="en-GB"/>
        </w:rPr>
        <w:t>. J</w:t>
      </w:r>
      <w:r w:rsidR="00BE5EE2" w:rsidRPr="004E053C">
        <w:rPr>
          <w:rFonts w:cstheme="majorHAnsi"/>
          <w:sz w:val="22"/>
          <w:szCs w:val="22"/>
          <w:lang w:val="en-GB"/>
        </w:rPr>
        <w:t xml:space="preserve">ønsson and Bryceson </w:t>
      </w:r>
      <w:r w:rsidR="00BE5EE2" w:rsidRPr="004E053C">
        <w:rPr>
          <w:rFonts w:cstheme="majorHAnsi"/>
          <w:sz w:val="22"/>
          <w:szCs w:val="22"/>
          <w:lang w:val="en-GB"/>
        </w:rPr>
        <w:fldChar w:fldCharType="begin" w:fldLock="1"/>
      </w:r>
      <w:r w:rsidR="00A446DD" w:rsidRPr="004E053C">
        <w:rPr>
          <w:rFonts w:cstheme="majorHAnsi"/>
          <w:sz w:val="22"/>
          <w:szCs w:val="22"/>
          <w:lang w:val="en-GB"/>
        </w:rPr>
        <w:instrText>ADDIN CSL_CITATION {"citationItems":[{"id":"ITEM-1","itemData":{"abstract":"African rural dwellers have faced depressed economic prospects for several decades. Now, in a number of mineral-rich countries, multiple discoveries of gold and precious stones have attracted large numbers of prospective small-scale miners. While their ‘rush’ to, and activities within, mining sites are increasingly being noted, there is little analysis of miners' mobility patterns and material outcomes. In this article, on the basis of a sample survey and interviews at two gold-mining sites in Tanzania, we probe when and why miners leave one site in favour of another. Our findings indicate that movement is often ‘rushed’ but rarely rash. Whereas movement to the first site may be an adventure, movement to subsequent sites is calculated with knowledge of the many risks entailed. Miners spend considerable time at each site before migrating onwards. Those with the highest site mobility tend to be more affluent than the others, suggesting that movement can be rewarding for those willing to ‘try their luck’ with the hard work and social networking demands of mining another site.","author":[{"dropping-particle":"","family":"Jønsson","given":"Jesper Bosse","non-dropping-particle":"","parse-names":false,"suffix":""},{"dropping-particle":"","family":"Bryceson","given":"Deborah Fahy","non-dropping-particle":"","parse-names":false,"suffix":""}],"container-title":"Development and Change","id":"ITEM-1","issue":"2","issued":{"date-parts":[["2009"]]},"page":"249-279","title":"Rushing for gold: mobility and small-scale mining in East Africa","type":"article-journal","volume":"40"},"uris":["http://www.mendeley.com/documents/?uuid=de9c4f73-7d08-4fe3-9443-72b7c45b2369"]}],"mendeley":{"formattedCitation":"(Jønsson &amp; Bryceson, 2009)","manualFormatting":"(2009)","plainTextFormattedCitation":"(Jønsson &amp; Bryceson, 2009)","previouslyFormattedCitation":"(Jønsson &amp; Bryceson, 2009)"},"properties":{"noteIndex":0},"schema":"https://github.com/citation-style-language/schema/raw/master/csl-citation.json"}</w:instrText>
      </w:r>
      <w:r w:rsidR="00BE5EE2" w:rsidRPr="004E053C">
        <w:rPr>
          <w:rFonts w:cstheme="majorHAnsi"/>
          <w:sz w:val="22"/>
          <w:szCs w:val="22"/>
          <w:lang w:val="en-GB"/>
        </w:rPr>
        <w:fldChar w:fldCharType="separate"/>
      </w:r>
      <w:r w:rsidR="00A446DD" w:rsidRPr="004E053C">
        <w:rPr>
          <w:rFonts w:cstheme="majorHAnsi"/>
          <w:noProof/>
          <w:sz w:val="22"/>
          <w:szCs w:val="22"/>
          <w:lang w:val="en-GB"/>
        </w:rPr>
        <w:t>(</w:t>
      </w:r>
      <w:r w:rsidR="00177C64" w:rsidRPr="004E053C">
        <w:rPr>
          <w:rFonts w:cstheme="majorHAnsi"/>
          <w:noProof/>
          <w:sz w:val="22"/>
          <w:szCs w:val="22"/>
          <w:lang w:val="en-GB"/>
        </w:rPr>
        <w:t>2009)</w:t>
      </w:r>
      <w:r w:rsidR="00BE5EE2" w:rsidRPr="004E053C">
        <w:rPr>
          <w:rFonts w:cstheme="majorHAnsi"/>
          <w:sz w:val="22"/>
          <w:szCs w:val="22"/>
          <w:lang w:val="en-GB"/>
        </w:rPr>
        <w:fldChar w:fldCharType="end"/>
      </w:r>
      <w:r w:rsidRPr="004E053C">
        <w:rPr>
          <w:rFonts w:cstheme="majorHAnsi"/>
          <w:sz w:val="22"/>
          <w:szCs w:val="22"/>
          <w:lang w:val="en-GB"/>
        </w:rPr>
        <w:t xml:space="preserve"> highlighted the importance of social networks for finding work, but we see these processes being undermined in La Pampa by the translocality of the population, making it difficult to find work:</w:t>
      </w:r>
    </w:p>
    <w:p w14:paraId="0CB88F5D" w14:textId="77777777" w:rsidR="00B53FA8" w:rsidRPr="004E053C" w:rsidRDefault="00B53FA8" w:rsidP="004E053C">
      <w:pPr>
        <w:pStyle w:val="NoSpacing"/>
        <w:spacing w:line="360" w:lineRule="auto"/>
        <w:jc w:val="both"/>
        <w:rPr>
          <w:rFonts w:cstheme="majorHAnsi"/>
          <w:sz w:val="22"/>
          <w:szCs w:val="22"/>
          <w:lang w:val="en-GB"/>
        </w:rPr>
      </w:pPr>
    </w:p>
    <w:p w14:paraId="1F609211" w14:textId="7110FAB8" w:rsidR="00B53FA8" w:rsidRPr="004E053C" w:rsidRDefault="00B53FA8" w:rsidP="004E053C">
      <w:pPr>
        <w:pStyle w:val="NoSpacing"/>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It was easy for them (new miners) at the beginning (to integrate) because every mine needed people. Now it’s a bit difficult because it’s dangerous and already if people are successful and familiar and know each other they can get jobs. But if they don’t know you at all they might not hire you because they think something can happen, as everyone is scared</w:t>
      </w:r>
      <w:r w:rsidRPr="004E053C">
        <w:rPr>
          <w:rFonts w:cstheme="majorHAnsi"/>
          <w:sz w:val="22"/>
          <w:szCs w:val="22"/>
          <w:lang w:val="en-GB"/>
        </w:rPr>
        <w:t>’ (</w:t>
      </w:r>
      <w:r w:rsidR="00EA7F80" w:rsidRPr="004E053C">
        <w:rPr>
          <w:rFonts w:cstheme="majorHAnsi"/>
          <w:sz w:val="22"/>
          <w:szCs w:val="22"/>
          <w:lang w:val="en-GB"/>
        </w:rPr>
        <w:t>Carlos</w:t>
      </w:r>
      <w:r w:rsidRPr="004E053C">
        <w:rPr>
          <w:rFonts w:cstheme="majorHAnsi"/>
          <w:sz w:val="22"/>
          <w:szCs w:val="22"/>
          <w:lang w:val="en-GB"/>
        </w:rPr>
        <w:t>, ex-miner, Puerto Maldonado)</w:t>
      </w:r>
      <w:r w:rsidR="007857AB" w:rsidRPr="004E053C">
        <w:rPr>
          <w:rFonts w:cstheme="majorHAnsi"/>
          <w:sz w:val="22"/>
          <w:szCs w:val="22"/>
          <w:lang w:val="en-GB"/>
        </w:rPr>
        <w:t>.</w:t>
      </w:r>
    </w:p>
    <w:p w14:paraId="56D06141" w14:textId="77777777" w:rsidR="00B53FA8" w:rsidRPr="004E053C" w:rsidRDefault="00B53FA8" w:rsidP="004E053C">
      <w:pPr>
        <w:pStyle w:val="NoSpacing"/>
        <w:spacing w:line="360" w:lineRule="auto"/>
        <w:jc w:val="both"/>
        <w:rPr>
          <w:rFonts w:cstheme="majorHAnsi"/>
          <w:sz w:val="22"/>
          <w:szCs w:val="22"/>
          <w:lang w:val="en-GB"/>
        </w:rPr>
      </w:pPr>
    </w:p>
    <w:p w14:paraId="132FD49B" w14:textId="7C2DF9DA" w:rsidR="00B53FA8" w:rsidRPr="004E053C" w:rsidRDefault="00B53FA8" w:rsidP="004E053C">
      <w:pPr>
        <w:pStyle w:val="NoSpacing"/>
        <w:spacing w:line="360" w:lineRule="auto"/>
        <w:jc w:val="both"/>
        <w:rPr>
          <w:rFonts w:eastAsia="Times New Roman" w:cstheme="majorHAnsi"/>
          <w:b/>
          <w:bCs/>
          <w:sz w:val="22"/>
          <w:szCs w:val="22"/>
          <w:lang w:val="en-GB"/>
        </w:rPr>
      </w:pPr>
      <w:r w:rsidRPr="004E053C">
        <w:rPr>
          <w:rFonts w:eastAsia="Times New Roman" w:cstheme="majorHAnsi"/>
          <w:sz w:val="22"/>
          <w:szCs w:val="22"/>
          <w:lang w:val="en-GB"/>
        </w:rPr>
        <w:t xml:space="preserve">There is also evidence to suggest that </w:t>
      </w:r>
      <w:r w:rsidR="00F6233C" w:rsidRPr="004E053C">
        <w:rPr>
          <w:rFonts w:eastAsia="Times New Roman" w:cstheme="majorHAnsi"/>
          <w:sz w:val="22"/>
          <w:szCs w:val="22"/>
          <w:lang w:val="en-GB"/>
        </w:rPr>
        <w:t>due to the highly transient nature of life</w:t>
      </w:r>
      <w:r w:rsidRPr="004E053C">
        <w:rPr>
          <w:rFonts w:eastAsia="Times New Roman" w:cstheme="majorHAnsi"/>
          <w:sz w:val="22"/>
          <w:szCs w:val="22"/>
          <w:lang w:val="en-GB"/>
        </w:rPr>
        <w:t xml:space="preserve"> in La Pampa, work relationships are more superficial and feelings of alienation higher. Two of the miners explained that all the workers are called by nicknames and because they do not always work with the same people, they are unable to form close connections. As the miners are all migrants, the bosses have no obligation to keep them there, particularly if they do not work hard enough </w:t>
      </w:r>
      <w:r w:rsidRPr="004E053C">
        <w:rPr>
          <w:rFonts w:cstheme="majorHAnsi"/>
          <w:i/>
          <w:sz w:val="22"/>
          <w:szCs w:val="22"/>
          <w:lang w:val="en-GB"/>
        </w:rPr>
        <w:t>–‘when somebody dies they don’t know who he is</w:t>
      </w:r>
      <w:r w:rsidRPr="004E053C">
        <w:rPr>
          <w:rFonts w:cstheme="majorHAnsi"/>
          <w:sz w:val="22"/>
          <w:szCs w:val="22"/>
          <w:lang w:val="en-GB"/>
        </w:rPr>
        <w:t>’ (</w:t>
      </w:r>
      <w:r w:rsidR="00EA7F80" w:rsidRPr="004E053C">
        <w:rPr>
          <w:rFonts w:cstheme="majorHAnsi"/>
          <w:sz w:val="22"/>
          <w:szCs w:val="22"/>
          <w:lang w:val="en-GB"/>
        </w:rPr>
        <w:t>Francisco</w:t>
      </w:r>
      <w:r w:rsidRPr="004E053C">
        <w:rPr>
          <w:rFonts w:cstheme="majorHAnsi"/>
          <w:sz w:val="22"/>
          <w:szCs w:val="22"/>
          <w:lang w:val="en-GB"/>
        </w:rPr>
        <w:t xml:space="preserve">, ASM miner, Laberinto). </w:t>
      </w:r>
      <w:r w:rsidR="00EA7F80" w:rsidRPr="004E053C">
        <w:rPr>
          <w:rFonts w:eastAsia="Times New Roman" w:cstheme="majorHAnsi"/>
          <w:sz w:val="22"/>
          <w:szCs w:val="22"/>
          <w:lang w:val="en-GB"/>
        </w:rPr>
        <w:t>Jorge</w:t>
      </w:r>
      <w:r w:rsidRPr="004E053C">
        <w:rPr>
          <w:rFonts w:eastAsia="Times New Roman" w:cstheme="majorHAnsi"/>
          <w:sz w:val="22"/>
          <w:szCs w:val="22"/>
          <w:lang w:val="en-GB"/>
        </w:rPr>
        <w:t xml:space="preserve">, a young miner who had recently moved back to Laberinto, went on to elaborate on what this meant for a miner living and working in La Pampa. </w:t>
      </w:r>
    </w:p>
    <w:p w14:paraId="2CFBF78E" w14:textId="77777777" w:rsidR="00B53FA8" w:rsidRPr="004E053C" w:rsidRDefault="00B53FA8" w:rsidP="004E053C">
      <w:pPr>
        <w:spacing w:line="360" w:lineRule="auto"/>
        <w:jc w:val="both"/>
        <w:rPr>
          <w:rFonts w:eastAsia="Times New Roman" w:cstheme="majorHAnsi"/>
          <w:sz w:val="22"/>
          <w:szCs w:val="22"/>
          <w:lang w:val="en-GB"/>
        </w:rPr>
      </w:pPr>
    </w:p>
    <w:p w14:paraId="5954D3BB" w14:textId="1992C825"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 xml:space="preserve">You wouldn’t consider La Pampa your home even if you live there, it’s not your home. You don’t know the people and everybody lies. In La Pampa we use nicknames and not give our real names. For example, my nickname in La Pampa was </w:t>
      </w:r>
      <w:r w:rsidR="00D3785B" w:rsidRPr="004E053C">
        <w:rPr>
          <w:rFonts w:cstheme="majorHAnsi"/>
          <w:i/>
          <w:sz w:val="22"/>
          <w:szCs w:val="22"/>
          <w:lang w:val="en-GB"/>
        </w:rPr>
        <w:t>Joseph</w:t>
      </w:r>
      <w:r w:rsidRPr="004E053C">
        <w:rPr>
          <w:rFonts w:cstheme="majorHAnsi"/>
          <w:i/>
          <w:sz w:val="22"/>
          <w:szCs w:val="22"/>
          <w:lang w:val="en-GB"/>
        </w:rPr>
        <w:t xml:space="preserve">, because it’s so dangerous. We didn’t have close relationships with each other. Someone might need a worker and ask you to work for them, and you go because you need the money, but they don’t care about you. If you die, you die. If the work is too hard, it’s your problem, if your unhappy with the job it’s your problem, if you have an accident it’s your problem. It’s not like here’ </w:t>
      </w:r>
      <w:r w:rsidRPr="004E053C">
        <w:rPr>
          <w:rFonts w:cstheme="majorHAnsi"/>
          <w:sz w:val="22"/>
          <w:szCs w:val="22"/>
          <w:lang w:val="en-GB"/>
        </w:rPr>
        <w:t>(</w:t>
      </w:r>
      <w:r w:rsidR="00EA7F80" w:rsidRPr="004E053C">
        <w:rPr>
          <w:rFonts w:cstheme="majorHAnsi"/>
          <w:sz w:val="22"/>
          <w:szCs w:val="22"/>
          <w:lang w:val="en-GB"/>
        </w:rPr>
        <w:t>Jorge</w:t>
      </w:r>
      <w:r w:rsidRPr="004E053C">
        <w:rPr>
          <w:rFonts w:cstheme="majorHAnsi"/>
          <w:sz w:val="22"/>
          <w:szCs w:val="22"/>
          <w:lang w:val="en-GB"/>
        </w:rPr>
        <w:t xml:space="preserve">, ASM miner, Laberinto). </w:t>
      </w:r>
    </w:p>
    <w:p w14:paraId="264BA246" w14:textId="77777777" w:rsidR="00B53FA8" w:rsidRPr="004E053C" w:rsidRDefault="00B53FA8" w:rsidP="004E053C">
      <w:pPr>
        <w:spacing w:line="360" w:lineRule="auto"/>
        <w:jc w:val="both"/>
        <w:rPr>
          <w:rFonts w:cstheme="majorHAnsi"/>
          <w:sz w:val="22"/>
          <w:szCs w:val="22"/>
          <w:highlight w:val="yellow"/>
          <w:lang w:val="en-GB"/>
        </w:rPr>
      </w:pPr>
    </w:p>
    <w:p w14:paraId="3E9D1C24" w14:textId="512FB6EE" w:rsidR="00B53FA8"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Jorge</w:t>
      </w:r>
      <w:r w:rsidR="00B53FA8" w:rsidRPr="004E053C">
        <w:rPr>
          <w:rFonts w:eastAsia="Times New Roman" w:cstheme="majorHAnsi"/>
          <w:sz w:val="22"/>
          <w:szCs w:val="22"/>
          <w:lang w:val="en-GB"/>
        </w:rPr>
        <w:t xml:space="preserve">’s account is particularly interesting because </w:t>
      </w:r>
      <w:r w:rsidR="00FF7621" w:rsidRPr="004E053C">
        <w:rPr>
          <w:rFonts w:eastAsia="Times New Roman" w:cstheme="majorHAnsi"/>
          <w:sz w:val="22"/>
          <w:szCs w:val="22"/>
          <w:lang w:val="en-GB"/>
        </w:rPr>
        <w:t xml:space="preserve">the </w:t>
      </w:r>
      <w:r w:rsidR="00B53FA8" w:rsidRPr="004E053C">
        <w:rPr>
          <w:rFonts w:eastAsia="Times New Roman" w:cstheme="majorHAnsi"/>
          <w:sz w:val="22"/>
          <w:szCs w:val="22"/>
          <w:lang w:val="en-GB"/>
        </w:rPr>
        <w:t xml:space="preserve">use of nicknames in mining teams </w:t>
      </w:r>
      <w:r w:rsidR="00FF7621" w:rsidRPr="004E053C">
        <w:rPr>
          <w:rFonts w:eastAsia="Times New Roman" w:cstheme="majorHAnsi"/>
          <w:sz w:val="22"/>
          <w:szCs w:val="22"/>
          <w:lang w:val="en-GB"/>
        </w:rPr>
        <w:t xml:space="preserve">in Benin </w:t>
      </w:r>
      <w:r w:rsidR="00B53FA8" w:rsidRPr="004E053C">
        <w:rPr>
          <w:rFonts w:eastAsia="Times New Roman" w:cstheme="majorHAnsi"/>
          <w:sz w:val="22"/>
          <w:szCs w:val="22"/>
          <w:lang w:val="en-GB"/>
        </w:rPr>
        <w:t xml:space="preserve">has been </w:t>
      </w:r>
      <w:r w:rsidR="00FF7621" w:rsidRPr="004E053C">
        <w:rPr>
          <w:rFonts w:eastAsia="Times New Roman" w:cstheme="majorHAnsi"/>
          <w:sz w:val="22"/>
          <w:szCs w:val="22"/>
          <w:lang w:val="en-GB"/>
        </w:rPr>
        <w:t>interpreted as</w:t>
      </w:r>
      <w:r w:rsidR="00B53FA8" w:rsidRPr="004E053C">
        <w:rPr>
          <w:rFonts w:eastAsia="Times New Roman" w:cstheme="majorHAnsi"/>
          <w:sz w:val="22"/>
          <w:szCs w:val="22"/>
          <w:lang w:val="en-GB"/>
        </w:rPr>
        <w:t xml:space="preserve"> </w:t>
      </w:r>
      <w:r w:rsidR="00FF7621" w:rsidRPr="004E053C">
        <w:rPr>
          <w:rFonts w:eastAsia="Times New Roman" w:cstheme="majorHAnsi"/>
          <w:sz w:val="22"/>
          <w:szCs w:val="22"/>
          <w:lang w:val="en-GB"/>
        </w:rPr>
        <w:t xml:space="preserve">highlighting the </w:t>
      </w:r>
      <w:r w:rsidR="00B53FA8" w:rsidRPr="004E053C">
        <w:rPr>
          <w:rFonts w:eastAsia="Times New Roman" w:cstheme="majorHAnsi"/>
          <w:sz w:val="22"/>
          <w:szCs w:val="22"/>
          <w:lang w:val="en-GB"/>
        </w:rPr>
        <w:t>close bonds that form between miners</w:t>
      </w:r>
      <w:r w:rsidR="00BE5EE2" w:rsidRPr="004E053C">
        <w:rPr>
          <w:rFonts w:eastAsia="Times New Roman" w:cstheme="majorHAnsi"/>
          <w:sz w:val="22"/>
          <w:szCs w:val="22"/>
          <w:lang w:val="en-GB"/>
        </w:rPr>
        <w:t xml:space="preserve"> </w:t>
      </w:r>
      <w:r w:rsidR="00BE5EE2" w:rsidRPr="004E053C">
        <w:rPr>
          <w:rFonts w:eastAsia="Times New Roman" w:cstheme="majorHAnsi"/>
          <w:sz w:val="22"/>
          <w:szCs w:val="22"/>
          <w:lang w:val="en-GB"/>
        </w:rPr>
        <w:fldChar w:fldCharType="begin" w:fldLock="1"/>
      </w:r>
      <w:r w:rsidR="008317C7" w:rsidRPr="004E053C">
        <w:rPr>
          <w:rFonts w:eastAsia="Times New Roman" w:cstheme="majorHAnsi"/>
          <w:sz w:val="22"/>
          <w:szCs w:val="22"/>
          <w:lang w:val="en-GB"/>
        </w:rPr>
        <w:instrText>ADDIN CSL_CITATION {"citationItems":[{"id":"ITEM-1","itemData":{"author":[{"dropping-particle":"","family":"Grätz","given":"Tilo","non-dropping-particle":"","parse-names":false,"suffix":""}],"container-title":"Africa: Journal of the International African Institute","id":"ITEM-1","issue":"2","issued":{"date-parts":[["2004"]]},"page":"146-172","title":"Gold Trading Networks and the Creation of Trust: A Case Study from Northern Benin","type":"article-journal","volume":"74"},"uris":["http://www.mendeley.com/documents/?uuid=d39d6dd5-3b2d-4d7c-8419-5ff8daa54c5d"]}],"mendeley":{"formattedCitation":"(Grätz, 2004b)","plainTextFormattedCitation":"(Grätz, 2004b)","previouslyFormattedCitation":"(Grätz, 2004b)"},"properties":{"noteIndex":0},"schema":"https://github.com/citation-style-language/schema/raw/master/csl-citation.json"}</w:instrText>
      </w:r>
      <w:r w:rsidR="00BE5EE2" w:rsidRPr="004E053C">
        <w:rPr>
          <w:rFonts w:eastAsia="Times New Roman" w:cstheme="majorHAnsi"/>
          <w:sz w:val="22"/>
          <w:szCs w:val="22"/>
          <w:lang w:val="en-GB"/>
        </w:rPr>
        <w:fldChar w:fldCharType="separate"/>
      </w:r>
      <w:r w:rsidR="008317C7" w:rsidRPr="004E053C">
        <w:rPr>
          <w:rFonts w:eastAsia="Times New Roman" w:cstheme="majorHAnsi"/>
          <w:noProof/>
          <w:sz w:val="22"/>
          <w:szCs w:val="22"/>
          <w:lang w:val="en-GB"/>
        </w:rPr>
        <w:t>(Grätz, 2004b)</w:t>
      </w:r>
      <w:r w:rsidR="00BE5EE2" w:rsidRPr="004E053C">
        <w:rPr>
          <w:rFonts w:eastAsia="Times New Roman" w:cstheme="majorHAnsi"/>
          <w:sz w:val="22"/>
          <w:szCs w:val="22"/>
          <w:lang w:val="en-GB"/>
        </w:rPr>
        <w:fldChar w:fldCharType="end"/>
      </w:r>
      <w:r w:rsidR="00B53FA8" w:rsidRPr="004E053C">
        <w:rPr>
          <w:rFonts w:eastAsia="Times New Roman" w:cstheme="majorHAnsi"/>
          <w:sz w:val="22"/>
          <w:szCs w:val="22"/>
          <w:lang w:val="en-GB"/>
        </w:rPr>
        <w:t xml:space="preserve">. The problem of weak social relationships reinforces the importance of the temporal and spatial aspects of translocal ASM livelihoods and the implications for agents operating within the social field. </w:t>
      </w:r>
    </w:p>
    <w:p w14:paraId="2C4D5A36" w14:textId="77777777" w:rsidR="00B53FA8" w:rsidRPr="004E053C" w:rsidRDefault="00B53FA8" w:rsidP="004E053C">
      <w:pPr>
        <w:spacing w:line="360" w:lineRule="auto"/>
        <w:jc w:val="both"/>
        <w:rPr>
          <w:rFonts w:eastAsia="Times New Roman" w:cstheme="majorHAnsi"/>
          <w:sz w:val="22"/>
          <w:szCs w:val="22"/>
          <w:lang w:val="en-GB"/>
        </w:rPr>
      </w:pPr>
    </w:p>
    <w:p w14:paraId="2E8A87E2" w14:textId="7F1D964B"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Although the illegality of ASM in La Pampa does breed crime and violence, the problem has escalated with the increasing numbers of migrants. </w:t>
      </w:r>
      <w:r w:rsidR="00EA7F80" w:rsidRPr="004E053C">
        <w:rPr>
          <w:rFonts w:cstheme="majorHAnsi"/>
          <w:sz w:val="22"/>
          <w:szCs w:val="22"/>
          <w:lang w:val="en-GB"/>
        </w:rPr>
        <w:t>Carlos</w:t>
      </w:r>
      <w:r w:rsidRPr="004E053C">
        <w:rPr>
          <w:rFonts w:cstheme="majorHAnsi"/>
          <w:sz w:val="22"/>
          <w:szCs w:val="22"/>
          <w:lang w:val="en-GB"/>
        </w:rPr>
        <w:t xml:space="preserve"> had wor</w:t>
      </w:r>
      <w:r w:rsidR="00A40D10" w:rsidRPr="004E053C">
        <w:rPr>
          <w:rFonts w:cstheme="majorHAnsi"/>
          <w:sz w:val="22"/>
          <w:szCs w:val="22"/>
          <w:lang w:val="en-GB"/>
        </w:rPr>
        <w:t>ked in the area for a few years</w:t>
      </w:r>
      <w:r w:rsidRPr="004E053C">
        <w:rPr>
          <w:rFonts w:cstheme="majorHAnsi"/>
          <w:sz w:val="22"/>
          <w:szCs w:val="22"/>
          <w:lang w:val="en-GB"/>
        </w:rPr>
        <w:t xml:space="preserve"> and noted the changes over time:</w:t>
      </w:r>
    </w:p>
    <w:p w14:paraId="138BC0C5" w14:textId="77777777" w:rsidR="00B53FA8" w:rsidRPr="004E053C" w:rsidRDefault="00B53FA8" w:rsidP="004E053C">
      <w:pPr>
        <w:spacing w:line="360" w:lineRule="auto"/>
        <w:jc w:val="both"/>
        <w:rPr>
          <w:rFonts w:cstheme="majorHAnsi"/>
          <w:sz w:val="22"/>
          <w:szCs w:val="22"/>
          <w:lang w:val="en-GB"/>
        </w:rPr>
      </w:pPr>
    </w:p>
    <w:p w14:paraId="736F0CF8" w14:textId="78B9E716"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lastRenderedPageBreak/>
        <w:t>‘</w:t>
      </w:r>
      <w:r w:rsidRPr="004E053C">
        <w:rPr>
          <w:rFonts w:cstheme="majorHAnsi"/>
          <w:i/>
          <w:sz w:val="22"/>
          <w:szCs w:val="22"/>
          <w:lang w:val="en-GB"/>
        </w:rPr>
        <w:t>At the beginning, when I was there, there was a lot of unity. If you have a problem, I will go and help you in the mine because you need hands to work. If someone attacks you, I will respond. But now it is different because there are a lot of thieve</w:t>
      </w:r>
      <w:r w:rsidRPr="004E053C">
        <w:rPr>
          <w:rFonts w:cstheme="majorHAnsi"/>
          <w:sz w:val="22"/>
          <w:szCs w:val="22"/>
          <w:lang w:val="en-GB"/>
        </w:rPr>
        <w:t>s’ (</w:t>
      </w:r>
      <w:r w:rsidR="00EA7F80" w:rsidRPr="004E053C">
        <w:rPr>
          <w:rFonts w:cstheme="majorHAnsi"/>
          <w:sz w:val="22"/>
          <w:szCs w:val="22"/>
          <w:lang w:val="en-GB"/>
        </w:rPr>
        <w:t>Carlos</w:t>
      </w:r>
      <w:r w:rsidRPr="004E053C">
        <w:rPr>
          <w:rFonts w:cstheme="majorHAnsi"/>
          <w:sz w:val="22"/>
          <w:szCs w:val="22"/>
          <w:lang w:val="en-GB"/>
        </w:rPr>
        <w:t>, ex-miner, Laberinto)</w:t>
      </w:r>
      <w:r w:rsidR="00D51819" w:rsidRPr="004E053C">
        <w:rPr>
          <w:rFonts w:cstheme="majorHAnsi"/>
          <w:sz w:val="22"/>
          <w:szCs w:val="22"/>
          <w:lang w:val="en-GB"/>
        </w:rPr>
        <w:t xml:space="preserve">. </w:t>
      </w:r>
    </w:p>
    <w:p w14:paraId="06518A45" w14:textId="77777777" w:rsidR="00B53FA8" w:rsidRPr="004E053C" w:rsidRDefault="00B53FA8" w:rsidP="004E053C">
      <w:pPr>
        <w:spacing w:line="360" w:lineRule="auto"/>
        <w:jc w:val="both"/>
        <w:rPr>
          <w:rFonts w:cstheme="majorHAnsi"/>
          <w:sz w:val="22"/>
          <w:szCs w:val="22"/>
          <w:lang w:val="en-GB"/>
        </w:rPr>
      </w:pPr>
    </w:p>
    <w:p w14:paraId="01323C6E" w14:textId="156C1DFC" w:rsidR="00B53FA8" w:rsidRPr="004E053C" w:rsidRDefault="00EA7F80" w:rsidP="004E053C">
      <w:pPr>
        <w:spacing w:line="360" w:lineRule="auto"/>
        <w:jc w:val="both"/>
        <w:rPr>
          <w:rFonts w:cstheme="majorHAnsi"/>
          <w:sz w:val="22"/>
          <w:szCs w:val="22"/>
          <w:lang w:val="en-GB"/>
        </w:rPr>
      </w:pPr>
      <w:r w:rsidRPr="004E053C">
        <w:rPr>
          <w:rFonts w:cstheme="majorHAnsi"/>
          <w:sz w:val="22"/>
          <w:szCs w:val="22"/>
          <w:lang w:val="en-GB"/>
        </w:rPr>
        <w:t>Carlos</w:t>
      </w:r>
      <w:r w:rsidR="006F6757" w:rsidRPr="004E053C">
        <w:rPr>
          <w:rFonts w:cstheme="majorHAnsi"/>
          <w:sz w:val="22"/>
          <w:szCs w:val="22"/>
          <w:lang w:val="en-GB"/>
        </w:rPr>
        <w:t>’</w:t>
      </w:r>
      <w:r w:rsidR="00B53FA8" w:rsidRPr="004E053C">
        <w:rPr>
          <w:rFonts w:cstheme="majorHAnsi"/>
          <w:sz w:val="22"/>
          <w:szCs w:val="22"/>
          <w:lang w:val="en-GB"/>
        </w:rPr>
        <w:t xml:space="preserve"> quote highlights how the fragile relationships that had been forged within the translocal community had been broken through </w:t>
      </w:r>
      <w:r w:rsidR="00A40D10" w:rsidRPr="004E053C">
        <w:rPr>
          <w:rFonts w:cstheme="majorHAnsi"/>
          <w:sz w:val="22"/>
          <w:szCs w:val="22"/>
          <w:lang w:val="en-GB"/>
        </w:rPr>
        <w:t>increasing insecurity. T</w:t>
      </w:r>
      <w:r w:rsidR="00B53FA8" w:rsidRPr="004E053C">
        <w:rPr>
          <w:rFonts w:cstheme="majorHAnsi"/>
          <w:sz w:val="22"/>
          <w:szCs w:val="22"/>
          <w:lang w:val="en-GB"/>
        </w:rPr>
        <w:t>his had ultimately undermined the ability of local people to work together to defend themselves. A few of the miners who had worked for some time in La Pampa and also gave accounts of local justice, where the community took physical revenge on perpetrators of crimes. However, this was not reported to occur in Laberinto, which has lower crime rates and the necessary local institutions and a more developed culture of norms and sense of community.</w:t>
      </w:r>
    </w:p>
    <w:p w14:paraId="7F4506BF" w14:textId="77777777" w:rsidR="00B53FA8" w:rsidRPr="004E053C" w:rsidRDefault="00B53FA8" w:rsidP="004E053C">
      <w:pPr>
        <w:spacing w:line="360" w:lineRule="auto"/>
        <w:jc w:val="both"/>
        <w:rPr>
          <w:rFonts w:cstheme="majorHAnsi"/>
          <w:sz w:val="22"/>
          <w:szCs w:val="22"/>
          <w:lang w:val="en-GB"/>
        </w:rPr>
      </w:pPr>
    </w:p>
    <w:p w14:paraId="1620D5D6" w14:textId="0AED0B3D" w:rsidR="00B53FA8" w:rsidRPr="004E053C" w:rsidRDefault="00EA7F83" w:rsidP="004E053C">
      <w:pPr>
        <w:pStyle w:val="Heading3"/>
        <w:rPr>
          <w:rFonts w:asciiTheme="minorHAnsi" w:hAnsiTheme="minorHAnsi"/>
        </w:rPr>
      </w:pPr>
      <w:r w:rsidRPr="004E053C">
        <w:rPr>
          <w:rFonts w:asciiTheme="minorHAnsi" w:hAnsiTheme="minorHAnsi"/>
        </w:rPr>
        <w:t>8</w:t>
      </w:r>
      <w:r w:rsidR="00B53FA8" w:rsidRPr="004E053C">
        <w:rPr>
          <w:rFonts w:asciiTheme="minorHAnsi" w:hAnsiTheme="minorHAnsi"/>
        </w:rPr>
        <w:t xml:space="preserve">.2.5. Social exclusion/inclusion </w:t>
      </w:r>
    </w:p>
    <w:p w14:paraId="04B828EB" w14:textId="77777777" w:rsidR="00B53FA8" w:rsidRPr="004E053C" w:rsidRDefault="00B53FA8" w:rsidP="004E053C">
      <w:pPr>
        <w:spacing w:line="360" w:lineRule="auto"/>
        <w:jc w:val="both"/>
        <w:rPr>
          <w:rFonts w:cstheme="majorHAnsi"/>
          <w:lang w:val="en-GB"/>
        </w:rPr>
      </w:pPr>
    </w:p>
    <w:p w14:paraId="28067F5D" w14:textId="603B7F13"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As ASM is reliant on finite resources, g</w:t>
      </w:r>
      <w:r w:rsidR="005A333E" w:rsidRPr="004E053C">
        <w:rPr>
          <w:rFonts w:cstheme="majorHAnsi"/>
          <w:sz w:val="22"/>
          <w:szCs w:val="22"/>
          <w:lang w:val="en-GB"/>
        </w:rPr>
        <w:t>old-rush towns often</w:t>
      </w:r>
      <w:r w:rsidRPr="004E053C">
        <w:rPr>
          <w:rFonts w:cstheme="majorHAnsi"/>
          <w:sz w:val="22"/>
          <w:szCs w:val="22"/>
          <w:lang w:val="en-GB"/>
        </w:rPr>
        <w:t xml:space="preserve"> end up in economic decline</w:t>
      </w:r>
      <w:r w:rsidR="005A333E" w:rsidRPr="004E053C">
        <w:rPr>
          <w:rFonts w:cstheme="majorHAnsi"/>
          <w:sz w:val="22"/>
          <w:szCs w:val="22"/>
          <w:lang w:val="en-GB"/>
        </w:rPr>
        <w:t xml:space="preserve"> </w:t>
      </w:r>
      <w:r w:rsidR="005A333E" w:rsidRPr="004E053C">
        <w:rPr>
          <w:rFonts w:cstheme="majorHAnsi"/>
          <w:sz w:val="22"/>
          <w:szCs w:val="22"/>
          <w:lang w:val="en-GB"/>
        </w:rPr>
        <w:fldChar w:fldCharType="begin" w:fldLock="1"/>
      </w:r>
      <w:r w:rsidR="005A333E" w:rsidRPr="004E053C">
        <w:rPr>
          <w:rFonts w:cstheme="majorHAnsi"/>
          <w:sz w:val="22"/>
          <w:szCs w:val="22"/>
          <w:lang w:val="en-GB"/>
        </w:rPr>
        <w:instrText>ADDIN CSL_CITATION {"citationItems":[{"id":"ITEM-1","itemData":{"author":[{"dropping-particle":"","family":"Galeano","given":"Eduardo","non-dropping-particle":"","parse-names":false,"suffix":""}],"id":"ITEM-1","issued":{"date-parts":[["1971"]]},"publisher":"Monthly Review Press","publisher-place":"New York, NY","title":"Open Veins of Latin America: Five Centuries of the Pillage of a Continent","type":"book"},"uris":["http://www.mendeley.com/documents/?uuid=41746be1-4da2-4607-88d4-915b5d8aa604"]},{"id":"ITEM-2","itemData":{"author":[{"dropping-particle":"","family":"Walsh","given":"Andrew","non-dropping-particle":"","parse-names":false,"suffix":""}],"container-title":"Africa: The Journal of the International African Institute","id":"ITEM-2","issue":"2","issued":{"date-parts":[["2012"]]},"page":"235-251","title":"After the rush: living with uncertainty in a Malagasy rural town, Africa","type":"article-journal","volume":"82"},"uris":["http://www.mendeley.com/documents/?uuid=cd2c67d7-e16d-478c-bb1b-5e15dca23af5"]},{"id":"ITEM-3","itemData":{"abstract":"In the once booming, but now slumping, northern Malagasy sapphire mining town of Ambondromifehy, people make do in the face of uncertainty. As a place of internal migrants organized around the mining and trade of a commodity destined for complex and fickle foreign markets, this town features a wide range of distinctive arrangements and compromises. Of special concern here are the arrangements through which people strive to live responsibly – in accordance with traditional Malagasy norms of sociality – while still managing to make a living through work that can lead them astray. I argue that such distinctive arrangements owe a great deal to the particular articulations of place and mobility one finds problematized in a context like this one. The first articulation is well encapsulated in the experience of what Malagasy people term being very or ‘‘lost’’, a condition of mobile people who either don’t know or have no hope of returning to the places from which they have come. The second articulation is apparent in the experi- ence of being tavela or ‘‘left behind’’, the condition of people who find themselves staying put while the things, people and possibilities they value flow away from them. For the many people in Ambondromifehy who are managing either or both of these conditions and the circumstances that come with them, idealized systems of social and moral exchange – systems of responsibility – are inevitably forums for compromise.","author":[{"dropping-particle":"","family":"Walsh","given":"Andrew","non-dropping-particle":"","parse-names":false,"suffix":""}],"container-title":"Critique of Anthropology","id":"ITEM-3","issue":"2","issued":{"date-parts":[["2015"]]},"page":"235-251","title":"Lost and/or left behind in a Malagasy outpost of the “underworld of gemstones”","type":"article-journal","volume":"82"},"uris":["http://www.mendeley.com/documents/?uuid=45b8a6cb-89e3-448b-a578-9f6946f0e876"]}],"mendeley":{"formattedCitation":"(Galeano, 1971; Walsh, 2012, 2015)","plainTextFormattedCitation":"(Galeano, 1971; Walsh, 2012, 2015)","previouslyFormattedCitation":"(Galeano, 1971; Walsh, 2012, 2015)"},"properties":{"noteIndex":0},"schema":"https://github.com/citation-style-language/schema/raw/master/csl-citation.json"}</w:instrText>
      </w:r>
      <w:r w:rsidR="005A333E" w:rsidRPr="004E053C">
        <w:rPr>
          <w:rFonts w:cstheme="majorHAnsi"/>
          <w:sz w:val="22"/>
          <w:szCs w:val="22"/>
          <w:lang w:val="en-GB"/>
        </w:rPr>
        <w:fldChar w:fldCharType="separate"/>
      </w:r>
      <w:r w:rsidR="005A333E" w:rsidRPr="004E053C">
        <w:rPr>
          <w:rFonts w:cstheme="majorHAnsi"/>
          <w:noProof/>
          <w:sz w:val="22"/>
          <w:szCs w:val="22"/>
          <w:lang w:val="en-GB"/>
        </w:rPr>
        <w:t>(Galeano, 1971; Walsh, 2012, 2015)</w:t>
      </w:r>
      <w:r w:rsidR="005A333E" w:rsidRPr="004E053C">
        <w:rPr>
          <w:rFonts w:cstheme="majorHAnsi"/>
          <w:sz w:val="22"/>
          <w:szCs w:val="22"/>
          <w:lang w:val="en-GB"/>
        </w:rPr>
        <w:fldChar w:fldCharType="end"/>
      </w:r>
      <w:r w:rsidRPr="004E053C">
        <w:rPr>
          <w:rFonts w:cstheme="majorHAnsi"/>
          <w:sz w:val="22"/>
          <w:szCs w:val="22"/>
          <w:lang w:val="en-GB"/>
        </w:rPr>
        <w:t>. However, the analysis thus far points to a desire among permanent miners to build both a sustainable livelihood and an enduring sense of community. While the above section examined the weakening of social and professional relationships, particularly amongst the transient miners in La Pampa, the permanent residents of Laberinto had a different experience. Eight of the permanent residents described high-levels of social cohesion, with the town’s residents knowing each other well and providing support to each other, either at work or within the home. A few of the respondents went as far as to say they were ‘like a family’. Yet these assertions did not extend to the</w:t>
      </w:r>
      <w:r w:rsidR="00A40D10" w:rsidRPr="004E053C">
        <w:rPr>
          <w:rFonts w:eastAsia="Times New Roman" w:cstheme="majorHAnsi"/>
          <w:sz w:val="22"/>
          <w:szCs w:val="22"/>
          <w:lang w:val="en-GB"/>
        </w:rPr>
        <w:t xml:space="preserve"> entire population of Laberinto</w:t>
      </w:r>
      <w:r w:rsidRPr="004E053C">
        <w:rPr>
          <w:rFonts w:eastAsia="Times New Roman" w:cstheme="majorHAnsi"/>
          <w:sz w:val="22"/>
          <w:szCs w:val="22"/>
          <w:lang w:val="en-GB"/>
        </w:rPr>
        <w:t xml:space="preserve"> and most notably did not include the majority of temporary and floating residents of the town. Instead, some element of hostility was detectable, such as in the quote from </w:t>
      </w:r>
      <w:r w:rsidR="00EA7F80" w:rsidRPr="004E053C">
        <w:rPr>
          <w:rFonts w:eastAsia="Times New Roman" w:cstheme="majorHAnsi"/>
          <w:sz w:val="22"/>
          <w:szCs w:val="22"/>
          <w:lang w:val="en-GB"/>
        </w:rPr>
        <w:t>Francisco</w:t>
      </w:r>
      <w:r w:rsidRPr="004E053C">
        <w:rPr>
          <w:rFonts w:eastAsia="Times New Roman" w:cstheme="majorHAnsi"/>
          <w:sz w:val="22"/>
          <w:szCs w:val="22"/>
          <w:lang w:val="en-GB"/>
        </w:rPr>
        <w:t xml:space="preserve"> below where he discusses the changes that had occurred since he arrived in 1976:</w:t>
      </w:r>
    </w:p>
    <w:p w14:paraId="1C50CAE9" w14:textId="77777777" w:rsidR="00B53FA8" w:rsidRPr="004E053C" w:rsidRDefault="00B53FA8" w:rsidP="004E053C">
      <w:pPr>
        <w:spacing w:line="360" w:lineRule="auto"/>
        <w:jc w:val="both"/>
        <w:rPr>
          <w:rFonts w:eastAsia="Times New Roman" w:cstheme="majorHAnsi"/>
          <w:sz w:val="22"/>
          <w:szCs w:val="22"/>
          <w:lang w:val="en-GB"/>
        </w:rPr>
      </w:pPr>
    </w:p>
    <w:p w14:paraId="628501FE" w14:textId="703E01C9" w:rsidR="00B53FA8" w:rsidRPr="004E053C" w:rsidRDefault="00B53FA8"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Pr="004E053C">
        <w:rPr>
          <w:rFonts w:eastAsia="Times New Roman" w:cstheme="majorHAnsi"/>
          <w:i/>
          <w:sz w:val="22"/>
          <w:szCs w:val="22"/>
          <w:lang w:val="en-GB"/>
        </w:rPr>
        <w:t>There are some people that want the foreigners to return home, but at first when I moved here it wasn’t the same… When we first moved here we were all together, but now there are communities and some people don’t want more foreigners’</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Francisco</w:t>
      </w:r>
      <w:r w:rsidRPr="004E053C">
        <w:rPr>
          <w:rFonts w:eastAsia="Times New Roman" w:cstheme="majorHAnsi"/>
          <w:sz w:val="22"/>
          <w:szCs w:val="22"/>
          <w:lang w:val="en-GB"/>
        </w:rPr>
        <w:t>, ASM miner, Laberinto)</w:t>
      </w:r>
      <w:r w:rsidR="007857AB" w:rsidRPr="004E053C">
        <w:rPr>
          <w:rFonts w:eastAsia="Times New Roman" w:cstheme="majorHAnsi"/>
          <w:sz w:val="22"/>
          <w:szCs w:val="22"/>
          <w:lang w:val="en-GB"/>
        </w:rPr>
        <w:t>.</w:t>
      </w:r>
    </w:p>
    <w:p w14:paraId="23AA53B4" w14:textId="77777777" w:rsidR="00B53FA8" w:rsidRPr="004E053C" w:rsidRDefault="00B53FA8" w:rsidP="004E053C">
      <w:pPr>
        <w:spacing w:line="360" w:lineRule="auto"/>
        <w:jc w:val="both"/>
        <w:rPr>
          <w:rFonts w:eastAsia="Times New Roman" w:cstheme="majorHAnsi"/>
          <w:sz w:val="22"/>
          <w:szCs w:val="22"/>
          <w:lang w:val="en-GB"/>
        </w:rPr>
      </w:pPr>
    </w:p>
    <w:p w14:paraId="5859DF7B" w14:textId="59C81CC8" w:rsidR="00B53FA8" w:rsidRPr="004E053C" w:rsidRDefault="00B53FA8"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Here </w:t>
      </w:r>
      <w:r w:rsidR="00EA7F80" w:rsidRPr="004E053C">
        <w:rPr>
          <w:rFonts w:eastAsia="Times New Roman" w:cstheme="majorHAnsi"/>
          <w:sz w:val="22"/>
          <w:szCs w:val="22"/>
          <w:lang w:val="en-GB"/>
        </w:rPr>
        <w:t>Francisco</w:t>
      </w:r>
      <w:r w:rsidRPr="004E053C">
        <w:rPr>
          <w:rFonts w:eastAsia="Times New Roman" w:cstheme="majorHAnsi"/>
          <w:sz w:val="22"/>
          <w:szCs w:val="22"/>
          <w:lang w:val="en-GB"/>
        </w:rPr>
        <w:t xml:space="preserve"> is referring to the new temporary and floating migrants who have chosen to incorporate ASM into a translocal livelihood strategy as a response to the increased price of gold. His use of the word </w:t>
      </w:r>
      <w:r w:rsidRPr="004E053C">
        <w:rPr>
          <w:rFonts w:eastAsia="Times New Roman" w:cstheme="majorHAnsi"/>
          <w:i/>
          <w:iCs/>
          <w:sz w:val="22"/>
          <w:szCs w:val="22"/>
          <w:lang w:val="en-GB"/>
        </w:rPr>
        <w:t>foreigner</w:t>
      </w:r>
      <w:r w:rsidRPr="004E053C">
        <w:rPr>
          <w:rFonts w:eastAsia="Times New Roman" w:cstheme="majorHAnsi"/>
          <w:sz w:val="22"/>
          <w:szCs w:val="22"/>
          <w:lang w:val="en-GB"/>
        </w:rPr>
        <w:t xml:space="preserve"> is particularly insightful given that he is himself a migrant. Indeed, none of the interview respondents in Laberi</w:t>
      </w:r>
      <w:r w:rsidR="00A40D10" w:rsidRPr="004E053C">
        <w:rPr>
          <w:rFonts w:eastAsia="Times New Roman" w:cstheme="majorHAnsi"/>
          <w:sz w:val="22"/>
          <w:szCs w:val="22"/>
          <w:lang w:val="en-GB"/>
        </w:rPr>
        <w:t>nto were indigenous</w:t>
      </w:r>
      <w:r w:rsidRPr="004E053C">
        <w:rPr>
          <w:rFonts w:eastAsia="Times New Roman" w:cstheme="majorHAnsi"/>
          <w:sz w:val="22"/>
          <w:szCs w:val="22"/>
          <w:lang w:val="en-GB"/>
        </w:rPr>
        <w:t xml:space="preserve"> and even the very few who had been born </w:t>
      </w:r>
      <w:r w:rsidRPr="004E053C">
        <w:rPr>
          <w:rFonts w:eastAsia="Times New Roman" w:cstheme="majorHAnsi"/>
          <w:sz w:val="22"/>
          <w:szCs w:val="22"/>
          <w:lang w:val="en-GB"/>
        </w:rPr>
        <w:lastRenderedPageBreak/>
        <w:t xml:space="preserve">in the town had migrant parents. For </w:t>
      </w:r>
      <w:r w:rsidR="00EA7F80" w:rsidRPr="004E053C">
        <w:rPr>
          <w:rFonts w:eastAsia="Times New Roman" w:cstheme="majorHAnsi"/>
          <w:sz w:val="22"/>
          <w:szCs w:val="22"/>
          <w:lang w:val="en-GB"/>
        </w:rPr>
        <w:t>Francisco</w:t>
      </w:r>
      <w:r w:rsidRPr="004E053C">
        <w:rPr>
          <w:rFonts w:eastAsia="Times New Roman" w:cstheme="majorHAnsi"/>
          <w:sz w:val="22"/>
          <w:szCs w:val="22"/>
          <w:lang w:val="en-GB"/>
        </w:rPr>
        <w:t xml:space="preserve">, the </w:t>
      </w:r>
      <w:r w:rsidRPr="004E053C">
        <w:rPr>
          <w:rFonts w:eastAsia="Times New Roman" w:cstheme="majorHAnsi"/>
          <w:i/>
          <w:sz w:val="22"/>
          <w:szCs w:val="22"/>
          <w:lang w:val="en-GB"/>
        </w:rPr>
        <w:t xml:space="preserve">foreigners </w:t>
      </w:r>
      <w:r w:rsidRPr="004E053C">
        <w:rPr>
          <w:rFonts w:eastAsia="Times New Roman" w:cstheme="majorHAnsi"/>
          <w:sz w:val="22"/>
          <w:szCs w:val="22"/>
          <w:lang w:val="en-GB"/>
        </w:rPr>
        <w:t xml:space="preserve">are the recent migrants that have not assimilated into the community and continue to follow a translocal livelihood trajectory rather than ‘rooting’ themselves in Laberinto. Similarly, </w:t>
      </w:r>
      <w:r w:rsidR="00EA7F80" w:rsidRPr="004E053C">
        <w:rPr>
          <w:rFonts w:eastAsia="Times New Roman" w:cstheme="majorHAnsi"/>
          <w:sz w:val="22"/>
          <w:szCs w:val="22"/>
          <w:lang w:val="en-GB"/>
        </w:rPr>
        <w:t>Willan</w:t>
      </w:r>
      <w:r w:rsidRPr="004E053C">
        <w:rPr>
          <w:rFonts w:eastAsia="Times New Roman" w:cstheme="majorHAnsi"/>
          <w:sz w:val="22"/>
          <w:szCs w:val="22"/>
          <w:lang w:val="en-GB"/>
        </w:rPr>
        <w:t xml:space="preserve"> distinguishes between </w:t>
      </w:r>
      <w:r w:rsidRPr="004E053C">
        <w:rPr>
          <w:rFonts w:eastAsia="Times New Roman" w:cstheme="majorHAnsi"/>
          <w:i/>
          <w:iCs/>
          <w:sz w:val="22"/>
          <w:szCs w:val="22"/>
          <w:lang w:val="en-GB"/>
        </w:rPr>
        <w:t>foreigners</w:t>
      </w:r>
      <w:r w:rsidRPr="004E053C">
        <w:rPr>
          <w:rFonts w:eastAsia="Times New Roman" w:cstheme="majorHAnsi"/>
          <w:sz w:val="22"/>
          <w:szCs w:val="22"/>
          <w:lang w:val="en-GB"/>
        </w:rPr>
        <w:t xml:space="preserve"> and the more close-knit residents of Laberinto:</w:t>
      </w:r>
    </w:p>
    <w:p w14:paraId="0ADF4947" w14:textId="77777777" w:rsidR="00B53FA8" w:rsidRPr="004E053C" w:rsidRDefault="00B53FA8" w:rsidP="004E053C">
      <w:pPr>
        <w:spacing w:line="360" w:lineRule="auto"/>
        <w:jc w:val="both"/>
        <w:rPr>
          <w:rFonts w:eastAsia="Times New Roman" w:cstheme="majorHAnsi"/>
          <w:sz w:val="22"/>
          <w:szCs w:val="22"/>
          <w:lang w:val="en-GB"/>
        </w:rPr>
      </w:pPr>
    </w:p>
    <w:p w14:paraId="330AE93B" w14:textId="3469A72D" w:rsidR="00B53FA8" w:rsidRPr="004E053C" w:rsidRDefault="00B53FA8" w:rsidP="004E053C">
      <w:pPr>
        <w:ind w:left="720"/>
        <w:jc w:val="both"/>
        <w:rPr>
          <w:rFonts w:eastAsia="Times New Roman" w:cstheme="majorHAnsi"/>
          <w:i/>
          <w:sz w:val="22"/>
          <w:szCs w:val="22"/>
          <w:lang w:val="en-GB"/>
        </w:rPr>
      </w:pPr>
      <w:r w:rsidRPr="004E053C">
        <w:rPr>
          <w:rFonts w:eastAsia="Times New Roman" w:cstheme="majorHAnsi"/>
          <w:i/>
          <w:sz w:val="22"/>
          <w:szCs w:val="22"/>
          <w:lang w:val="en-GB"/>
        </w:rPr>
        <w:t xml:space="preserve">‘Everyone here is equal, like a family, we talk the same to the workers and the concessionarios. But not for the foreigners, people that are new in the town, no. But if you live here, you’re like friends and we have animal nicknames for each other’ </w:t>
      </w:r>
      <w:r w:rsidRPr="004E053C">
        <w:rPr>
          <w:rFonts w:eastAsia="Times New Roman" w:cstheme="majorHAnsi"/>
          <w:sz w:val="22"/>
          <w:szCs w:val="22"/>
          <w:lang w:val="en-GB"/>
        </w:rPr>
        <w:t>(</w:t>
      </w:r>
      <w:r w:rsidR="00EA7F80" w:rsidRPr="004E053C">
        <w:rPr>
          <w:rFonts w:eastAsia="Times New Roman" w:cstheme="majorHAnsi"/>
          <w:sz w:val="22"/>
          <w:szCs w:val="22"/>
          <w:lang w:val="en-GB"/>
        </w:rPr>
        <w:t>Willan</w:t>
      </w:r>
      <w:r w:rsidRPr="004E053C">
        <w:rPr>
          <w:rFonts w:eastAsia="Times New Roman" w:cstheme="majorHAnsi"/>
          <w:sz w:val="22"/>
          <w:szCs w:val="22"/>
          <w:lang w:val="en-GB"/>
        </w:rPr>
        <w:t>, ASM miner, Laberinto)</w:t>
      </w:r>
      <w:r w:rsidR="007857AB" w:rsidRPr="004E053C">
        <w:rPr>
          <w:rFonts w:eastAsia="Times New Roman" w:cstheme="majorHAnsi"/>
          <w:sz w:val="22"/>
          <w:szCs w:val="22"/>
          <w:lang w:val="en-GB"/>
        </w:rPr>
        <w:t xml:space="preserve">. </w:t>
      </w:r>
    </w:p>
    <w:p w14:paraId="44A25E5D" w14:textId="77777777" w:rsidR="00B53FA8" w:rsidRPr="004E053C" w:rsidRDefault="00B53FA8" w:rsidP="004E053C">
      <w:pPr>
        <w:spacing w:line="360" w:lineRule="auto"/>
        <w:jc w:val="both"/>
        <w:rPr>
          <w:rFonts w:eastAsia="Times New Roman" w:cstheme="majorHAnsi"/>
          <w:sz w:val="22"/>
          <w:szCs w:val="22"/>
          <w:lang w:val="en-GB"/>
        </w:rPr>
      </w:pPr>
    </w:p>
    <w:p w14:paraId="240AFF23" w14:textId="765320E6" w:rsidR="00B53FA8" w:rsidRPr="004E053C" w:rsidRDefault="00B53FA8"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Again, like </w:t>
      </w:r>
      <w:r w:rsidR="00EA7F80" w:rsidRPr="004E053C">
        <w:rPr>
          <w:rFonts w:eastAsia="Times New Roman" w:cstheme="majorHAnsi"/>
          <w:sz w:val="22"/>
          <w:szCs w:val="22"/>
          <w:lang w:val="en-GB"/>
        </w:rPr>
        <w:t>Francisco</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Willan</w:t>
      </w:r>
      <w:r w:rsidRPr="004E053C">
        <w:rPr>
          <w:rFonts w:eastAsia="Times New Roman" w:cstheme="majorHAnsi"/>
          <w:sz w:val="22"/>
          <w:szCs w:val="22"/>
          <w:lang w:val="en-GB"/>
        </w:rPr>
        <w:t xml:space="preserve"> sees those who do not reside permanently in Laberinto as outsiders. He specifically refers to people that</w:t>
      </w:r>
      <w:r w:rsidRPr="004E053C">
        <w:rPr>
          <w:rFonts w:eastAsia="Times New Roman" w:cstheme="majorHAnsi"/>
          <w:iCs/>
          <w:sz w:val="22"/>
          <w:szCs w:val="22"/>
          <w:lang w:val="en-GB"/>
        </w:rPr>
        <w:t xml:space="preserve"> live permanentl</w:t>
      </w:r>
      <w:r w:rsidR="00A40D10" w:rsidRPr="004E053C">
        <w:rPr>
          <w:rFonts w:eastAsia="Times New Roman" w:cstheme="majorHAnsi"/>
          <w:iCs/>
          <w:sz w:val="22"/>
          <w:szCs w:val="22"/>
          <w:lang w:val="en-GB"/>
        </w:rPr>
        <w:t>y i</w:t>
      </w:r>
      <w:r w:rsidRPr="004E053C">
        <w:rPr>
          <w:rFonts w:eastAsia="Times New Roman" w:cstheme="majorHAnsi"/>
          <w:sz w:val="22"/>
          <w:szCs w:val="22"/>
          <w:lang w:val="en-GB"/>
        </w:rPr>
        <w:t>n the</w:t>
      </w:r>
      <w:r w:rsidR="00A40D10" w:rsidRPr="004E053C">
        <w:rPr>
          <w:rFonts w:eastAsia="Times New Roman" w:cstheme="majorHAnsi"/>
          <w:sz w:val="22"/>
          <w:szCs w:val="22"/>
          <w:lang w:val="en-GB"/>
        </w:rPr>
        <w:t xml:space="preserve"> town as being like family. I</w:t>
      </w:r>
      <w:r w:rsidRPr="004E053C">
        <w:rPr>
          <w:rFonts w:eastAsia="Times New Roman" w:cstheme="majorHAnsi"/>
          <w:sz w:val="22"/>
          <w:szCs w:val="22"/>
          <w:lang w:val="en-GB"/>
        </w:rPr>
        <w:t xml:space="preserve">n doing so </w:t>
      </w:r>
      <w:r w:rsidR="00A40D10" w:rsidRPr="004E053C">
        <w:rPr>
          <w:rFonts w:eastAsia="Times New Roman" w:cstheme="majorHAnsi"/>
          <w:sz w:val="22"/>
          <w:szCs w:val="22"/>
          <w:lang w:val="en-GB"/>
        </w:rPr>
        <w:t xml:space="preserve">he </w:t>
      </w:r>
      <w:r w:rsidRPr="004E053C">
        <w:rPr>
          <w:rFonts w:eastAsia="Times New Roman" w:cstheme="majorHAnsi"/>
          <w:sz w:val="22"/>
          <w:szCs w:val="22"/>
          <w:lang w:val="en-GB"/>
        </w:rPr>
        <w:t xml:space="preserve">highlights the gap between them and those members of the translocal community who constantly move between mining sites or are primarily rooted in origin communities. </w:t>
      </w:r>
    </w:p>
    <w:p w14:paraId="54EAA407" w14:textId="77777777" w:rsidR="00B53FA8" w:rsidRPr="004E053C" w:rsidRDefault="00B53FA8" w:rsidP="004E053C">
      <w:pPr>
        <w:spacing w:line="360" w:lineRule="auto"/>
        <w:jc w:val="both"/>
        <w:rPr>
          <w:rFonts w:eastAsia="Times New Roman" w:cstheme="majorHAnsi"/>
          <w:sz w:val="22"/>
          <w:szCs w:val="22"/>
          <w:lang w:val="en-GB"/>
        </w:rPr>
      </w:pPr>
    </w:p>
    <w:p w14:paraId="48A370DE" w14:textId="154076A2"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At first glance, it may appear that the permanent residents of Laberinto are attempting to exclude newcomers from their ‘place’, which effectively comprises the fixed core to their translocal community</w:t>
      </w:r>
      <w:r w:rsidRPr="004E053C">
        <w:rPr>
          <w:rFonts w:eastAsia="Times New Roman" w:cstheme="majorHAnsi"/>
          <w:sz w:val="22"/>
          <w:szCs w:val="22"/>
          <w:lang w:val="en-GB"/>
        </w:rPr>
        <w:t xml:space="preserve">. However, there is evidence that suggests otherwise. For example, </w:t>
      </w:r>
      <w:r w:rsidR="00EA7F80" w:rsidRPr="004E053C">
        <w:rPr>
          <w:rFonts w:eastAsia="Times New Roman" w:cstheme="majorHAnsi"/>
          <w:sz w:val="22"/>
          <w:szCs w:val="22"/>
          <w:lang w:val="en-GB"/>
        </w:rPr>
        <w:t>Roberto</w:t>
      </w:r>
      <w:r w:rsidRPr="004E053C">
        <w:rPr>
          <w:rFonts w:eastAsia="Times New Roman" w:cstheme="majorHAnsi"/>
          <w:sz w:val="22"/>
          <w:szCs w:val="22"/>
          <w:lang w:val="en-GB"/>
        </w:rPr>
        <w:t xml:space="preserve"> said that ‘</w:t>
      </w:r>
      <w:r w:rsidRPr="004E053C">
        <w:rPr>
          <w:rFonts w:eastAsia="Times New Roman" w:cstheme="majorHAnsi"/>
          <w:i/>
          <w:sz w:val="22"/>
          <w:szCs w:val="22"/>
          <w:lang w:val="en-GB"/>
        </w:rPr>
        <w:t>everybody is welcome in Laberinto</w:t>
      </w:r>
      <w:r w:rsidRPr="004E053C">
        <w:rPr>
          <w:rFonts w:eastAsia="Times New Roman" w:cstheme="majorHAnsi"/>
          <w:sz w:val="22"/>
          <w:szCs w:val="22"/>
          <w:lang w:val="en-GB"/>
        </w:rPr>
        <w:t xml:space="preserve">’, and explained that migrants were encouraged to come to the town to work as they didn’t need a job certificate or an ID card to find a job. Similarly, </w:t>
      </w:r>
      <w:r w:rsidR="00EA7F80" w:rsidRPr="004E053C">
        <w:rPr>
          <w:rFonts w:eastAsia="Times New Roman" w:cstheme="majorHAnsi"/>
          <w:sz w:val="22"/>
          <w:szCs w:val="22"/>
          <w:lang w:val="en-GB"/>
        </w:rPr>
        <w:t>Alejandro</w:t>
      </w:r>
      <w:r w:rsidRPr="004E053C">
        <w:rPr>
          <w:rFonts w:eastAsia="Times New Roman" w:cstheme="majorHAnsi"/>
          <w:sz w:val="22"/>
          <w:szCs w:val="22"/>
          <w:lang w:val="en-GB"/>
        </w:rPr>
        <w:t xml:space="preserve"> claimed that it was easy for the newcomers to integrate as the </w:t>
      </w:r>
      <w:r w:rsidRPr="004E053C">
        <w:rPr>
          <w:rFonts w:eastAsia="Times New Roman" w:cstheme="majorHAnsi"/>
          <w:iCs/>
          <w:sz w:val="22"/>
          <w:szCs w:val="22"/>
          <w:lang w:val="en-GB"/>
        </w:rPr>
        <w:t>people of Laberinto were welcoming and were generally</w:t>
      </w:r>
      <w:r w:rsidRPr="004E053C">
        <w:rPr>
          <w:rFonts w:eastAsia="Times New Roman" w:cstheme="majorHAnsi"/>
          <w:i/>
          <w:sz w:val="22"/>
          <w:szCs w:val="22"/>
          <w:lang w:val="en-GB"/>
        </w:rPr>
        <w:t xml:space="preserve"> ‘really good people</w:t>
      </w:r>
      <w:r w:rsidRPr="004E053C">
        <w:rPr>
          <w:rFonts w:eastAsia="Times New Roman" w:cstheme="majorHAnsi"/>
          <w:sz w:val="22"/>
          <w:szCs w:val="22"/>
          <w:lang w:val="en-GB"/>
        </w:rPr>
        <w:t xml:space="preserve">’. One LGA representative in Laberinto even explained that the municipality had held </w:t>
      </w:r>
      <w:r w:rsidRPr="004E053C">
        <w:rPr>
          <w:rFonts w:cstheme="majorHAnsi"/>
          <w:sz w:val="22"/>
          <w:szCs w:val="22"/>
          <w:lang w:val="en-GB"/>
        </w:rPr>
        <w:t>some campaigns to promote and encourage people to live in the town and ‘have their identity’ there. One campaign involved the transfer of land to 150 families for free so that they can build a house – ‘</w:t>
      </w:r>
      <w:r w:rsidRPr="004E053C">
        <w:rPr>
          <w:rFonts w:cstheme="majorHAnsi"/>
          <w:i/>
          <w:sz w:val="22"/>
          <w:szCs w:val="22"/>
          <w:lang w:val="en-GB"/>
        </w:rPr>
        <w:t>Hopefully now our population has increased, I think now it is around 5,000</w:t>
      </w:r>
      <w:r w:rsidRPr="004E053C">
        <w:rPr>
          <w:rFonts w:cstheme="majorHAnsi"/>
          <w:sz w:val="22"/>
          <w:szCs w:val="22"/>
          <w:lang w:val="en-GB"/>
        </w:rPr>
        <w:t xml:space="preserve">’ (LGA representative, Laberinto). In fact, encouraging migrants to the area long-term is important for the development of Laberinto, because the temporariness of the majority of residents means that many are registered in other districts and thus the official population remains small. </w:t>
      </w:r>
      <w:r w:rsidRPr="004E053C">
        <w:rPr>
          <w:rFonts w:eastAsia="Times New Roman" w:cstheme="majorHAnsi"/>
          <w:sz w:val="22"/>
          <w:szCs w:val="22"/>
          <w:lang w:val="en-GB"/>
        </w:rPr>
        <w:t xml:space="preserve">One </w:t>
      </w:r>
      <w:r w:rsidRPr="004E053C">
        <w:rPr>
          <w:rFonts w:cstheme="majorHAnsi"/>
          <w:sz w:val="22"/>
          <w:szCs w:val="22"/>
          <w:lang w:val="en-GB"/>
        </w:rPr>
        <w:t>LGA representative estimated that although the population was around 20,000, only 2,400 were registered and voting there. This means that the interests of people living in Madre de</w:t>
      </w:r>
      <w:r w:rsidR="00A40D10" w:rsidRPr="004E053C">
        <w:rPr>
          <w:rFonts w:cstheme="majorHAnsi"/>
          <w:sz w:val="22"/>
          <w:szCs w:val="22"/>
          <w:lang w:val="en-GB"/>
        </w:rPr>
        <w:t xml:space="preserve"> Dios are unrepresented in the National G</w:t>
      </w:r>
      <w:r w:rsidRPr="004E053C">
        <w:rPr>
          <w:rFonts w:cstheme="majorHAnsi"/>
          <w:sz w:val="22"/>
          <w:szCs w:val="22"/>
          <w:lang w:val="en-GB"/>
        </w:rPr>
        <w:t xml:space="preserve">overnment and that Laberinto is not allocated sufficient budgets, meaning there are poor public services. </w:t>
      </w:r>
      <w:r w:rsidR="00FF7621" w:rsidRPr="004E053C">
        <w:rPr>
          <w:rFonts w:cstheme="majorHAnsi"/>
          <w:sz w:val="22"/>
          <w:szCs w:val="22"/>
          <w:lang w:val="en-GB"/>
        </w:rPr>
        <w:t>T</w:t>
      </w:r>
      <w:r w:rsidRPr="004E053C">
        <w:rPr>
          <w:rFonts w:cstheme="majorHAnsi"/>
          <w:sz w:val="22"/>
          <w:szCs w:val="22"/>
          <w:lang w:val="en-GB"/>
        </w:rPr>
        <w:t xml:space="preserve">he permanent residents of Laberinto </w:t>
      </w:r>
      <w:r w:rsidR="00FF7621" w:rsidRPr="004E053C">
        <w:rPr>
          <w:rFonts w:cstheme="majorHAnsi"/>
          <w:sz w:val="22"/>
          <w:szCs w:val="22"/>
          <w:lang w:val="en-GB"/>
        </w:rPr>
        <w:t xml:space="preserve">would therefore </w:t>
      </w:r>
      <w:r w:rsidRPr="004E053C">
        <w:rPr>
          <w:rFonts w:cstheme="majorHAnsi"/>
          <w:sz w:val="22"/>
          <w:szCs w:val="22"/>
          <w:lang w:val="en-GB"/>
        </w:rPr>
        <w:t xml:space="preserve">stand to gain from an increase in the </w:t>
      </w:r>
      <w:r w:rsidRPr="004E053C">
        <w:rPr>
          <w:rFonts w:cstheme="majorHAnsi"/>
          <w:i/>
          <w:sz w:val="22"/>
          <w:szCs w:val="22"/>
          <w:lang w:val="en-GB"/>
        </w:rPr>
        <w:t xml:space="preserve">official </w:t>
      </w:r>
      <w:r w:rsidRPr="004E053C">
        <w:rPr>
          <w:rFonts w:cstheme="majorHAnsi"/>
          <w:sz w:val="22"/>
          <w:szCs w:val="22"/>
          <w:lang w:val="en-GB"/>
        </w:rPr>
        <w:t>population.</w:t>
      </w:r>
    </w:p>
    <w:p w14:paraId="412DC3B3" w14:textId="77777777" w:rsidR="00B53FA8" w:rsidRPr="004E053C" w:rsidRDefault="00B53FA8" w:rsidP="004E053C">
      <w:pPr>
        <w:spacing w:line="360" w:lineRule="auto"/>
        <w:jc w:val="both"/>
        <w:rPr>
          <w:rFonts w:cstheme="majorHAnsi"/>
          <w:sz w:val="22"/>
          <w:szCs w:val="22"/>
          <w:lang w:val="en-GB"/>
        </w:rPr>
      </w:pPr>
    </w:p>
    <w:p w14:paraId="13B975B5" w14:textId="71B5D683" w:rsidR="00B53FA8" w:rsidRPr="004E053C" w:rsidRDefault="00B53FA8"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Perhaps rather than be socially excluded from involvement in the Laberinto community, the more transient miners are choosing to self-exclude. </w:t>
      </w:r>
      <w:r w:rsidRPr="004E053C">
        <w:rPr>
          <w:rFonts w:cstheme="majorHAnsi"/>
          <w:sz w:val="22"/>
          <w:szCs w:val="22"/>
          <w:lang w:val="en-GB"/>
        </w:rPr>
        <w:t xml:space="preserve">Due to the desire of temporary/floating miners to </w:t>
      </w:r>
      <w:r w:rsidRPr="004E053C">
        <w:rPr>
          <w:rFonts w:cstheme="majorHAnsi"/>
          <w:sz w:val="22"/>
          <w:szCs w:val="22"/>
          <w:lang w:val="en-GB"/>
        </w:rPr>
        <w:lastRenderedPageBreak/>
        <w:t xml:space="preserve">remain mobile and their lack of interest in building long-term relationships in mining towns, their livelihood trajectories diverge from those of the permanent miners. The translocal nature of their livelihoods, both in terms of time and space, means that many miners and </w:t>
      </w:r>
      <w:r w:rsidRPr="004E053C">
        <w:rPr>
          <w:rFonts w:cstheme="majorHAnsi"/>
          <w:i/>
          <w:sz w:val="22"/>
          <w:szCs w:val="22"/>
          <w:lang w:val="en-GB"/>
        </w:rPr>
        <w:t>obreros</w:t>
      </w:r>
      <w:r w:rsidRPr="004E053C">
        <w:rPr>
          <w:rFonts w:cstheme="majorHAnsi"/>
          <w:sz w:val="22"/>
          <w:szCs w:val="22"/>
          <w:lang w:val="en-GB"/>
        </w:rPr>
        <w:t xml:space="preserve"> remain transient. As they are only in Laberinto for short periods, they therefore only need to build work connections</w:t>
      </w:r>
      <w:r w:rsidRPr="004E053C">
        <w:rPr>
          <w:rFonts w:eastAsia="Times New Roman" w:cstheme="majorHAnsi"/>
          <w:sz w:val="22"/>
          <w:szCs w:val="22"/>
          <w:lang w:val="en-GB"/>
        </w:rPr>
        <w:t xml:space="preserve">. Seasonal migrants in particular are likely to see mining as a job and not a lifestyle choice, whereas in Laberinto everything revolves around mining, even for those people who are not actually miners. </w:t>
      </w:r>
      <w:r w:rsidRPr="004E053C">
        <w:rPr>
          <w:rFonts w:cstheme="majorHAnsi"/>
          <w:sz w:val="22"/>
          <w:szCs w:val="22"/>
          <w:lang w:val="en-GB"/>
        </w:rPr>
        <w:t xml:space="preserve">The lack of rootedness within the new community, possibly due to migrants keeping an active reorientation towards home, means that temporary/floating migrants do not become embedded to the same extent </w:t>
      </w:r>
      <w:r w:rsidR="005A333E" w:rsidRPr="004E053C">
        <w:rPr>
          <w:rFonts w:cstheme="majorHAnsi"/>
          <w:sz w:val="22"/>
          <w:szCs w:val="22"/>
          <w:lang w:val="en-GB"/>
        </w:rPr>
        <w:fldChar w:fldCharType="begin" w:fldLock="1"/>
      </w:r>
      <w:r w:rsidR="008317C7" w:rsidRPr="004E053C">
        <w:rPr>
          <w:rFonts w:cstheme="majorHAnsi"/>
          <w:sz w:val="22"/>
          <w:szCs w:val="22"/>
          <w:lang w:val="en-GB"/>
        </w:rPr>
        <w:instrText>ADDIN CSL_CITATION {"citationItems":[{"id":"ITEM-1","itemData":{"author":[{"dropping-particle":"","family":"Faist","given":"Thomas","non-dropping-particle":"","parse-names":false,"suffix":""}],"id":"ITEM-1","issued":{"date-parts":[["2000"]]},"publisher":"Oxford University Press","publisher-place":"Oxford, UK","title":"The Volume and Dynamics of International Migration and Transnational Social Spaces","type":"book"},"uris":["http://www.mendeley.com/documents/?uuid=4f016a52-c8c3-4ad1-8d65-4fa281044f12"]},{"id":"ITEM-2","itemData":{"author":[{"dropping-particle":"","family":"Levitt","given":"Peggy","non-dropping-particle":"","parse-names":false,"suffix":""},{"dropping-particle":"","family":"Glick Schiller","given":"Nina","non-dropping-particle":"","parse-names":false,"suffix":""}],"container-title":"International Migration Review","id":"ITEM-2","issue":"3","issued":{"date-parts":[["2004"]]},"page":"1002-1039","title":"Conceptualizing Simultaneity: A Transnational Social Field Perspective on Society","type":"article-journal","volume":"38"},"uris":["http://www.mendeley.com/documents/?uuid=0fba9d75-8d2a-4773-971d-1b23f9a6edea"]}],"mendeley":{"formattedCitation":"(Faist, 2000; Levitt &amp; Glick Schiller, 2004)","plainTextFormattedCitation":"(Faist, 2000; Levitt &amp; Glick Schiller, 2004)","previouslyFormattedCitation":"(Faist, 2000; Levitt &amp; Glick Schiller, 2004)"},"properties":{"noteIndex":0},"schema":"https://github.com/citation-style-language/schema/raw/master/csl-citation.json"}</w:instrText>
      </w:r>
      <w:r w:rsidR="005A333E" w:rsidRPr="004E053C">
        <w:rPr>
          <w:rFonts w:cstheme="majorHAnsi"/>
          <w:sz w:val="22"/>
          <w:szCs w:val="22"/>
          <w:lang w:val="en-GB"/>
        </w:rPr>
        <w:fldChar w:fldCharType="separate"/>
      </w:r>
      <w:r w:rsidR="005A333E" w:rsidRPr="004E053C">
        <w:rPr>
          <w:rFonts w:cstheme="majorHAnsi"/>
          <w:noProof/>
          <w:sz w:val="22"/>
          <w:szCs w:val="22"/>
          <w:lang w:val="en-GB"/>
        </w:rPr>
        <w:t>(Faist, 2000; Levitt &amp; Glick Schiller, 2004)</w:t>
      </w:r>
      <w:r w:rsidR="005A333E" w:rsidRPr="004E053C">
        <w:rPr>
          <w:rFonts w:cstheme="majorHAnsi"/>
          <w:sz w:val="22"/>
          <w:szCs w:val="22"/>
          <w:lang w:val="en-GB"/>
        </w:rPr>
        <w:fldChar w:fldCharType="end"/>
      </w:r>
      <w:r w:rsidR="00A40D10" w:rsidRPr="004E053C">
        <w:rPr>
          <w:rFonts w:cstheme="majorHAnsi"/>
          <w:sz w:val="22"/>
          <w:szCs w:val="22"/>
          <w:lang w:val="en-GB"/>
        </w:rPr>
        <w:t xml:space="preserve"> </w:t>
      </w:r>
      <w:r w:rsidRPr="004E053C">
        <w:rPr>
          <w:rFonts w:cstheme="majorHAnsi"/>
          <w:sz w:val="22"/>
          <w:szCs w:val="22"/>
          <w:lang w:val="en-GB"/>
        </w:rPr>
        <w:t xml:space="preserve">and the meanings they ascribe to Laberinto will be different </w:t>
      </w:r>
      <w:r w:rsidR="008317C7"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uthor":[{"dropping-particle":"","family":"Brickell","given":"K.","non-dropping-particle":"","parse-names":false,"suffix":""},{"dropping-particle":"","family":"Datta","given":"A","non-dropping-particle":"","parse-names":false,"suffix":""}],"chapter-number":"1","container-title":"Translocal Geographies: Spaces, Places, Connectionsspaces, places, connections","id":"ITEM-1","issued":{"date-parts":[["2011"]]},"page":"3-22","publisher":"Ashgate Publishing Limited","publisher-place":"Farnham, UK","title":"Introduction: Translocal Geographies","type":"chapter"},"uris":["http://www.mendeley.com/documents/?uuid=e9d80bd7-1584-4fca-bf4f-f5d58e788945"]}],"mendeley":{"formattedCitation":"(K. Brickell &amp; Datta, 2011)","manualFormatting":"(Brickell &amp; Datta, 2011)","plainTextFormattedCitation":"(K. Brickell &amp; Datta, 2011)","previouslyFormattedCitation":"(K. Brickell &amp; Datta, 2011)"},"properties":{"noteIndex":0},"schema":"https://github.com/citation-style-language/schema/raw/master/csl-citation.json"}</w:instrText>
      </w:r>
      <w:r w:rsidR="008317C7" w:rsidRPr="004E053C">
        <w:rPr>
          <w:rFonts w:cstheme="majorHAnsi"/>
          <w:sz w:val="22"/>
          <w:szCs w:val="22"/>
          <w:lang w:val="en-GB"/>
        </w:rPr>
        <w:fldChar w:fldCharType="separate"/>
      </w:r>
      <w:r w:rsidR="00A40D10" w:rsidRPr="004E053C">
        <w:rPr>
          <w:rFonts w:cstheme="majorHAnsi"/>
          <w:noProof/>
          <w:sz w:val="22"/>
          <w:szCs w:val="22"/>
          <w:lang w:val="en-GB"/>
        </w:rPr>
        <w:t>(</w:t>
      </w:r>
      <w:r w:rsidR="00061F17" w:rsidRPr="004E053C">
        <w:rPr>
          <w:rFonts w:cstheme="majorHAnsi"/>
          <w:noProof/>
          <w:sz w:val="22"/>
          <w:szCs w:val="22"/>
          <w:lang w:val="en-GB"/>
        </w:rPr>
        <w:t>Brickell &amp; Datta, 2011)</w:t>
      </w:r>
      <w:r w:rsidR="008317C7" w:rsidRPr="004E053C">
        <w:rPr>
          <w:rFonts w:cstheme="majorHAnsi"/>
          <w:sz w:val="22"/>
          <w:szCs w:val="22"/>
          <w:lang w:val="en-GB"/>
        </w:rPr>
        <w:fldChar w:fldCharType="end"/>
      </w:r>
      <w:r w:rsidRPr="004E053C">
        <w:rPr>
          <w:rFonts w:cstheme="majorHAnsi"/>
          <w:sz w:val="22"/>
          <w:szCs w:val="22"/>
          <w:lang w:val="en-GB"/>
        </w:rPr>
        <w:t>. This seems to result in them keeping</w:t>
      </w:r>
      <w:r w:rsidR="00A40D10" w:rsidRPr="004E053C">
        <w:rPr>
          <w:rFonts w:cstheme="majorHAnsi"/>
          <w:sz w:val="22"/>
          <w:szCs w:val="22"/>
          <w:lang w:val="en-GB"/>
        </w:rPr>
        <w:t xml:space="preserve"> themselves at a distance, to the detriment of</w:t>
      </w:r>
      <w:r w:rsidRPr="004E053C">
        <w:rPr>
          <w:rFonts w:cstheme="majorHAnsi"/>
          <w:sz w:val="22"/>
          <w:szCs w:val="22"/>
          <w:lang w:val="en-GB"/>
        </w:rPr>
        <w:t xml:space="preserve"> other community members. This is particularly important in the context of insecurity du</w:t>
      </w:r>
      <w:r w:rsidR="00A40D10" w:rsidRPr="004E053C">
        <w:rPr>
          <w:rFonts w:cstheme="majorHAnsi"/>
          <w:sz w:val="22"/>
          <w:szCs w:val="22"/>
          <w:lang w:val="en-GB"/>
        </w:rPr>
        <w:t xml:space="preserve">e to </w:t>
      </w:r>
      <w:r w:rsidR="00D3785B" w:rsidRPr="004E053C">
        <w:rPr>
          <w:rFonts w:cstheme="majorHAnsi"/>
          <w:sz w:val="22"/>
          <w:szCs w:val="22"/>
          <w:lang w:val="en-GB"/>
        </w:rPr>
        <w:t>on-going</w:t>
      </w:r>
      <w:r w:rsidR="00A40D10" w:rsidRPr="004E053C">
        <w:rPr>
          <w:rFonts w:cstheme="majorHAnsi"/>
          <w:sz w:val="22"/>
          <w:szCs w:val="22"/>
          <w:lang w:val="en-GB"/>
        </w:rPr>
        <w:t xml:space="preserve"> conflict with the G</w:t>
      </w:r>
      <w:r w:rsidRPr="004E053C">
        <w:rPr>
          <w:rFonts w:cstheme="majorHAnsi"/>
          <w:sz w:val="22"/>
          <w:szCs w:val="22"/>
          <w:lang w:val="en-GB"/>
        </w:rPr>
        <w:t xml:space="preserve">overnment, which necessitates some form of collective action to secure long-term economic security in the face of mounting pressures. </w:t>
      </w:r>
    </w:p>
    <w:p w14:paraId="4CE565C3" w14:textId="77777777" w:rsidR="00B53FA8" w:rsidRPr="004E053C" w:rsidRDefault="00B53FA8" w:rsidP="004E053C">
      <w:pPr>
        <w:spacing w:line="360" w:lineRule="auto"/>
        <w:jc w:val="both"/>
        <w:rPr>
          <w:rFonts w:cstheme="majorHAnsi"/>
          <w:sz w:val="22"/>
          <w:szCs w:val="22"/>
          <w:lang w:val="en-GB"/>
        </w:rPr>
      </w:pPr>
    </w:p>
    <w:p w14:paraId="177DCED9" w14:textId="3A832C2B" w:rsidR="00B53FA8" w:rsidRPr="004E053C" w:rsidRDefault="00B53FA8"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It is clear then that the </w:t>
      </w:r>
      <w:r w:rsidRPr="004E053C">
        <w:rPr>
          <w:rFonts w:eastAsia="Times New Roman" w:cstheme="majorHAnsi"/>
          <w:sz w:val="22"/>
          <w:szCs w:val="22"/>
          <w:lang w:val="en-GB"/>
        </w:rPr>
        <w:t xml:space="preserve">spatial and temporal elements of translocality that prevent some miners from rooting themselves within the locality creates tensions amongst the residents. </w:t>
      </w:r>
      <w:r w:rsidR="000E13B9" w:rsidRPr="004E053C">
        <w:rPr>
          <w:rFonts w:cstheme="majorHAnsi"/>
          <w:sz w:val="22"/>
          <w:szCs w:val="22"/>
          <w:lang w:val="en-GB"/>
        </w:rPr>
        <w:t>Willbert</w:t>
      </w:r>
      <w:r w:rsidRPr="004E053C">
        <w:rPr>
          <w:rFonts w:cstheme="majorHAnsi"/>
          <w:sz w:val="22"/>
          <w:szCs w:val="22"/>
          <w:lang w:val="en-GB"/>
        </w:rPr>
        <w:t xml:space="preserve"> and </w:t>
      </w:r>
      <w:r w:rsidR="00EA7F80" w:rsidRPr="004E053C">
        <w:rPr>
          <w:rFonts w:cstheme="majorHAnsi"/>
          <w:sz w:val="22"/>
          <w:szCs w:val="22"/>
          <w:lang w:val="en-GB"/>
        </w:rPr>
        <w:t>Alejandro</w:t>
      </w:r>
      <w:r w:rsidRPr="004E053C">
        <w:rPr>
          <w:rFonts w:cstheme="majorHAnsi"/>
          <w:sz w:val="22"/>
          <w:szCs w:val="22"/>
          <w:lang w:val="en-GB"/>
        </w:rPr>
        <w:t xml:space="preserve"> both explained this problem in some detail</w:t>
      </w:r>
      <w:r w:rsidRPr="004E053C">
        <w:rPr>
          <w:rFonts w:eastAsia="Times New Roman" w:cstheme="majorHAnsi"/>
          <w:sz w:val="22"/>
          <w:szCs w:val="22"/>
          <w:lang w:val="en-GB"/>
        </w:rPr>
        <w:t>:</w:t>
      </w:r>
    </w:p>
    <w:p w14:paraId="5075089D" w14:textId="77777777" w:rsidR="00B53FA8" w:rsidRPr="004E053C" w:rsidRDefault="00B53FA8" w:rsidP="004E053C">
      <w:pPr>
        <w:spacing w:line="360" w:lineRule="auto"/>
        <w:jc w:val="both"/>
        <w:rPr>
          <w:rFonts w:eastAsia="Times New Roman" w:cstheme="majorHAnsi"/>
          <w:sz w:val="22"/>
          <w:szCs w:val="22"/>
          <w:lang w:val="en-GB"/>
        </w:rPr>
      </w:pPr>
    </w:p>
    <w:p w14:paraId="34D84833" w14:textId="3E518FEF" w:rsidR="00B53FA8" w:rsidRPr="004E053C" w:rsidRDefault="00B53FA8"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Pr="004E053C">
        <w:rPr>
          <w:rFonts w:eastAsia="Times New Roman" w:cstheme="majorHAnsi"/>
          <w:i/>
          <w:sz w:val="22"/>
          <w:szCs w:val="22"/>
          <w:lang w:val="en-GB"/>
        </w:rPr>
        <w:t>There are two types of migrants. Those responsible migrants who come with their own culture, but that respect this new local culture that we have h</w:t>
      </w:r>
      <w:r w:rsidR="00A40D10" w:rsidRPr="004E053C">
        <w:rPr>
          <w:rFonts w:eastAsia="Times New Roman" w:cstheme="majorHAnsi"/>
          <w:i/>
          <w:sz w:val="22"/>
          <w:szCs w:val="22"/>
          <w:lang w:val="en-GB"/>
        </w:rPr>
        <w:t>ere. They come and they socialis</w:t>
      </w:r>
      <w:r w:rsidRPr="004E053C">
        <w:rPr>
          <w:rFonts w:eastAsia="Times New Roman" w:cstheme="majorHAnsi"/>
          <w:i/>
          <w:sz w:val="22"/>
          <w:szCs w:val="22"/>
          <w:lang w:val="en-GB"/>
        </w:rPr>
        <w:t>e and they integrate with the people here, and they treat the other community members and miners as equals and like them. But there are irresponsible migrants, that come here and they d</w:t>
      </w:r>
      <w:r w:rsidR="00A40D10" w:rsidRPr="004E053C">
        <w:rPr>
          <w:rFonts w:eastAsia="Times New Roman" w:cstheme="majorHAnsi"/>
          <w:i/>
          <w:sz w:val="22"/>
          <w:szCs w:val="22"/>
          <w:lang w:val="en-GB"/>
        </w:rPr>
        <w:t>on’t want to contribute to the s</w:t>
      </w:r>
      <w:r w:rsidRPr="004E053C">
        <w:rPr>
          <w:rFonts w:eastAsia="Times New Roman" w:cstheme="majorHAnsi"/>
          <w:i/>
          <w:sz w:val="22"/>
          <w:szCs w:val="22"/>
          <w:lang w:val="en-GB"/>
        </w:rPr>
        <w:t>ociety. They do not want to respect the social rules here, for example, there are people that come here but they don’t want to be part of the town, or take responsibilities, they don’t want to vote here or chose authorities, and they don’t want to participate in the town authorities. They just see that they are working here and nothing else</w:t>
      </w:r>
      <w:r w:rsidRPr="004E053C">
        <w:rPr>
          <w:rFonts w:eastAsia="Times New Roman" w:cstheme="majorHAnsi"/>
          <w:sz w:val="22"/>
          <w:szCs w:val="22"/>
          <w:lang w:val="en-GB"/>
        </w:rPr>
        <w:t>’ (</w:t>
      </w:r>
      <w:r w:rsidR="000E13B9" w:rsidRPr="004E053C">
        <w:rPr>
          <w:rFonts w:eastAsia="Times New Roman" w:cstheme="majorHAnsi"/>
          <w:sz w:val="22"/>
          <w:szCs w:val="22"/>
          <w:lang w:val="en-GB"/>
        </w:rPr>
        <w:t>Willbert</w:t>
      </w:r>
      <w:r w:rsidRPr="004E053C">
        <w:rPr>
          <w:rFonts w:eastAsia="Times New Roman" w:cstheme="majorHAnsi"/>
          <w:sz w:val="22"/>
          <w:szCs w:val="22"/>
          <w:lang w:val="en-GB"/>
        </w:rPr>
        <w:t>, ASM miner, Laberinto)</w:t>
      </w:r>
      <w:r w:rsidR="00AF3CFC" w:rsidRPr="004E053C">
        <w:rPr>
          <w:rFonts w:eastAsia="Times New Roman" w:cstheme="majorHAnsi"/>
          <w:sz w:val="22"/>
          <w:szCs w:val="22"/>
          <w:lang w:val="en-GB"/>
        </w:rPr>
        <w:t>.</w:t>
      </w:r>
    </w:p>
    <w:p w14:paraId="6856AC35" w14:textId="77777777" w:rsidR="00B53FA8" w:rsidRPr="004E053C" w:rsidRDefault="00B53FA8" w:rsidP="004E053C">
      <w:pPr>
        <w:spacing w:line="360" w:lineRule="auto"/>
        <w:jc w:val="both"/>
        <w:rPr>
          <w:rFonts w:eastAsia="Times New Roman" w:cstheme="majorHAnsi"/>
          <w:sz w:val="22"/>
          <w:szCs w:val="22"/>
          <w:lang w:val="en-GB"/>
        </w:rPr>
      </w:pPr>
    </w:p>
    <w:p w14:paraId="60196BBB" w14:textId="67F92B5A" w:rsidR="00B53FA8" w:rsidRPr="004E053C" w:rsidRDefault="00B53FA8" w:rsidP="004E053C">
      <w:pPr>
        <w:ind w:left="720"/>
        <w:jc w:val="both"/>
        <w:rPr>
          <w:rFonts w:cstheme="majorHAnsi"/>
          <w:sz w:val="22"/>
          <w:szCs w:val="22"/>
          <w:lang w:val="en-GB"/>
        </w:rPr>
      </w:pPr>
      <w:r w:rsidRPr="004E053C">
        <w:rPr>
          <w:rFonts w:cstheme="majorHAnsi"/>
          <w:i/>
          <w:sz w:val="22"/>
          <w:szCs w:val="22"/>
          <w:lang w:val="en-GB"/>
        </w:rPr>
        <w:t>‘They just come here to use the resources, and they have no real interest in this land long-term. With the money they earn they will rent a room here, but they will invest the money in buying a 4-story house in the sierra or wherever they’re from</w:t>
      </w:r>
      <w:r w:rsidRPr="004E053C">
        <w:rPr>
          <w:rFonts w:cstheme="majorHAnsi"/>
          <w:sz w:val="22"/>
          <w:szCs w:val="22"/>
          <w:lang w:val="en-GB"/>
        </w:rPr>
        <w:t>’ (</w:t>
      </w:r>
      <w:r w:rsidR="00EA7F80" w:rsidRPr="004E053C">
        <w:rPr>
          <w:rFonts w:cstheme="majorHAnsi"/>
          <w:sz w:val="22"/>
          <w:szCs w:val="22"/>
          <w:lang w:val="en-GB"/>
        </w:rPr>
        <w:t>Alejandro</w:t>
      </w:r>
      <w:r w:rsidRPr="004E053C">
        <w:rPr>
          <w:rFonts w:cstheme="majorHAnsi"/>
          <w:sz w:val="22"/>
          <w:szCs w:val="22"/>
          <w:lang w:val="en-GB"/>
        </w:rPr>
        <w:t>, ASM miner, Laberinto)</w:t>
      </w:r>
      <w:r w:rsidR="00AF3CFC" w:rsidRPr="004E053C">
        <w:rPr>
          <w:rFonts w:cstheme="majorHAnsi"/>
          <w:sz w:val="22"/>
          <w:szCs w:val="22"/>
          <w:lang w:val="en-GB"/>
        </w:rPr>
        <w:t>.</w:t>
      </w:r>
    </w:p>
    <w:p w14:paraId="4A46D626" w14:textId="77777777" w:rsidR="00B53FA8" w:rsidRPr="004E053C" w:rsidRDefault="00B53FA8" w:rsidP="004E053C">
      <w:pPr>
        <w:spacing w:line="360" w:lineRule="auto"/>
        <w:jc w:val="both"/>
        <w:rPr>
          <w:rFonts w:eastAsia="Times New Roman" w:cstheme="majorHAnsi"/>
          <w:sz w:val="22"/>
          <w:szCs w:val="22"/>
          <w:lang w:val="en-GB"/>
        </w:rPr>
      </w:pPr>
    </w:p>
    <w:p w14:paraId="1A925B41" w14:textId="13375A12" w:rsidR="00B53FA8" w:rsidRPr="004E053C" w:rsidRDefault="00B53FA8"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From the above quotes, it becomes apparent that many </w:t>
      </w:r>
      <w:r w:rsidR="00C21441" w:rsidRPr="004E053C">
        <w:rPr>
          <w:rFonts w:eastAsia="Times New Roman" w:cstheme="majorHAnsi"/>
          <w:sz w:val="22"/>
          <w:szCs w:val="22"/>
          <w:lang w:val="en-GB"/>
        </w:rPr>
        <w:t>temporary</w:t>
      </w:r>
      <w:r w:rsidRPr="004E053C">
        <w:rPr>
          <w:rFonts w:eastAsia="Times New Roman" w:cstheme="majorHAnsi"/>
          <w:sz w:val="22"/>
          <w:szCs w:val="22"/>
          <w:lang w:val="en-GB"/>
        </w:rPr>
        <w:t xml:space="preserve"> migrants are not interested in deepening their social relationships, or even in developing an economic link with the town. Another miner explained that this problem was visually observable in the way that the temporary miners chose to live whilst in the local area, as rather than living in a house in a nearby settlement, they often just build a </w:t>
      </w:r>
      <w:r w:rsidRPr="004E053C">
        <w:rPr>
          <w:rFonts w:cstheme="majorHAnsi"/>
          <w:sz w:val="22"/>
          <w:szCs w:val="22"/>
          <w:lang w:val="en-GB"/>
        </w:rPr>
        <w:t>shelter out of four sticks with plastic around it – ‘</w:t>
      </w:r>
      <w:r w:rsidRPr="004E053C">
        <w:rPr>
          <w:rFonts w:cstheme="majorHAnsi"/>
          <w:i/>
          <w:sz w:val="22"/>
          <w:szCs w:val="22"/>
          <w:lang w:val="en-GB"/>
        </w:rPr>
        <w:t xml:space="preserve">That is no way to live, but they </w:t>
      </w:r>
      <w:r w:rsidRPr="004E053C">
        <w:rPr>
          <w:rFonts w:cstheme="majorHAnsi"/>
          <w:i/>
          <w:sz w:val="22"/>
          <w:szCs w:val="22"/>
          <w:lang w:val="en-GB"/>
        </w:rPr>
        <w:lastRenderedPageBreak/>
        <w:t>don’t care because they’re just here to make money. Unless we change their mentality, change isn’t possible</w:t>
      </w:r>
      <w:r w:rsidRPr="004E053C">
        <w:rPr>
          <w:rFonts w:cstheme="majorHAnsi"/>
          <w:sz w:val="22"/>
          <w:szCs w:val="22"/>
          <w:lang w:val="en-GB"/>
        </w:rPr>
        <w:t>’ (</w:t>
      </w:r>
      <w:r w:rsidR="00EA7F80" w:rsidRPr="004E053C">
        <w:rPr>
          <w:rFonts w:cstheme="majorHAnsi"/>
          <w:sz w:val="22"/>
          <w:szCs w:val="22"/>
          <w:lang w:val="en-GB"/>
        </w:rPr>
        <w:t>Mario</w:t>
      </w:r>
      <w:r w:rsidRPr="004E053C">
        <w:rPr>
          <w:rFonts w:cstheme="majorHAnsi"/>
          <w:sz w:val="22"/>
          <w:szCs w:val="22"/>
          <w:lang w:val="en-GB"/>
        </w:rPr>
        <w:t xml:space="preserve">, ASM miner, </w:t>
      </w:r>
      <w:r w:rsidR="00D3785B" w:rsidRPr="004E053C">
        <w:rPr>
          <w:rFonts w:cstheme="majorHAnsi"/>
          <w:sz w:val="22"/>
          <w:szCs w:val="22"/>
          <w:lang w:val="en-GB"/>
        </w:rPr>
        <w:t>Boca</w:t>
      </w:r>
      <w:r w:rsidRPr="004E053C">
        <w:rPr>
          <w:rFonts w:cstheme="majorHAnsi"/>
          <w:sz w:val="22"/>
          <w:szCs w:val="22"/>
          <w:lang w:val="en-GB"/>
        </w:rPr>
        <w:t xml:space="preserve"> Union). </w:t>
      </w:r>
    </w:p>
    <w:p w14:paraId="7BC39238" w14:textId="77777777" w:rsidR="00B53FA8" w:rsidRPr="004E053C" w:rsidRDefault="00B53FA8" w:rsidP="004E053C">
      <w:pPr>
        <w:spacing w:line="360" w:lineRule="auto"/>
        <w:jc w:val="both"/>
        <w:rPr>
          <w:rFonts w:cstheme="majorHAnsi"/>
          <w:sz w:val="22"/>
          <w:szCs w:val="22"/>
          <w:lang w:val="en-GB"/>
        </w:rPr>
      </w:pPr>
    </w:p>
    <w:p w14:paraId="18CD64BC" w14:textId="5BAA5AB4"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This notion that translocality may lead miners to self-exclude highlights another dimension to a phenom</w:t>
      </w:r>
      <w:r w:rsidR="008317C7" w:rsidRPr="004E053C">
        <w:rPr>
          <w:rFonts w:cstheme="majorHAnsi"/>
          <w:sz w:val="22"/>
          <w:szCs w:val="22"/>
          <w:lang w:val="en-GB"/>
        </w:rPr>
        <w:t xml:space="preserve">enon identified by Fisher </w:t>
      </w:r>
      <w:r w:rsidR="008317C7" w:rsidRPr="004E053C">
        <w:rPr>
          <w:rFonts w:cstheme="majorHAnsi"/>
          <w:sz w:val="22"/>
          <w:szCs w:val="22"/>
          <w:lang w:val="en-GB"/>
        </w:rPr>
        <w:fldChar w:fldCharType="begin" w:fldLock="1"/>
      </w:r>
      <w:r w:rsidR="008317C7" w:rsidRPr="004E053C">
        <w:rPr>
          <w:rFonts w:cstheme="majorHAnsi"/>
          <w:sz w:val="22"/>
          <w:szCs w:val="22"/>
          <w:lang w:val="en-GB"/>
        </w:rPr>
        <w:instrText>ADDIN CSL_CITATION {"citationItems":[{"id":"ITEM-1","itemData":{"abstract":"This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Change","id":"ITEM-1","issue":"4","issued":{"date-parts":[["2007"]]},"page":"735-760","title":"Occupying the Margins: Labour Integration and Social Exclusion in Artisanal Mining in Tanzania","type":"article-journal","volume":"38"},"uris":["http://www.mendeley.com/documents/?uuid=ff3b0073-6334-3642-aaf4-12090b595d93"]}],"mendeley":{"formattedCitation":"(Fisher, 2007)","manualFormatting":"(2007)","plainTextFormattedCitation":"(Fisher, 2007)","previouslyFormattedCitation":"(Fisher, 2007)"},"properties":{"noteIndex":0},"schema":"https://github.com/citation-style-language/schema/raw/master/csl-citation.json"}</w:instrText>
      </w:r>
      <w:r w:rsidR="008317C7" w:rsidRPr="004E053C">
        <w:rPr>
          <w:rFonts w:cstheme="majorHAnsi"/>
          <w:sz w:val="22"/>
          <w:szCs w:val="22"/>
          <w:lang w:val="en-GB"/>
        </w:rPr>
        <w:fldChar w:fldCharType="separate"/>
      </w:r>
      <w:r w:rsidR="008317C7" w:rsidRPr="004E053C">
        <w:rPr>
          <w:rFonts w:cstheme="majorHAnsi"/>
          <w:noProof/>
          <w:sz w:val="22"/>
          <w:szCs w:val="22"/>
          <w:lang w:val="en-GB"/>
        </w:rPr>
        <w:t>(2007)</w:t>
      </w:r>
      <w:r w:rsidR="008317C7" w:rsidRPr="004E053C">
        <w:rPr>
          <w:rFonts w:cstheme="majorHAnsi"/>
          <w:sz w:val="22"/>
          <w:szCs w:val="22"/>
          <w:lang w:val="en-GB"/>
        </w:rPr>
        <w:fldChar w:fldCharType="end"/>
      </w:r>
      <w:r w:rsidRPr="004E053C">
        <w:rPr>
          <w:rFonts w:cstheme="majorHAnsi"/>
          <w:sz w:val="22"/>
          <w:szCs w:val="22"/>
          <w:lang w:val="en-GB"/>
        </w:rPr>
        <w:t xml:space="preserve">, who showed that while highly-mobile miners in particular may find themselves excluded from wider society, they may also actively exclude themselves in the hope of transgressing boundaries and acquiring wealth through illicit trade. Thus, it is also the norms in the mining community as well as those of the wider, dominant society that the miners wish to exclude from, as has already been highlighted above in reference to local rules regarding protecting the environment. This idea was touched on to some extent by Walsh </w:t>
      </w:r>
      <w:r w:rsidR="008317C7" w:rsidRPr="004E053C">
        <w:rPr>
          <w:rFonts w:cstheme="majorHAnsi"/>
          <w:sz w:val="22"/>
          <w:szCs w:val="22"/>
          <w:lang w:val="en-GB"/>
        </w:rPr>
        <w:fldChar w:fldCharType="begin" w:fldLock="1"/>
      </w:r>
      <w:r w:rsidR="008317C7" w:rsidRPr="004E053C">
        <w:rPr>
          <w:rFonts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id":"ITEM-2","itemData":{"author":[{"dropping-particle":"","family":"Walsh","given":"Andrew","non-dropping-particle":"","parse-names":false,"suffix":""}],"container-title":"Africa: The Journal of the International African Institute","id":"ITEM-2","issue":"2","issued":{"date-parts":[["2012"]]},"page":"235-251","title":"After the rush: living with uncertainty in a Malagasy rural town, Africa","type":"article-journal","volume":"82"},"uris":["http://www.mendeley.com/documents/?uuid=cd2c67d7-e16d-478c-bb1b-5e15dca23af5"]}],"mendeley":{"formattedCitation":"(Walsh, 2003, 2012)","manualFormatting":"(2003, 2012)","plainTextFormattedCitation":"(Walsh, 2003, 2012)","previouslyFormattedCitation":"(Walsh, 2003, 2012)"},"properties":{"noteIndex":0},"schema":"https://github.com/citation-style-language/schema/raw/master/csl-citation.json"}</w:instrText>
      </w:r>
      <w:r w:rsidR="008317C7" w:rsidRPr="004E053C">
        <w:rPr>
          <w:rFonts w:cstheme="majorHAnsi"/>
          <w:sz w:val="22"/>
          <w:szCs w:val="22"/>
          <w:lang w:val="en-GB"/>
        </w:rPr>
        <w:fldChar w:fldCharType="separate"/>
      </w:r>
      <w:r w:rsidR="008317C7" w:rsidRPr="004E053C">
        <w:rPr>
          <w:rFonts w:cstheme="majorHAnsi"/>
          <w:noProof/>
          <w:sz w:val="22"/>
          <w:szCs w:val="22"/>
          <w:lang w:val="en-GB"/>
        </w:rPr>
        <w:t>(2003, 2012)</w:t>
      </w:r>
      <w:r w:rsidR="008317C7" w:rsidRPr="004E053C">
        <w:rPr>
          <w:rFonts w:cstheme="majorHAnsi"/>
          <w:sz w:val="22"/>
          <w:szCs w:val="22"/>
          <w:lang w:val="en-GB"/>
        </w:rPr>
        <w:fldChar w:fldCharType="end"/>
      </w:r>
      <w:r w:rsidRPr="004E053C">
        <w:rPr>
          <w:rFonts w:cstheme="majorHAnsi"/>
          <w:sz w:val="22"/>
          <w:szCs w:val="22"/>
          <w:lang w:val="en-GB"/>
        </w:rPr>
        <w:t xml:space="preserve">, who showed that newly-arrived young miners in a Madagascan sapphire mining town deliberately ignored traditional authority and social norms and remained aloof from </w:t>
      </w:r>
      <w:r w:rsidRPr="004E053C">
        <w:rPr>
          <w:rFonts w:cstheme="majorHAnsi"/>
          <w:color w:val="000000" w:themeColor="text1"/>
          <w:sz w:val="22"/>
          <w:szCs w:val="22"/>
          <w:lang w:val="en-GB"/>
        </w:rPr>
        <w:t>local institutions and hierarchical relationships in orde</w:t>
      </w:r>
      <w:r w:rsidR="00907662" w:rsidRPr="004E053C">
        <w:rPr>
          <w:rFonts w:cstheme="majorHAnsi"/>
          <w:color w:val="000000" w:themeColor="text1"/>
          <w:sz w:val="22"/>
          <w:szCs w:val="22"/>
          <w:lang w:val="en-GB"/>
        </w:rPr>
        <w:t>r to remain flexible and maximis</w:t>
      </w:r>
      <w:r w:rsidRPr="004E053C">
        <w:rPr>
          <w:rFonts w:cstheme="majorHAnsi"/>
          <w:color w:val="000000" w:themeColor="text1"/>
          <w:sz w:val="22"/>
          <w:szCs w:val="22"/>
          <w:lang w:val="en-GB"/>
        </w:rPr>
        <w:t>e income, leading to animosity within the community. This is very similar to the behavio</w:t>
      </w:r>
      <w:r w:rsidR="00907662" w:rsidRPr="004E053C">
        <w:rPr>
          <w:rFonts w:cstheme="majorHAnsi"/>
          <w:color w:val="000000" w:themeColor="text1"/>
          <w:sz w:val="22"/>
          <w:szCs w:val="22"/>
          <w:lang w:val="en-GB"/>
        </w:rPr>
        <w:t>u</w:t>
      </w:r>
      <w:r w:rsidRPr="004E053C">
        <w:rPr>
          <w:rFonts w:cstheme="majorHAnsi"/>
          <w:color w:val="000000" w:themeColor="text1"/>
          <w:sz w:val="22"/>
          <w:szCs w:val="22"/>
          <w:lang w:val="en-GB"/>
        </w:rPr>
        <w:t>r of temporary and fl</w:t>
      </w:r>
      <w:r w:rsidR="00907662" w:rsidRPr="004E053C">
        <w:rPr>
          <w:rFonts w:cstheme="majorHAnsi"/>
          <w:color w:val="000000" w:themeColor="text1"/>
          <w:sz w:val="22"/>
          <w:szCs w:val="22"/>
          <w:lang w:val="en-GB"/>
        </w:rPr>
        <w:t xml:space="preserve">oating miners in Madre de Dios. In </w:t>
      </w:r>
      <w:r w:rsidRPr="004E053C">
        <w:rPr>
          <w:rFonts w:cstheme="majorHAnsi"/>
          <w:color w:val="000000" w:themeColor="text1"/>
          <w:sz w:val="22"/>
          <w:szCs w:val="22"/>
          <w:lang w:val="en-GB"/>
        </w:rPr>
        <w:t xml:space="preserve">fact </w:t>
      </w:r>
      <w:r w:rsidRPr="004E053C">
        <w:rPr>
          <w:rFonts w:cstheme="majorHAnsi"/>
          <w:sz w:val="22"/>
          <w:szCs w:val="22"/>
          <w:lang w:val="en-GB"/>
        </w:rPr>
        <w:t xml:space="preserve">the desire to self-exclude from the norms of Laberinto may be one of the reasons that miners are drawn to work in La Pampa, which lacks the social institutions that have developed elsewhere. </w:t>
      </w:r>
    </w:p>
    <w:p w14:paraId="1A9E337A" w14:textId="77777777" w:rsidR="00B53FA8" w:rsidRPr="004E053C" w:rsidRDefault="00B53FA8" w:rsidP="004E053C">
      <w:pPr>
        <w:spacing w:line="360" w:lineRule="auto"/>
        <w:jc w:val="both"/>
        <w:rPr>
          <w:rFonts w:cstheme="majorHAnsi"/>
          <w:sz w:val="22"/>
          <w:szCs w:val="22"/>
          <w:lang w:val="en-GB"/>
        </w:rPr>
      </w:pPr>
    </w:p>
    <w:p w14:paraId="4229851E" w14:textId="76ACE6A8" w:rsidR="00B53FA8" w:rsidRPr="004E053C" w:rsidRDefault="00EA7F83" w:rsidP="004E053C">
      <w:pPr>
        <w:pStyle w:val="Heading3"/>
        <w:rPr>
          <w:rFonts w:asciiTheme="minorHAnsi" w:hAnsiTheme="minorHAnsi"/>
        </w:rPr>
      </w:pPr>
      <w:r w:rsidRPr="004E053C">
        <w:rPr>
          <w:rFonts w:asciiTheme="minorHAnsi" w:hAnsiTheme="minorHAnsi"/>
        </w:rPr>
        <w:t>8</w:t>
      </w:r>
      <w:r w:rsidR="004A3EF1" w:rsidRPr="004E053C">
        <w:rPr>
          <w:rFonts w:asciiTheme="minorHAnsi" w:hAnsiTheme="minorHAnsi"/>
        </w:rPr>
        <w:t>.2.6. Community life and social r</w:t>
      </w:r>
      <w:r w:rsidR="00B53FA8" w:rsidRPr="004E053C">
        <w:rPr>
          <w:rFonts w:asciiTheme="minorHAnsi" w:hAnsiTheme="minorHAnsi"/>
        </w:rPr>
        <w:t>elationships</w:t>
      </w:r>
    </w:p>
    <w:p w14:paraId="4DE4B9C6" w14:textId="77777777" w:rsidR="00B53FA8" w:rsidRPr="004E053C" w:rsidRDefault="00B53FA8" w:rsidP="004E053C">
      <w:pPr>
        <w:spacing w:line="360" w:lineRule="auto"/>
        <w:jc w:val="both"/>
        <w:rPr>
          <w:rFonts w:cstheme="majorHAnsi"/>
          <w:lang w:val="en-GB"/>
        </w:rPr>
      </w:pPr>
    </w:p>
    <w:p w14:paraId="5AB7ADA8" w14:textId="169DE4F3" w:rsidR="00B53FA8" w:rsidRPr="004E053C" w:rsidRDefault="00F6233C"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High </w:t>
      </w:r>
      <w:r w:rsidR="00B53FA8" w:rsidRPr="004E053C">
        <w:rPr>
          <w:rFonts w:eastAsia="Times New Roman" w:cstheme="majorHAnsi"/>
          <w:sz w:val="22"/>
          <w:szCs w:val="22"/>
          <w:lang w:val="en-GB"/>
        </w:rPr>
        <w:t xml:space="preserve">levels of migration and weakening social relationships obviously have implications for the local community. </w:t>
      </w:r>
      <w:r w:rsidR="00B53FA8" w:rsidRPr="004E053C">
        <w:rPr>
          <w:rFonts w:cstheme="majorHAnsi"/>
          <w:sz w:val="22"/>
          <w:szCs w:val="22"/>
          <w:lang w:val="en-GB"/>
        </w:rPr>
        <w:t>Given the tendency for ASM operatives to socialise in bars and bond through cons</w:t>
      </w:r>
      <w:r w:rsidR="008317C7" w:rsidRPr="004E053C">
        <w:rPr>
          <w:rFonts w:cstheme="majorHAnsi"/>
          <w:sz w:val="22"/>
          <w:szCs w:val="22"/>
          <w:lang w:val="en-GB"/>
        </w:rPr>
        <w:t xml:space="preserve">uming alcohol </w:t>
      </w:r>
      <w:r w:rsidR="008317C7"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town","type":"article-journal","volume":"30"},"uris":["http://www.mendeley.com/documents/?uuid=e221bdbc-373c-4a27-aef2-b563e761557e"]},{"id":"ITEM-2","itemData":{"abstract":"The article addresses friendship relations among male artisanal gold miners in West Africa, exemplified by case studies from Northern Benin. I will argue that friendship is an important element in understanding the fluid social configurations in the mining region. In the new social environment, immigrants develop new ties among themselves and to the local societies. I will explore the general logic of friendship bonds in that area and discuss their integrative strength as well as their limits. In the context of gold mining, strategies of economic as well as social risk minimisation incline many migrants to create friendship bonds. Parity in income sharing is more likely to be established among friends than among kinsmen. Friendship is specifically relevant to integrate people of very different regional, ethnic and social backgrounds. Despite the many divergent interests between different economic actors, locals and immigrants, there are multiple bonds which give rise to different levels of social integration","author":[{"dropping-particle":"","family":"Grätz","given":"Tilo","non-dropping-particle":"","parse-names":false,"suffix":""}],"container-title":"Africa Spectrum","id":"ITEM-2","issue":"1","issued":{"date-parts":[["2004"]]},"page":"95-117","title":"Friendship ties among young artisanal gold miners in northern Benin","type":"article-journal","volume":"39"},"uris":["http://www.mendeley.com/documents/?uuid=631c2928-d206-4553-9dc8-cdef02d54887"]}],"mendeley":{"formattedCitation":"(Grätz, 2004a; Walsh, 2003)","plainTextFormattedCitation":"(Grätz, 2004a; Walsh, 2003)","previouslyFormattedCitation":"(Grätz, 2004a; Walsh, 2003)"},"properties":{"noteIndex":0},"schema":"https://github.com/citation-style-language/schema/raw/master/csl-citation.json"}</w:instrText>
      </w:r>
      <w:r w:rsidR="008317C7" w:rsidRPr="004E053C">
        <w:rPr>
          <w:rFonts w:cstheme="majorHAnsi"/>
          <w:sz w:val="22"/>
          <w:szCs w:val="22"/>
          <w:lang w:val="en-GB"/>
        </w:rPr>
        <w:fldChar w:fldCharType="separate"/>
      </w:r>
      <w:r w:rsidR="008317C7" w:rsidRPr="004E053C">
        <w:rPr>
          <w:rFonts w:cstheme="majorHAnsi"/>
          <w:noProof/>
          <w:sz w:val="22"/>
          <w:szCs w:val="22"/>
          <w:lang w:val="en-GB"/>
        </w:rPr>
        <w:t>(Grätz, 2004a; Walsh, 2003)</w:t>
      </w:r>
      <w:r w:rsidR="008317C7" w:rsidRPr="004E053C">
        <w:rPr>
          <w:rFonts w:cstheme="majorHAnsi"/>
          <w:sz w:val="22"/>
          <w:szCs w:val="22"/>
          <w:lang w:val="en-GB"/>
        </w:rPr>
        <w:fldChar w:fldCharType="end"/>
      </w:r>
      <w:r w:rsidR="00B53FA8" w:rsidRPr="004E053C">
        <w:rPr>
          <w:rFonts w:cstheme="majorHAnsi"/>
          <w:sz w:val="22"/>
          <w:szCs w:val="22"/>
          <w:lang w:val="en-GB"/>
        </w:rPr>
        <w:t xml:space="preserve">, it is not surprising that there are an increasing number of bars and clubs that attract miners from the camps in the evenings and at weekends. </w:t>
      </w:r>
      <w:r w:rsidR="00B53FA8" w:rsidRPr="004E053C">
        <w:rPr>
          <w:rFonts w:eastAsia="Times New Roman" w:cstheme="majorHAnsi"/>
          <w:sz w:val="22"/>
          <w:szCs w:val="22"/>
          <w:lang w:val="en-GB"/>
        </w:rPr>
        <w:t>La Pampa has severe problems with pros</w:t>
      </w:r>
      <w:r w:rsidR="00907662" w:rsidRPr="004E053C">
        <w:rPr>
          <w:rFonts w:eastAsia="Times New Roman" w:cstheme="majorHAnsi"/>
          <w:sz w:val="22"/>
          <w:szCs w:val="22"/>
          <w:lang w:val="en-GB"/>
        </w:rPr>
        <w:t xml:space="preserve">titution and human trafficking. The </w:t>
      </w:r>
      <w:r w:rsidR="00B53FA8" w:rsidRPr="004E053C">
        <w:rPr>
          <w:rFonts w:eastAsia="Times New Roman" w:cstheme="majorHAnsi"/>
          <w:sz w:val="22"/>
          <w:szCs w:val="22"/>
          <w:lang w:val="en-GB"/>
        </w:rPr>
        <w:t>residents of Laberinto fear this emerging in their own town.</w:t>
      </w:r>
      <w:r w:rsidR="00B53FA8" w:rsidRPr="004E053C">
        <w:rPr>
          <w:rFonts w:cstheme="majorHAnsi"/>
          <w:sz w:val="22"/>
          <w:szCs w:val="22"/>
          <w:lang w:val="en-GB"/>
        </w:rPr>
        <w:t xml:space="preserve"> Currently, the prostitution in Laberinto is not as bad as La Pampa, with one resident claiming this was because it was ‘</w:t>
      </w:r>
      <w:r w:rsidR="00B53FA8" w:rsidRPr="004E053C">
        <w:rPr>
          <w:rFonts w:cstheme="majorHAnsi"/>
          <w:i/>
          <w:sz w:val="22"/>
          <w:szCs w:val="22"/>
          <w:lang w:val="en-GB"/>
        </w:rPr>
        <w:t>a very small place and we know each other very well…in a place where everyone knows each other it is difficult to have these kind of things</w:t>
      </w:r>
      <w:r w:rsidR="00B53FA8" w:rsidRPr="004E053C">
        <w:rPr>
          <w:rFonts w:cstheme="majorHAnsi"/>
          <w:sz w:val="22"/>
          <w:szCs w:val="22"/>
          <w:lang w:val="en-GB"/>
        </w:rPr>
        <w:t>’ (</w:t>
      </w:r>
      <w:r w:rsidR="00EA7F80" w:rsidRPr="004E053C">
        <w:rPr>
          <w:rFonts w:cstheme="majorHAnsi"/>
          <w:sz w:val="22"/>
          <w:szCs w:val="22"/>
          <w:lang w:val="en-GB"/>
        </w:rPr>
        <w:t>Jorge</w:t>
      </w:r>
      <w:r w:rsidR="00B53FA8" w:rsidRPr="004E053C">
        <w:rPr>
          <w:rFonts w:cstheme="majorHAnsi"/>
          <w:sz w:val="22"/>
          <w:szCs w:val="22"/>
          <w:lang w:val="en-GB"/>
        </w:rPr>
        <w:t>, ASM m</w:t>
      </w:r>
      <w:r w:rsidR="00565C53" w:rsidRPr="004E053C">
        <w:rPr>
          <w:rFonts w:cstheme="majorHAnsi"/>
          <w:sz w:val="22"/>
          <w:szCs w:val="22"/>
          <w:lang w:val="en-GB"/>
        </w:rPr>
        <w:t>iner, Laberinto). As chapter 7</w:t>
      </w:r>
      <w:r w:rsidR="00B53FA8" w:rsidRPr="004E053C">
        <w:rPr>
          <w:rFonts w:cstheme="majorHAnsi"/>
          <w:sz w:val="22"/>
          <w:szCs w:val="22"/>
          <w:lang w:val="en-GB"/>
        </w:rPr>
        <w:t xml:space="preserve"> showed though, prostitution is a growing concern in Laberinto. In </w:t>
      </w:r>
      <w:r w:rsidR="00D3785B" w:rsidRPr="004E053C">
        <w:rPr>
          <w:rFonts w:cstheme="majorHAnsi"/>
          <w:sz w:val="22"/>
          <w:szCs w:val="22"/>
          <w:lang w:val="en-GB"/>
        </w:rPr>
        <w:t>Boca</w:t>
      </w:r>
      <w:r w:rsidR="00B53FA8" w:rsidRPr="004E053C">
        <w:rPr>
          <w:rFonts w:cstheme="majorHAnsi"/>
          <w:sz w:val="22"/>
          <w:szCs w:val="22"/>
          <w:lang w:val="en-GB"/>
        </w:rPr>
        <w:t xml:space="preserve"> Union too there are now a couple of bars and a brothel, whereas before there were none – ‘</w:t>
      </w:r>
      <w:r w:rsidR="00B53FA8" w:rsidRPr="004E053C">
        <w:rPr>
          <w:rFonts w:cstheme="majorHAnsi"/>
          <w:i/>
          <w:sz w:val="22"/>
          <w:szCs w:val="22"/>
          <w:lang w:val="en-GB"/>
        </w:rPr>
        <w:t>We didn’t have this before, and you wouldn’t have imagined it could exist here</w:t>
      </w:r>
      <w:r w:rsidR="008317C7" w:rsidRPr="004E053C">
        <w:rPr>
          <w:rFonts w:cstheme="majorHAnsi"/>
          <w:sz w:val="22"/>
          <w:szCs w:val="22"/>
          <w:lang w:val="en-GB"/>
        </w:rPr>
        <w:t>’ (</w:t>
      </w:r>
      <w:r w:rsidR="00EA7F80" w:rsidRPr="004E053C">
        <w:rPr>
          <w:rFonts w:cstheme="majorHAnsi"/>
          <w:sz w:val="22"/>
          <w:szCs w:val="22"/>
          <w:lang w:val="en-GB"/>
        </w:rPr>
        <w:t>Mario</w:t>
      </w:r>
      <w:r w:rsidR="008317C7" w:rsidRPr="004E053C">
        <w:rPr>
          <w:rFonts w:cstheme="majorHAnsi"/>
          <w:sz w:val="22"/>
          <w:szCs w:val="22"/>
          <w:lang w:val="en-GB"/>
        </w:rPr>
        <w:t>, ASM miner, Boca</w:t>
      </w:r>
      <w:r w:rsidR="00830084" w:rsidRPr="004E053C">
        <w:rPr>
          <w:rFonts w:cstheme="majorHAnsi"/>
          <w:sz w:val="22"/>
          <w:szCs w:val="22"/>
          <w:lang w:val="en-GB"/>
        </w:rPr>
        <w:t xml:space="preserve"> </w:t>
      </w:r>
      <w:r w:rsidR="00B53FA8" w:rsidRPr="004E053C">
        <w:rPr>
          <w:rFonts w:cstheme="majorHAnsi"/>
          <w:sz w:val="22"/>
          <w:szCs w:val="22"/>
          <w:lang w:val="en-GB"/>
        </w:rPr>
        <w:t>Union). The residents blamed these changes on the growth of La Pampa and its spillover effects.</w:t>
      </w:r>
    </w:p>
    <w:p w14:paraId="538DDFDF" w14:textId="77777777" w:rsidR="00B53FA8" w:rsidRPr="004E053C" w:rsidRDefault="00B53FA8" w:rsidP="004E053C">
      <w:pPr>
        <w:spacing w:line="360" w:lineRule="auto"/>
        <w:jc w:val="both"/>
        <w:rPr>
          <w:rFonts w:cstheme="majorHAnsi"/>
          <w:sz w:val="22"/>
          <w:szCs w:val="22"/>
          <w:lang w:val="en-GB"/>
        </w:rPr>
      </w:pPr>
    </w:p>
    <w:p w14:paraId="04D23FB0" w14:textId="26E34320" w:rsidR="00B53FA8" w:rsidRPr="004E053C" w:rsidRDefault="00B53FA8" w:rsidP="004E053C">
      <w:pPr>
        <w:pStyle w:val="CommentText"/>
        <w:spacing w:line="360" w:lineRule="auto"/>
        <w:jc w:val="both"/>
        <w:rPr>
          <w:rFonts w:cstheme="majorHAnsi"/>
          <w:sz w:val="22"/>
          <w:szCs w:val="22"/>
          <w:lang w:val="en-GB"/>
        </w:rPr>
      </w:pPr>
      <w:r w:rsidRPr="004E053C">
        <w:rPr>
          <w:rFonts w:eastAsia="Times New Roman" w:cstheme="majorHAnsi"/>
          <w:sz w:val="22"/>
          <w:szCs w:val="22"/>
          <w:lang w:val="en-GB"/>
        </w:rPr>
        <w:t>As well as changes in the forms of entertainment available in Laberinto, migration also leads to changes in community activities</w:t>
      </w:r>
      <w:r w:rsidR="00907662" w:rsidRPr="004E053C">
        <w:rPr>
          <w:rFonts w:eastAsia="Times New Roman" w:cstheme="majorHAnsi"/>
          <w:sz w:val="22"/>
          <w:szCs w:val="22"/>
          <w:lang w:val="en-GB"/>
        </w:rPr>
        <w:t xml:space="preserve"> and other social relationships</w:t>
      </w:r>
      <w:r w:rsidRPr="004E053C">
        <w:rPr>
          <w:rFonts w:eastAsia="Times New Roman" w:cstheme="majorHAnsi"/>
          <w:sz w:val="22"/>
          <w:szCs w:val="22"/>
          <w:lang w:val="en-GB"/>
        </w:rPr>
        <w:t xml:space="preserve"> and a couple </w:t>
      </w:r>
      <w:r w:rsidRPr="004E053C">
        <w:rPr>
          <w:rFonts w:cstheme="majorHAnsi"/>
          <w:sz w:val="22"/>
          <w:szCs w:val="22"/>
          <w:lang w:val="en-GB"/>
        </w:rPr>
        <w:t xml:space="preserve">of the miners noted </w:t>
      </w:r>
      <w:r w:rsidRPr="004E053C">
        <w:rPr>
          <w:rFonts w:cstheme="majorHAnsi"/>
          <w:sz w:val="22"/>
          <w:szCs w:val="22"/>
          <w:lang w:val="en-GB"/>
        </w:rPr>
        <w:lastRenderedPageBreak/>
        <w:t xml:space="preserve">some benefits. </w:t>
      </w:r>
      <w:r w:rsidR="00EA7F80" w:rsidRPr="004E053C">
        <w:rPr>
          <w:rFonts w:cstheme="majorHAnsi"/>
          <w:sz w:val="22"/>
          <w:szCs w:val="22"/>
          <w:lang w:val="en-GB"/>
        </w:rPr>
        <w:t>Benito</w:t>
      </w:r>
      <w:r w:rsidRPr="004E053C">
        <w:rPr>
          <w:rFonts w:cstheme="majorHAnsi"/>
          <w:sz w:val="22"/>
          <w:szCs w:val="22"/>
          <w:lang w:val="en-GB"/>
        </w:rPr>
        <w:t xml:space="preserve"> and </w:t>
      </w:r>
      <w:r w:rsidR="00EA7F80" w:rsidRPr="004E053C">
        <w:rPr>
          <w:rFonts w:cstheme="majorHAnsi"/>
          <w:sz w:val="22"/>
          <w:szCs w:val="22"/>
          <w:lang w:val="en-GB"/>
        </w:rPr>
        <w:t>Justiniano</w:t>
      </w:r>
      <w:r w:rsidRPr="004E053C">
        <w:rPr>
          <w:rFonts w:cstheme="majorHAnsi"/>
          <w:sz w:val="22"/>
          <w:szCs w:val="22"/>
          <w:lang w:val="en-GB"/>
        </w:rPr>
        <w:t xml:space="preserve"> both said that migration brought people with new ideas who could potentially improve the town based on their experiences in places such as Cusco and Lima. </w:t>
      </w:r>
      <w:r w:rsidRPr="004E053C">
        <w:rPr>
          <w:rFonts w:eastAsia="Times New Roman" w:cstheme="majorHAnsi"/>
          <w:sz w:val="22"/>
          <w:szCs w:val="22"/>
          <w:lang w:val="en-GB"/>
        </w:rPr>
        <w:t xml:space="preserve">Furthermore, despite the translocal nature of the town, there are clear examples of social institutions that have been pervasive in the face of high in-migration and population fluidity. For example, Laberinto has local assemblies that often provide updates on mining activities and changes to laws or government regulations. The local residents have also become </w:t>
      </w:r>
      <w:r w:rsidR="00907662" w:rsidRPr="004E053C">
        <w:rPr>
          <w:rFonts w:eastAsia="Times New Roman" w:cstheme="majorHAnsi"/>
          <w:sz w:val="22"/>
          <w:szCs w:val="22"/>
          <w:lang w:val="en-GB"/>
        </w:rPr>
        <w:t>organised and engaged with the G</w:t>
      </w:r>
      <w:r w:rsidRPr="004E053C">
        <w:rPr>
          <w:rFonts w:eastAsia="Times New Roman" w:cstheme="majorHAnsi"/>
          <w:sz w:val="22"/>
          <w:szCs w:val="22"/>
          <w:lang w:val="en-GB"/>
        </w:rPr>
        <w:t>overnment to build a new school and other community facilities. There is growing evidence of community protection, or in some cases mob justice, appearing in the face of crime and violence. One ex-miner (</w:t>
      </w:r>
      <w:r w:rsidR="00EA7F80" w:rsidRPr="004E053C">
        <w:rPr>
          <w:rFonts w:eastAsia="Times New Roman" w:cstheme="majorHAnsi"/>
          <w:sz w:val="22"/>
          <w:szCs w:val="22"/>
          <w:lang w:val="en-GB"/>
        </w:rPr>
        <w:t>Mateo</w:t>
      </w:r>
      <w:r w:rsidRPr="004E053C">
        <w:rPr>
          <w:rFonts w:eastAsia="Times New Roman" w:cstheme="majorHAnsi"/>
          <w:sz w:val="22"/>
          <w:szCs w:val="22"/>
          <w:lang w:val="en-GB"/>
        </w:rPr>
        <w:t xml:space="preserve">) explained that the increasing violence in some mining towns was leading to the establishment of small community-based security organisations. Although there was no discussion of this in Laberinto, which is relatively safe and has a local police station, such organisations were reported in other mining settlements within the </w:t>
      </w:r>
      <w:r w:rsidRPr="004E053C">
        <w:rPr>
          <w:rFonts w:eastAsia="Times New Roman" w:cstheme="majorHAnsi"/>
          <w:i/>
          <w:iCs/>
          <w:sz w:val="22"/>
          <w:szCs w:val="22"/>
          <w:lang w:val="en-GB"/>
        </w:rPr>
        <w:t xml:space="preserve">Corridor Minero </w:t>
      </w:r>
      <w:r w:rsidRPr="004E053C">
        <w:rPr>
          <w:rFonts w:eastAsia="Times New Roman" w:cstheme="majorHAnsi"/>
          <w:sz w:val="22"/>
          <w:szCs w:val="22"/>
          <w:lang w:val="en-GB"/>
        </w:rPr>
        <w:t>and in La Pampa.</w:t>
      </w:r>
    </w:p>
    <w:p w14:paraId="10E1F5F8" w14:textId="77777777" w:rsidR="00B53FA8" w:rsidRPr="004E053C" w:rsidRDefault="00B53FA8" w:rsidP="004E053C">
      <w:pPr>
        <w:spacing w:line="360" w:lineRule="auto"/>
        <w:jc w:val="both"/>
        <w:rPr>
          <w:rFonts w:eastAsia="Times New Roman" w:cstheme="majorHAnsi"/>
          <w:i/>
          <w:iCs/>
          <w:sz w:val="22"/>
          <w:szCs w:val="22"/>
          <w:lang w:val="en-GB"/>
        </w:rPr>
      </w:pPr>
    </w:p>
    <w:p w14:paraId="47A5D2F5" w14:textId="77777777" w:rsidR="00B53FA8" w:rsidRPr="004E053C" w:rsidRDefault="00B53FA8"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Interestingly, community protection does not only cover criminals and violent gangs. The residents of the mining towns within the </w:t>
      </w:r>
      <w:r w:rsidRPr="004E053C">
        <w:rPr>
          <w:rFonts w:eastAsia="Times New Roman" w:cstheme="majorHAnsi"/>
          <w:i/>
          <w:iCs/>
          <w:sz w:val="22"/>
          <w:szCs w:val="22"/>
          <w:lang w:val="en-GB"/>
        </w:rPr>
        <w:t>Corridor Minero</w:t>
      </w:r>
      <w:r w:rsidRPr="004E053C">
        <w:rPr>
          <w:rFonts w:eastAsia="Times New Roman" w:cstheme="majorHAnsi"/>
          <w:sz w:val="22"/>
          <w:szCs w:val="22"/>
          <w:lang w:val="en-GB"/>
        </w:rPr>
        <w:t xml:space="preserve"> feel that government agencies and NGOs pose a threat to their livelihoods, community and even their identity:</w:t>
      </w:r>
    </w:p>
    <w:p w14:paraId="3F9ACCC2" w14:textId="77777777" w:rsidR="00B53FA8" w:rsidRPr="004E053C" w:rsidRDefault="00B53FA8" w:rsidP="004E053C">
      <w:pPr>
        <w:spacing w:line="360" w:lineRule="auto"/>
        <w:jc w:val="both"/>
        <w:rPr>
          <w:rFonts w:eastAsia="Times New Roman" w:cstheme="majorHAnsi"/>
          <w:sz w:val="22"/>
          <w:szCs w:val="22"/>
          <w:lang w:val="en-GB"/>
        </w:rPr>
      </w:pPr>
    </w:p>
    <w:p w14:paraId="30ADFA75" w14:textId="1A142FCE"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People here we protect each other from the new people that we think might be someone from the government or NGOs. It’s not only the miners, but also hotels or restaurants and also the transport guys. They offer protection because they know that everyone works together, and if the miners here have a problem, then they will also have a problem…The people here don’t want contact with foreign people who are dangerous or who might have other purposes</w:t>
      </w:r>
      <w:r w:rsidRPr="004E053C">
        <w:rPr>
          <w:rFonts w:cstheme="majorHAnsi"/>
          <w:sz w:val="22"/>
          <w:szCs w:val="22"/>
          <w:lang w:val="en-GB"/>
        </w:rPr>
        <w:t>’ (</w:t>
      </w:r>
      <w:r w:rsidR="00EA7F80" w:rsidRPr="004E053C">
        <w:rPr>
          <w:rFonts w:cstheme="majorHAnsi"/>
          <w:sz w:val="22"/>
          <w:szCs w:val="22"/>
          <w:lang w:val="en-GB"/>
        </w:rPr>
        <w:t>Mario</w:t>
      </w:r>
      <w:r w:rsidRPr="004E053C">
        <w:rPr>
          <w:rFonts w:cstheme="majorHAnsi"/>
          <w:sz w:val="22"/>
          <w:szCs w:val="22"/>
          <w:lang w:val="en-GB"/>
        </w:rPr>
        <w:t>, ASM miner, Boca</w:t>
      </w:r>
      <w:r w:rsidR="00830084" w:rsidRPr="004E053C">
        <w:rPr>
          <w:rFonts w:cstheme="majorHAnsi"/>
          <w:sz w:val="22"/>
          <w:szCs w:val="22"/>
          <w:lang w:val="en-GB"/>
        </w:rPr>
        <w:t xml:space="preserve"> </w:t>
      </w:r>
      <w:r w:rsidRPr="004E053C">
        <w:rPr>
          <w:rFonts w:cstheme="majorHAnsi"/>
          <w:sz w:val="22"/>
          <w:szCs w:val="22"/>
          <w:lang w:val="en-GB"/>
        </w:rPr>
        <w:t>Union).</w:t>
      </w:r>
    </w:p>
    <w:p w14:paraId="1D6E1506" w14:textId="77777777" w:rsidR="00B53FA8" w:rsidRPr="004E053C" w:rsidRDefault="00B53FA8" w:rsidP="004E053C">
      <w:pPr>
        <w:spacing w:line="360" w:lineRule="auto"/>
        <w:jc w:val="both"/>
        <w:rPr>
          <w:rFonts w:cstheme="majorHAnsi"/>
          <w:sz w:val="22"/>
          <w:szCs w:val="22"/>
          <w:lang w:val="en-GB"/>
        </w:rPr>
      </w:pPr>
    </w:p>
    <w:p w14:paraId="23295BB3" w14:textId="5830194A" w:rsidR="00B53FA8" w:rsidRPr="004E053C" w:rsidRDefault="00B53FA8"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This quote perfectly highlights how for many permanent residents, the </w:t>
      </w:r>
      <w:r w:rsidRPr="004E053C">
        <w:rPr>
          <w:rFonts w:eastAsia="Times New Roman" w:cstheme="majorHAnsi"/>
          <w:i/>
          <w:iCs/>
          <w:sz w:val="22"/>
          <w:szCs w:val="22"/>
          <w:lang w:val="en-GB"/>
        </w:rPr>
        <w:t xml:space="preserve">foreigners </w:t>
      </w:r>
      <w:r w:rsidRPr="004E053C">
        <w:rPr>
          <w:rFonts w:eastAsia="Times New Roman" w:cstheme="majorHAnsi"/>
          <w:sz w:val="22"/>
          <w:szCs w:val="22"/>
          <w:lang w:val="en-GB"/>
        </w:rPr>
        <w:t>who threaten their community can be government and NGO representatives, just as much as unknown migrant miners. NGOs that are concerned primarily with conservation of the Amazon and/or the protection of indigenous communities are perceived as being particularly hostile towards ASM, which as will be sho</w:t>
      </w:r>
      <w:r w:rsidR="00565C53" w:rsidRPr="004E053C">
        <w:rPr>
          <w:rFonts w:eastAsia="Times New Roman" w:cstheme="majorHAnsi"/>
          <w:sz w:val="22"/>
          <w:szCs w:val="22"/>
          <w:lang w:val="en-GB"/>
        </w:rPr>
        <w:t>wn in chapter 9</w:t>
      </w:r>
      <w:r w:rsidRPr="004E053C">
        <w:rPr>
          <w:rFonts w:eastAsia="Times New Roman" w:cstheme="majorHAnsi"/>
          <w:sz w:val="22"/>
          <w:szCs w:val="22"/>
          <w:lang w:val="en-GB"/>
        </w:rPr>
        <w:t>, is not an inaccurate perception.</w:t>
      </w:r>
    </w:p>
    <w:p w14:paraId="04AFB7AD" w14:textId="77777777" w:rsidR="00B53FA8" w:rsidRPr="004E053C" w:rsidRDefault="00B53FA8" w:rsidP="004E053C">
      <w:pPr>
        <w:spacing w:line="360" w:lineRule="auto"/>
        <w:jc w:val="both"/>
        <w:rPr>
          <w:rFonts w:eastAsia="Times New Roman" w:cstheme="majorHAnsi"/>
          <w:sz w:val="22"/>
          <w:szCs w:val="22"/>
          <w:lang w:val="en-GB"/>
        </w:rPr>
      </w:pPr>
    </w:p>
    <w:p w14:paraId="64260C90" w14:textId="35950346"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Yet, while the miners and residents of Laberinto and other mining communities come together in various ways, some o</w:t>
      </w:r>
      <w:r w:rsidR="00907662" w:rsidRPr="004E053C">
        <w:rPr>
          <w:rFonts w:cstheme="majorHAnsi"/>
          <w:sz w:val="22"/>
          <w:szCs w:val="22"/>
          <w:lang w:val="en-GB"/>
        </w:rPr>
        <w:t>f the permanent members emphasis</w:t>
      </w:r>
      <w:r w:rsidRPr="004E053C">
        <w:rPr>
          <w:rFonts w:cstheme="majorHAnsi"/>
          <w:sz w:val="22"/>
          <w:szCs w:val="22"/>
          <w:lang w:val="en-GB"/>
        </w:rPr>
        <w:t>ed how the newcomers’ lack of integration was impeding the development of a strong community culture. One said that Laberinto did not have an integrated community because it was not a culture based</w:t>
      </w:r>
      <w:r w:rsidR="00907662" w:rsidRPr="004E053C">
        <w:rPr>
          <w:rFonts w:cstheme="majorHAnsi"/>
          <w:sz w:val="22"/>
          <w:szCs w:val="22"/>
          <w:lang w:val="en-GB"/>
        </w:rPr>
        <w:t xml:space="preserve"> on traditions, </w:t>
      </w:r>
      <w:r w:rsidRPr="004E053C">
        <w:rPr>
          <w:rFonts w:cstheme="majorHAnsi"/>
          <w:sz w:val="22"/>
          <w:szCs w:val="22"/>
          <w:lang w:val="en-GB"/>
        </w:rPr>
        <w:t>thus could not foster the development of shared values and respect. He went on say that when the migrants leave t</w:t>
      </w:r>
      <w:r w:rsidR="00907662" w:rsidRPr="004E053C">
        <w:rPr>
          <w:rFonts w:cstheme="majorHAnsi"/>
          <w:sz w:val="22"/>
          <w:szCs w:val="22"/>
          <w:lang w:val="en-GB"/>
        </w:rPr>
        <w:t xml:space="preserve">he town </w:t>
      </w:r>
      <w:r w:rsidR="00907662" w:rsidRPr="004E053C">
        <w:rPr>
          <w:rFonts w:cstheme="majorHAnsi"/>
          <w:sz w:val="22"/>
          <w:szCs w:val="22"/>
          <w:lang w:val="en-GB"/>
        </w:rPr>
        <w:lastRenderedPageBreak/>
        <w:t xml:space="preserve">they leave nothing, </w:t>
      </w:r>
      <w:r w:rsidRPr="004E053C">
        <w:rPr>
          <w:rFonts w:cstheme="majorHAnsi"/>
          <w:sz w:val="22"/>
          <w:szCs w:val="22"/>
          <w:lang w:val="en-GB"/>
        </w:rPr>
        <w:t xml:space="preserve">so Laberinto is ‘culturally poor’, consisting only of money. Several other miners and NGO respondents also talked about how the </w:t>
      </w:r>
      <w:r w:rsidR="00C21441" w:rsidRPr="004E053C">
        <w:rPr>
          <w:rFonts w:cstheme="majorHAnsi"/>
          <w:sz w:val="22"/>
          <w:szCs w:val="22"/>
          <w:lang w:val="en-GB"/>
        </w:rPr>
        <w:t>temporary</w:t>
      </w:r>
      <w:r w:rsidRPr="004E053C">
        <w:rPr>
          <w:rFonts w:cstheme="majorHAnsi"/>
          <w:sz w:val="22"/>
          <w:szCs w:val="22"/>
          <w:lang w:val="en-GB"/>
        </w:rPr>
        <w:t>, transient miners didn’t leave anything behind:</w:t>
      </w:r>
    </w:p>
    <w:p w14:paraId="22BCCA4E" w14:textId="77777777" w:rsidR="00B53FA8" w:rsidRPr="004E053C" w:rsidRDefault="00B53FA8" w:rsidP="004E053C">
      <w:pPr>
        <w:spacing w:line="360" w:lineRule="auto"/>
        <w:jc w:val="both"/>
        <w:rPr>
          <w:rFonts w:cstheme="majorHAnsi"/>
          <w:sz w:val="22"/>
          <w:szCs w:val="22"/>
          <w:lang w:val="en-GB"/>
        </w:rPr>
      </w:pPr>
    </w:p>
    <w:p w14:paraId="3FA9CB95" w14:textId="6F2FE3C0" w:rsidR="00B53FA8" w:rsidRPr="004E053C" w:rsidRDefault="00B53FA8" w:rsidP="004E053C">
      <w:pPr>
        <w:ind w:left="720"/>
        <w:jc w:val="both"/>
        <w:rPr>
          <w:rFonts w:cstheme="majorHAnsi"/>
          <w:sz w:val="22"/>
          <w:szCs w:val="22"/>
          <w:lang w:val="en-GB"/>
        </w:rPr>
      </w:pPr>
      <w:r w:rsidRPr="004E053C">
        <w:rPr>
          <w:rFonts w:cstheme="majorHAnsi"/>
          <w:i/>
          <w:sz w:val="22"/>
          <w:szCs w:val="22"/>
          <w:lang w:val="en-GB"/>
        </w:rPr>
        <w:t>‘Where I work there are people from all areas of Peru – all over the country, not just the Andes. They do some work and then they return to their towns. They don’t leave anything to the area, or invest anything here</w:t>
      </w:r>
      <w:r w:rsidRPr="004E053C">
        <w:rPr>
          <w:rFonts w:cstheme="majorHAnsi"/>
          <w:sz w:val="22"/>
          <w:szCs w:val="22"/>
          <w:lang w:val="en-GB"/>
        </w:rPr>
        <w:t>’ (</w:t>
      </w:r>
      <w:r w:rsidR="00EA7F80" w:rsidRPr="004E053C">
        <w:rPr>
          <w:rFonts w:cstheme="majorHAnsi"/>
          <w:sz w:val="22"/>
          <w:szCs w:val="22"/>
          <w:lang w:val="en-GB"/>
        </w:rPr>
        <w:t>Christian</w:t>
      </w:r>
      <w:r w:rsidR="00A446DD" w:rsidRPr="004E053C">
        <w:rPr>
          <w:rFonts w:cstheme="majorHAnsi"/>
          <w:sz w:val="22"/>
          <w:szCs w:val="22"/>
          <w:lang w:val="en-GB"/>
        </w:rPr>
        <w:t>, ASM miner, Laberinto</w:t>
      </w:r>
      <w:r w:rsidR="00907662" w:rsidRPr="004E053C">
        <w:rPr>
          <w:rFonts w:cstheme="majorHAnsi"/>
          <w:sz w:val="22"/>
          <w:szCs w:val="22"/>
          <w:lang w:val="en-GB"/>
        </w:rPr>
        <w:t>).</w:t>
      </w:r>
    </w:p>
    <w:p w14:paraId="6FF3E446" w14:textId="77777777" w:rsidR="00B53FA8" w:rsidRPr="004E053C" w:rsidRDefault="00B53FA8" w:rsidP="004E053C">
      <w:pPr>
        <w:jc w:val="both"/>
        <w:rPr>
          <w:rFonts w:cstheme="majorHAnsi"/>
          <w:sz w:val="22"/>
          <w:szCs w:val="22"/>
          <w:lang w:val="en-GB"/>
        </w:rPr>
      </w:pPr>
    </w:p>
    <w:p w14:paraId="7A8946C4" w14:textId="77777777" w:rsidR="00B53FA8" w:rsidRPr="004E053C" w:rsidRDefault="00B53FA8" w:rsidP="004E053C">
      <w:pPr>
        <w:ind w:left="720"/>
        <w:jc w:val="both"/>
        <w:rPr>
          <w:rFonts w:cstheme="majorHAnsi"/>
          <w:i/>
          <w:sz w:val="22"/>
          <w:szCs w:val="22"/>
          <w:lang w:val="en-GB"/>
        </w:rPr>
      </w:pPr>
      <w:r w:rsidRPr="004E053C">
        <w:rPr>
          <w:rFonts w:cstheme="majorHAnsi"/>
          <w:i/>
          <w:sz w:val="22"/>
          <w:szCs w:val="22"/>
          <w:lang w:val="en-GB"/>
        </w:rPr>
        <w:t>‘The population growth is a problem. People are from different places and we do not know each other. There is no strong community culture’ (</w:t>
      </w:r>
      <w:r w:rsidRPr="004E053C">
        <w:rPr>
          <w:rFonts w:cstheme="majorHAnsi"/>
          <w:sz w:val="22"/>
          <w:szCs w:val="22"/>
          <w:lang w:val="en-GB"/>
        </w:rPr>
        <w:t>Women’s Centre representative, Puerto Maldonado).</w:t>
      </w:r>
    </w:p>
    <w:p w14:paraId="7F6CB86C" w14:textId="77777777" w:rsidR="00B53FA8" w:rsidRPr="004E053C" w:rsidRDefault="00B53FA8" w:rsidP="004E053C">
      <w:pPr>
        <w:spacing w:line="360" w:lineRule="auto"/>
        <w:jc w:val="both"/>
        <w:rPr>
          <w:rFonts w:cstheme="majorHAnsi"/>
          <w:sz w:val="22"/>
          <w:szCs w:val="22"/>
          <w:lang w:val="en-GB"/>
        </w:rPr>
      </w:pPr>
    </w:p>
    <w:p w14:paraId="08EC04BE" w14:textId="14388A54"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Such quotes directly show that the translocality of the Laberinto ASM community that means many migrants have no intention of investing, either socially or economically, can have an impact on the culture of community that is able to develop. It is also similar to findings by Walsh </w:t>
      </w:r>
      <w:r w:rsidR="008317C7" w:rsidRPr="004E053C">
        <w:rPr>
          <w:rFonts w:cstheme="majorHAnsi"/>
          <w:sz w:val="22"/>
          <w:szCs w:val="22"/>
          <w:lang w:val="en-GB"/>
        </w:rPr>
        <w:fldChar w:fldCharType="begin" w:fldLock="1"/>
      </w:r>
      <w:r w:rsidR="008317C7" w:rsidRPr="004E053C">
        <w:rPr>
          <w:rFonts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town","type":"article-journal","volume":"30"},"uris":["http://www.mendeley.com/documents/?uuid=e221bdbc-373c-4a27-aef2-b563e761557e"]}],"mendeley":{"formattedCitation":"(Walsh, 2003)","manualFormatting":"(2003)","plainTextFormattedCitation":"(Walsh, 2003)","previouslyFormattedCitation":"(Walsh, 2003)"},"properties":{"noteIndex":0},"schema":"https://github.com/citation-style-language/schema/raw/master/csl-citation.json"}</w:instrText>
      </w:r>
      <w:r w:rsidR="008317C7" w:rsidRPr="004E053C">
        <w:rPr>
          <w:rFonts w:cstheme="majorHAnsi"/>
          <w:sz w:val="22"/>
          <w:szCs w:val="22"/>
          <w:lang w:val="en-GB"/>
        </w:rPr>
        <w:fldChar w:fldCharType="separate"/>
      </w:r>
      <w:r w:rsidR="008317C7" w:rsidRPr="004E053C">
        <w:rPr>
          <w:rFonts w:cstheme="majorHAnsi"/>
          <w:noProof/>
          <w:sz w:val="22"/>
          <w:szCs w:val="22"/>
          <w:lang w:val="en-GB"/>
        </w:rPr>
        <w:t>(2003)</w:t>
      </w:r>
      <w:r w:rsidR="008317C7" w:rsidRPr="004E053C">
        <w:rPr>
          <w:rFonts w:cstheme="majorHAnsi"/>
          <w:sz w:val="22"/>
          <w:szCs w:val="22"/>
          <w:lang w:val="en-GB"/>
        </w:rPr>
        <w:fldChar w:fldCharType="end"/>
      </w:r>
      <w:r w:rsidRPr="004E053C">
        <w:rPr>
          <w:rFonts w:cstheme="majorHAnsi"/>
          <w:sz w:val="22"/>
          <w:szCs w:val="22"/>
          <w:lang w:val="en-GB"/>
        </w:rPr>
        <w:t xml:space="preserve"> from Madagascar, which showed that local investment of mining money </w:t>
      </w:r>
      <w:r w:rsidRPr="004E053C">
        <w:rPr>
          <w:rFonts w:eastAsia="Times New Roman" w:cstheme="majorHAnsi"/>
          <w:sz w:val="22"/>
          <w:szCs w:val="22"/>
          <w:lang w:val="en-GB"/>
        </w:rPr>
        <w:t>contributed towards enduring, locality-based moral orders, but that the potential for this was compromised when spent on f</w:t>
      </w:r>
      <w:r w:rsidR="00E06A67" w:rsidRPr="004E053C">
        <w:rPr>
          <w:rFonts w:eastAsia="Times New Roman" w:cstheme="majorHAnsi"/>
          <w:sz w:val="22"/>
          <w:szCs w:val="22"/>
          <w:lang w:val="en-GB"/>
        </w:rPr>
        <w:t xml:space="preserve">rivolous consumables or sent </w:t>
      </w:r>
      <w:r w:rsidRPr="004E053C">
        <w:rPr>
          <w:rFonts w:eastAsia="Times New Roman" w:cstheme="majorHAnsi"/>
          <w:sz w:val="22"/>
          <w:szCs w:val="22"/>
          <w:lang w:val="en-GB"/>
        </w:rPr>
        <w:t>to distant locales as remittances.</w:t>
      </w:r>
      <w:r w:rsidRPr="004E053C">
        <w:rPr>
          <w:rFonts w:cstheme="majorHAnsi"/>
          <w:sz w:val="22"/>
          <w:szCs w:val="22"/>
          <w:lang w:val="en-GB"/>
        </w:rPr>
        <w:t xml:space="preserve"> This is problematic for permanent miners, who want to develop social institutions and an enduring sense of community within Laberinto. In particular, temporary miners are less inclined to participate in collective action against changes in Government policy, which undermines local resistance efforts:</w:t>
      </w:r>
    </w:p>
    <w:p w14:paraId="617EAA17" w14:textId="77777777" w:rsidR="00B53FA8" w:rsidRPr="004E053C" w:rsidRDefault="00B53FA8" w:rsidP="004E053C">
      <w:pPr>
        <w:spacing w:line="360" w:lineRule="auto"/>
        <w:jc w:val="both"/>
        <w:rPr>
          <w:rFonts w:cstheme="majorHAnsi"/>
          <w:sz w:val="22"/>
          <w:szCs w:val="22"/>
          <w:lang w:val="en-GB"/>
        </w:rPr>
      </w:pPr>
    </w:p>
    <w:p w14:paraId="53500F9E" w14:textId="0C22039F" w:rsidR="00B53FA8" w:rsidRPr="004E053C" w:rsidRDefault="00907662" w:rsidP="004E053C">
      <w:pPr>
        <w:ind w:left="720"/>
        <w:jc w:val="both"/>
        <w:rPr>
          <w:rFonts w:cstheme="majorHAnsi"/>
          <w:sz w:val="22"/>
          <w:szCs w:val="22"/>
          <w:lang w:val="en-GB"/>
        </w:rPr>
      </w:pPr>
      <w:r w:rsidRPr="004E053C">
        <w:rPr>
          <w:rFonts w:cstheme="majorHAnsi"/>
          <w:i/>
          <w:sz w:val="22"/>
          <w:szCs w:val="22"/>
          <w:lang w:val="en-GB"/>
        </w:rPr>
        <w:t>‘That’s why the G</w:t>
      </w:r>
      <w:r w:rsidR="00B53FA8" w:rsidRPr="004E053C">
        <w:rPr>
          <w:rFonts w:cstheme="majorHAnsi"/>
          <w:i/>
          <w:sz w:val="22"/>
          <w:szCs w:val="22"/>
          <w:lang w:val="en-GB"/>
        </w:rPr>
        <w:t>overnment can do what it wants here because the community are not together enough and they can’t act collectively. In Cusco there are activists and politicians, but here there is nothing</w:t>
      </w:r>
      <w:r w:rsidR="00B53FA8" w:rsidRPr="004E053C">
        <w:rPr>
          <w:rFonts w:cstheme="majorHAnsi"/>
          <w:sz w:val="22"/>
          <w:szCs w:val="22"/>
          <w:lang w:val="en-GB"/>
        </w:rPr>
        <w:t>’ (</w:t>
      </w:r>
      <w:r w:rsidR="000E13B9" w:rsidRPr="004E053C">
        <w:rPr>
          <w:rFonts w:cstheme="majorHAnsi"/>
          <w:sz w:val="22"/>
          <w:szCs w:val="22"/>
          <w:lang w:val="en-GB"/>
        </w:rPr>
        <w:t>Willbert</w:t>
      </w:r>
      <w:r w:rsidR="00B53FA8" w:rsidRPr="004E053C">
        <w:rPr>
          <w:rFonts w:cstheme="majorHAnsi"/>
          <w:sz w:val="22"/>
          <w:szCs w:val="22"/>
          <w:lang w:val="en-GB"/>
        </w:rPr>
        <w:t>, ASM miner).</w:t>
      </w:r>
    </w:p>
    <w:p w14:paraId="41740361" w14:textId="77777777" w:rsidR="00B53FA8" w:rsidRPr="004E053C" w:rsidRDefault="00B53FA8" w:rsidP="004E053C">
      <w:pPr>
        <w:spacing w:line="360" w:lineRule="auto"/>
        <w:jc w:val="both"/>
        <w:rPr>
          <w:rFonts w:cstheme="majorHAnsi"/>
          <w:sz w:val="22"/>
          <w:szCs w:val="22"/>
          <w:lang w:val="en-GB"/>
        </w:rPr>
      </w:pPr>
    </w:p>
    <w:p w14:paraId="4BB4866E" w14:textId="53ECFA14" w:rsidR="00B53FA8" w:rsidRPr="004E053C" w:rsidRDefault="00B53FA8" w:rsidP="004E053C">
      <w:pPr>
        <w:pStyle w:val="CommentText"/>
        <w:spacing w:line="360" w:lineRule="auto"/>
        <w:jc w:val="both"/>
        <w:rPr>
          <w:rFonts w:cstheme="majorHAnsi"/>
          <w:sz w:val="22"/>
          <w:szCs w:val="22"/>
          <w:lang w:val="en-GB"/>
        </w:rPr>
      </w:pPr>
      <w:r w:rsidRPr="004E053C">
        <w:rPr>
          <w:rFonts w:cstheme="majorHAnsi"/>
          <w:sz w:val="22"/>
          <w:szCs w:val="22"/>
          <w:lang w:val="en-GB"/>
        </w:rPr>
        <w:t xml:space="preserve">In this quote, </w:t>
      </w:r>
      <w:r w:rsidR="000E13B9" w:rsidRPr="004E053C">
        <w:rPr>
          <w:rFonts w:cstheme="majorHAnsi"/>
          <w:sz w:val="22"/>
          <w:szCs w:val="22"/>
          <w:lang w:val="en-GB"/>
        </w:rPr>
        <w:t>Willbert</w:t>
      </w:r>
      <w:r w:rsidRPr="004E053C">
        <w:rPr>
          <w:rFonts w:cstheme="majorHAnsi"/>
          <w:sz w:val="22"/>
          <w:szCs w:val="22"/>
          <w:lang w:val="en-GB"/>
        </w:rPr>
        <w:t xml:space="preserve"> directly links Laberinto’s lack of social cohesion and community values, which have resulted from the translocality of the inhabitants’ livelihoods, to its inability to find a sol</w:t>
      </w:r>
      <w:r w:rsidR="00907662" w:rsidRPr="004E053C">
        <w:rPr>
          <w:rFonts w:cstheme="majorHAnsi"/>
          <w:sz w:val="22"/>
          <w:szCs w:val="22"/>
          <w:lang w:val="en-GB"/>
        </w:rPr>
        <w:t>ution to the problems with the G</w:t>
      </w:r>
      <w:r w:rsidRPr="004E053C">
        <w:rPr>
          <w:rFonts w:cstheme="majorHAnsi"/>
          <w:sz w:val="22"/>
          <w:szCs w:val="22"/>
          <w:lang w:val="en-GB"/>
        </w:rPr>
        <w:t>overnment. For their part, during interviews the temporary/floating miners generally did not mention the increased crime rates, the problems associated with in-migr</w:t>
      </w:r>
      <w:r w:rsidR="00907662" w:rsidRPr="004E053C">
        <w:rPr>
          <w:rFonts w:cstheme="majorHAnsi"/>
          <w:sz w:val="22"/>
          <w:szCs w:val="22"/>
          <w:lang w:val="en-GB"/>
        </w:rPr>
        <w:t>ation or the conflict with the G</w:t>
      </w:r>
      <w:r w:rsidRPr="004E053C">
        <w:rPr>
          <w:rFonts w:cstheme="majorHAnsi"/>
          <w:sz w:val="22"/>
          <w:szCs w:val="22"/>
          <w:lang w:val="en-GB"/>
        </w:rPr>
        <w:t xml:space="preserve">overnment, illustrating that these social problems are not a major concern for them. This again reflects the fact that these migrants have maintained an orientation towards home, rather than becoming emotionally invested in their host locality.  </w:t>
      </w:r>
    </w:p>
    <w:p w14:paraId="6795FF87" w14:textId="77777777" w:rsidR="00B53FA8" w:rsidRPr="004E053C" w:rsidRDefault="00B53FA8" w:rsidP="004E053C">
      <w:pPr>
        <w:spacing w:line="360" w:lineRule="auto"/>
        <w:jc w:val="both"/>
        <w:rPr>
          <w:rFonts w:eastAsia="Times New Roman" w:cstheme="majorHAnsi"/>
          <w:sz w:val="22"/>
          <w:szCs w:val="22"/>
          <w:lang w:val="en-GB"/>
        </w:rPr>
      </w:pPr>
    </w:p>
    <w:p w14:paraId="0078C885" w14:textId="17DA73BE" w:rsidR="00B53FA8" w:rsidRPr="004E053C" w:rsidRDefault="00EA7F83" w:rsidP="004E053C">
      <w:pPr>
        <w:pStyle w:val="Heading2"/>
        <w:spacing w:before="0" w:line="360" w:lineRule="auto"/>
        <w:jc w:val="both"/>
        <w:rPr>
          <w:rFonts w:cstheme="majorHAnsi"/>
          <w:lang w:val="en-GB"/>
        </w:rPr>
      </w:pPr>
      <w:bookmarkStart w:id="95" w:name="_Toc424671914"/>
      <w:bookmarkStart w:id="96" w:name="_Toc33293124"/>
      <w:r w:rsidRPr="004E053C">
        <w:rPr>
          <w:rFonts w:cstheme="majorHAnsi"/>
          <w:lang w:val="en-GB"/>
        </w:rPr>
        <w:t>8</w:t>
      </w:r>
      <w:r w:rsidR="00B53FA8" w:rsidRPr="004E053C">
        <w:rPr>
          <w:rFonts w:cstheme="majorHAnsi"/>
          <w:lang w:val="en-GB"/>
        </w:rPr>
        <w:t>.3</w:t>
      </w:r>
      <w:r w:rsidR="004A3EF1" w:rsidRPr="004E053C">
        <w:rPr>
          <w:rFonts w:cstheme="majorHAnsi"/>
          <w:lang w:val="en-GB"/>
        </w:rPr>
        <w:t>. Crime, violence and the insecurity of translocal ASM l</w:t>
      </w:r>
      <w:r w:rsidR="00B53FA8" w:rsidRPr="004E053C">
        <w:rPr>
          <w:rFonts w:cstheme="majorHAnsi"/>
          <w:lang w:val="en-GB"/>
        </w:rPr>
        <w:t>ivelihoods</w:t>
      </w:r>
      <w:bookmarkEnd w:id="95"/>
      <w:bookmarkEnd w:id="96"/>
    </w:p>
    <w:p w14:paraId="4542BCB6" w14:textId="77777777" w:rsidR="00D51819" w:rsidRPr="004E053C" w:rsidRDefault="00D51819" w:rsidP="004E053C">
      <w:pPr>
        <w:jc w:val="both"/>
        <w:rPr>
          <w:lang w:val="en-GB"/>
        </w:rPr>
      </w:pPr>
    </w:p>
    <w:p w14:paraId="34B14E10" w14:textId="69EDE7A4" w:rsidR="00B53FA8" w:rsidRPr="004E053C" w:rsidRDefault="00B53FA8"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 xml:space="preserve">So far, this chapter has attempted to highlight the tensions that arise within the social field of ASM as a result of the competing interests of actors who are attempting to improve their own position. </w:t>
      </w:r>
      <w:r w:rsidRPr="004E053C">
        <w:rPr>
          <w:rFonts w:asciiTheme="minorHAnsi" w:hAnsiTheme="minorHAnsi" w:cstheme="majorHAnsi"/>
          <w:sz w:val="22"/>
          <w:szCs w:val="22"/>
        </w:rPr>
        <w:lastRenderedPageBreak/>
        <w:t xml:space="preserve">While the contestations described above do not necessarily involve physical violence, it is certainly possible for contestations between actors to manifest themselves in this way. This has been shown in prior work on street gangs, for example </w:t>
      </w:r>
      <w:r w:rsidR="008317C7"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{"citationItems":[{"id":"ITEM-1","itemData":{"abstract":"Most of Pierre Bourdieu’s work describes struggles over symbolic capital and hierarchies among the economic and cultural elite. However, his theories and concepts are not exclusive to studies of those with power. By using Bourdieu’s conceptualizations of social space, capital and habitus, the article discusses the hierarchies and struggles over symbolic capital at the bottom of societies. The analysis is grounded in interviews and fieldwork with ethnic minority youths on the streets of Oslo, Norway. Analysing the violence among the young men, the article argues that marginalized ethnic minorities and certain groups of refugees use particular strategies in order to accumulate symbolic capital. They have embodied experiences that can be transformed into forms of ‘street capital’ favourable in a violent street culture.","author":[{"dropping-particle":"","family":"Sandberg","given":"Sveinung","non-dropping-particle":"","parse-names":false,"suffix":""}],"container-title":"Theoretical Criminology","id":"ITEM-1","issue":"2","issued":{"date-parts":[["2008"]]},"page":"153-171","title":"Street capital: ethnicity and violence on the streets of Oslo","type":"article-journal","volume":"12"},"uris":["http://www.mendeley.com/documents/?uuid=adef821f-3946-4c33-bdec-ac47eca11b5b"]}],"mendeley":{"formattedCitation":"(Sandberg, 2008)","plainTextFormattedCitation":"(Sandberg, 2008)","previouslyFormattedCitation":"(Sandberg, 2008)"},"properties":{"noteIndex":0},"schema":"https://github.com/citation-style-language/schema/raw/master/csl-citation.json"}</w:instrText>
      </w:r>
      <w:r w:rsidR="008317C7" w:rsidRPr="004E053C">
        <w:rPr>
          <w:rFonts w:asciiTheme="minorHAnsi" w:hAnsiTheme="minorHAnsi" w:cstheme="majorHAnsi"/>
          <w:sz w:val="22"/>
          <w:szCs w:val="22"/>
        </w:rPr>
        <w:fldChar w:fldCharType="separate"/>
      </w:r>
      <w:r w:rsidR="008317C7" w:rsidRPr="004E053C">
        <w:rPr>
          <w:rFonts w:asciiTheme="minorHAnsi" w:hAnsiTheme="minorHAnsi" w:cstheme="majorHAnsi"/>
          <w:noProof/>
          <w:sz w:val="22"/>
          <w:szCs w:val="22"/>
        </w:rPr>
        <w:t>(Sandberg, 2008)</w:t>
      </w:r>
      <w:r w:rsidR="008317C7" w:rsidRPr="004E053C">
        <w:rPr>
          <w:rFonts w:asciiTheme="minorHAnsi" w:hAnsiTheme="minorHAnsi" w:cstheme="majorHAnsi"/>
          <w:sz w:val="22"/>
          <w:szCs w:val="22"/>
        </w:rPr>
        <w:fldChar w:fldCharType="end"/>
      </w:r>
      <w:r w:rsidRPr="004E053C">
        <w:rPr>
          <w:rFonts w:asciiTheme="minorHAnsi" w:hAnsiTheme="minorHAnsi" w:cstheme="majorHAnsi"/>
          <w:sz w:val="22"/>
          <w:szCs w:val="22"/>
        </w:rPr>
        <w:t>. The field is ruled by its own internal logic meaning that external norms that view illegal mining as criminal have little influence, yet within the field there are other norms that may be broken by some actors in an attempt to improve their own position. As Sam</w:t>
      </w:r>
      <w:r w:rsidR="008317C7" w:rsidRPr="004E053C">
        <w:rPr>
          <w:rFonts w:asciiTheme="minorHAnsi" w:hAnsiTheme="minorHAnsi" w:cstheme="majorHAnsi"/>
          <w:sz w:val="22"/>
          <w:szCs w:val="22"/>
        </w:rPr>
        <w:t>mus and Sandberg</w:t>
      </w:r>
      <w:r w:rsidRPr="004E053C">
        <w:rPr>
          <w:rFonts w:asciiTheme="minorHAnsi" w:hAnsiTheme="minorHAnsi" w:cstheme="majorHAnsi"/>
          <w:sz w:val="22"/>
          <w:szCs w:val="22"/>
        </w:rPr>
        <w:t xml:space="preserve"> </w:t>
      </w:r>
      <w:r w:rsidR="008317C7"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2016)","manualFormatting":"(2016)","plainTextFormattedCitation":"(Shammus &amp; Sandberg, 2016)","previouslyFormattedCitation":"(Shammus &amp; Sandberg, 2016)"},"properties":{"noteIndex":0},"schema":"https://github.com/citation-style-language/schema/raw/master/csl-citation.json"}</w:instrText>
      </w:r>
      <w:r w:rsidR="008317C7" w:rsidRPr="004E053C">
        <w:rPr>
          <w:rFonts w:asciiTheme="minorHAnsi" w:hAnsiTheme="minorHAnsi" w:cstheme="majorHAnsi"/>
          <w:sz w:val="22"/>
          <w:szCs w:val="22"/>
        </w:rPr>
        <w:fldChar w:fldCharType="separate"/>
      </w:r>
      <w:r w:rsidR="008317C7" w:rsidRPr="004E053C">
        <w:rPr>
          <w:rFonts w:asciiTheme="minorHAnsi" w:hAnsiTheme="minorHAnsi" w:cstheme="majorHAnsi"/>
          <w:noProof/>
          <w:sz w:val="22"/>
          <w:szCs w:val="22"/>
        </w:rPr>
        <w:t>(2016)</w:t>
      </w:r>
      <w:r w:rsidR="008317C7" w:rsidRPr="004E053C">
        <w:rPr>
          <w:rFonts w:asciiTheme="minorHAnsi" w:hAnsiTheme="minorHAnsi" w:cstheme="majorHAnsi"/>
          <w:sz w:val="22"/>
          <w:szCs w:val="22"/>
        </w:rPr>
        <w:fldChar w:fldCharType="end"/>
      </w:r>
      <w:r w:rsidR="00907662" w:rsidRPr="004E053C">
        <w:rPr>
          <w:rFonts w:asciiTheme="minorHAnsi" w:hAnsiTheme="minorHAnsi" w:cstheme="majorHAnsi"/>
          <w:sz w:val="22"/>
          <w:szCs w:val="22"/>
        </w:rPr>
        <w:t xml:space="preserve"> </w:t>
      </w:r>
      <w:r w:rsidRPr="004E053C">
        <w:rPr>
          <w:rFonts w:asciiTheme="minorHAnsi" w:hAnsiTheme="minorHAnsi" w:cstheme="majorHAnsi"/>
          <w:sz w:val="22"/>
          <w:szCs w:val="22"/>
        </w:rPr>
        <w:t>noted in reference to those partaking in violent gangs as an aspect of street culture, not everyone within the field is predisposed to engage in such activity, but there are certain rewards and penalties available to thos</w:t>
      </w:r>
      <w:r w:rsidR="00565C53" w:rsidRPr="004E053C">
        <w:rPr>
          <w:rFonts w:asciiTheme="minorHAnsi" w:hAnsiTheme="minorHAnsi" w:cstheme="majorHAnsi"/>
          <w:sz w:val="22"/>
          <w:szCs w:val="22"/>
        </w:rPr>
        <w:t>e who are. As noted in chapter 4, academic</w:t>
      </w:r>
      <w:r w:rsidRPr="004E053C">
        <w:rPr>
          <w:rFonts w:asciiTheme="minorHAnsi" w:hAnsiTheme="minorHAnsi" w:cstheme="majorHAnsi"/>
          <w:sz w:val="22"/>
          <w:szCs w:val="22"/>
        </w:rPr>
        <w:t>s have already pointed to the ability of groups of miners to use their marginality to their advantage, by going against social norms to accrue power and weal</w:t>
      </w:r>
      <w:r w:rsidR="008317C7" w:rsidRPr="004E053C">
        <w:rPr>
          <w:rFonts w:asciiTheme="minorHAnsi" w:hAnsiTheme="minorHAnsi" w:cstheme="majorHAnsi"/>
          <w:sz w:val="22"/>
          <w:szCs w:val="22"/>
        </w:rPr>
        <w:t xml:space="preserve">th </w:t>
      </w:r>
      <w:r w:rsidR="008317C7" w:rsidRPr="004E053C">
        <w:rPr>
          <w:rFonts w:asciiTheme="minorHAnsi" w:hAnsiTheme="minorHAnsi" w:cstheme="majorHAnsi"/>
          <w:sz w:val="22"/>
          <w:szCs w:val="22"/>
        </w:rPr>
        <w:fldChar w:fldCharType="begin" w:fldLock="1"/>
      </w:r>
      <w:r w:rsidR="007A757C" w:rsidRPr="004E053C">
        <w:rPr>
          <w:rFonts w:asciiTheme="minorHAnsi" w:hAnsiTheme="minorHAnsi" w:cstheme="majorHAnsi"/>
          <w:sz w:val="22"/>
          <w:szCs w:val="22"/>
        </w:rPr>
        <w:instrText>ADDIN CSL_CITATION {"citationItems":[{"id":"ITEM-1","itemData":{"author":[{"dropping-particle":"","family":"Boeck","given":"Filip","non-dropping-particle":"De","parse-names":false,"suffix":""}],"chapter-number":"8","container-title":"Globalization and Identity: Dialectics of Flow and Closure","id":"ITEM-1","issued":{"date-parts":[["1998"]]},"page":"177-210","publisher":"Blackwell Publishers","publisher-place":"Oxford","title":"Domesticating Diamonds and Dollars: Identity, Expenditure and Sharing in Southwestern Zaire (1984-1997)","type":"chapter"},"uris":["http://www.mendeley.com/documents/?uuid=a17c0819-d02e-34b6-8968-2c6b6f095216"]},{"id":"ITEM-2","itemData":{"abstract":"This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Change","id":"ITEM-2","issue":"4","issued":{"date-parts":[["2007"]]},"page":"735-760","title":"Occupying the Margins: Labour Integration and Social Exclusion in Artisanal Mining in Tanzania","type":"article-journal","volume":"38"},"uris":["http://www.mendeley.com/documents/?uuid=ff3b0073-6334-3642-aaf4-12090b595d93"]}],"mendeley":{"formattedCitation":"(De Boeck, 1998; Fisher, 2007)","plainTextFormattedCitation":"(De Boeck, 1998; Fisher, 2007)","previouslyFormattedCitation":"(De Boeck, 1998; Fisher, 2007)"},"properties":{"noteIndex":0},"schema":"https://github.com/citation-style-language/schema/raw/master/csl-citation.json"}</w:instrText>
      </w:r>
      <w:r w:rsidR="008317C7" w:rsidRPr="004E053C">
        <w:rPr>
          <w:rFonts w:asciiTheme="minorHAnsi" w:hAnsiTheme="minorHAnsi" w:cstheme="majorHAnsi"/>
          <w:sz w:val="22"/>
          <w:szCs w:val="22"/>
        </w:rPr>
        <w:fldChar w:fldCharType="separate"/>
      </w:r>
      <w:r w:rsidR="007A757C" w:rsidRPr="004E053C">
        <w:rPr>
          <w:rFonts w:asciiTheme="minorHAnsi" w:hAnsiTheme="minorHAnsi" w:cstheme="majorHAnsi"/>
          <w:noProof/>
          <w:sz w:val="22"/>
          <w:szCs w:val="22"/>
        </w:rPr>
        <w:t>(De Boeck, 1998; Fisher, 2007)</w:t>
      </w:r>
      <w:r w:rsidR="008317C7" w:rsidRPr="004E053C">
        <w:rPr>
          <w:rFonts w:asciiTheme="minorHAnsi" w:hAnsiTheme="minorHAnsi" w:cstheme="majorHAnsi"/>
          <w:sz w:val="22"/>
          <w:szCs w:val="22"/>
        </w:rPr>
        <w:fldChar w:fldCharType="end"/>
      </w:r>
      <w:r w:rsidRPr="004E053C">
        <w:rPr>
          <w:rFonts w:asciiTheme="minorHAnsi" w:hAnsiTheme="minorHAnsi" w:cstheme="majorHAnsi"/>
          <w:sz w:val="22"/>
          <w:szCs w:val="22"/>
        </w:rPr>
        <w:t>. What is clear her</w:t>
      </w:r>
      <w:r w:rsidR="00E06A67" w:rsidRPr="004E053C">
        <w:rPr>
          <w:rFonts w:asciiTheme="minorHAnsi" w:hAnsiTheme="minorHAnsi" w:cstheme="majorHAnsi"/>
          <w:sz w:val="22"/>
          <w:szCs w:val="22"/>
        </w:rPr>
        <w:t>e is that these may sometimes be</w:t>
      </w:r>
      <w:r w:rsidRPr="004E053C">
        <w:rPr>
          <w:rFonts w:asciiTheme="minorHAnsi" w:hAnsiTheme="minorHAnsi" w:cstheme="majorHAnsi"/>
          <w:sz w:val="22"/>
          <w:szCs w:val="22"/>
        </w:rPr>
        <w:t xml:space="preserve"> the norms of the social field r</w:t>
      </w:r>
      <w:r w:rsidR="00907662" w:rsidRPr="004E053C">
        <w:rPr>
          <w:rFonts w:asciiTheme="minorHAnsi" w:hAnsiTheme="minorHAnsi" w:cstheme="majorHAnsi"/>
          <w:sz w:val="22"/>
          <w:szCs w:val="22"/>
        </w:rPr>
        <w:t>ather than those external to it</w:t>
      </w:r>
      <w:r w:rsidRPr="004E053C">
        <w:rPr>
          <w:rFonts w:asciiTheme="minorHAnsi" w:hAnsiTheme="minorHAnsi" w:cstheme="majorHAnsi"/>
          <w:sz w:val="22"/>
          <w:szCs w:val="22"/>
        </w:rPr>
        <w:t xml:space="preserve"> and include conducting mining activity outside of the mining corridor or, on a more extreme scale, engaging in theft, human trafficking and/or acts of violence that may threaten other agents within the field.</w:t>
      </w:r>
    </w:p>
    <w:p w14:paraId="2C4E7E17" w14:textId="77777777" w:rsidR="00D51819" w:rsidRPr="004E053C" w:rsidRDefault="00D51819" w:rsidP="004E053C">
      <w:pPr>
        <w:pStyle w:val="NormalWeb"/>
        <w:spacing w:before="0" w:beforeAutospacing="0" w:after="0" w:afterAutospacing="0" w:line="360" w:lineRule="auto"/>
        <w:jc w:val="both"/>
        <w:rPr>
          <w:rFonts w:asciiTheme="minorHAnsi" w:hAnsiTheme="minorHAnsi" w:cstheme="majorHAnsi"/>
          <w:sz w:val="22"/>
          <w:szCs w:val="22"/>
        </w:rPr>
      </w:pPr>
    </w:p>
    <w:p w14:paraId="110C9B0D" w14:textId="77777777" w:rsidR="00B53FA8" w:rsidRPr="004E053C" w:rsidRDefault="00B53FA8"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Unfortunately, many of the respondents discussed how these problems were increasing, noting that Madre de Dios often attracts migrants who are hiding from the law:</w:t>
      </w:r>
    </w:p>
    <w:p w14:paraId="5A480861" w14:textId="77777777" w:rsidR="00D51819" w:rsidRPr="004E053C" w:rsidRDefault="00D51819" w:rsidP="004E053C">
      <w:pPr>
        <w:pStyle w:val="NormalWeb"/>
        <w:spacing w:before="0" w:beforeAutospacing="0" w:after="0" w:afterAutospacing="0" w:line="360" w:lineRule="auto"/>
        <w:jc w:val="both"/>
        <w:rPr>
          <w:rFonts w:asciiTheme="minorHAnsi" w:hAnsiTheme="minorHAnsi" w:cstheme="majorHAnsi"/>
          <w:sz w:val="22"/>
          <w:szCs w:val="22"/>
        </w:rPr>
      </w:pPr>
    </w:p>
    <w:p w14:paraId="2BA4FB88" w14:textId="190C0262" w:rsidR="00B53FA8" w:rsidRPr="004E053C" w:rsidRDefault="00B53FA8" w:rsidP="004E053C">
      <w:pPr>
        <w:ind w:left="720"/>
        <w:jc w:val="both"/>
        <w:rPr>
          <w:rFonts w:cstheme="majorHAnsi"/>
          <w:sz w:val="22"/>
          <w:szCs w:val="22"/>
          <w:lang w:val="en-GB"/>
        </w:rPr>
      </w:pPr>
      <w:r w:rsidRPr="004E053C">
        <w:rPr>
          <w:rFonts w:cstheme="majorHAnsi"/>
          <w:i/>
          <w:sz w:val="22"/>
          <w:szCs w:val="22"/>
          <w:lang w:val="en-GB"/>
        </w:rPr>
        <w:t>‘There’s a bad thing of migration. The people in different parts of Peru who have legal problems; maybe because they robbed someone or killed someone, they come here. So there are lots of these “refugees” here, not just in Laberinto but in Madre de Dios in general</w:t>
      </w:r>
      <w:r w:rsidRPr="004E053C">
        <w:rPr>
          <w:rFonts w:cstheme="majorHAnsi"/>
          <w:sz w:val="22"/>
          <w:szCs w:val="22"/>
          <w:lang w:val="en-GB"/>
        </w:rPr>
        <w:t>’ (</w:t>
      </w:r>
      <w:r w:rsidR="00EA7F80" w:rsidRPr="004E053C">
        <w:rPr>
          <w:rFonts w:cstheme="majorHAnsi"/>
          <w:sz w:val="22"/>
          <w:szCs w:val="22"/>
          <w:lang w:val="en-GB"/>
        </w:rPr>
        <w:t>Bernardo</w:t>
      </w:r>
      <w:r w:rsidRPr="004E053C">
        <w:rPr>
          <w:rFonts w:cstheme="majorHAnsi"/>
          <w:sz w:val="22"/>
          <w:szCs w:val="22"/>
          <w:lang w:val="en-GB"/>
        </w:rPr>
        <w:t>, ASM miner)</w:t>
      </w:r>
      <w:r w:rsidR="007857AB" w:rsidRPr="004E053C">
        <w:rPr>
          <w:rFonts w:cstheme="majorHAnsi"/>
          <w:sz w:val="22"/>
          <w:szCs w:val="22"/>
          <w:lang w:val="en-GB"/>
        </w:rPr>
        <w:t>.</w:t>
      </w:r>
    </w:p>
    <w:p w14:paraId="73525C45" w14:textId="77777777" w:rsidR="00B53FA8" w:rsidRPr="004E053C" w:rsidRDefault="00B53FA8" w:rsidP="004E053C">
      <w:pPr>
        <w:spacing w:line="360" w:lineRule="auto"/>
        <w:jc w:val="both"/>
        <w:rPr>
          <w:rFonts w:cstheme="majorHAnsi"/>
          <w:sz w:val="22"/>
          <w:szCs w:val="22"/>
          <w:lang w:val="en-GB"/>
        </w:rPr>
      </w:pPr>
    </w:p>
    <w:p w14:paraId="39AAACAE" w14:textId="693E6D88"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In Ocongate the majority of the miners go to work in La Pampa, in informal settlements that experience far higher levels of crime and violence than Laberinto. This is at least in part to the illegal nature of the area, as all mining activities are banned and people are not supposed to live there. However, due to the location of the settlements, they attract criminals from different parts of Peru – ‘</w:t>
      </w:r>
      <w:r w:rsidRPr="004E053C">
        <w:rPr>
          <w:rFonts w:cstheme="majorHAnsi"/>
          <w:i/>
          <w:sz w:val="22"/>
          <w:szCs w:val="22"/>
          <w:lang w:val="en-GB"/>
        </w:rPr>
        <w:t>Who can find you there? That’s why the criminality started growing because people were fleeing from prisons and jails’</w:t>
      </w:r>
      <w:r w:rsidRPr="004E053C">
        <w:rPr>
          <w:rFonts w:cstheme="majorHAnsi"/>
          <w:sz w:val="22"/>
          <w:szCs w:val="22"/>
          <w:lang w:val="en-GB"/>
        </w:rPr>
        <w:t xml:space="preserve"> (</w:t>
      </w:r>
      <w:r w:rsidR="00EA7F80" w:rsidRPr="004E053C">
        <w:rPr>
          <w:rFonts w:cstheme="majorHAnsi"/>
          <w:sz w:val="22"/>
          <w:szCs w:val="22"/>
          <w:lang w:val="en-GB"/>
        </w:rPr>
        <w:t>Carlos</w:t>
      </w:r>
      <w:r w:rsidRPr="004E053C">
        <w:rPr>
          <w:rFonts w:cstheme="majorHAnsi"/>
          <w:sz w:val="22"/>
          <w:szCs w:val="22"/>
          <w:lang w:val="en-GB"/>
        </w:rPr>
        <w:t>, ex-miner). The ex-miner went on to say that although these people may have initially start</w:t>
      </w:r>
      <w:r w:rsidR="00907662" w:rsidRPr="004E053C">
        <w:rPr>
          <w:rFonts w:cstheme="majorHAnsi"/>
          <w:sz w:val="22"/>
          <w:szCs w:val="22"/>
          <w:lang w:val="en-GB"/>
        </w:rPr>
        <w:t>ed doing mining work, when the G</w:t>
      </w:r>
      <w:r w:rsidRPr="004E053C">
        <w:rPr>
          <w:rFonts w:cstheme="majorHAnsi"/>
          <w:sz w:val="22"/>
          <w:szCs w:val="22"/>
          <w:lang w:val="en-GB"/>
        </w:rPr>
        <w:t>overnment started its airstrikes and interdictions, there were fewer jobs available and so they turned to crime to earn money.</w:t>
      </w:r>
    </w:p>
    <w:p w14:paraId="63AF56C4" w14:textId="77777777" w:rsidR="00B53FA8" w:rsidRPr="004E053C" w:rsidRDefault="00B53FA8" w:rsidP="004E053C">
      <w:pPr>
        <w:spacing w:line="360" w:lineRule="auto"/>
        <w:jc w:val="both"/>
        <w:rPr>
          <w:rFonts w:cstheme="majorHAnsi"/>
          <w:sz w:val="22"/>
          <w:szCs w:val="22"/>
          <w:lang w:val="en-GB"/>
        </w:rPr>
      </w:pPr>
    </w:p>
    <w:p w14:paraId="58A088F3" w14:textId="57EC162B"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The miners gave numerous examples of how increasing insecurity was affecting ASM livelihoods. </w:t>
      </w:r>
      <w:r w:rsidR="00EA7F80" w:rsidRPr="004E053C">
        <w:rPr>
          <w:rFonts w:cstheme="majorHAnsi"/>
          <w:sz w:val="22"/>
          <w:szCs w:val="22"/>
          <w:lang w:val="en-GB"/>
        </w:rPr>
        <w:t>Paola</w:t>
      </w:r>
      <w:r w:rsidRPr="004E053C">
        <w:rPr>
          <w:rFonts w:cstheme="majorHAnsi"/>
          <w:sz w:val="22"/>
          <w:szCs w:val="22"/>
          <w:lang w:val="en-GB"/>
        </w:rPr>
        <w:t xml:space="preserve">’s husband </w:t>
      </w:r>
      <w:r w:rsidR="00EA7F80" w:rsidRPr="004E053C">
        <w:rPr>
          <w:rFonts w:cstheme="majorHAnsi"/>
          <w:sz w:val="22"/>
          <w:szCs w:val="22"/>
          <w:lang w:val="en-GB"/>
        </w:rPr>
        <w:t>Eduardo</w:t>
      </w:r>
      <w:r w:rsidRPr="004E053C">
        <w:rPr>
          <w:rFonts w:cstheme="majorHAnsi"/>
          <w:sz w:val="22"/>
          <w:szCs w:val="22"/>
          <w:lang w:val="en-GB"/>
        </w:rPr>
        <w:t xml:space="preserve"> talked at length about how people were robbed on a daily basis and they were afraid to go out at night – </w:t>
      </w:r>
      <w:r w:rsidRPr="004E053C">
        <w:rPr>
          <w:rFonts w:cstheme="majorHAnsi"/>
          <w:i/>
          <w:sz w:val="22"/>
          <w:szCs w:val="22"/>
          <w:lang w:val="en-GB"/>
        </w:rPr>
        <w:t>‘The boss doesn’t take care of us after the work finishes. We need to be careful because we are alone. We have to take care of where to walk’</w:t>
      </w:r>
      <w:r w:rsidRPr="004E053C">
        <w:rPr>
          <w:rFonts w:cstheme="majorHAnsi"/>
          <w:sz w:val="22"/>
          <w:szCs w:val="22"/>
          <w:lang w:val="en-GB"/>
        </w:rPr>
        <w:t xml:space="preserve"> (</w:t>
      </w:r>
      <w:r w:rsidR="00EA7F80" w:rsidRPr="004E053C">
        <w:rPr>
          <w:rFonts w:cstheme="majorHAnsi"/>
          <w:sz w:val="22"/>
          <w:szCs w:val="22"/>
          <w:lang w:val="en-GB"/>
        </w:rPr>
        <w:t>Eduardo</w:t>
      </w:r>
      <w:r w:rsidRPr="004E053C">
        <w:rPr>
          <w:rFonts w:cstheme="majorHAnsi"/>
          <w:sz w:val="22"/>
          <w:szCs w:val="22"/>
          <w:lang w:val="en-GB"/>
        </w:rPr>
        <w:t xml:space="preserve">, La Pampa). A few </w:t>
      </w:r>
      <w:r w:rsidRPr="004E053C">
        <w:rPr>
          <w:rFonts w:cstheme="majorHAnsi"/>
          <w:sz w:val="22"/>
          <w:szCs w:val="22"/>
          <w:lang w:val="en-GB"/>
        </w:rPr>
        <w:lastRenderedPageBreak/>
        <w:t xml:space="preserve">others mentioned the danger of walking around at night, with one explaining that in the evening, armed thieves come out of the jungle, claimed the road for themselves and robbed anyone they found outside. As a result of the high insecurity, miners in La Pampa have resorted to hiring their own private paramilitary security guards, also known as </w:t>
      </w:r>
      <w:r w:rsidRPr="004E053C">
        <w:rPr>
          <w:rFonts w:cstheme="majorHAnsi"/>
          <w:i/>
          <w:iCs/>
          <w:sz w:val="22"/>
          <w:szCs w:val="22"/>
          <w:lang w:val="en-GB"/>
        </w:rPr>
        <w:t>rambos</w:t>
      </w:r>
      <w:r w:rsidRPr="004E053C">
        <w:rPr>
          <w:rFonts w:cstheme="majorHAnsi"/>
          <w:sz w:val="22"/>
          <w:szCs w:val="22"/>
          <w:lang w:val="en-GB"/>
        </w:rPr>
        <w:t xml:space="preserve"> to protect them</w:t>
      </w:r>
      <w:r w:rsidR="00907662" w:rsidRPr="004E053C">
        <w:rPr>
          <w:rFonts w:cstheme="majorHAnsi"/>
          <w:sz w:val="22"/>
          <w:szCs w:val="22"/>
          <w:lang w:val="en-GB"/>
        </w:rPr>
        <w:t>selves</w:t>
      </w:r>
      <w:r w:rsidRPr="004E053C">
        <w:rPr>
          <w:rFonts w:cstheme="majorHAnsi"/>
          <w:sz w:val="22"/>
          <w:szCs w:val="22"/>
          <w:lang w:val="en-GB"/>
        </w:rPr>
        <w:t>. However, these</w:t>
      </w:r>
      <w:r w:rsidRPr="004E053C">
        <w:rPr>
          <w:rFonts w:cstheme="majorHAnsi"/>
          <w:i/>
          <w:iCs/>
          <w:sz w:val="22"/>
          <w:szCs w:val="22"/>
          <w:lang w:val="en-GB"/>
        </w:rPr>
        <w:t xml:space="preserve"> rambos</w:t>
      </w:r>
      <w:r w:rsidRPr="004E053C">
        <w:rPr>
          <w:rFonts w:cstheme="majorHAnsi"/>
          <w:sz w:val="22"/>
          <w:szCs w:val="22"/>
          <w:lang w:val="en-GB"/>
        </w:rPr>
        <w:t xml:space="preserve"> are illegal and were said by respondents to have ‘no respect for anything’, and certainly no</w:t>
      </w:r>
      <w:r w:rsidR="00907662" w:rsidRPr="004E053C">
        <w:rPr>
          <w:rFonts w:cstheme="majorHAnsi"/>
          <w:sz w:val="22"/>
          <w:szCs w:val="22"/>
          <w:lang w:val="en-GB"/>
        </w:rPr>
        <w:t>t the norms of the social field</w:t>
      </w:r>
      <w:r w:rsidRPr="004E053C">
        <w:rPr>
          <w:rFonts w:cstheme="majorHAnsi"/>
          <w:sz w:val="22"/>
          <w:szCs w:val="22"/>
          <w:lang w:val="en-GB"/>
        </w:rPr>
        <w:t xml:space="preserve"> and therefore pose a danger. One miner said they would often confuse the miners with thieves and shoot them ‘by accident’. Others pointed out that the </w:t>
      </w:r>
      <w:r w:rsidRPr="004E053C">
        <w:rPr>
          <w:rFonts w:cstheme="majorHAnsi"/>
          <w:i/>
          <w:iCs/>
          <w:sz w:val="22"/>
          <w:szCs w:val="22"/>
          <w:lang w:val="en-GB"/>
        </w:rPr>
        <w:t xml:space="preserve">rambos </w:t>
      </w:r>
      <w:r w:rsidRPr="004E053C">
        <w:rPr>
          <w:rFonts w:cstheme="majorHAnsi"/>
          <w:sz w:val="22"/>
          <w:szCs w:val="22"/>
          <w:lang w:val="en-GB"/>
        </w:rPr>
        <w:t>had quickly become involved in rent-seeking, extorting protect</w:t>
      </w:r>
      <w:r w:rsidR="00907662" w:rsidRPr="004E053C">
        <w:rPr>
          <w:rFonts w:cstheme="majorHAnsi"/>
          <w:sz w:val="22"/>
          <w:szCs w:val="22"/>
          <w:lang w:val="en-GB"/>
        </w:rPr>
        <w:t>ion money from the miners. O</w:t>
      </w:r>
      <w:r w:rsidRPr="004E053C">
        <w:rPr>
          <w:rFonts w:cstheme="majorHAnsi"/>
          <w:sz w:val="22"/>
          <w:szCs w:val="22"/>
          <w:lang w:val="en-GB"/>
        </w:rPr>
        <w:t xml:space="preserve">n at least one occasion </w:t>
      </w:r>
      <w:r w:rsidR="00907662" w:rsidRPr="004E053C">
        <w:rPr>
          <w:rFonts w:cstheme="majorHAnsi"/>
          <w:sz w:val="22"/>
          <w:szCs w:val="22"/>
          <w:lang w:val="en-GB"/>
        </w:rPr>
        <w:t xml:space="preserve">they </w:t>
      </w:r>
      <w:r w:rsidRPr="004E053C">
        <w:rPr>
          <w:rFonts w:cstheme="majorHAnsi"/>
          <w:sz w:val="22"/>
          <w:szCs w:val="22"/>
          <w:lang w:val="en-GB"/>
        </w:rPr>
        <w:t xml:space="preserve">had killed some police who were trying to do the same thing, as they felt they were interfering with their business. The insecurity of life and livelihoods in La Pampa has resulted in some moving back to work within the </w:t>
      </w:r>
      <w:r w:rsidRPr="004E053C">
        <w:rPr>
          <w:rFonts w:cstheme="majorHAnsi"/>
          <w:i/>
          <w:iCs/>
          <w:sz w:val="22"/>
          <w:szCs w:val="22"/>
          <w:lang w:val="en-GB"/>
        </w:rPr>
        <w:t>Corridor Minero</w:t>
      </w:r>
      <w:r w:rsidRPr="004E053C">
        <w:rPr>
          <w:rFonts w:cstheme="majorHAnsi"/>
          <w:sz w:val="22"/>
          <w:szCs w:val="22"/>
          <w:lang w:val="en-GB"/>
        </w:rPr>
        <w:t xml:space="preserve">. Two of the younger respondents said they had returned to mine in Laberinto because La Pampa was simply too dangerous. </w:t>
      </w:r>
    </w:p>
    <w:p w14:paraId="21B2B3C3" w14:textId="77777777" w:rsidR="00B53FA8" w:rsidRPr="004E053C" w:rsidRDefault="00B53FA8" w:rsidP="004E053C">
      <w:pPr>
        <w:spacing w:line="360" w:lineRule="auto"/>
        <w:jc w:val="both"/>
        <w:rPr>
          <w:rFonts w:cstheme="majorHAnsi"/>
          <w:sz w:val="22"/>
          <w:szCs w:val="22"/>
          <w:lang w:val="en-GB"/>
        </w:rPr>
      </w:pPr>
    </w:p>
    <w:p w14:paraId="5FA6FF61" w14:textId="0E995B41"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The threat to ASM livelihoods is well illustrated by the case of </w:t>
      </w:r>
      <w:r w:rsidR="00B21FFD" w:rsidRPr="004E053C">
        <w:rPr>
          <w:rFonts w:cstheme="majorHAnsi"/>
          <w:sz w:val="22"/>
          <w:szCs w:val="22"/>
          <w:lang w:val="en-GB"/>
        </w:rPr>
        <w:t>Azucena</w:t>
      </w:r>
      <w:r w:rsidRPr="004E053C">
        <w:rPr>
          <w:rFonts w:cstheme="majorHAnsi"/>
          <w:sz w:val="22"/>
          <w:szCs w:val="22"/>
          <w:lang w:val="en-GB"/>
        </w:rPr>
        <w:t>, who had been mining with her husband in the area that is now La Pampa since the 1970’s. Their small miner association had been trying to s</w:t>
      </w:r>
      <w:r w:rsidR="00907662" w:rsidRPr="004E053C">
        <w:rPr>
          <w:rFonts w:cstheme="majorHAnsi"/>
          <w:sz w:val="22"/>
          <w:szCs w:val="22"/>
          <w:lang w:val="en-GB"/>
        </w:rPr>
        <w:t>ecure mining rights from the G</w:t>
      </w:r>
      <w:r w:rsidRPr="004E053C">
        <w:rPr>
          <w:rFonts w:cstheme="majorHAnsi"/>
          <w:sz w:val="22"/>
          <w:szCs w:val="22"/>
          <w:lang w:val="en-GB"/>
        </w:rPr>
        <w:t xml:space="preserve">overnment for many years, but in late 2017, she was chased from her land by ‘invaders’ who had threatened to kill her. Despite these problems, </w:t>
      </w:r>
      <w:r w:rsidR="00B21FFD" w:rsidRPr="004E053C">
        <w:rPr>
          <w:rFonts w:cstheme="majorHAnsi"/>
          <w:sz w:val="22"/>
          <w:szCs w:val="22"/>
          <w:lang w:val="en-GB"/>
        </w:rPr>
        <w:t>Azucena</w:t>
      </w:r>
      <w:r w:rsidRPr="004E053C">
        <w:rPr>
          <w:rFonts w:cstheme="majorHAnsi"/>
          <w:sz w:val="22"/>
          <w:szCs w:val="22"/>
          <w:lang w:val="en-GB"/>
        </w:rPr>
        <w:t xml:space="preserve"> continues to see the area as her home, and has little interest in moving elsewhere:</w:t>
      </w:r>
    </w:p>
    <w:p w14:paraId="24A00747" w14:textId="77777777" w:rsidR="00B53FA8" w:rsidRPr="004E053C" w:rsidRDefault="00B53FA8" w:rsidP="004E053C">
      <w:pPr>
        <w:spacing w:line="360" w:lineRule="auto"/>
        <w:jc w:val="both"/>
        <w:rPr>
          <w:rFonts w:cstheme="majorHAnsi"/>
          <w:sz w:val="22"/>
          <w:szCs w:val="22"/>
          <w:lang w:val="en-GB"/>
        </w:rPr>
      </w:pPr>
    </w:p>
    <w:p w14:paraId="2A43FCDF" w14:textId="58F116E8" w:rsidR="00B53FA8" w:rsidRPr="004E053C" w:rsidRDefault="00B53FA8" w:rsidP="004E053C">
      <w:pPr>
        <w:ind w:left="720"/>
        <w:jc w:val="both"/>
        <w:rPr>
          <w:rFonts w:cstheme="majorHAnsi"/>
          <w:sz w:val="22"/>
          <w:szCs w:val="22"/>
          <w:lang w:val="en-GB"/>
        </w:rPr>
      </w:pPr>
      <w:r w:rsidRPr="004E053C">
        <w:rPr>
          <w:rFonts w:cstheme="majorHAnsi"/>
          <w:i/>
          <w:sz w:val="22"/>
          <w:szCs w:val="22"/>
          <w:lang w:val="en-GB"/>
        </w:rPr>
        <w:t>‘We constantly go to check the camp, with no gold in our pocket so we can’t be robbed. We just go to try and make a presence there. I hope things will improve soon and then we will go back</w:t>
      </w:r>
      <w:r w:rsidRPr="004E053C">
        <w:rPr>
          <w:rFonts w:cstheme="majorHAnsi"/>
          <w:sz w:val="22"/>
          <w:szCs w:val="22"/>
          <w:lang w:val="en-GB"/>
        </w:rPr>
        <w:t>’ (</w:t>
      </w:r>
      <w:r w:rsidR="00B21FFD" w:rsidRPr="004E053C">
        <w:rPr>
          <w:rFonts w:cstheme="majorHAnsi"/>
          <w:sz w:val="22"/>
          <w:szCs w:val="22"/>
          <w:lang w:val="en-GB"/>
        </w:rPr>
        <w:t>Azucena</w:t>
      </w:r>
      <w:r w:rsidRPr="004E053C">
        <w:rPr>
          <w:rFonts w:cstheme="majorHAnsi"/>
          <w:sz w:val="22"/>
          <w:szCs w:val="22"/>
          <w:lang w:val="en-GB"/>
        </w:rPr>
        <w:t>, ASM miner, La Pampa).</w:t>
      </w:r>
    </w:p>
    <w:p w14:paraId="0D48B4D5" w14:textId="77777777" w:rsidR="00B53FA8" w:rsidRPr="004E053C" w:rsidRDefault="00B53FA8" w:rsidP="004E053C">
      <w:pPr>
        <w:spacing w:line="360" w:lineRule="auto"/>
        <w:jc w:val="both"/>
        <w:rPr>
          <w:rFonts w:cstheme="majorHAnsi"/>
          <w:sz w:val="22"/>
          <w:szCs w:val="22"/>
          <w:lang w:val="en-GB"/>
        </w:rPr>
      </w:pPr>
    </w:p>
    <w:p w14:paraId="394DFD3C" w14:textId="6B1BC574" w:rsidR="00B53FA8" w:rsidRPr="004E053C" w:rsidRDefault="00B21FFD" w:rsidP="004E053C">
      <w:pPr>
        <w:spacing w:line="360" w:lineRule="auto"/>
        <w:jc w:val="both"/>
        <w:rPr>
          <w:rFonts w:cstheme="majorHAnsi"/>
          <w:sz w:val="22"/>
          <w:szCs w:val="22"/>
          <w:lang w:val="en-GB"/>
        </w:rPr>
      </w:pPr>
      <w:r w:rsidRPr="004E053C">
        <w:rPr>
          <w:rFonts w:cstheme="majorHAnsi"/>
          <w:sz w:val="22"/>
          <w:szCs w:val="22"/>
          <w:lang w:val="en-GB"/>
        </w:rPr>
        <w:t>Azucena</w:t>
      </w:r>
      <w:r w:rsidR="00B53FA8" w:rsidRPr="004E053C">
        <w:rPr>
          <w:rFonts w:cstheme="majorHAnsi"/>
          <w:sz w:val="22"/>
          <w:szCs w:val="22"/>
          <w:lang w:val="en-GB"/>
        </w:rPr>
        <w:t>’s situation is very similar to that of the small mining associatio</w:t>
      </w:r>
      <w:r w:rsidR="008317C7" w:rsidRPr="004E053C">
        <w:rPr>
          <w:rFonts w:cstheme="majorHAnsi"/>
          <w:sz w:val="22"/>
          <w:szCs w:val="22"/>
          <w:lang w:val="en-GB"/>
        </w:rPr>
        <w:t xml:space="preserve">ns described by Damonte </w:t>
      </w:r>
      <w:r w:rsidR="008317C7"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2016)","manualFormatting":"(2016)","plainTextFormattedCitation":"(Damonte, 2016)","previouslyFormattedCitation":"(Damonte, 2016)"},"properties":{"noteIndex":0},"schema":"https://github.com/citation-style-language/schema/raw/master/csl-citation.json"}</w:instrText>
      </w:r>
      <w:r w:rsidR="008317C7" w:rsidRPr="004E053C">
        <w:rPr>
          <w:rFonts w:cstheme="majorHAnsi"/>
          <w:sz w:val="22"/>
          <w:szCs w:val="22"/>
          <w:lang w:val="en-GB"/>
        </w:rPr>
        <w:fldChar w:fldCharType="separate"/>
      </w:r>
      <w:r w:rsidR="008317C7" w:rsidRPr="004E053C">
        <w:rPr>
          <w:rFonts w:cstheme="majorHAnsi"/>
          <w:noProof/>
          <w:sz w:val="22"/>
          <w:szCs w:val="22"/>
          <w:lang w:val="en-GB"/>
        </w:rPr>
        <w:t>(2016)</w:t>
      </w:r>
      <w:r w:rsidR="008317C7" w:rsidRPr="004E053C">
        <w:rPr>
          <w:rFonts w:cstheme="majorHAnsi"/>
          <w:sz w:val="22"/>
          <w:szCs w:val="22"/>
          <w:lang w:val="en-GB"/>
        </w:rPr>
        <w:fldChar w:fldCharType="end"/>
      </w:r>
      <w:r w:rsidR="00B53FA8" w:rsidRPr="004E053C">
        <w:rPr>
          <w:rFonts w:cstheme="majorHAnsi"/>
          <w:sz w:val="22"/>
          <w:szCs w:val="22"/>
          <w:lang w:val="en-GB"/>
        </w:rPr>
        <w:t xml:space="preserve"> that work in the same area, who have not only failed to gain government recognition but now have to cope with the invasion of more recent miners. These small asso</w:t>
      </w:r>
      <w:r w:rsidR="00907662" w:rsidRPr="004E053C">
        <w:rPr>
          <w:rFonts w:cstheme="majorHAnsi"/>
          <w:sz w:val="22"/>
          <w:szCs w:val="22"/>
          <w:lang w:val="en-GB"/>
        </w:rPr>
        <w:t>ciations have engaged with the G</w:t>
      </w:r>
      <w:r w:rsidR="00B53FA8" w:rsidRPr="004E053C">
        <w:rPr>
          <w:rFonts w:cstheme="majorHAnsi"/>
          <w:sz w:val="22"/>
          <w:szCs w:val="22"/>
          <w:lang w:val="en-GB"/>
        </w:rPr>
        <w:t>overnment through formal channels, yet now face high l</w:t>
      </w:r>
      <w:r w:rsidR="00907662" w:rsidRPr="004E053C">
        <w:rPr>
          <w:rFonts w:cstheme="majorHAnsi"/>
          <w:sz w:val="22"/>
          <w:szCs w:val="22"/>
          <w:lang w:val="en-GB"/>
        </w:rPr>
        <w:t>evels of insecurity due to the G</w:t>
      </w:r>
      <w:r w:rsidR="00B53FA8" w:rsidRPr="004E053C">
        <w:rPr>
          <w:rFonts w:cstheme="majorHAnsi"/>
          <w:sz w:val="22"/>
          <w:szCs w:val="22"/>
          <w:lang w:val="en-GB"/>
        </w:rPr>
        <w:t xml:space="preserve">overnment’s failure to stop miners and criminals operating within the buffer zone. </w:t>
      </w:r>
    </w:p>
    <w:p w14:paraId="7FF8C6ED" w14:textId="77777777" w:rsidR="00B53FA8" w:rsidRPr="004E053C" w:rsidRDefault="00B53FA8" w:rsidP="004E053C">
      <w:pPr>
        <w:spacing w:line="360" w:lineRule="auto"/>
        <w:jc w:val="both"/>
        <w:rPr>
          <w:rFonts w:cstheme="majorHAnsi"/>
          <w:sz w:val="22"/>
          <w:szCs w:val="22"/>
          <w:lang w:val="en-GB"/>
        </w:rPr>
      </w:pPr>
    </w:p>
    <w:p w14:paraId="05F47407" w14:textId="32363C4C" w:rsidR="00B53FA8" w:rsidRPr="004E053C" w:rsidRDefault="00B21FFD" w:rsidP="004E053C">
      <w:pPr>
        <w:spacing w:line="360" w:lineRule="auto"/>
        <w:jc w:val="both"/>
        <w:rPr>
          <w:rFonts w:cstheme="majorHAnsi"/>
          <w:sz w:val="22"/>
          <w:szCs w:val="22"/>
          <w:lang w:val="en-GB"/>
        </w:rPr>
      </w:pPr>
      <w:r w:rsidRPr="004E053C">
        <w:rPr>
          <w:rFonts w:cstheme="majorHAnsi"/>
          <w:sz w:val="22"/>
          <w:szCs w:val="22"/>
          <w:lang w:val="en-GB"/>
        </w:rPr>
        <w:t>Rosaria</w:t>
      </w:r>
      <w:r w:rsidR="00B53FA8" w:rsidRPr="004E053C">
        <w:rPr>
          <w:rFonts w:cstheme="majorHAnsi"/>
          <w:sz w:val="22"/>
          <w:szCs w:val="22"/>
          <w:lang w:val="en-GB"/>
        </w:rPr>
        <w:t xml:space="preserve"> and </w:t>
      </w:r>
      <w:r w:rsidR="00EA7F80" w:rsidRPr="004E053C">
        <w:rPr>
          <w:rFonts w:cstheme="majorHAnsi"/>
          <w:sz w:val="22"/>
          <w:szCs w:val="22"/>
          <w:lang w:val="en-GB"/>
        </w:rPr>
        <w:t>Carlos</w:t>
      </w:r>
      <w:r w:rsidR="00B53FA8" w:rsidRPr="004E053C">
        <w:rPr>
          <w:rFonts w:cstheme="majorHAnsi"/>
          <w:sz w:val="22"/>
          <w:szCs w:val="22"/>
          <w:lang w:val="en-GB"/>
        </w:rPr>
        <w:t xml:space="preserve">, who had both worked in KM108 since 2009, shared similar violent experiences. The hotel they were running often got robbed and they were frequently threatened by people with guns. Eventually, when the violence became too much, they decided to move to Puerto Maldonado. </w:t>
      </w:r>
      <w:r w:rsidRPr="004E053C">
        <w:rPr>
          <w:rFonts w:cstheme="majorHAnsi"/>
          <w:sz w:val="22"/>
          <w:szCs w:val="22"/>
          <w:lang w:val="en-GB"/>
        </w:rPr>
        <w:t>Rosaria</w:t>
      </w:r>
      <w:r w:rsidR="00B53FA8" w:rsidRPr="004E053C">
        <w:rPr>
          <w:rFonts w:cstheme="majorHAnsi"/>
          <w:sz w:val="22"/>
          <w:szCs w:val="22"/>
          <w:lang w:val="en-GB"/>
        </w:rPr>
        <w:t xml:space="preserve"> said that many other people had also left, leaving criminals running many of the businesses. </w:t>
      </w:r>
    </w:p>
    <w:p w14:paraId="0E13E2D3" w14:textId="77777777" w:rsidR="00B53FA8" w:rsidRPr="004E053C" w:rsidRDefault="00B53FA8" w:rsidP="004E053C">
      <w:pPr>
        <w:spacing w:line="360" w:lineRule="auto"/>
        <w:jc w:val="both"/>
        <w:rPr>
          <w:rFonts w:cstheme="majorHAnsi"/>
          <w:sz w:val="22"/>
          <w:szCs w:val="22"/>
          <w:lang w:val="en-GB"/>
        </w:rPr>
      </w:pPr>
    </w:p>
    <w:p w14:paraId="2BF1678F" w14:textId="682DA7A6"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 xml:space="preserve">The things I know from people that are in La Pampa, most of them have left now. They said it was too insecure. They left, and all the obreros, the miners and the business people, they </w:t>
      </w:r>
      <w:r w:rsidRPr="004E053C">
        <w:rPr>
          <w:rFonts w:cstheme="majorHAnsi"/>
          <w:i/>
          <w:sz w:val="22"/>
          <w:szCs w:val="22"/>
          <w:lang w:val="en-GB"/>
        </w:rPr>
        <w:lastRenderedPageBreak/>
        <w:t>all left because the insecurity was crazy. Now the people in La Pampa are new, and they are from the VRAEM</w:t>
      </w:r>
      <w:r w:rsidRPr="004E053C">
        <w:rPr>
          <w:rStyle w:val="FootnoteReference"/>
          <w:rFonts w:cstheme="majorHAnsi"/>
          <w:lang w:val="en-GB"/>
        </w:rPr>
        <w:footnoteReference w:id="7"/>
      </w:r>
      <w:r w:rsidRPr="004E053C">
        <w:rPr>
          <w:rFonts w:cstheme="majorHAnsi"/>
          <w:i/>
          <w:sz w:val="22"/>
          <w:szCs w:val="22"/>
          <w:lang w:val="en-GB"/>
        </w:rPr>
        <w:t>. They are criminals. My cousin has a hotel there, but there is such a problem because each day there are some people who are dead</w:t>
      </w:r>
      <w:r w:rsidRPr="004E053C">
        <w:rPr>
          <w:rFonts w:cstheme="majorHAnsi"/>
          <w:sz w:val="22"/>
          <w:szCs w:val="22"/>
          <w:lang w:val="en-GB"/>
        </w:rPr>
        <w:t>’ (</w:t>
      </w:r>
      <w:r w:rsidR="00B21FFD" w:rsidRPr="004E053C">
        <w:rPr>
          <w:rFonts w:cstheme="majorHAnsi"/>
          <w:sz w:val="22"/>
          <w:szCs w:val="22"/>
          <w:lang w:val="en-GB"/>
        </w:rPr>
        <w:t>Rosaria</w:t>
      </w:r>
      <w:r w:rsidRPr="004E053C">
        <w:rPr>
          <w:rFonts w:cstheme="majorHAnsi"/>
          <w:sz w:val="22"/>
          <w:szCs w:val="22"/>
          <w:lang w:val="en-GB"/>
        </w:rPr>
        <w:t>, ex-resident of La Pampa)</w:t>
      </w:r>
      <w:r w:rsidR="007857AB" w:rsidRPr="004E053C">
        <w:rPr>
          <w:rFonts w:cstheme="majorHAnsi"/>
          <w:sz w:val="22"/>
          <w:szCs w:val="22"/>
          <w:lang w:val="en-GB"/>
        </w:rPr>
        <w:t xml:space="preserve">. </w:t>
      </w:r>
    </w:p>
    <w:p w14:paraId="671EA78C" w14:textId="77777777" w:rsidR="00B53FA8" w:rsidRPr="004E053C" w:rsidRDefault="00B53FA8" w:rsidP="004E053C">
      <w:pPr>
        <w:spacing w:line="360" w:lineRule="auto"/>
        <w:jc w:val="both"/>
        <w:rPr>
          <w:rFonts w:cstheme="majorHAnsi"/>
          <w:sz w:val="22"/>
          <w:szCs w:val="22"/>
          <w:lang w:val="en-GB"/>
        </w:rPr>
      </w:pPr>
    </w:p>
    <w:p w14:paraId="1E0E9475" w14:textId="6EC6B42F" w:rsidR="00B53FA8" w:rsidRPr="004E053C" w:rsidRDefault="00B21FFD" w:rsidP="004E053C">
      <w:pPr>
        <w:spacing w:line="360" w:lineRule="auto"/>
        <w:jc w:val="both"/>
        <w:rPr>
          <w:rFonts w:cstheme="majorHAnsi"/>
          <w:sz w:val="22"/>
          <w:szCs w:val="22"/>
          <w:lang w:val="en-GB"/>
        </w:rPr>
      </w:pPr>
      <w:r w:rsidRPr="004E053C">
        <w:rPr>
          <w:rFonts w:cstheme="majorHAnsi"/>
          <w:sz w:val="22"/>
          <w:szCs w:val="22"/>
          <w:lang w:val="en-GB"/>
        </w:rPr>
        <w:t>Rosaria</w:t>
      </w:r>
      <w:r w:rsidR="00B53FA8" w:rsidRPr="004E053C">
        <w:rPr>
          <w:rFonts w:cstheme="majorHAnsi"/>
          <w:sz w:val="22"/>
          <w:szCs w:val="22"/>
          <w:lang w:val="en-GB"/>
        </w:rPr>
        <w:t xml:space="preserve"> went onto say that although </w:t>
      </w:r>
      <w:r w:rsidR="00907662" w:rsidRPr="004E053C">
        <w:rPr>
          <w:rFonts w:cstheme="majorHAnsi"/>
          <w:sz w:val="22"/>
          <w:szCs w:val="22"/>
          <w:lang w:val="en-GB"/>
        </w:rPr>
        <w:t xml:space="preserve">some </w:t>
      </w:r>
      <w:r w:rsidR="00B53FA8" w:rsidRPr="004E053C">
        <w:rPr>
          <w:rFonts w:cstheme="majorHAnsi"/>
          <w:sz w:val="22"/>
          <w:szCs w:val="22"/>
          <w:lang w:val="en-GB"/>
        </w:rPr>
        <w:t xml:space="preserve">of the local business owners still torture or executed some of the criminals, this gave her little comfort – </w:t>
      </w:r>
      <w:r w:rsidR="00B53FA8" w:rsidRPr="004E053C">
        <w:rPr>
          <w:rFonts w:cstheme="majorHAnsi"/>
          <w:i/>
          <w:sz w:val="22"/>
          <w:szCs w:val="22"/>
          <w:lang w:val="en-GB"/>
        </w:rPr>
        <w:t>‘I didn’t like this kind of life, so I decided to leave’</w:t>
      </w:r>
      <w:r w:rsidR="00B53FA8" w:rsidRPr="004E053C">
        <w:rPr>
          <w:rFonts w:cstheme="majorHAnsi"/>
          <w:sz w:val="22"/>
          <w:szCs w:val="22"/>
          <w:lang w:val="en-GB"/>
        </w:rPr>
        <w:t xml:space="preserve"> (</w:t>
      </w:r>
      <w:r w:rsidRPr="004E053C">
        <w:rPr>
          <w:rFonts w:cstheme="majorHAnsi"/>
          <w:sz w:val="22"/>
          <w:szCs w:val="22"/>
          <w:lang w:val="en-GB"/>
        </w:rPr>
        <w:t>Rosaria</w:t>
      </w:r>
      <w:r w:rsidR="00B53FA8" w:rsidRPr="004E053C">
        <w:rPr>
          <w:rFonts w:cstheme="majorHAnsi"/>
          <w:sz w:val="22"/>
          <w:szCs w:val="22"/>
          <w:lang w:val="en-GB"/>
        </w:rPr>
        <w:t>). The high insecurity is even now affecting the residents’ ability to implement community justice, as one miner said that if th</w:t>
      </w:r>
      <w:r w:rsidR="00907662" w:rsidRPr="004E053C">
        <w:rPr>
          <w:rFonts w:cstheme="majorHAnsi"/>
          <w:sz w:val="22"/>
          <w:szCs w:val="22"/>
          <w:lang w:val="en-GB"/>
        </w:rPr>
        <w:t>ey organis</w:t>
      </w:r>
      <w:r w:rsidR="00B53FA8" w:rsidRPr="004E053C">
        <w:rPr>
          <w:rFonts w:cstheme="majorHAnsi"/>
          <w:sz w:val="22"/>
          <w:szCs w:val="22"/>
          <w:lang w:val="en-GB"/>
        </w:rPr>
        <w:t xml:space="preserve">e into groups they become a target for the criminal gangs. </w:t>
      </w:r>
    </w:p>
    <w:p w14:paraId="306203E1" w14:textId="77777777" w:rsidR="00B53FA8" w:rsidRPr="004E053C" w:rsidRDefault="00B53FA8" w:rsidP="004E053C">
      <w:pPr>
        <w:spacing w:line="360" w:lineRule="auto"/>
        <w:jc w:val="both"/>
        <w:rPr>
          <w:rFonts w:cstheme="majorHAnsi"/>
          <w:sz w:val="22"/>
          <w:szCs w:val="22"/>
          <w:lang w:val="en-GB"/>
        </w:rPr>
      </w:pPr>
    </w:p>
    <w:p w14:paraId="3B3B8B22" w14:textId="22424E89"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Although the worst of the violence exists in informal settlements outside of the </w:t>
      </w:r>
      <w:r w:rsidRPr="004E053C">
        <w:rPr>
          <w:rFonts w:cstheme="majorHAnsi"/>
          <w:i/>
          <w:iCs/>
          <w:sz w:val="22"/>
          <w:szCs w:val="22"/>
          <w:lang w:val="en-GB"/>
        </w:rPr>
        <w:t>Corridor Minero</w:t>
      </w:r>
      <w:r w:rsidRPr="004E053C">
        <w:rPr>
          <w:rFonts w:cstheme="majorHAnsi"/>
          <w:sz w:val="22"/>
          <w:szCs w:val="22"/>
          <w:lang w:val="en-GB"/>
        </w:rPr>
        <w:t xml:space="preserve">, it is also occurring in areas within it. In the small mining settlement of Boca Union for example, about six months prior to fieldwork, 18 people on motorbikes had arrived and robbed all the shops and businesses. During interview one female miner in Laberinto said the same thing had happened in Boca Colarado just the day before. There are also a lot of car-jackings and muggings on the road between Laberinto and Boca Union, making it too dangerous to travel by car. The majority of the respondents said that Laberinto itself remained relatively quiet, but some added that it was not as safe as it used to be, which restricted their movement to some areas. Furthermore, some expected </w:t>
      </w:r>
      <w:r w:rsidR="00907662" w:rsidRPr="004E053C">
        <w:rPr>
          <w:rFonts w:cstheme="majorHAnsi"/>
          <w:sz w:val="22"/>
          <w:szCs w:val="22"/>
          <w:lang w:val="en-GB"/>
        </w:rPr>
        <w:t>the situation to worsen as the G</w:t>
      </w:r>
      <w:r w:rsidRPr="004E053C">
        <w:rPr>
          <w:rFonts w:cstheme="majorHAnsi"/>
          <w:sz w:val="22"/>
          <w:szCs w:val="22"/>
          <w:lang w:val="en-GB"/>
        </w:rPr>
        <w:t>overnment clamped down on mining in La Pampa –‘</w:t>
      </w:r>
      <w:r w:rsidRPr="004E053C">
        <w:rPr>
          <w:rFonts w:cstheme="majorHAnsi"/>
          <w:i/>
          <w:sz w:val="22"/>
          <w:szCs w:val="22"/>
          <w:lang w:val="en-GB"/>
        </w:rPr>
        <w:t>They will come here soon</w:t>
      </w:r>
      <w:r w:rsidRPr="004E053C">
        <w:rPr>
          <w:rFonts w:cstheme="majorHAnsi"/>
          <w:sz w:val="22"/>
          <w:szCs w:val="22"/>
          <w:lang w:val="en-GB"/>
        </w:rPr>
        <w:t>’ (</w:t>
      </w:r>
      <w:r w:rsidR="00EA7F80" w:rsidRPr="004E053C">
        <w:rPr>
          <w:rFonts w:cstheme="majorHAnsi"/>
          <w:sz w:val="22"/>
          <w:szCs w:val="22"/>
          <w:lang w:val="en-GB"/>
        </w:rPr>
        <w:t>David</w:t>
      </w:r>
      <w:r w:rsidRPr="004E053C">
        <w:rPr>
          <w:rFonts w:cstheme="majorHAnsi"/>
          <w:sz w:val="22"/>
          <w:szCs w:val="22"/>
          <w:lang w:val="en-GB"/>
        </w:rPr>
        <w:t xml:space="preserve">, ASM miner). </w:t>
      </w:r>
    </w:p>
    <w:p w14:paraId="76555A42" w14:textId="77777777" w:rsidR="00B53FA8" w:rsidRPr="004E053C" w:rsidRDefault="00B53FA8" w:rsidP="004E053C">
      <w:pPr>
        <w:spacing w:line="360" w:lineRule="auto"/>
        <w:jc w:val="both"/>
        <w:rPr>
          <w:rFonts w:cstheme="majorHAnsi"/>
          <w:sz w:val="22"/>
          <w:szCs w:val="22"/>
          <w:lang w:val="en-GB"/>
        </w:rPr>
      </w:pPr>
    </w:p>
    <w:p w14:paraId="43749E0C" w14:textId="053C7D11"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 xml:space="preserve">In Lima I was scared just walking around. Here I felt safe and calm, as it was so quiet here. I liked it because even if you got so drunk you fell asleep in the street with money in your pocket, no one would steal it from you. </w:t>
      </w:r>
      <w:r w:rsidR="00D3785B" w:rsidRPr="004E053C">
        <w:rPr>
          <w:rFonts w:cstheme="majorHAnsi"/>
          <w:i/>
          <w:sz w:val="22"/>
          <w:szCs w:val="22"/>
          <w:lang w:val="en-GB"/>
        </w:rPr>
        <w:t xml:space="preserve">That was before the creation of this road that goes from Puerto to Cusco, the TransOceanica. </w:t>
      </w:r>
      <w:r w:rsidRPr="004E053C">
        <w:rPr>
          <w:rFonts w:cstheme="majorHAnsi"/>
          <w:i/>
          <w:sz w:val="22"/>
          <w:szCs w:val="22"/>
          <w:lang w:val="en-GB"/>
        </w:rPr>
        <w:t>There were few people before the road, and it was easy to integrate. But since the road was created everything has changed, and it’s not all good</w:t>
      </w:r>
      <w:r w:rsidRPr="004E053C">
        <w:rPr>
          <w:rFonts w:cstheme="majorHAnsi"/>
          <w:sz w:val="22"/>
          <w:szCs w:val="22"/>
          <w:lang w:val="en-GB"/>
        </w:rPr>
        <w:t>’ (</w:t>
      </w:r>
      <w:r w:rsidR="00EA7F80" w:rsidRPr="004E053C">
        <w:rPr>
          <w:rFonts w:cstheme="majorHAnsi"/>
          <w:sz w:val="22"/>
          <w:szCs w:val="22"/>
          <w:lang w:val="en-GB"/>
        </w:rPr>
        <w:t>Roberto</w:t>
      </w:r>
      <w:r w:rsidRPr="004E053C">
        <w:rPr>
          <w:rFonts w:cstheme="majorHAnsi"/>
          <w:sz w:val="22"/>
          <w:szCs w:val="22"/>
          <w:lang w:val="en-GB"/>
        </w:rPr>
        <w:t>, ex-miner, Laberinto)</w:t>
      </w:r>
      <w:r w:rsidR="007857AB" w:rsidRPr="004E053C">
        <w:rPr>
          <w:rFonts w:cstheme="majorHAnsi"/>
          <w:sz w:val="22"/>
          <w:szCs w:val="22"/>
          <w:lang w:val="en-GB"/>
        </w:rPr>
        <w:t xml:space="preserve">. </w:t>
      </w:r>
    </w:p>
    <w:p w14:paraId="6BE006CD" w14:textId="77777777" w:rsidR="00B53FA8" w:rsidRPr="004E053C" w:rsidRDefault="00B53FA8" w:rsidP="004E053C">
      <w:pPr>
        <w:spacing w:line="360" w:lineRule="auto"/>
        <w:jc w:val="both"/>
        <w:rPr>
          <w:rFonts w:cstheme="majorHAnsi"/>
          <w:sz w:val="22"/>
          <w:szCs w:val="22"/>
          <w:lang w:val="en-GB"/>
        </w:rPr>
      </w:pPr>
    </w:p>
    <w:p w14:paraId="0C71DB84" w14:textId="6892688D"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Here, </w:t>
      </w:r>
      <w:r w:rsidR="00EA7F80" w:rsidRPr="004E053C">
        <w:rPr>
          <w:rFonts w:cstheme="majorHAnsi"/>
          <w:sz w:val="22"/>
          <w:szCs w:val="22"/>
          <w:lang w:val="en-GB"/>
        </w:rPr>
        <w:t>Roberto</w:t>
      </w:r>
      <w:r w:rsidRPr="004E053C">
        <w:rPr>
          <w:rFonts w:cstheme="majorHAnsi"/>
          <w:sz w:val="22"/>
          <w:szCs w:val="22"/>
          <w:lang w:val="en-GB"/>
        </w:rPr>
        <w:t xml:space="preserve"> links the creations of the Transoceanic Highway, which is a big factor in enabling translocal ASM livelihoods, to both an influx of migrants and increasing insecurity. In total, nine of the respondents in Laberinto explicitly linked the increasing insecurity to the presence of migrants, highlighting another source of tension that develops between temporary/floating miners and the permanent residents. There is also evidence that these problems are making locals more wary of the more transient miners who they don’t know and haven’t had time to form proper bonds with – as </w:t>
      </w:r>
      <w:r w:rsidRPr="004E053C">
        <w:rPr>
          <w:rFonts w:cstheme="majorHAnsi"/>
          <w:sz w:val="22"/>
          <w:szCs w:val="22"/>
          <w:lang w:val="en-GB"/>
        </w:rPr>
        <w:lastRenderedPageBreak/>
        <w:t>discussed in the previous section, it is increasingly important for the miners and other community members to establish trust:</w:t>
      </w:r>
    </w:p>
    <w:p w14:paraId="06FEFFF1" w14:textId="77777777" w:rsidR="00B53FA8" w:rsidRPr="004E053C" w:rsidRDefault="00B53FA8" w:rsidP="004E053C">
      <w:pPr>
        <w:spacing w:line="360" w:lineRule="auto"/>
        <w:jc w:val="both"/>
        <w:rPr>
          <w:rFonts w:cstheme="majorHAnsi"/>
          <w:sz w:val="22"/>
          <w:szCs w:val="22"/>
          <w:lang w:val="en-GB"/>
        </w:rPr>
      </w:pPr>
    </w:p>
    <w:p w14:paraId="7FAD81BC" w14:textId="5A1D933C"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There is a floating population which causes some problems, when the community members see new faces they are distrustful – they think “what is he doing here?” they think he is a criminal. They also might think they are going to commit sexual assault or rape. People are really afraid of that sort of insecurity from the floating populations</w:t>
      </w:r>
      <w:r w:rsidRPr="004E053C">
        <w:rPr>
          <w:rFonts w:cstheme="majorHAnsi"/>
          <w:sz w:val="22"/>
          <w:szCs w:val="22"/>
          <w:lang w:val="en-GB"/>
        </w:rPr>
        <w:t>’ (</w:t>
      </w:r>
      <w:r w:rsidR="00EA7F80" w:rsidRPr="004E053C">
        <w:rPr>
          <w:rFonts w:cstheme="majorHAnsi"/>
          <w:sz w:val="22"/>
          <w:szCs w:val="22"/>
          <w:lang w:val="en-GB"/>
        </w:rPr>
        <w:t>Mateo</w:t>
      </w:r>
      <w:r w:rsidRPr="004E053C">
        <w:rPr>
          <w:rFonts w:cstheme="majorHAnsi"/>
          <w:sz w:val="22"/>
          <w:szCs w:val="22"/>
          <w:lang w:val="en-GB"/>
        </w:rPr>
        <w:t>, ex-miner, Puerto Maldonado).</w:t>
      </w:r>
    </w:p>
    <w:p w14:paraId="3E570A8C" w14:textId="77777777" w:rsidR="00B53FA8" w:rsidRPr="004E053C" w:rsidRDefault="00B53FA8" w:rsidP="004E053C">
      <w:pPr>
        <w:spacing w:line="360" w:lineRule="auto"/>
        <w:jc w:val="both"/>
        <w:rPr>
          <w:rFonts w:cstheme="majorHAnsi"/>
          <w:sz w:val="22"/>
          <w:szCs w:val="22"/>
          <w:lang w:val="en-GB"/>
        </w:rPr>
      </w:pPr>
    </w:p>
    <w:p w14:paraId="2C3C8370" w14:textId="72D7CF3B"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Here, </w:t>
      </w:r>
      <w:r w:rsidR="00EA7F80" w:rsidRPr="004E053C">
        <w:rPr>
          <w:rFonts w:cstheme="majorHAnsi"/>
          <w:sz w:val="22"/>
          <w:szCs w:val="22"/>
          <w:lang w:val="en-GB"/>
        </w:rPr>
        <w:t>Mateo</w:t>
      </w:r>
      <w:r w:rsidRPr="004E053C">
        <w:rPr>
          <w:rFonts w:cstheme="majorHAnsi"/>
          <w:sz w:val="22"/>
          <w:szCs w:val="22"/>
          <w:lang w:val="en-GB"/>
        </w:rPr>
        <w:t xml:space="preserve">’s quote clearly highlights both the underlying insecurity caused by a highly transient population but also the negative way in which local people respond to it. While this is an extreme view, which was not articulated by every permanent resident of Laberinto, it shows the distrust that forms within a community when there are high numbers of outsiders who do not take the time to get to acquaint themselves with their neighbours.  </w:t>
      </w:r>
    </w:p>
    <w:p w14:paraId="288B2CB7" w14:textId="77777777" w:rsidR="00B53FA8" w:rsidRPr="004E053C" w:rsidRDefault="00B53FA8" w:rsidP="004E053C">
      <w:pPr>
        <w:spacing w:line="360" w:lineRule="auto"/>
        <w:jc w:val="both"/>
        <w:rPr>
          <w:rFonts w:cstheme="majorHAnsi"/>
          <w:sz w:val="22"/>
          <w:szCs w:val="22"/>
          <w:lang w:val="en-GB"/>
        </w:rPr>
      </w:pPr>
    </w:p>
    <w:p w14:paraId="7E3F37D3" w14:textId="4D47A699" w:rsidR="00B53FA8" w:rsidRPr="004E053C" w:rsidRDefault="00B53FA8" w:rsidP="004E053C">
      <w:pPr>
        <w:spacing w:line="360" w:lineRule="auto"/>
        <w:jc w:val="both"/>
        <w:rPr>
          <w:rFonts w:cstheme="majorHAnsi"/>
          <w:sz w:val="22"/>
          <w:szCs w:val="22"/>
          <w:lang w:val="en-GB"/>
        </w:rPr>
      </w:pPr>
      <w:r w:rsidRPr="004E053C">
        <w:rPr>
          <w:rFonts w:eastAsia="Times New Roman" w:cstheme="majorHAnsi"/>
          <w:bCs/>
          <w:sz w:val="22"/>
          <w:szCs w:val="22"/>
          <w:lang w:val="en-GB"/>
        </w:rPr>
        <w:t xml:space="preserve">It seems that high levels of mobility contribute to a cycle of illegality and violence that undermines both ASM livelihoods and community cohesion. However, levels of crime and violence are far worse in some locales within the translocal ASM community than others, with La Pampa being far more dangerous than formal settlements such as Laberinto. This is partly due to its highly transient nature, but also because of its illegal status as this attracts people conducting their livelihoods more translocally as well as criminals. </w:t>
      </w:r>
      <w:r w:rsidRPr="004E053C">
        <w:rPr>
          <w:rFonts w:cstheme="majorHAnsi"/>
          <w:sz w:val="22"/>
          <w:szCs w:val="22"/>
          <w:lang w:val="en-GB"/>
        </w:rPr>
        <w:t>Another miner in Laberinto suggested that perhaps the miners that chose to work in La Pampa did so</w:t>
      </w:r>
      <w:r w:rsidR="00907662" w:rsidRPr="004E053C">
        <w:rPr>
          <w:rFonts w:cstheme="majorHAnsi"/>
          <w:sz w:val="22"/>
          <w:szCs w:val="22"/>
          <w:lang w:val="en-GB"/>
        </w:rPr>
        <w:t xml:space="preserve"> because they liked the risk. T</w:t>
      </w:r>
      <w:r w:rsidRPr="004E053C">
        <w:rPr>
          <w:rFonts w:cstheme="majorHAnsi"/>
          <w:sz w:val="22"/>
          <w:szCs w:val="22"/>
          <w:lang w:val="en-GB"/>
        </w:rPr>
        <w:t>his does seem to corrobor</w:t>
      </w:r>
      <w:r w:rsidR="008317C7" w:rsidRPr="004E053C">
        <w:rPr>
          <w:rFonts w:cstheme="majorHAnsi"/>
          <w:sz w:val="22"/>
          <w:szCs w:val="22"/>
          <w:lang w:val="en-GB"/>
        </w:rPr>
        <w:t xml:space="preserve">ate the findings of Walsh </w:t>
      </w:r>
      <w:r w:rsidR="008317C7" w:rsidRPr="004E053C">
        <w:rPr>
          <w:rFonts w:cstheme="majorHAnsi"/>
          <w:sz w:val="22"/>
          <w:szCs w:val="22"/>
          <w:lang w:val="en-GB"/>
        </w:rPr>
        <w:fldChar w:fldCharType="begin" w:fldLock="1"/>
      </w:r>
      <w:r w:rsidR="008A1E6F" w:rsidRPr="004E053C">
        <w:rPr>
          <w:rFonts w:cstheme="majorHAnsi"/>
          <w:sz w:val="22"/>
          <w:szCs w:val="22"/>
          <w:lang w:val="en-GB"/>
        </w:rPr>
        <w:instrText>ADDIN CSL_CITATION {"citationItems":[{"id":"ITEM-1","itemData":{"abstract":"In Ambondromifehy, a sapphire-mining town in northern Madagascar, young men earn and spend a great deal of what some call \"hot money.\" Rather than invest their earnings with long-term intentions considered responsible and proper by some around them, they consume \"daringly\" by spending money to fulfill immediate desires. I argue that such \"daring consumption\" might be understood as the active response of young men who refuse the passive roles allotted them by both the sapphire trade and traditional systems of social organization.","author":[{"dropping-particle":"","family":"Walsh","given":"Andrew","non-dropping-particle":"","parse-names":false,"suffix":""}],"container-title":"American Ethnologist","id":"ITEM-1","issue":"2","issued":{"date-parts":[["2003"]]},"page":"290-305","title":"\"Hot money” and daring consumption in a northern Malagasy mining town","type":"article-journal","volume":"30"},"uris":["http://www.mendeley.com/documents/?uuid=e221bdbc-373c-4a27-aef2-b563e761557e"]}],"mendeley":{"formattedCitation":"(Walsh, 2003)","manualFormatting":"(2003)","plainTextFormattedCitation":"(Walsh, 2003)","previouslyFormattedCitation":"(Walsh, 2003)"},"properties":{"noteIndex":0},"schema":"https://github.com/citation-style-language/schema/raw/master/csl-citation.json"}</w:instrText>
      </w:r>
      <w:r w:rsidR="008317C7" w:rsidRPr="004E053C">
        <w:rPr>
          <w:rFonts w:cstheme="majorHAnsi"/>
          <w:sz w:val="22"/>
          <w:szCs w:val="22"/>
          <w:lang w:val="en-GB"/>
        </w:rPr>
        <w:fldChar w:fldCharType="separate"/>
      </w:r>
      <w:r w:rsidR="009628C7" w:rsidRPr="004E053C">
        <w:rPr>
          <w:rFonts w:cstheme="majorHAnsi"/>
          <w:noProof/>
          <w:sz w:val="22"/>
          <w:szCs w:val="22"/>
          <w:lang w:val="en-GB"/>
        </w:rPr>
        <w:t>(</w:t>
      </w:r>
      <w:r w:rsidR="008317C7" w:rsidRPr="004E053C">
        <w:rPr>
          <w:rFonts w:cstheme="majorHAnsi"/>
          <w:noProof/>
          <w:sz w:val="22"/>
          <w:szCs w:val="22"/>
          <w:lang w:val="en-GB"/>
        </w:rPr>
        <w:t>2003)</w:t>
      </w:r>
      <w:r w:rsidR="008317C7" w:rsidRPr="004E053C">
        <w:rPr>
          <w:rFonts w:cstheme="majorHAnsi"/>
          <w:sz w:val="22"/>
          <w:szCs w:val="22"/>
          <w:lang w:val="en-GB"/>
        </w:rPr>
        <w:fldChar w:fldCharType="end"/>
      </w:r>
      <w:r w:rsidRPr="004E053C">
        <w:rPr>
          <w:rFonts w:cstheme="majorHAnsi"/>
          <w:sz w:val="22"/>
          <w:szCs w:val="22"/>
          <w:lang w:val="en-GB"/>
        </w:rPr>
        <w:t xml:space="preserve"> etc who have highlighted the</w:t>
      </w:r>
      <w:r w:rsidR="00130A52">
        <w:rPr>
          <w:rFonts w:cstheme="majorHAnsi"/>
          <w:sz w:val="22"/>
          <w:szCs w:val="22"/>
          <w:lang w:val="en-GB"/>
        </w:rPr>
        <w:t xml:space="preserve"> excessive consumption and fast </w:t>
      </w:r>
      <w:r w:rsidRPr="004E053C">
        <w:rPr>
          <w:rFonts w:cstheme="majorHAnsi"/>
          <w:sz w:val="22"/>
          <w:szCs w:val="22"/>
          <w:lang w:val="en-GB"/>
        </w:rPr>
        <w:t xml:space="preserve">pace of life for young miners in these informal mining settlements. As with observations about street gangs (Sandberg and Sveinung, 2008; Sammus and Sveinung, 2016), there is a certain social capital that can be acquired if the miner is prepared to engage in the field in this way. Interestingly, </w:t>
      </w:r>
      <w:r w:rsidR="00D3785B" w:rsidRPr="004E053C">
        <w:rPr>
          <w:rFonts w:cstheme="majorHAnsi"/>
          <w:sz w:val="22"/>
          <w:szCs w:val="22"/>
          <w:lang w:val="en-GB"/>
        </w:rPr>
        <w:t>Eduard</w:t>
      </w:r>
      <w:r w:rsidRPr="004E053C">
        <w:rPr>
          <w:rFonts w:cstheme="majorHAnsi"/>
          <w:sz w:val="22"/>
          <w:szCs w:val="22"/>
          <w:lang w:val="en-GB"/>
        </w:rPr>
        <w:t>o blamed the violence on high levels of new mi</w:t>
      </w:r>
      <w:r w:rsidR="00907662" w:rsidRPr="004E053C">
        <w:rPr>
          <w:rFonts w:cstheme="majorHAnsi"/>
          <w:sz w:val="22"/>
          <w:szCs w:val="22"/>
          <w:lang w:val="en-GB"/>
        </w:rPr>
        <w:t xml:space="preserve">grants, </w:t>
      </w:r>
      <w:r w:rsidRPr="004E053C">
        <w:rPr>
          <w:rFonts w:cstheme="majorHAnsi"/>
          <w:sz w:val="22"/>
          <w:szCs w:val="22"/>
          <w:lang w:val="en-GB"/>
        </w:rPr>
        <w:t>despite being a relatively recent migrant to La Pampa</w:t>
      </w:r>
      <w:r w:rsidR="00907662" w:rsidRPr="004E053C">
        <w:rPr>
          <w:rFonts w:cstheme="majorHAnsi"/>
          <w:sz w:val="22"/>
          <w:szCs w:val="22"/>
          <w:lang w:val="en-GB"/>
        </w:rPr>
        <w:t xml:space="preserve"> himself who would most likely be classed as an ‘invader’ by many of the permanent miners I interviewed</w:t>
      </w:r>
      <w:r w:rsidRPr="004E053C">
        <w:rPr>
          <w:rFonts w:cstheme="majorHAnsi"/>
          <w:sz w:val="22"/>
          <w:szCs w:val="22"/>
          <w:lang w:val="en-GB"/>
        </w:rPr>
        <w:t xml:space="preserve">. This highlights how the narratives of crime and illegality aimed at even just those miners in La Pampa masks the heterogeneity of miners and the realities of their livelihood. </w:t>
      </w:r>
    </w:p>
    <w:p w14:paraId="5A4DA791" w14:textId="77777777" w:rsidR="00B53FA8" w:rsidRPr="004E053C" w:rsidRDefault="00B53FA8" w:rsidP="004E053C">
      <w:pPr>
        <w:spacing w:line="360" w:lineRule="auto"/>
        <w:jc w:val="both"/>
        <w:rPr>
          <w:rFonts w:cstheme="majorHAnsi"/>
          <w:sz w:val="22"/>
          <w:szCs w:val="22"/>
          <w:lang w:val="en-GB"/>
        </w:rPr>
      </w:pPr>
    </w:p>
    <w:p w14:paraId="702240B6" w14:textId="414EAF70" w:rsidR="00B53FA8" w:rsidRPr="004E053C" w:rsidRDefault="00EA7F83" w:rsidP="004E053C">
      <w:pPr>
        <w:pStyle w:val="Heading2"/>
        <w:spacing w:before="0" w:line="360" w:lineRule="auto"/>
        <w:jc w:val="both"/>
        <w:rPr>
          <w:rFonts w:cstheme="majorHAnsi"/>
          <w:lang w:val="en-GB"/>
        </w:rPr>
      </w:pPr>
      <w:bookmarkStart w:id="97" w:name="_Toc424671915"/>
      <w:bookmarkStart w:id="98" w:name="_Toc33293125"/>
      <w:r w:rsidRPr="004E053C">
        <w:rPr>
          <w:rFonts w:cstheme="majorHAnsi"/>
          <w:lang w:val="en-GB"/>
        </w:rPr>
        <w:t>8</w:t>
      </w:r>
      <w:r w:rsidR="004A3EF1" w:rsidRPr="004E053C">
        <w:rPr>
          <w:rFonts w:cstheme="majorHAnsi"/>
          <w:lang w:val="en-GB"/>
        </w:rPr>
        <w:t>.4. Translocal communities and resistance against g</w:t>
      </w:r>
      <w:r w:rsidR="00B53FA8" w:rsidRPr="004E053C">
        <w:rPr>
          <w:rFonts w:cstheme="majorHAnsi"/>
          <w:lang w:val="en-GB"/>
        </w:rPr>
        <w:t xml:space="preserve">overnment </w:t>
      </w:r>
      <w:r w:rsidR="004A3EF1" w:rsidRPr="004E053C">
        <w:rPr>
          <w:rFonts w:cstheme="majorHAnsi"/>
          <w:lang w:val="en-GB"/>
        </w:rPr>
        <w:t>i</w:t>
      </w:r>
      <w:r w:rsidR="00B53FA8" w:rsidRPr="004E053C">
        <w:rPr>
          <w:rFonts w:cstheme="majorHAnsi"/>
          <w:lang w:val="en-GB"/>
        </w:rPr>
        <w:t>nterdictions</w:t>
      </w:r>
      <w:bookmarkEnd w:id="97"/>
      <w:bookmarkEnd w:id="98"/>
    </w:p>
    <w:p w14:paraId="7F717195" w14:textId="77777777" w:rsidR="00D51819" w:rsidRPr="004E053C" w:rsidRDefault="00D51819" w:rsidP="004E053C">
      <w:pPr>
        <w:jc w:val="both"/>
        <w:rPr>
          <w:lang w:val="en-GB"/>
        </w:rPr>
      </w:pPr>
    </w:p>
    <w:p w14:paraId="6D197A8E" w14:textId="13BDB7BE" w:rsidR="00B53FA8" w:rsidRPr="004E053C" w:rsidRDefault="00B53FA8"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Although some agents within the field of ASM may be more powerful than others, the majority remain marginalised and are at the bottom echelons of mainstream society. The corrupt elite notwithstanding, ASM operatives are, like the members of stre</w:t>
      </w:r>
      <w:r w:rsidR="00907662" w:rsidRPr="004E053C">
        <w:rPr>
          <w:rFonts w:asciiTheme="minorHAnsi" w:hAnsiTheme="minorHAnsi" w:cstheme="majorHAnsi"/>
          <w:sz w:val="22"/>
          <w:szCs w:val="22"/>
        </w:rPr>
        <w:t>et gangs, ‘at best a dominant f</w:t>
      </w:r>
      <w:r w:rsidRPr="004E053C">
        <w:rPr>
          <w:rFonts w:asciiTheme="minorHAnsi" w:hAnsiTheme="minorHAnsi" w:cstheme="majorHAnsi"/>
          <w:sz w:val="22"/>
          <w:szCs w:val="22"/>
        </w:rPr>
        <w:t xml:space="preserve">action </w:t>
      </w:r>
      <w:r w:rsidRPr="004E053C">
        <w:rPr>
          <w:rFonts w:asciiTheme="minorHAnsi" w:hAnsiTheme="minorHAnsi" w:cstheme="majorHAnsi"/>
          <w:sz w:val="22"/>
          <w:szCs w:val="22"/>
        </w:rPr>
        <w:lastRenderedPageBreak/>
        <w:t xml:space="preserve">among the dominated, far removed from the field of power’ </w:t>
      </w:r>
      <w:r w:rsidR="006A11DC"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2016)","manualFormatting":"(Shammus &amp; Sandberg, 2016, p.10)","plainTextFormattedCitation":"(Shammus &amp; Sandberg, 2016)","previouslyFormattedCitation":"(Shammus &amp; Sandberg, 2016)"},"properties":{"noteIndex":0},"schema":"https://github.com/citation-style-language/schema/raw/master/csl-citation.json"}</w:instrText>
      </w:r>
      <w:r w:rsidR="006A11DC" w:rsidRPr="004E053C">
        <w:rPr>
          <w:rFonts w:asciiTheme="minorHAnsi" w:hAnsiTheme="minorHAnsi" w:cstheme="majorHAnsi"/>
          <w:sz w:val="22"/>
          <w:szCs w:val="22"/>
        </w:rPr>
        <w:fldChar w:fldCharType="separate"/>
      </w:r>
      <w:r w:rsidR="006A11DC" w:rsidRPr="004E053C">
        <w:rPr>
          <w:rFonts w:asciiTheme="minorHAnsi" w:hAnsiTheme="minorHAnsi" w:cstheme="majorHAnsi"/>
          <w:noProof/>
          <w:sz w:val="22"/>
          <w:szCs w:val="22"/>
        </w:rPr>
        <w:t>(Shammus &amp; Sandberg, 2016, p.10)</w:t>
      </w:r>
      <w:r w:rsidR="006A11DC" w:rsidRPr="004E053C">
        <w:rPr>
          <w:rFonts w:asciiTheme="minorHAnsi" w:hAnsiTheme="minorHAnsi" w:cstheme="majorHAnsi"/>
          <w:sz w:val="22"/>
          <w:szCs w:val="22"/>
        </w:rPr>
        <w:fldChar w:fldCharType="end"/>
      </w:r>
      <w:r w:rsidR="00907662" w:rsidRPr="004E053C">
        <w:rPr>
          <w:rFonts w:asciiTheme="minorHAnsi" w:hAnsiTheme="minorHAnsi" w:cstheme="majorHAnsi"/>
          <w:sz w:val="22"/>
          <w:szCs w:val="22"/>
        </w:rPr>
        <w:t xml:space="preserve">. Despite this, </w:t>
      </w:r>
      <w:r w:rsidRPr="004E053C">
        <w:rPr>
          <w:rFonts w:asciiTheme="minorHAnsi" w:hAnsiTheme="minorHAnsi" w:cstheme="majorHAnsi"/>
          <w:sz w:val="22"/>
          <w:szCs w:val="22"/>
        </w:rPr>
        <w:t>as I e</w:t>
      </w:r>
      <w:r w:rsidR="00565C53" w:rsidRPr="004E053C">
        <w:rPr>
          <w:rFonts w:asciiTheme="minorHAnsi" w:hAnsiTheme="minorHAnsi" w:cstheme="majorHAnsi"/>
          <w:sz w:val="22"/>
          <w:szCs w:val="22"/>
        </w:rPr>
        <w:t>laborate on further in chapter 9</w:t>
      </w:r>
      <w:r w:rsidRPr="004E053C">
        <w:rPr>
          <w:rFonts w:asciiTheme="minorHAnsi" w:hAnsiTheme="minorHAnsi" w:cstheme="majorHAnsi"/>
          <w:sz w:val="22"/>
          <w:szCs w:val="22"/>
        </w:rPr>
        <w:t>, the social field is still constituted by a struggle for legitimate power. The most obvious contestation is not between the miners within the translocal community, but against the dominant power of the state. Due to the high levels of environmental degradation and social pro</w:t>
      </w:r>
      <w:r w:rsidR="00907662" w:rsidRPr="004E053C">
        <w:rPr>
          <w:rFonts w:asciiTheme="minorHAnsi" w:hAnsiTheme="minorHAnsi" w:cstheme="majorHAnsi"/>
          <w:sz w:val="22"/>
          <w:szCs w:val="22"/>
        </w:rPr>
        <w:t>blems associated with ASM, the G</w:t>
      </w:r>
      <w:r w:rsidRPr="004E053C">
        <w:rPr>
          <w:rFonts w:asciiTheme="minorHAnsi" w:hAnsiTheme="minorHAnsi" w:cstheme="majorHAnsi"/>
          <w:sz w:val="22"/>
          <w:szCs w:val="22"/>
        </w:rPr>
        <w:t xml:space="preserve">overnment is attempting to reduce the number of people working in the sector, which is a big threat to </w:t>
      </w:r>
      <w:r w:rsidRPr="004E053C">
        <w:rPr>
          <w:rFonts w:asciiTheme="minorHAnsi" w:eastAsia="Times New Roman" w:hAnsiTheme="minorHAnsi" w:cstheme="majorHAnsi"/>
          <w:sz w:val="22"/>
          <w:szCs w:val="22"/>
        </w:rPr>
        <w:t xml:space="preserve">ASM livelihoods. </w:t>
      </w:r>
      <w:r w:rsidRPr="004E053C">
        <w:rPr>
          <w:rFonts w:asciiTheme="minorHAnsi" w:hAnsiTheme="minorHAnsi" w:cstheme="majorHAnsi"/>
          <w:sz w:val="22"/>
          <w:szCs w:val="22"/>
        </w:rPr>
        <w:t>Rather than trying to reduce ASM by investing in impoverished Andean communities, providing alternative livelihood options, or succ</w:t>
      </w:r>
      <w:r w:rsidR="00907662" w:rsidRPr="004E053C">
        <w:rPr>
          <w:rFonts w:asciiTheme="minorHAnsi" w:hAnsiTheme="minorHAnsi" w:cstheme="majorHAnsi"/>
          <w:sz w:val="22"/>
          <w:szCs w:val="22"/>
        </w:rPr>
        <w:t>essfully implementing a formalisation process, the G</w:t>
      </w:r>
      <w:r w:rsidRPr="004E053C">
        <w:rPr>
          <w:rFonts w:asciiTheme="minorHAnsi" w:hAnsiTheme="minorHAnsi" w:cstheme="majorHAnsi"/>
          <w:sz w:val="22"/>
          <w:szCs w:val="22"/>
        </w:rPr>
        <w:t xml:space="preserve">overnment has adopted a more antagonistic approach. This consists of, on the one hand, increasingly complicated </w:t>
      </w:r>
      <w:r w:rsidR="00907662" w:rsidRPr="004E053C">
        <w:rPr>
          <w:rFonts w:asciiTheme="minorHAnsi" w:eastAsia="Times New Roman" w:hAnsiTheme="minorHAnsi" w:cstheme="majorHAnsi"/>
          <w:sz w:val="22"/>
          <w:szCs w:val="22"/>
        </w:rPr>
        <w:t>bureaucratic processes</w:t>
      </w:r>
      <w:r w:rsidR="00FF7621" w:rsidRPr="004E053C">
        <w:rPr>
          <w:rFonts w:asciiTheme="minorHAnsi" w:eastAsia="Times New Roman" w:hAnsiTheme="minorHAnsi" w:cstheme="majorHAnsi"/>
          <w:sz w:val="22"/>
          <w:szCs w:val="22"/>
        </w:rPr>
        <w:t xml:space="preserve"> which make it difficult for miners to formalise</w:t>
      </w:r>
      <w:r w:rsidR="00907662" w:rsidRPr="004E053C">
        <w:rPr>
          <w:rFonts w:asciiTheme="minorHAnsi" w:eastAsia="Times New Roman" w:hAnsiTheme="minorHAnsi" w:cstheme="majorHAnsi"/>
          <w:sz w:val="22"/>
          <w:szCs w:val="22"/>
        </w:rPr>
        <w:t>, while</w:t>
      </w:r>
      <w:r w:rsidRPr="004E053C">
        <w:rPr>
          <w:rFonts w:asciiTheme="minorHAnsi" w:eastAsia="Times New Roman" w:hAnsiTheme="minorHAnsi" w:cstheme="majorHAnsi"/>
          <w:sz w:val="22"/>
          <w:szCs w:val="22"/>
        </w:rPr>
        <w:t xml:space="preserve"> on the other, violent interdictions that often involve airstrikes and the blowing up of machines </w:t>
      </w:r>
      <w:r w:rsidR="006A11DC" w:rsidRPr="004E053C">
        <w:rPr>
          <w:rFonts w:asciiTheme="minorHAnsi" w:eastAsia="Times New Roman" w:hAnsiTheme="minorHAnsi" w:cstheme="majorHAnsi"/>
          <w:sz w:val="22"/>
          <w:szCs w:val="22"/>
        </w:rPr>
        <w:fldChar w:fldCharType="begin" w:fldLock="1"/>
      </w:r>
      <w:r w:rsidR="002F0CEA">
        <w:rPr>
          <w:rFonts w:asciiTheme="minorHAnsi" w:eastAsia="Times New Roman" w:hAnsiTheme="minorHAnsi" w:cstheme="majorHAnsi"/>
          <w:sz w:val="22"/>
          <w:szCs w:val="22"/>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2016)","plainTextFormattedCitation":"(Salo et al., 2016)","previouslyFormattedCitation":"(Salo et al., 2016)"},"properties":{"noteIndex":0},"schema":"https://github.com/citation-style-language/schema/raw/master/csl-citation.json"}</w:instrText>
      </w:r>
      <w:r w:rsidR="006A11DC" w:rsidRPr="004E053C">
        <w:rPr>
          <w:rFonts w:asciiTheme="minorHAnsi" w:eastAsia="Times New Roman" w:hAnsiTheme="minorHAnsi" w:cstheme="majorHAnsi"/>
          <w:sz w:val="22"/>
          <w:szCs w:val="22"/>
        </w:rPr>
        <w:fldChar w:fldCharType="separate"/>
      </w:r>
      <w:r w:rsidR="006A11DC" w:rsidRPr="004E053C">
        <w:rPr>
          <w:rFonts w:asciiTheme="minorHAnsi" w:eastAsia="Times New Roman" w:hAnsiTheme="minorHAnsi" w:cstheme="majorHAnsi"/>
          <w:noProof/>
          <w:sz w:val="22"/>
          <w:szCs w:val="22"/>
        </w:rPr>
        <w:t>(Salo et al., 2016)</w:t>
      </w:r>
      <w:r w:rsidR="006A11DC" w:rsidRPr="004E053C">
        <w:rPr>
          <w:rFonts w:asciiTheme="minorHAnsi" w:eastAsia="Times New Roman" w:hAnsiTheme="minorHAnsi" w:cstheme="majorHAnsi"/>
          <w:sz w:val="22"/>
          <w:szCs w:val="22"/>
        </w:rPr>
        <w:fldChar w:fldCharType="end"/>
      </w:r>
      <w:r w:rsidRPr="004E053C">
        <w:rPr>
          <w:rFonts w:asciiTheme="minorHAnsi" w:eastAsia="Times New Roman" w:hAnsiTheme="minorHAnsi" w:cstheme="majorHAnsi"/>
          <w:sz w:val="22"/>
          <w:szCs w:val="22"/>
        </w:rPr>
        <w:t xml:space="preserve">. </w:t>
      </w:r>
      <w:r w:rsidRPr="004E053C">
        <w:rPr>
          <w:rFonts w:asciiTheme="minorHAnsi" w:hAnsiTheme="minorHAnsi" w:cstheme="majorHAnsi"/>
          <w:sz w:val="22"/>
          <w:szCs w:val="22"/>
        </w:rPr>
        <w:t>The result ha</w:t>
      </w:r>
      <w:r w:rsidR="00907662" w:rsidRPr="004E053C">
        <w:rPr>
          <w:rFonts w:asciiTheme="minorHAnsi" w:hAnsiTheme="minorHAnsi" w:cstheme="majorHAnsi"/>
          <w:sz w:val="22"/>
          <w:szCs w:val="22"/>
        </w:rPr>
        <w:t>s been to effectively criminalis</w:t>
      </w:r>
      <w:r w:rsidRPr="004E053C">
        <w:rPr>
          <w:rFonts w:asciiTheme="minorHAnsi" w:hAnsiTheme="minorHAnsi" w:cstheme="majorHAnsi"/>
          <w:sz w:val="22"/>
          <w:szCs w:val="22"/>
        </w:rPr>
        <w:t xml:space="preserve">e all of the miners in Madre de Dios. </w:t>
      </w:r>
    </w:p>
    <w:p w14:paraId="3E1F50D9" w14:textId="77777777" w:rsidR="00D51819" w:rsidRPr="004E053C" w:rsidRDefault="00D51819" w:rsidP="004E053C">
      <w:pPr>
        <w:pStyle w:val="NormalWeb"/>
        <w:spacing w:before="0" w:beforeAutospacing="0" w:after="0" w:afterAutospacing="0" w:line="360" w:lineRule="auto"/>
        <w:jc w:val="both"/>
        <w:rPr>
          <w:rFonts w:asciiTheme="minorHAnsi" w:eastAsia="Times New Roman" w:hAnsiTheme="minorHAnsi" w:cstheme="majorHAnsi"/>
          <w:sz w:val="22"/>
          <w:szCs w:val="22"/>
          <w:highlight w:val="yellow"/>
        </w:rPr>
      </w:pPr>
    </w:p>
    <w:p w14:paraId="057F7DEB" w14:textId="6CF97406"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As we have seen in the previous sections, the miners in Laberinto tend to blame the more re</w:t>
      </w:r>
      <w:r w:rsidR="00907662" w:rsidRPr="004E053C">
        <w:rPr>
          <w:rFonts w:cstheme="majorHAnsi"/>
          <w:sz w:val="22"/>
          <w:szCs w:val="22"/>
          <w:lang w:val="en-GB"/>
        </w:rPr>
        <w:t xml:space="preserve">cent migrants, </w:t>
      </w:r>
      <w:r w:rsidRPr="004E053C">
        <w:rPr>
          <w:rFonts w:cstheme="majorHAnsi"/>
          <w:sz w:val="22"/>
          <w:szCs w:val="22"/>
          <w:lang w:val="en-GB"/>
        </w:rPr>
        <w:t xml:space="preserve">particularly those that are more transient and/or based in La </w:t>
      </w:r>
      <w:r w:rsidR="00F6233C" w:rsidRPr="004E053C">
        <w:rPr>
          <w:rFonts w:cstheme="majorHAnsi"/>
          <w:sz w:val="22"/>
          <w:szCs w:val="22"/>
          <w:lang w:val="en-GB"/>
        </w:rPr>
        <w:t>Pampa, for the government crack</w:t>
      </w:r>
      <w:r w:rsidRPr="004E053C">
        <w:rPr>
          <w:rFonts w:cstheme="majorHAnsi"/>
          <w:sz w:val="22"/>
          <w:szCs w:val="22"/>
          <w:lang w:val="en-GB"/>
        </w:rPr>
        <w:t xml:space="preserve">downs. </w:t>
      </w:r>
      <w:r w:rsidRPr="004E053C">
        <w:rPr>
          <w:rFonts w:eastAsia="Times New Roman" w:cstheme="majorHAnsi"/>
          <w:sz w:val="22"/>
          <w:szCs w:val="22"/>
          <w:lang w:val="en-GB"/>
        </w:rPr>
        <w:t xml:space="preserve">Problems have arisen because the miners feel persecuted by the Government, who they believe are unfairly characterising them as illegal miners. As the miners working inside the mining corridor do not see themselves as being illegal, </w:t>
      </w:r>
      <w:r w:rsidR="00907662" w:rsidRPr="004E053C">
        <w:rPr>
          <w:rFonts w:eastAsia="Times New Roman" w:cstheme="majorHAnsi"/>
          <w:sz w:val="22"/>
          <w:szCs w:val="22"/>
          <w:lang w:val="en-GB"/>
        </w:rPr>
        <w:t>they do not understand why the G</w:t>
      </w:r>
      <w:r w:rsidRPr="004E053C">
        <w:rPr>
          <w:rFonts w:eastAsia="Times New Roman" w:cstheme="majorHAnsi"/>
          <w:sz w:val="22"/>
          <w:szCs w:val="22"/>
          <w:lang w:val="en-GB"/>
        </w:rPr>
        <w:t xml:space="preserve">overnment is treating them the same as those who mine outside of the mining corridor. This has created a scenario where the miners felt compelled to come together and fight for their rights and interests. This has been in the form of protests, which have frequently turned violent, but has also involved campaigning for candidates in the municipality and regional elections that they believed would protect their interests (the candidates were either miners or ex-miners): </w:t>
      </w:r>
    </w:p>
    <w:p w14:paraId="070E5C3E" w14:textId="77777777" w:rsidR="00B53FA8" w:rsidRPr="004E053C" w:rsidRDefault="00B53FA8" w:rsidP="004E053C">
      <w:pPr>
        <w:spacing w:line="360" w:lineRule="auto"/>
        <w:jc w:val="both"/>
        <w:rPr>
          <w:rFonts w:eastAsia="Times New Roman" w:cstheme="majorHAnsi"/>
          <w:sz w:val="22"/>
          <w:szCs w:val="22"/>
          <w:lang w:val="en-GB"/>
        </w:rPr>
      </w:pPr>
    </w:p>
    <w:p w14:paraId="4CF56F05" w14:textId="536BC68C" w:rsidR="00B53FA8" w:rsidRPr="004E053C" w:rsidRDefault="00B53FA8"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‘If…we get more oppression, we will march in the street without clothes to protest, as we are desperate. We are going to protest and the protest is going to be without clothes and that’s the only thing we can do. We don’t want any more laws’</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Benito</w:t>
      </w:r>
      <w:r w:rsidRPr="004E053C">
        <w:rPr>
          <w:rFonts w:eastAsia="Times New Roman" w:cstheme="majorHAnsi"/>
          <w:sz w:val="22"/>
          <w:szCs w:val="22"/>
          <w:lang w:val="en-GB"/>
        </w:rPr>
        <w:t xml:space="preserve">, ASM Miner, Laberinto). </w:t>
      </w:r>
    </w:p>
    <w:p w14:paraId="7EB0EB01" w14:textId="77777777" w:rsidR="00B53FA8" w:rsidRPr="004E053C" w:rsidRDefault="00B53FA8" w:rsidP="004E053C">
      <w:pPr>
        <w:spacing w:line="360" w:lineRule="auto"/>
        <w:jc w:val="both"/>
        <w:rPr>
          <w:rFonts w:eastAsia="Times New Roman" w:cstheme="majorHAnsi"/>
          <w:sz w:val="22"/>
          <w:szCs w:val="22"/>
          <w:lang w:val="en-GB"/>
        </w:rPr>
      </w:pPr>
    </w:p>
    <w:p w14:paraId="64347D8C" w14:textId="48D84621" w:rsidR="00B53FA8" w:rsidRPr="004E053C" w:rsidRDefault="00B53FA8"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It was not clear why </w:t>
      </w:r>
      <w:r w:rsidR="00EA7F80" w:rsidRPr="004E053C">
        <w:rPr>
          <w:rFonts w:eastAsia="Times New Roman" w:cstheme="majorHAnsi"/>
          <w:sz w:val="22"/>
          <w:szCs w:val="22"/>
          <w:lang w:val="en-GB"/>
        </w:rPr>
        <w:t>Benito</w:t>
      </w:r>
      <w:r w:rsidRPr="004E053C">
        <w:rPr>
          <w:rFonts w:eastAsia="Times New Roman" w:cstheme="majorHAnsi"/>
          <w:sz w:val="22"/>
          <w:szCs w:val="22"/>
          <w:lang w:val="en-GB"/>
        </w:rPr>
        <w:t xml:space="preserve"> thought that a naked protest would </w:t>
      </w:r>
      <w:r w:rsidR="00907662" w:rsidRPr="004E053C">
        <w:rPr>
          <w:rFonts w:eastAsia="Times New Roman" w:cstheme="majorHAnsi"/>
          <w:sz w:val="22"/>
          <w:szCs w:val="22"/>
          <w:lang w:val="en-GB"/>
        </w:rPr>
        <w:t>be effective at convincing the G</w:t>
      </w:r>
      <w:r w:rsidRPr="004E053C">
        <w:rPr>
          <w:rFonts w:eastAsia="Times New Roman" w:cstheme="majorHAnsi"/>
          <w:sz w:val="22"/>
          <w:szCs w:val="22"/>
          <w:lang w:val="en-GB"/>
        </w:rPr>
        <w:t>overnment to allow them to continue their mining activities, but his comments do highlight the commitment that the permanent residents have to their cause. Meanwhile, the</w:t>
      </w:r>
      <w:r w:rsidRPr="004E053C">
        <w:rPr>
          <w:rFonts w:cstheme="majorHAnsi"/>
          <w:sz w:val="22"/>
          <w:szCs w:val="22"/>
          <w:lang w:val="en-GB"/>
        </w:rPr>
        <w:t xml:space="preserve"> temporary/floating miners have</w:t>
      </w:r>
      <w:r w:rsidR="00907662" w:rsidRPr="004E053C">
        <w:rPr>
          <w:rFonts w:cstheme="majorHAnsi"/>
          <w:sz w:val="22"/>
          <w:szCs w:val="22"/>
          <w:lang w:val="en-GB"/>
        </w:rPr>
        <w:t xml:space="preserve"> less interest in fighting the G</w:t>
      </w:r>
      <w:r w:rsidRPr="004E053C">
        <w:rPr>
          <w:rFonts w:cstheme="majorHAnsi"/>
          <w:sz w:val="22"/>
          <w:szCs w:val="22"/>
          <w:lang w:val="en-GB"/>
        </w:rPr>
        <w:t>overnment to protect permanent interests. Thus, it seems that the translocality of ASM livelihoods and the resulting transience of many Laberinto residents undermines collective acts of r</w:t>
      </w:r>
      <w:r w:rsidR="00907662" w:rsidRPr="004E053C">
        <w:rPr>
          <w:rFonts w:cstheme="majorHAnsi"/>
          <w:sz w:val="22"/>
          <w:szCs w:val="22"/>
          <w:lang w:val="en-GB"/>
        </w:rPr>
        <w:t xml:space="preserve">esistance against the state, which </w:t>
      </w:r>
      <w:r w:rsidRPr="004E053C">
        <w:rPr>
          <w:rFonts w:cstheme="majorHAnsi"/>
          <w:sz w:val="22"/>
          <w:szCs w:val="22"/>
          <w:lang w:val="en-GB"/>
        </w:rPr>
        <w:t>has not gone unnoticed by the town’s permanent residents:</w:t>
      </w:r>
    </w:p>
    <w:p w14:paraId="4CC14B2F" w14:textId="77777777" w:rsidR="00B53FA8" w:rsidRPr="004E053C" w:rsidRDefault="00B53FA8" w:rsidP="004E053C">
      <w:pPr>
        <w:spacing w:line="360" w:lineRule="auto"/>
        <w:jc w:val="both"/>
        <w:rPr>
          <w:rFonts w:eastAsia="Times New Roman" w:cstheme="majorHAnsi"/>
          <w:sz w:val="22"/>
          <w:szCs w:val="22"/>
          <w:lang w:val="en-GB"/>
        </w:rPr>
      </w:pPr>
    </w:p>
    <w:p w14:paraId="2E6E366C" w14:textId="3C3787D8" w:rsidR="00B53FA8" w:rsidRPr="004E053C" w:rsidRDefault="00B53FA8"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‘I get angry when the new people don’t help when we are fighting for some</w:t>
      </w:r>
      <w:r w:rsidR="00907662" w:rsidRPr="004E053C">
        <w:rPr>
          <w:rFonts w:eastAsia="Times New Roman" w:cstheme="majorHAnsi"/>
          <w:i/>
          <w:sz w:val="22"/>
          <w:szCs w:val="22"/>
          <w:lang w:val="en-GB"/>
        </w:rPr>
        <w:t>thing important. When we organis</w:t>
      </w:r>
      <w:r w:rsidRPr="004E053C">
        <w:rPr>
          <w:rFonts w:eastAsia="Times New Roman" w:cstheme="majorHAnsi"/>
          <w:i/>
          <w:sz w:val="22"/>
          <w:szCs w:val="22"/>
          <w:lang w:val="en-GB"/>
        </w:rPr>
        <w:t>e to do something against the government the other people don’t help. These foreign people that come here, they are here in the good moments but they are not here in the bad moments. That makes me really angry, because I am young and I know they can do better than this</w:t>
      </w:r>
      <w:r w:rsidRPr="004E053C">
        <w:rPr>
          <w:rFonts w:eastAsia="Times New Roman" w:cstheme="majorHAnsi"/>
          <w:sz w:val="22"/>
          <w:szCs w:val="22"/>
          <w:lang w:val="en-GB"/>
        </w:rPr>
        <w:t>’ (</w:t>
      </w:r>
      <w:r w:rsidR="00EA7F80" w:rsidRPr="004E053C">
        <w:rPr>
          <w:rFonts w:eastAsia="Times New Roman" w:cstheme="majorHAnsi"/>
          <w:sz w:val="22"/>
          <w:szCs w:val="22"/>
          <w:lang w:val="en-GB"/>
        </w:rPr>
        <w:t>Andres</w:t>
      </w:r>
      <w:r w:rsidRPr="004E053C">
        <w:rPr>
          <w:rFonts w:eastAsia="Times New Roman" w:cstheme="majorHAnsi"/>
          <w:sz w:val="22"/>
          <w:szCs w:val="22"/>
          <w:lang w:val="en-GB"/>
        </w:rPr>
        <w:t>, ASM miner, Laberinto).</w:t>
      </w:r>
    </w:p>
    <w:p w14:paraId="552A99BC" w14:textId="77777777" w:rsidR="00B53FA8" w:rsidRPr="004E053C" w:rsidRDefault="00B53FA8" w:rsidP="004E053C">
      <w:pPr>
        <w:jc w:val="both"/>
        <w:rPr>
          <w:rFonts w:eastAsia="Times New Roman" w:cstheme="majorHAnsi"/>
          <w:sz w:val="22"/>
          <w:szCs w:val="22"/>
          <w:lang w:val="en-GB"/>
        </w:rPr>
      </w:pPr>
    </w:p>
    <w:p w14:paraId="5E58AC98" w14:textId="0B39BF07" w:rsidR="00B53FA8" w:rsidRPr="004E053C" w:rsidRDefault="00B53FA8"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‘People don’t have the community spirit. They don’t care about the community, they care about themselves, so they are just protecting their own jobs. And that’s the problem</w:t>
      </w:r>
      <w:r w:rsidRPr="004E053C">
        <w:rPr>
          <w:rFonts w:eastAsia="Times New Roman" w:cstheme="majorHAnsi"/>
          <w:sz w:val="22"/>
          <w:szCs w:val="22"/>
          <w:lang w:val="en-GB"/>
        </w:rPr>
        <w:t>’ (</w:t>
      </w:r>
      <w:r w:rsidR="00EA7F80" w:rsidRPr="004E053C">
        <w:rPr>
          <w:rFonts w:eastAsia="Times New Roman" w:cstheme="majorHAnsi"/>
          <w:sz w:val="22"/>
          <w:szCs w:val="22"/>
          <w:lang w:val="en-GB"/>
        </w:rPr>
        <w:t>Alejandro</w:t>
      </w:r>
      <w:r w:rsidRPr="004E053C">
        <w:rPr>
          <w:rFonts w:eastAsia="Times New Roman" w:cstheme="majorHAnsi"/>
          <w:sz w:val="22"/>
          <w:szCs w:val="22"/>
          <w:lang w:val="en-GB"/>
        </w:rPr>
        <w:t>, ASM miner, Laberinto).</w:t>
      </w:r>
    </w:p>
    <w:p w14:paraId="0AE22142" w14:textId="77777777" w:rsidR="00B53FA8" w:rsidRPr="004E053C" w:rsidRDefault="00B53FA8" w:rsidP="004E053C">
      <w:pPr>
        <w:jc w:val="both"/>
        <w:rPr>
          <w:rFonts w:eastAsia="Times New Roman" w:cstheme="majorHAnsi"/>
          <w:sz w:val="22"/>
          <w:szCs w:val="22"/>
          <w:lang w:val="en-GB"/>
        </w:rPr>
      </w:pPr>
    </w:p>
    <w:p w14:paraId="202292E2" w14:textId="4DC952F0" w:rsidR="00B53FA8" w:rsidRPr="004E053C" w:rsidRDefault="00B53FA8"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‘There are also a lot of people that don’t stay, they only come for those jobs and then they return to their homes. That’s a problem, because when we want to protest to the government, those people who are not from here and don’t have ID here and don’t care about the town, they don’t participate or contr</w:t>
      </w:r>
      <w:r w:rsidR="00907662" w:rsidRPr="004E053C">
        <w:rPr>
          <w:rFonts w:eastAsia="Times New Roman" w:cstheme="majorHAnsi"/>
          <w:i/>
          <w:sz w:val="22"/>
          <w:szCs w:val="22"/>
          <w:lang w:val="en-GB"/>
        </w:rPr>
        <w:t>ibute. When we complain to the G</w:t>
      </w:r>
      <w:r w:rsidRPr="004E053C">
        <w:rPr>
          <w:rFonts w:eastAsia="Times New Roman" w:cstheme="majorHAnsi"/>
          <w:i/>
          <w:sz w:val="22"/>
          <w:szCs w:val="22"/>
          <w:lang w:val="en-GB"/>
        </w:rPr>
        <w:t>overnment, they disappear. When everything is fine, they appear</w:t>
      </w:r>
      <w:r w:rsidRPr="004E053C">
        <w:rPr>
          <w:rFonts w:eastAsia="Times New Roman" w:cstheme="majorHAnsi"/>
          <w:sz w:val="22"/>
          <w:szCs w:val="22"/>
          <w:lang w:val="en-GB"/>
        </w:rPr>
        <w:t>’ (</w:t>
      </w:r>
      <w:r w:rsidR="00EA7F80" w:rsidRPr="004E053C">
        <w:rPr>
          <w:rFonts w:eastAsia="Times New Roman" w:cstheme="majorHAnsi"/>
          <w:sz w:val="22"/>
          <w:szCs w:val="22"/>
          <w:lang w:val="en-GB"/>
        </w:rPr>
        <w:t>Roberto</w:t>
      </w:r>
      <w:r w:rsidRPr="004E053C">
        <w:rPr>
          <w:rFonts w:eastAsia="Times New Roman" w:cstheme="majorHAnsi"/>
          <w:sz w:val="22"/>
          <w:szCs w:val="22"/>
          <w:lang w:val="en-GB"/>
        </w:rPr>
        <w:t>, ex-miner, Laberinto).</w:t>
      </w:r>
    </w:p>
    <w:p w14:paraId="69699A87" w14:textId="77777777" w:rsidR="00B53FA8" w:rsidRPr="004E053C" w:rsidRDefault="00B53FA8" w:rsidP="004E053C">
      <w:pPr>
        <w:spacing w:line="360" w:lineRule="auto"/>
        <w:jc w:val="both"/>
        <w:rPr>
          <w:rFonts w:eastAsia="Times New Roman" w:cstheme="majorHAnsi"/>
          <w:sz w:val="22"/>
          <w:szCs w:val="22"/>
          <w:lang w:val="en-GB"/>
        </w:rPr>
      </w:pPr>
    </w:p>
    <w:p w14:paraId="135A1040" w14:textId="1E09461B" w:rsidR="00B53FA8" w:rsidRPr="004E053C" w:rsidRDefault="00B53FA8"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These quotes highlight an important point about translocality, as while all three are permanent residents of Laberinto, </w:t>
      </w:r>
      <w:r w:rsidR="00EA7F80" w:rsidRPr="004E053C">
        <w:rPr>
          <w:rFonts w:eastAsia="Times New Roman" w:cstheme="majorHAnsi"/>
          <w:sz w:val="22"/>
          <w:szCs w:val="22"/>
          <w:lang w:val="en-GB"/>
        </w:rPr>
        <w:t>Roberto</w:t>
      </w:r>
      <w:r w:rsidRPr="004E053C">
        <w:rPr>
          <w:rFonts w:eastAsia="Times New Roman" w:cstheme="majorHAnsi"/>
          <w:sz w:val="22"/>
          <w:szCs w:val="22"/>
          <w:lang w:val="en-GB"/>
        </w:rPr>
        <w:t xml:space="preserve"> is a mechanic and is therefore not directly employed in ASM. For him, the distinction between who supports community action and who does not seems to be between temporary and permanent residents, rather than miner and non-miner:</w:t>
      </w:r>
    </w:p>
    <w:p w14:paraId="012E2D9D" w14:textId="77777777" w:rsidR="00B53FA8" w:rsidRPr="004E053C" w:rsidRDefault="00B53FA8" w:rsidP="004E053C">
      <w:pPr>
        <w:spacing w:line="360" w:lineRule="auto"/>
        <w:jc w:val="both"/>
        <w:rPr>
          <w:rFonts w:eastAsia="Times New Roman" w:cstheme="majorHAnsi"/>
          <w:sz w:val="22"/>
          <w:szCs w:val="22"/>
          <w:lang w:val="en-GB"/>
        </w:rPr>
      </w:pPr>
    </w:p>
    <w:p w14:paraId="639882A6" w14:textId="14F2F5E4" w:rsidR="00B53FA8" w:rsidRPr="004E053C" w:rsidRDefault="00B53FA8"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‘When the</w:t>
      </w:r>
      <w:r w:rsidR="00907662" w:rsidRPr="004E053C">
        <w:rPr>
          <w:rFonts w:eastAsia="Times New Roman" w:cstheme="majorHAnsi"/>
          <w:i/>
          <w:sz w:val="22"/>
          <w:szCs w:val="22"/>
          <w:lang w:val="en-GB"/>
        </w:rPr>
        <w:t>re are these problems with the G</w:t>
      </w:r>
      <w:r w:rsidRPr="004E053C">
        <w:rPr>
          <w:rFonts w:eastAsia="Times New Roman" w:cstheme="majorHAnsi"/>
          <w:i/>
          <w:sz w:val="22"/>
          <w:szCs w:val="22"/>
          <w:lang w:val="en-GB"/>
        </w:rPr>
        <w:t>overnment, the people that don’t have families or land here, they don’t support us. Only the people who have settled here fi</w:t>
      </w:r>
      <w:r w:rsidR="00907662" w:rsidRPr="004E053C">
        <w:rPr>
          <w:rFonts w:eastAsia="Times New Roman" w:cstheme="majorHAnsi"/>
          <w:i/>
          <w:sz w:val="22"/>
          <w:szCs w:val="22"/>
          <w:lang w:val="en-GB"/>
        </w:rPr>
        <w:t>ght against the G</w:t>
      </w:r>
      <w:r w:rsidRPr="004E053C">
        <w:rPr>
          <w:rFonts w:eastAsia="Times New Roman" w:cstheme="majorHAnsi"/>
          <w:i/>
          <w:sz w:val="22"/>
          <w:szCs w:val="22"/>
          <w:lang w:val="en-GB"/>
        </w:rPr>
        <w:t>overnment</w:t>
      </w:r>
      <w:r w:rsidRPr="004E053C">
        <w:rPr>
          <w:rFonts w:eastAsia="Times New Roman" w:cstheme="majorHAnsi"/>
          <w:sz w:val="22"/>
          <w:szCs w:val="22"/>
          <w:lang w:val="en-GB"/>
        </w:rPr>
        <w:t>’ (</w:t>
      </w:r>
      <w:r w:rsidR="00EA7F80" w:rsidRPr="004E053C">
        <w:rPr>
          <w:rFonts w:eastAsia="Times New Roman" w:cstheme="majorHAnsi"/>
          <w:sz w:val="22"/>
          <w:szCs w:val="22"/>
          <w:lang w:val="en-GB"/>
        </w:rPr>
        <w:t>Roberto</w:t>
      </w:r>
      <w:r w:rsidRPr="004E053C">
        <w:rPr>
          <w:rFonts w:eastAsia="Times New Roman" w:cstheme="majorHAnsi"/>
          <w:sz w:val="22"/>
          <w:szCs w:val="22"/>
          <w:lang w:val="en-GB"/>
        </w:rPr>
        <w:t xml:space="preserve">, ex-miner, Laberinto). </w:t>
      </w:r>
    </w:p>
    <w:p w14:paraId="6CD9175C" w14:textId="77777777" w:rsidR="00B53FA8" w:rsidRPr="004E053C" w:rsidRDefault="00B53FA8" w:rsidP="004E053C">
      <w:pPr>
        <w:spacing w:line="360" w:lineRule="auto"/>
        <w:jc w:val="both"/>
        <w:rPr>
          <w:rFonts w:eastAsia="Times New Roman" w:cstheme="majorHAnsi"/>
          <w:sz w:val="22"/>
          <w:szCs w:val="22"/>
          <w:lang w:val="en-GB"/>
        </w:rPr>
      </w:pPr>
    </w:p>
    <w:p w14:paraId="5F620FCB" w14:textId="50785F05" w:rsidR="00B53FA8"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Roberto</w:t>
      </w:r>
      <w:r w:rsidR="00B53FA8" w:rsidRPr="004E053C">
        <w:rPr>
          <w:rFonts w:eastAsia="Times New Roman" w:cstheme="majorHAnsi"/>
          <w:sz w:val="22"/>
          <w:szCs w:val="22"/>
          <w:lang w:val="en-GB"/>
        </w:rPr>
        <w:t>’s quote highlights how those people with livelihoods that are rooted in Laberinto are far more likely to engage politically than those following a more translocal mining livelihood, even t</w:t>
      </w:r>
      <w:r w:rsidR="00907662" w:rsidRPr="004E053C">
        <w:rPr>
          <w:rFonts w:eastAsia="Times New Roman" w:cstheme="majorHAnsi"/>
          <w:sz w:val="22"/>
          <w:szCs w:val="22"/>
          <w:lang w:val="en-GB"/>
        </w:rPr>
        <w:t>hough the G</w:t>
      </w:r>
      <w:r w:rsidR="00B53FA8" w:rsidRPr="004E053C">
        <w:rPr>
          <w:rFonts w:eastAsia="Times New Roman" w:cstheme="majorHAnsi"/>
          <w:sz w:val="22"/>
          <w:szCs w:val="22"/>
          <w:lang w:val="en-GB"/>
        </w:rPr>
        <w:t>overnment clampdowns specifically target ASM. This is due to the fact that the economic security of non-mining livelihoods is still very dependent on the existence of ASM, but also because of the threat the policy changes pose to everyday life in Laberinto. This is a clear distinction to obs</w:t>
      </w:r>
      <w:r w:rsidR="006A11DC" w:rsidRPr="004E053C">
        <w:rPr>
          <w:rFonts w:eastAsia="Times New Roman" w:cstheme="majorHAnsi"/>
          <w:sz w:val="22"/>
          <w:szCs w:val="22"/>
          <w:lang w:val="en-GB"/>
        </w:rPr>
        <w:t xml:space="preserve">ervations by Werthmann </w:t>
      </w:r>
      <w:r w:rsidR="006A11DC"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006A11DC" w:rsidRPr="004E053C">
        <w:rPr>
          <w:rFonts w:eastAsia="Times New Roman" w:cstheme="majorHAnsi"/>
          <w:sz w:val="22"/>
          <w:szCs w:val="22"/>
          <w:lang w:val="en-GB"/>
        </w:rPr>
        <w:fldChar w:fldCharType="separate"/>
      </w:r>
      <w:r w:rsidR="006A11DC" w:rsidRPr="004E053C">
        <w:rPr>
          <w:rFonts w:eastAsia="Times New Roman" w:cstheme="majorHAnsi"/>
          <w:noProof/>
          <w:sz w:val="22"/>
          <w:szCs w:val="22"/>
          <w:lang w:val="en-GB"/>
        </w:rPr>
        <w:t>(2010)</w:t>
      </w:r>
      <w:r w:rsidR="006A11DC" w:rsidRPr="004E053C">
        <w:rPr>
          <w:rFonts w:eastAsia="Times New Roman" w:cstheme="majorHAnsi"/>
          <w:sz w:val="22"/>
          <w:szCs w:val="22"/>
          <w:lang w:val="en-GB"/>
        </w:rPr>
        <w:fldChar w:fldCharType="end"/>
      </w:r>
      <w:r w:rsidR="00B53FA8" w:rsidRPr="004E053C">
        <w:rPr>
          <w:rFonts w:eastAsia="Times New Roman" w:cstheme="majorHAnsi"/>
          <w:sz w:val="22"/>
          <w:szCs w:val="22"/>
          <w:lang w:val="en-GB"/>
        </w:rPr>
        <w:t xml:space="preserve">, who highlighted a tendency for people in mining camps to differentiate themselves into socio-professional groupings. </w:t>
      </w:r>
    </w:p>
    <w:p w14:paraId="5004C3D3" w14:textId="77777777" w:rsidR="00B53FA8" w:rsidRPr="004E053C" w:rsidRDefault="00B53FA8" w:rsidP="004E053C">
      <w:pPr>
        <w:spacing w:line="360" w:lineRule="auto"/>
        <w:jc w:val="both"/>
        <w:rPr>
          <w:rFonts w:eastAsia="Times New Roman" w:cstheme="majorHAnsi"/>
          <w:sz w:val="22"/>
          <w:szCs w:val="22"/>
          <w:lang w:val="en-GB"/>
        </w:rPr>
      </w:pPr>
    </w:p>
    <w:p w14:paraId="61D950C3" w14:textId="56C88FBD" w:rsidR="00B53FA8" w:rsidRPr="004E053C" w:rsidRDefault="00B53FA8"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There are plenty of examples of non-miners becoming involved in th</w:t>
      </w:r>
      <w:r w:rsidR="00907662" w:rsidRPr="004E053C">
        <w:rPr>
          <w:rFonts w:eastAsia="Times New Roman" w:cstheme="majorHAnsi"/>
          <w:sz w:val="22"/>
          <w:szCs w:val="22"/>
          <w:lang w:val="en-GB"/>
        </w:rPr>
        <w:t>e political situation with the G</w:t>
      </w:r>
      <w:r w:rsidRPr="004E053C">
        <w:rPr>
          <w:rFonts w:eastAsia="Times New Roman" w:cstheme="majorHAnsi"/>
          <w:sz w:val="22"/>
          <w:szCs w:val="22"/>
          <w:lang w:val="en-GB"/>
        </w:rPr>
        <w:t xml:space="preserve">overnment. For example, non-mining community members worked with miners to negotiate with police against the bribes they were demanding to allow transportation of oil on the rivers. Here the desire for a sustainable livelihood enabled a common goal to emerge amongst the people who used the port. Two women, both of whom were married to permanent miners, discussed how they had become actively involved in the strike. </w:t>
      </w:r>
    </w:p>
    <w:p w14:paraId="68FC443F" w14:textId="77777777" w:rsidR="00B53FA8" w:rsidRPr="004E053C" w:rsidRDefault="00B53FA8" w:rsidP="004E053C">
      <w:pPr>
        <w:jc w:val="both"/>
        <w:rPr>
          <w:rFonts w:eastAsia="Times New Roman" w:cstheme="majorHAnsi"/>
          <w:sz w:val="22"/>
          <w:szCs w:val="22"/>
          <w:lang w:val="en-GB"/>
        </w:rPr>
      </w:pPr>
    </w:p>
    <w:p w14:paraId="30D304F2" w14:textId="133CE8B9"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The community support the miners, because without the miners we wouldn’t have anything…They get support from the community during the strike in Puerto Maldonado. Everyone goes with them when they strike’</w:t>
      </w:r>
      <w:r w:rsidRPr="004E053C">
        <w:rPr>
          <w:rFonts w:cstheme="majorHAnsi"/>
          <w:sz w:val="22"/>
          <w:szCs w:val="22"/>
          <w:lang w:val="en-GB"/>
        </w:rPr>
        <w:t xml:space="preserve"> (</w:t>
      </w:r>
      <w:r w:rsidR="00B21FFD" w:rsidRPr="004E053C">
        <w:rPr>
          <w:rFonts w:cstheme="majorHAnsi"/>
          <w:sz w:val="22"/>
          <w:szCs w:val="22"/>
          <w:lang w:val="en-GB"/>
        </w:rPr>
        <w:t>Lorena</w:t>
      </w:r>
      <w:r w:rsidRPr="004E053C">
        <w:rPr>
          <w:rFonts w:cstheme="majorHAnsi"/>
          <w:sz w:val="22"/>
          <w:szCs w:val="22"/>
          <w:lang w:val="en-GB"/>
        </w:rPr>
        <w:t>, café worker</w:t>
      </w:r>
      <w:r w:rsidR="00D51819" w:rsidRPr="004E053C">
        <w:rPr>
          <w:rFonts w:cstheme="majorHAnsi"/>
          <w:sz w:val="22"/>
          <w:szCs w:val="22"/>
          <w:lang w:val="en-GB"/>
        </w:rPr>
        <w:t>, Laberinto</w:t>
      </w:r>
      <w:r w:rsidRPr="004E053C">
        <w:rPr>
          <w:rFonts w:cstheme="majorHAnsi"/>
          <w:sz w:val="22"/>
          <w:szCs w:val="22"/>
          <w:lang w:val="en-GB"/>
        </w:rPr>
        <w:t>).</w:t>
      </w:r>
    </w:p>
    <w:p w14:paraId="2A718C82" w14:textId="77777777" w:rsidR="00B53FA8" w:rsidRPr="004E053C" w:rsidRDefault="00B53FA8" w:rsidP="004E053C">
      <w:pPr>
        <w:spacing w:line="360" w:lineRule="auto"/>
        <w:jc w:val="both"/>
        <w:rPr>
          <w:rFonts w:cstheme="majorHAnsi"/>
          <w:sz w:val="22"/>
          <w:szCs w:val="22"/>
          <w:lang w:val="en-GB"/>
        </w:rPr>
      </w:pPr>
    </w:p>
    <w:p w14:paraId="612833D6" w14:textId="77777777"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These women who saw Laberinto as their permanent home knew that their own economic security and the survival of the community was dependent on the ability of ASM to continue. This also highlights how by broadening the analysis to include those working indirectly in ASM, the role of women in mining communities is included in the analysis. </w:t>
      </w:r>
    </w:p>
    <w:p w14:paraId="5E598610" w14:textId="77777777" w:rsidR="00B53FA8" w:rsidRPr="004E053C" w:rsidRDefault="00B53FA8" w:rsidP="004E053C">
      <w:pPr>
        <w:spacing w:line="360" w:lineRule="auto"/>
        <w:jc w:val="both"/>
        <w:rPr>
          <w:rFonts w:cstheme="majorHAnsi"/>
          <w:sz w:val="22"/>
          <w:szCs w:val="22"/>
          <w:lang w:val="en-GB"/>
        </w:rPr>
      </w:pPr>
    </w:p>
    <w:p w14:paraId="2B78EE2D" w14:textId="77777777" w:rsidR="00B53FA8" w:rsidRPr="004E053C" w:rsidRDefault="00B53FA8" w:rsidP="004E053C">
      <w:pPr>
        <w:spacing w:line="360" w:lineRule="auto"/>
        <w:jc w:val="both"/>
        <w:rPr>
          <w:rFonts w:cstheme="majorHAnsi"/>
          <w:sz w:val="22"/>
          <w:szCs w:val="22"/>
          <w:lang w:val="en-GB"/>
        </w:rPr>
      </w:pPr>
      <w:r w:rsidRPr="004E053C">
        <w:rPr>
          <w:rFonts w:cstheme="majorHAnsi"/>
          <w:sz w:val="22"/>
          <w:szCs w:val="22"/>
          <w:lang w:val="en-GB"/>
        </w:rPr>
        <w:t xml:space="preserve">Meanwhile, the </w:t>
      </w:r>
      <w:r w:rsidRPr="004E053C">
        <w:rPr>
          <w:rFonts w:eastAsia="Times New Roman" w:cstheme="majorHAnsi"/>
          <w:sz w:val="22"/>
          <w:szCs w:val="22"/>
          <w:lang w:val="en-GB"/>
        </w:rPr>
        <w:t>transient lifestyle and diversified livelihood of temporary/floating miners means they are not as reliant on small changes to income and are able to move around if there are problems, either to La Pampa or even to the large mines in Puno such as La Rinconada.</w:t>
      </w:r>
      <w:r w:rsidRPr="004E053C">
        <w:rPr>
          <w:rFonts w:cstheme="majorHAnsi"/>
          <w:sz w:val="22"/>
          <w:szCs w:val="22"/>
          <w:lang w:val="en-GB"/>
        </w:rPr>
        <w:t xml:space="preserve"> As a result, they have less interest in engaging in the political strikes and protests. Some of the permanent miners reported that their </w:t>
      </w:r>
      <w:r w:rsidRPr="004E053C">
        <w:rPr>
          <w:rFonts w:cstheme="majorHAnsi"/>
          <w:i/>
          <w:sz w:val="22"/>
          <w:szCs w:val="22"/>
          <w:lang w:val="en-GB"/>
        </w:rPr>
        <w:t>obreros</w:t>
      </w:r>
      <w:r w:rsidRPr="004E053C">
        <w:rPr>
          <w:rFonts w:cstheme="majorHAnsi"/>
          <w:sz w:val="22"/>
          <w:szCs w:val="22"/>
          <w:lang w:val="en-GB"/>
        </w:rPr>
        <w:t xml:space="preserve"> often had to be paid to actively involve themselves in protests. Although they would end up getting involved in strike, they only did so when it started affecting their income:</w:t>
      </w:r>
    </w:p>
    <w:p w14:paraId="5956106F" w14:textId="77777777" w:rsidR="00B53FA8" w:rsidRPr="004E053C" w:rsidRDefault="00B53FA8" w:rsidP="004E053C">
      <w:pPr>
        <w:spacing w:line="360" w:lineRule="auto"/>
        <w:jc w:val="both"/>
        <w:rPr>
          <w:rFonts w:cstheme="majorHAnsi"/>
          <w:sz w:val="22"/>
          <w:szCs w:val="22"/>
          <w:lang w:val="en-GB"/>
        </w:rPr>
      </w:pPr>
    </w:p>
    <w:p w14:paraId="55C1553B" w14:textId="485710B8" w:rsidR="00B53FA8" w:rsidRPr="004E053C" w:rsidRDefault="00B53FA8"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They don</w:t>
      </w:r>
      <w:r w:rsidR="00907662" w:rsidRPr="004E053C">
        <w:rPr>
          <w:rFonts w:cstheme="majorHAnsi"/>
          <w:i/>
          <w:sz w:val="22"/>
          <w:szCs w:val="22"/>
          <w:lang w:val="en-GB"/>
        </w:rPr>
        <w:t xml:space="preserve">’t all get involved (in </w:t>
      </w:r>
      <w:r w:rsidRPr="004E053C">
        <w:rPr>
          <w:rFonts w:cstheme="majorHAnsi"/>
          <w:i/>
          <w:sz w:val="22"/>
          <w:szCs w:val="22"/>
          <w:lang w:val="en-GB"/>
        </w:rPr>
        <w:t>protests). Everybody works but the workers are not all involved in these processes. They’re free and they don’t have the same interest in the place</w:t>
      </w:r>
      <w:r w:rsidRPr="004E053C">
        <w:rPr>
          <w:rFonts w:cstheme="majorHAnsi"/>
          <w:sz w:val="22"/>
          <w:szCs w:val="22"/>
          <w:lang w:val="en-GB"/>
        </w:rPr>
        <w:t>…(but)…</w:t>
      </w:r>
      <w:r w:rsidRPr="004E053C">
        <w:rPr>
          <w:rFonts w:cstheme="majorHAnsi"/>
          <w:i/>
          <w:sz w:val="22"/>
          <w:szCs w:val="22"/>
          <w:lang w:val="en-GB"/>
        </w:rPr>
        <w:t>when there was a strike, the miners decided to go. They stopped the work and the obreros also started to pro</w:t>
      </w:r>
      <w:r w:rsidR="00907662" w:rsidRPr="004E053C">
        <w:rPr>
          <w:rFonts w:cstheme="majorHAnsi"/>
          <w:i/>
          <w:sz w:val="22"/>
          <w:szCs w:val="22"/>
          <w:lang w:val="en-GB"/>
        </w:rPr>
        <w:t>test, because they realis</w:t>
      </w:r>
      <w:r w:rsidRPr="004E053C">
        <w:rPr>
          <w:rFonts w:cstheme="majorHAnsi"/>
          <w:i/>
          <w:sz w:val="22"/>
          <w:szCs w:val="22"/>
          <w:lang w:val="en-GB"/>
        </w:rPr>
        <w:t>ed that they couldn’t work either</w:t>
      </w:r>
      <w:r w:rsidR="008C68C5" w:rsidRPr="004E053C">
        <w:rPr>
          <w:rFonts w:cstheme="majorHAnsi"/>
          <w:sz w:val="22"/>
          <w:szCs w:val="22"/>
          <w:lang w:val="en-GB"/>
        </w:rPr>
        <w:t>’ (Gustavo</w:t>
      </w:r>
      <w:r w:rsidRPr="004E053C">
        <w:rPr>
          <w:rFonts w:cstheme="majorHAnsi"/>
          <w:sz w:val="22"/>
          <w:szCs w:val="22"/>
          <w:lang w:val="en-GB"/>
        </w:rPr>
        <w:t>, ASM miner, near Laberinto).</w:t>
      </w:r>
    </w:p>
    <w:p w14:paraId="74EF8947" w14:textId="77777777" w:rsidR="00B53FA8" w:rsidRPr="004E053C" w:rsidRDefault="00B53FA8" w:rsidP="004E053C">
      <w:pPr>
        <w:spacing w:line="360" w:lineRule="auto"/>
        <w:jc w:val="both"/>
        <w:rPr>
          <w:rFonts w:eastAsia="Times New Roman" w:cstheme="majorHAnsi"/>
          <w:sz w:val="22"/>
          <w:szCs w:val="22"/>
          <w:lang w:val="en-GB"/>
        </w:rPr>
      </w:pPr>
    </w:p>
    <w:p w14:paraId="2472689F" w14:textId="3085269A" w:rsidR="00B53FA8" w:rsidRPr="004E053C" w:rsidRDefault="00B53FA8"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In the above quote, </w:t>
      </w:r>
      <w:r w:rsidR="00EA7F80" w:rsidRPr="004E053C">
        <w:rPr>
          <w:rFonts w:eastAsia="Times New Roman" w:cstheme="majorHAnsi"/>
          <w:sz w:val="22"/>
          <w:szCs w:val="22"/>
          <w:lang w:val="en-GB"/>
        </w:rPr>
        <w:t>Gustavo</w:t>
      </w:r>
      <w:r w:rsidRPr="004E053C">
        <w:rPr>
          <w:rFonts w:eastAsia="Times New Roman" w:cstheme="majorHAnsi"/>
          <w:sz w:val="22"/>
          <w:szCs w:val="22"/>
          <w:lang w:val="en-GB"/>
        </w:rPr>
        <w:t xml:space="preserve"> references the lack of interest the </w:t>
      </w:r>
      <w:r w:rsidRPr="004E053C">
        <w:rPr>
          <w:rFonts w:eastAsia="Times New Roman" w:cstheme="majorHAnsi"/>
          <w:i/>
          <w:iCs/>
          <w:sz w:val="22"/>
          <w:szCs w:val="22"/>
          <w:lang w:val="en-GB"/>
        </w:rPr>
        <w:t xml:space="preserve">obreros </w:t>
      </w:r>
      <w:r w:rsidRPr="004E053C">
        <w:rPr>
          <w:rFonts w:eastAsia="Times New Roman" w:cstheme="majorHAnsi"/>
          <w:sz w:val="22"/>
          <w:szCs w:val="22"/>
          <w:lang w:val="en-GB"/>
        </w:rPr>
        <w:t xml:space="preserve">have in the local area, highlighting how the translocality of the </w:t>
      </w:r>
      <w:r w:rsidRPr="004E053C">
        <w:rPr>
          <w:rFonts w:eastAsia="Times New Roman" w:cstheme="majorHAnsi"/>
          <w:i/>
          <w:iCs/>
          <w:sz w:val="22"/>
          <w:szCs w:val="22"/>
          <w:lang w:val="en-GB"/>
        </w:rPr>
        <w:t>obreros</w:t>
      </w:r>
      <w:r w:rsidRPr="004E053C">
        <w:rPr>
          <w:rFonts w:eastAsia="Times New Roman" w:cstheme="majorHAnsi"/>
          <w:sz w:val="22"/>
          <w:szCs w:val="22"/>
          <w:lang w:val="en-GB"/>
        </w:rPr>
        <w:t xml:space="preserve"> in particular means they have a diminished sense of place and feel no responsibility towards the community. This ambivalence is reflected in some of the views of the temporary residents during the interviews. For example, </w:t>
      </w:r>
      <w:r w:rsidR="001B115B" w:rsidRPr="004E053C">
        <w:rPr>
          <w:rFonts w:eastAsia="Times New Roman" w:cstheme="majorHAnsi"/>
          <w:sz w:val="22"/>
          <w:szCs w:val="22"/>
          <w:lang w:val="en-GB"/>
        </w:rPr>
        <w:t>Yara</w:t>
      </w:r>
      <w:r w:rsidRPr="004E053C">
        <w:rPr>
          <w:rFonts w:eastAsia="Times New Roman" w:cstheme="majorHAnsi"/>
          <w:sz w:val="22"/>
          <w:szCs w:val="22"/>
          <w:lang w:val="en-GB"/>
        </w:rPr>
        <w:t xml:space="preserve"> dismissed the possibility of staying in Laberinto long-term given the current situation with the government, claiming ‘</w:t>
      </w:r>
      <w:r w:rsidRPr="004E053C">
        <w:rPr>
          <w:rFonts w:eastAsia="Times New Roman" w:cstheme="majorHAnsi"/>
          <w:i/>
          <w:sz w:val="22"/>
          <w:szCs w:val="22"/>
          <w:lang w:val="en-GB"/>
        </w:rPr>
        <w:t>the community was</w:t>
      </w:r>
      <w:r w:rsidR="00907662" w:rsidRPr="004E053C">
        <w:rPr>
          <w:rFonts w:eastAsia="Times New Roman" w:cstheme="majorHAnsi"/>
          <w:i/>
          <w:sz w:val="22"/>
          <w:szCs w:val="22"/>
          <w:lang w:val="en-GB"/>
        </w:rPr>
        <w:t>n’t going to fight against the G</w:t>
      </w:r>
      <w:r w:rsidRPr="004E053C">
        <w:rPr>
          <w:rFonts w:eastAsia="Times New Roman" w:cstheme="majorHAnsi"/>
          <w:i/>
          <w:sz w:val="22"/>
          <w:szCs w:val="22"/>
          <w:lang w:val="en-GB"/>
        </w:rPr>
        <w:t>overnment</w:t>
      </w:r>
      <w:r w:rsidR="00907662" w:rsidRPr="004E053C">
        <w:rPr>
          <w:rFonts w:eastAsia="Times New Roman" w:cstheme="majorHAnsi"/>
          <w:sz w:val="22"/>
          <w:szCs w:val="22"/>
          <w:lang w:val="en-GB"/>
        </w:rPr>
        <w:t xml:space="preserve">’. She </w:t>
      </w:r>
      <w:r w:rsidRPr="004E053C">
        <w:rPr>
          <w:rFonts w:eastAsia="Times New Roman" w:cstheme="majorHAnsi"/>
          <w:sz w:val="22"/>
          <w:szCs w:val="22"/>
          <w:lang w:val="en-GB"/>
        </w:rPr>
        <w:t>said her and her husband would just go to work in Arequipa if things became difficult. Some of the other temporary miners either did not seem intere</w:t>
      </w:r>
      <w:r w:rsidR="00907662" w:rsidRPr="004E053C">
        <w:rPr>
          <w:rFonts w:eastAsia="Times New Roman" w:cstheme="majorHAnsi"/>
          <w:sz w:val="22"/>
          <w:szCs w:val="22"/>
          <w:lang w:val="en-GB"/>
        </w:rPr>
        <w:t>sted in the situation with the G</w:t>
      </w:r>
      <w:r w:rsidRPr="004E053C">
        <w:rPr>
          <w:rFonts w:eastAsia="Times New Roman" w:cstheme="majorHAnsi"/>
          <w:sz w:val="22"/>
          <w:szCs w:val="22"/>
          <w:lang w:val="en-GB"/>
        </w:rPr>
        <w:t xml:space="preserve">overnment or were unaware of it. Thus, </w:t>
      </w:r>
      <w:r w:rsidR="00907662" w:rsidRPr="004E053C">
        <w:rPr>
          <w:rFonts w:cstheme="majorHAnsi"/>
          <w:sz w:val="22"/>
          <w:szCs w:val="22"/>
          <w:lang w:val="en-GB"/>
        </w:rPr>
        <w:t>the current situation with the G</w:t>
      </w:r>
      <w:r w:rsidRPr="004E053C">
        <w:rPr>
          <w:rFonts w:cstheme="majorHAnsi"/>
          <w:sz w:val="22"/>
          <w:szCs w:val="22"/>
          <w:lang w:val="en-GB"/>
        </w:rPr>
        <w:t xml:space="preserve">overnment provides an interesting lens for viewing the community dynamics that have developed as a result of people following different livelihood trajectories. </w:t>
      </w:r>
    </w:p>
    <w:p w14:paraId="5424711B" w14:textId="77777777" w:rsidR="00B53FA8" w:rsidRPr="004E053C" w:rsidRDefault="00B53FA8" w:rsidP="004E053C">
      <w:pPr>
        <w:spacing w:line="360" w:lineRule="auto"/>
        <w:jc w:val="both"/>
        <w:rPr>
          <w:rFonts w:cstheme="majorHAnsi"/>
          <w:sz w:val="22"/>
          <w:szCs w:val="22"/>
          <w:lang w:val="en-GB"/>
        </w:rPr>
      </w:pPr>
    </w:p>
    <w:p w14:paraId="1D5F2D7E" w14:textId="77777777" w:rsidR="00EA7F83" w:rsidRPr="004E053C" w:rsidRDefault="00EA7F83" w:rsidP="004E053C">
      <w:pPr>
        <w:pStyle w:val="Heading2"/>
        <w:spacing w:before="0" w:line="360" w:lineRule="auto"/>
        <w:jc w:val="both"/>
        <w:rPr>
          <w:rFonts w:cstheme="majorHAnsi"/>
          <w:bCs/>
          <w:lang w:val="en-GB"/>
        </w:rPr>
      </w:pPr>
      <w:bookmarkStart w:id="99" w:name="_Toc424671916"/>
      <w:bookmarkStart w:id="100" w:name="_Toc33293126"/>
      <w:r w:rsidRPr="004E053C">
        <w:rPr>
          <w:rFonts w:cstheme="majorHAnsi"/>
          <w:bCs/>
          <w:lang w:val="en-GB"/>
        </w:rPr>
        <w:t xml:space="preserve">8.5. </w:t>
      </w:r>
      <w:bookmarkEnd w:id="99"/>
      <w:r w:rsidRPr="004E053C">
        <w:rPr>
          <w:rFonts w:cstheme="majorHAnsi"/>
          <w:bCs/>
          <w:lang w:val="en-GB"/>
        </w:rPr>
        <w:t>Summary</w:t>
      </w:r>
      <w:bookmarkEnd w:id="100"/>
    </w:p>
    <w:p w14:paraId="6760FB82" w14:textId="77777777" w:rsidR="00EA7F83" w:rsidRPr="004E053C" w:rsidRDefault="00EA7F83" w:rsidP="004E053C">
      <w:pPr>
        <w:spacing w:line="360" w:lineRule="auto"/>
        <w:jc w:val="both"/>
        <w:rPr>
          <w:rFonts w:cstheme="majorHAnsi"/>
          <w:b/>
          <w:sz w:val="22"/>
          <w:szCs w:val="22"/>
          <w:lang w:val="en-GB"/>
        </w:rPr>
      </w:pPr>
    </w:p>
    <w:p w14:paraId="0E9DA809" w14:textId="3D3B8B96" w:rsidR="00EA7F83" w:rsidRPr="004E053C" w:rsidRDefault="00EA7F83"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lastRenderedPageBreak/>
        <w:t xml:space="preserve">Like transnationalism, translocality is defined by an individual’s simultaneous embeddedness in multiple locations. However, as we know that the agents within a given social field occupy very different positions </w:t>
      </w:r>
      <w:r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{"citationItems":[{"id":"ITEM-1","itemData":{"author":[{"dropping-particle":"","family":"Bourdieu","given":"Pierre","non-dropping-particle":"","parse-names":false,"suffix":""}],"id":"ITEM-1","issued":{"date-parts":[["1977"]]},"publisher":"Cambridge University Press","publisher-place":"Cambridge","title":"Outline of a Theory of Practice","type":"book"},"uris":["http://www.mendeley.com/documents/?uuid=8266da53-3861-3711-81ba-d99179335688"]},{"id":"ITEM-2","itemData":{"author":[{"dropping-particle":"","family":"Bourdieu","given":"Pierre","non-dropping-particle":"","parse-names":false,"suffix":""}],"chapter-number":"1","container-title":"Handbook of Theory and Research for the Sociology of Education","editor":[{"dropping-particle":"","family":"Richardson","given":"John G","non-dropping-particle":"","parse-names":false,"suffix":""}],"id":"ITEM-2","issued":{"date-parts":[["1986"]]},"page":"241-258","publisher":"Greenwood Press","publisher-place":"New York, NY","title":"The Forms of Capital","type":"chapter"},"uris":["http://www.mendeley.com/documents/?uuid=40e1d66b-fde9-4b9c-8637-77ea98146e73"]},{"id":"ITEM-3","itemData":{"author":[{"dropping-particle":"","family":"Shammus","given":"Victor L","non-dropping-particle":"","parse-names":false,"suffix":""},{"dropping-particle":"","family":"Sandberg","given":"Sveinung","non-dropping-particle":"","parse-names":false,"suffix":""}],"container-title":"Criminology &amp; Criminal Justice","id":"ITEM-3","issue":"2","issued":{"date-parts":[["2016"]]},"page":"195-213","title":"Habitus, capital and conflict: bringing Bourdieusian field theory to criminoligy","type":"article-journal","volume":"16"},"uris":["http://www.mendeley.com/documents/?uuid=ee4a3f60-2227-491f-bc45-f9d879b301c5"]}],"mendeley":{"formattedCitation":"(Bourdieu, 1977, 1986; Shammus &amp; Sandberg, 2016)","plainTextFormattedCitation":"(Bourdieu, 1977, 1986; Shammus &amp; Sandberg, 2016)","previouslyFormattedCitation":"(Bourdieu, 1977, 1986; Shammus &amp; Sandberg, 2016)"},"properties":{"noteIndex":0},"schema":"https://github.com/citation-style-language/schema/raw/master/csl-citation.json"}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(Bourdieu, 1977, 1986; Shammus &amp; Sandberg, 2016)</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Thus, while an individual’s embeddedness can be conceived as existing on a spectrum, no two people will be embedded in either location to the same extent. Thus the positions they occupy within the translocal ASM community are not the same. Furthermore, the nature of ones’ embeddedness is dynamic and changes over time. While some may become rooted in a new location, others may move on, or return to a community of origin. As Walsh </w:t>
      </w:r>
      <w:r w:rsidRPr="004E053C">
        <w:rPr>
          <w:rFonts w:eastAsia="Times New Roman" w:cstheme="majorHAnsi"/>
          <w:sz w:val="22"/>
          <w:szCs w:val="22"/>
          <w:lang w:val="en-GB"/>
        </w:rPr>
        <w:fldChar w:fldCharType="begin" w:fldLock="1"/>
      </w:r>
      <w:r w:rsidRPr="004E053C">
        <w:rPr>
          <w:rFonts w:eastAsia="Times New Roman" w:cstheme="majorHAnsi"/>
          <w:sz w:val="22"/>
          <w:szCs w:val="22"/>
          <w:lang w:val="en-GB"/>
        </w:rPr>
        <w:instrText>ADDIN CSL_CITATION {"citationItems":[{"id":"ITEM-1","itemData":{"abstract":"On the basis of research conducted in the Ankarana region of northern Madagascar, I discuss the speculating that Malagasy participants in the local sapphire trade do about foreign ecotourists who come to this region. Although some have been promotinginternational ecotourism in the region as a viable means to a sustainable future for local people and ecosystems, others, including manyof the observers discussed here, see the rise of the ecotourist trade and the increasing presence of its clients in Ankarana as signs offoreigners’ long-standing interests in Malagasy resources. I argue that to understand the perspectives of these critical observers, it isnecessary to appreciate what they take to be obvious about ecotourism and the conservation projects with which they are commonlyassociated.","author":[{"dropping-particle":"","family":"Walsh","given":"Andrew","non-dropping-particle":"","parse-names":false,"suffix":""}],"container-title":"American Anthropologist","id":"ITEM-1","issue":"4","issued":{"date-parts":[["2005"]]},"page":"654-65","title":"The obvious aspects of ecological underprivilege in Ankarana, northern Madagascar","type":"article-journal","volume":"107"},"uris":["http://www.mendeley.com/documents/?uuid=b1011420-ef11-4ae1-9776-e53a04a17db3"]}],"mendeley":{"formattedCitation":"(Walsh, 2005)","manualFormatting":"(2005)","plainTextFormattedCitation":"(Walsh, 2005)","previouslyFormattedCitation":"(Walsh, 2005)"},"properties":{"noteIndex":0},"schema":"https://github.com/citation-style-language/schema/raw/master/csl-citation.json"}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(2005)</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observed in Madagascar, this means the rooted populatio</w:t>
      </w:r>
      <w:r w:rsidR="00130A52">
        <w:rPr>
          <w:rFonts w:eastAsia="Times New Roman" w:cstheme="majorHAnsi"/>
          <w:sz w:val="22"/>
          <w:szCs w:val="22"/>
          <w:lang w:val="en-GB"/>
        </w:rPr>
        <w:t xml:space="preserve">ns risk being effectively ‘left </w:t>
      </w:r>
      <w:r w:rsidRPr="004E053C">
        <w:rPr>
          <w:rFonts w:eastAsia="Times New Roman" w:cstheme="majorHAnsi"/>
          <w:sz w:val="22"/>
          <w:szCs w:val="22"/>
          <w:lang w:val="en-GB"/>
        </w:rPr>
        <w:t>behind’ by the transient miners. The differences between livelihood trajectories are both spatial (the frequency and distance of an individual’s movement between locations) and temporal (the duration this movement continues for), and both are crucial components of translocality. An understanding of these dynamics is importa</w:t>
      </w:r>
      <w:r w:rsidR="00130A52">
        <w:rPr>
          <w:rFonts w:eastAsia="Times New Roman" w:cstheme="majorHAnsi"/>
          <w:sz w:val="22"/>
          <w:szCs w:val="22"/>
          <w:lang w:val="en-GB"/>
        </w:rPr>
        <w:t xml:space="preserve">nt due to their effect on place </w:t>
      </w:r>
      <w:r w:rsidRPr="004E053C">
        <w:rPr>
          <w:rFonts w:eastAsia="Times New Roman" w:cstheme="majorHAnsi"/>
          <w:sz w:val="22"/>
          <w:szCs w:val="22"/>
          <w:lang w:val="en-GB"/>
        </w:rPr>
        <w:t>attachment and the relationships between people within the social field. Using the</w:t>
      </w:r>
      <w:r w:rsidR="00565C53" w:rsidRPr="004E053C">
        <w:rPr>
          <w:rFonts w:eastAsia="Times New Roman" w:cstheme="majorHAnsi"/>
          <w:sz w:val="22"/>
          <w:szCs w:val="22"/>
          <w:lang w:val="en-GB"/>
        </w:rPr>
        <w:t xml:space="preserve"> typologies set out in chapter 6</w:t>
      </w:r>
      <w:r w:rsidRPr="004E053C">
        <w:rPr>
          <w:rFonts w:eastAsia="Times New Roman" w:cstheme="majorHAnsi"/>
          <w:sz w:val="22"/>
          <w:szCs w:val="22"/>
          <w:lang w:val="en-GB"/>
        </w:rPr>
        <w:t xml:space="preserve">, this chapter has highlighted the importance of extending our understanding of translocality to consider temporality and shown how divergent livelihood trajectories can create tension within the discrete locations within the translocal ASM community. </w:t>
      </w:r>
      <w:r w:rsidR="006F6757" w:rsidRPr="004E053C">
        <w:rPr>
          <w:rFonts w:eastAsia="Times New Roman" w:cstheme="majorHAnsi"/>
          <w:sz w:val="22"/>
          <w:szCs w:val="22"/>
          <w:lang w:val="en-GB"/>
        </w:rPr>
        <w:t>These tensions represent a specific form of contestation within the social field, which I refer to as temporal friction, and I have presented some examples of this in this chapter.</w:t>
      </w:r>
    </w:p>
    <w:p w14:paraId="514413C5" w14:textId="77777777" w:rsidR="00EA7F83" w:rsidRPr="004E053C" w:rsidRDefault="00EA7F83" w:rsidP="004E053C">
      <w:pPr>
        <w:spacing w:line="360" w:lineRule="auto"/>
        <w:jc w:val="both"/>
        <w:rPr>
          <w:rFonts w:eastAsia="Times New Roman" w:cstheme="majorHAnsi"/>
          <w:sz w:val="22"/>
          <w:szCs w:val="22"/>
          <w:lang w:val="en-GB"/>
        </w:rPr>
      </w:pPr>
    </w:p>
    <w:p w14:paraId="3BB756BE" w14:textId="77777777" w:rsidR="00EA7F83" w:rsidRPr="004E053C" w:rsidRDefault="00EA7F83"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Resource extraction is inherently unsustainable. The miners are aware that gold deposits are already being depleted, leading to contestations as miners and other residents attempt to access resources in order to improve their own position. A key source of tension is that transient miners, who have less need to conform to reciprocal norms and local forms of authority, often invade concessions and work there without permission. In La Pampa small communities of miners have even been overrun, in some cases chased away by the new arrivals. It is also clear that the general way of life in La Pampa is more difficult, with miners showing far less concern for the safety of others. Informality also creates problems, particularly in terms of labour rights and formalisation, but it also allows for high mobility within the sector. While it makes economic sense for </w:t>
      </w:r>
      <w:r w:rsidRPr="004E053C">
        <w:rPr>
          <w:rFonts w:eastAsia="Times New Roman" w:cstheme="majorHAnsi"/>
          <w:i/>
          <w:iCs/>
          <w:sz w:val="22"/>
          <w:szCs w:val="22"/>
          <w:lang w:val="en-GB"/>
        </w:rPr>
        <w:t xml:space="preserve">obreros </w:t>
      </w:r>
      <w:r w:rsidRPr="004E053C">
        <w:rPr>
          <w:rFonts w:eastAsia="Times New Roman" w:cstheme="majorHAnsi"/>
          <w:sz w:val="22"/>
          <w:szCs w:val="22"/>
          <w:lang w:val="en-GB"/>
        </w:rPr>
        <w:t xml:space="preserve">to remain mobile in order to secure a better price for their labour, for the permanent miners this causes an element of risk. Environmental issues are also more of a concern for the permanent residents of Madre de Dios. This leads to clear antagonisms between those miners and the more transient ones who seem to care less about the environment. In La Pampa the few permanent miners feel powerless to stop the invaders and at the same time blame the Government for not supporting them. However, it seems </w:t>
      </w:r>
      <w:r w:rsidRPr="004E053C">
        <w:rPr>
          <w:rFonts w:eastAsia="Times New Roman" w:cstheme="majorHAnsi"/>
          <w:sz w:val="22"/>
          <w:szCs w:val="22"/>
          <w:lang w:val="en-GB"/>
        </w:rPr>
        <w:lastRenderedPageBreak/>
        <w:t xml:space="preserve">that environmental concerns are less important to the permanent miners than the more pressing threats to their livelihood and local community. </w:t>
      </w:r>
    </w:p>
    <w:p w14:paraId="03877944" w14:textId="77777777" w:rsidR="00EA7F83" w:rsidRPr="004E053C" w:rsidRDefault="00EA7F83" w:rsidP="004E053C">
      <w:pPr>
        <w:spacing w:line="360" w:lineRule="auto"/>
        <w:jc w:val="both"/>
        <w:rPr>
          <w:rFonts w:eastAsia="Times New Roman" w:cstheme="majorHAnsi"/>
          <w:sz w:val="22"/>
          <w:szCs w:val="22"/>
          <w:lang w:val="en-GB"/>
        </w:rPr>
      </w:pPr>
    </w:p>
    <w:p w14:paraId="7F43C8B1" w14:textId="4F1AE32D" w:rsidR="00EA7F83" w:rsidRPr="004E053C" w:rsidRDefault="00EA7F83"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Although the permanent residents are invested in Laberinto as a place, and have ascribed to it meanings of home, the miners that remain translocal do not share the same concerns. Not only does high mobility erode trust and social networks, but also the permanent residents of Laberinto are becoming increasingly wary of newcomers who choose to self-exclude and do not involve themselves in community activities. This is most obviously reflected in the on-going contestation with the Government, as the temporary residents are less inclined to get involved in collective acts of resistance. While this resistance is particularly important to the permanent residents, who feel the Government are threatening everyday life in Laberinto, the more transient residents are only concerned with earning money in the short-term. This is an important distinction and emphasises how some residents have developed a strong </w:t>
      </w:r>
      <w:r w:rsidR="00130A52">
        <w:rPr>
          <w:rFonts w:eastAsia="Times New Roman" w:cstheme="majorHAnsi"/>
          <w:sz w:val="22"/>
          <w:szCs w:val="22"/>
          <w:lang w:val="en-GB"/>
        </w:rPr>
        <w:t xml:space="preserve">place </w:t>
      </w:r>
      <w:r w:rsidRPr="004E053C">
        <w:rPr>
          <w:rFonts w:eastAsia="Times New Roman" w:cstheme="majorHAnsi"/>
          <w:sz w:val="22"/>
          <w:szCs w:val="22"/>
          <w:lang w:val="en-GB"/>
        </w:rPr>
        <w:t xml:space="preserve">attachment that ought to be considered when designing future ASM policy. Elsewhere Hilson et al </w:t>
      </w:r>
      <w:r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Affairs","id":"ITEM-1","issue":"424","issued":{"date-parts":[["2007"]]},"page":"413-436","title":"To move or not to move’: reflections on the resettlement of artisanal miners in the western region of Ghana","type":"article-journal","volume":"106"},"uris":["http://www.mendeley.com/documents/?uuid=8ef2711f-ce75-4c5a-8a00-8e27b49f07cf"]}],"mendeley":{"formattedCitation":"(G. Hilson et al., 2007)","manualFormatting":"(2007)","plainTextFormattedCitation":"(G. Hilson et al., 2007)","previouslyFormattedCitation":"(G. Hilson et al., 2007)"},"properties":{"noteIndex":0},"schema":"https://github.com/citation-style-language/schema/raw/master/csl-citation.json"}</w:instrText>
      </w:r>
      <w:r w:rsidRPr="004E053C">
        <w:rPr>
          <w:rFonts w:eastAsia="Times New Roman" w:cstheme="majorHAnsi"/>
          <w:sz w:val="22"/>
          <w:szCs w:val="22"/>
          <w:lang w:val="en-GB"/>
        </w:rPr>
        <w:fldChar w:fldCharType="separate"/>
      </w:r>
      <w:r w:rsidRPr="004E053C">
        <w:rPr>
          <w:rFonts w:eastAsia="Times New Roman" w:cstheme="majorHAnsi"/>
          <w:noProof/>
          <w:sz w:val="22"/>
          <w:szCs w:val="22"/>
          <w:lang w:val="en-GB"/>
        </w:rPr>
        <w:t>(2007)</w:t>
      </w:r>
      <w:r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have shown that a policy in Ghana designed to relocate miners away from mining sites largely failed due to the roots that some miners developed in the town, such as through marrying local women or setting up businesses. Understanding the long-term aspirations of the residents of mining settlements is extremely important if policy makers want to design appropriate policy regarding the future of ASM activity.</w:t>
      </w:r>
    </w:p>
    <w:p w14:paraId="667727D5" w14:textId="77777777" w:rsidR="00EA7F83" w:rsidRPr="004E053C" w:rsidRDefault="00EA7F83" w:rsidP="004E053C">
      <w:pPr>
        <w:spacing w:line="360" w:lineRule="auto"/>
        <w:jc w:val="both"/>
        <w:rPr>
          <w:rFonts w:eastAsia="Times New Roman" w:cstheme="majorHAnsi"/>
          <w:sz w:val="22"/>
          <w:szCs w:val="22"/>
          <w:lang w:val="en-GB"/>
        </w:rPr>
      </w:pPr>
    </w:p>
    <w:p w14:paraId="04400833" w14:textId="4E12A8F9" w:rsidR="00EA7F83" w:rsidRPr="004E053C" w:rsidRDefault="00EA7F83"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 high levels of in-migration to Madre de Dios have also resulted in increased insecurity, as the lawlessness has attracted criminals who are willing to go against even the rules of the social field to further their own position. While nearly all the residents of Laberinto are migrants, it is the temporary and floating miners who are blamed for this increasing insecurity. However, it is important to remember that all the men from Ocongate that work in mining do so in La Pampa, attracted by the ease of finding work, and are therefore likely to be seen by Azucena as </w:t>
      </w:r>
      <w:r w:rsidRPr="004E053C">
        <w:rPr>
          <w:rFonts w:eastAsia="Times New Roman" w:cstheme="majorHAnsi"/>
          <w:i/>
          <w:iCs/>
          <w:sz w:val="22"/>
          <w:szCs w:val="22"/>
          <w:lang w:val="en-GB"/>
        </w:rPr>
        <w:t xml:space="preserve">invaders. </w:t>
      </w:r>
      <w:r w:rsidRPr="004E053C">
        <w:rPr>
          <w:rFonts w:eastAsia="Times New Roman" w:cstheme="majorHAnsi"/>
          <w:iCs/>
          <w:sz w:val="22"/>
          <w:szCs w:val="22"/>
          <w:lang w:val="en-GB"/>
        </w:rPr>
        <w:t>Interestingly, while external norms clearly view all ASM activity is criminal, internally the position of miners is fluid and temporal, as agents try to maximise their position based on their capital endowments, the available resources and their long-term interests.</w:t>
      </w:r>
      <w:r w:rsidRPr="004E053C">
        <w:rPr>
          <w:rFonts w:eastAsia="Times New Roman" w:cstheme="majorHAnsi"/>
          <w:i/>
          <w:iCs/>
          <w:sz w:val="22"/>
          <w:szCs w:val="22"/>
          <w:lang w:val="en-GB"/>
        </w:rPr>
        <w:t xml:space="preserve"> </w:t>
      </w:r>
      <w:r w:rsidRPr="004E053C">
        <w:rPr>
          <w:rFonts w:eastAsia="Times New Roman" w:cstheme="majorHAnsi"/>
          <w:iCs/>
          <w:sz w:val="22"/>
          <w:szCs w:val="22"/>
          <w:lang w:val="en-GB"/>
        </w:rPr>
        <w:t xml:space="preserve">However, while there are </w:t>
      </w:r>
      <w:r w:rsidR="006F6757" w:rsidRPr="004E053C">
        <w:rPr>
          <w:rFonts w:eastAsia="Times New Roman" w:cstheme="majorHAnsi"/>
          <w:iCs/>
          <w:sz w:val="22"/>
          <w:szCs w:val="22"/>
          <w:lang w:val="en-GB"/>
        </w:rPr>
        <w:t>temporal frictions</w:t>
      </w:r>
      <w:r w:rsidRPr="004E053C">
        <w:rPr>
          <w:rFonts w:eastAsia="Times New Roman" w:cstheme="majorHAnsi"/>
          <w:iCs/>
          <w:sz w:val="22"/>
          <w:szCs w:val="22"/>
          <w:lang w:val="en-GB"/>
        </w:rPr>
        <w:t xml:space="preserve"> within the social field, the biggest contestations occur as ASM operatives attempt to regain some legitimate power from the state. </w:t>
      </w:r>
      <w:r w:rsidRPr="004E053C">
        <w:rPr>
          <w:rFonts w:eastAsia="Times New Roman" w:cstheme="majorHAnsi"/>
          <w:sz w:val="22"/>
          <w:szCs w:val="22"/>
          <w:lang w:val="en-GB"/>
        </w:rPr>
        <w:t>In terms of government interventions, the tensions are two-fold. Firstly, it is the influx of recent miners to the area that are seen as attracting the attention of the Government.  Secondly, the temporary miners are not as bothered about involving themselves in protest. The next chapter will go on to consider how the contestation with the Government is reflected in discourses of illegality and the emergence of a collective identity.</w:t>
      </w:r>
    </w:p>
    <w:p w14:paraId="1CA4ED95" w14:textId="15AE0AC0" w:rsidR="00EA7F83" w:rsidRPr="004E053C" w:rsidRDefault="00EA7F83" w:rsidP="004E053C">
      <w:pPr>
        <w:spacing w:after="150" w:line="360" w:lineRule="auto"/>
        <w:jc w:val="both"/>
        <w:rPr>
          <w:rFonts w:cstheme="majorHAnsi"/>
          <w:lang w:val="en-GB"/>
        </w:rPr>
        <w:sectPr w:rsidR="00EA7F83" w:rsidRPr="004E053C">
          <w:pgSz w:w="11906" w:h="16838"/>
          <w:pgMar w:top="1440" w:right="1440" w:bottom="1440" w:left="1440" w:header="708" w:footer="708" w:gutter="0"/>
          <w:cols w:space="708"/>
          <w:docGrid w:linePitch="360"/>
        </w:sectPr>
      </w:pPr>
    </w:p>
    <w:p w14:paraId="6E359D84" w14:textId="29E74458" w:rsidR="003E574E" w:rsidRPr="004E053C" w:rsidRDefault="00EA7F83" w:rsidP="004E053C">
      <w:pPr>
        <w:pStyle w:val="Heading1"/>
        <w:spacing w:line="360" w:lineRule="auto"/>
        <w:jc w:val="both"/>
        <w:rPr>
          <w:rFonts w:asciiTheme="minorHAnsi" w:hAnsiTheme="minorHAnsi" w:cstheme="majorHAnsi"/>
          <w:b w:val="0"/>
          <w:lang w:val="en-GB"/>
        </w:rPr>
      </w:pPr>
      <w:bookmarkStart w:id="101" w:name="_Toc33293127"/>
      <w:r w:rsidRPr="004E053C">
        <w:rPr>
          <w:rFonts w:asciiTheme="minorHAnsi" w:hAnsiTheme="minorHAnsi" w:cstheme="majorHAnsi"/>
          <w:b w:val="0"/>
          <w:lang w:val="en-GB"/>
        </w:rPr>
        <w:lastRenderedPageBreak/>
        <w:t>9</w:t>
      </w:r>
      <w:r w:rsidR="00220995" w:rsidRPr="004E053C">
        <w:rPr>
          <w:rFonts w:asciiTheme="minorHAnsi" w:hAnsiTheme="minorHAnsi" w:cstheme="majorHAnsi"/>
          <w:b w:val="0"/>
          <w:lang w:val="en-GB"/>
        </w:rPr>
        <w:t xml:space="preserve">. </w:t>
      </w:r>
      <w:r w:rsidR="006E296C" w:rsidRPr="004E053C">
        <w:rPr>
          <w:rFonts w:asciiTheme="minorHAnsi" w:hAnsiTheme="minorHAnsi" w:cstheme="majorHAnsi"/>
          <w:b w:val="0"/>
          <w:lang w:val="en-GB"/>
        </w:rPr>
        <w:t>D</w:t>
      </w:r>
      <w:r w:rsidR="004A01B8" w:rsidRPr="004E053C">
        <w:rPr>
          <w:rFonts w:asciiTheme="minorHAnsi" w:hAnsiTheme="minorHAnsi" w:cstheme="majorHAnsi"/>
          <w:b w:val="0"/>
          <w:lang w:val="en-GB"/>
        </w:rPr>
        <w:t>iscourses of illegality</w:t>
      </w:r>
      <w:r w:rsidR="0060034B" w:rsidRPr="004E053C">
        <w:rPr>
          <w:rFonts w:asciiTheme="minorHAnsi" w:hAnsiTheme="minorHAnsi" w:cstheme="majorHAnsi"/>
          <w:b w:val="0"/>
          <w:lang w:val="en-GB"/>
        </w:rPr>
        <w:t>: t</w:t>
      </w:r>
      <w:r w:rsidR="00F30947" w:rsidRPr="004E053C">
        <w:rPr>
          <w:rFonts w:asciiTheme="minorHAnsi" w:hAnsiTheme="minorHAnsi" w:cstheme="majorHAnsi"/>
          <w:b w:val="0"/>
          <w:lang w:val="en-GB"/>
        </w:rPr>
        <w:t>he importance of place for collective identity</w:t>
      </w:r>
      <w:bookmarkEnd w:id="101"/>
      <w:r w:rsidR="004A01B8" w:rsidRPr="004E053C">
        <w:rPr>
          <w:rFonts w:asciiTheme="minorHAnsi" w:hAnsiTheme="minorHAnsi" w:cstheme="majorHAnsi"/>
          <w:b w:val="0"/>
          <w:lang w:val="en-GB"/>
        </w:rPr>
        <w:t xml:space="preserve"> </w:t>
      </w:r>
    </w:p>
    <w:p w14:paraId="769EAC6A" w14:textId="1F0CB875" w:rsidR="0033274E" w:rsidRPr="004E053C" w:rsidRDefault="0033274E" w:rsidP="004E053C">
      <w:pPr>
        <w:spacing w:line="360" w:lineRule="auto"/>
        <w:jc w:val="both"/>
        <w:rPr>
          <w:rFonts w:cstheme="majorHAnsi"/>
          <w:color w:val="FF0000"/>
          <w:sz w:val="22"/>
          <w:szCs w:val="22"/>
          <w:lang w:val="en-GB"/>
        </w:rPr>
      </w:pPr>
    </w:p>
    <w:p w14:paraId="131FE3B1" w14:textId="5DD8482E" w:rsidR="003E574E" w:rsidRPr="004E053C" w:rsidRDefault="00EA7F83" w:rsidP="004E053C">
      <w:pPr>
        <w:pStyle w:val="Heading2"/>
        <w:spacing w:before="0" w:line="360" w:lineRule="auto"/>
        <w:jc w:val="both"/>
        <w:rPr>
          <w:rFonts w:cstheme="majorHAnsi"/>
          <w:lang w:val="en-GB"/>
        </w:rPr>
      </w:pPr>
      <w:bookmarkStart w:id="102" w:name="_Toc33293128"/>
      <w:r w:rsidRPr="004E053C">
        <w:rPr>
          <w:rFonts w:cstheme="majorHAnsi"/>
          <w:lang w:val="en-GB"/>
        </w:rPr>
        <w:t>9</w:t>
      </w:r>
      <w:r w:rsidR="005252FE" w:rsidRPr="004E053C">
        <w:rPr>
          <w:rFonts w:cstheme="majorHAnsi"/>
          <w:lang w:val="en-GB"/>
        </w:rPr>
        <w:t>.</w:t>
      </w:r>
      <w:r w:rsidR="003E574E" w:rsidRPr="004E053C">
        <w:rPr>
          <w:rFonts w:cstheme="majorHAnsi"/>
          <w:lang w:val="en-GB"/>
        </w:rPr>
        <w:t>1. Introduction</w:t>
      </w:r>
      <w:bookmarkEnd w:id="102"/>
    </w:p>
    <w:p w14:paraId="3391F84C" w14:textId="77777777" w:rsidR="00D51819" w:rsidRPr="004E053C" w:rsidRDefault="00D51819" w:rsidP="004E053C">
      <w:pPr>
        <w:spacing w:line="360" w:lineRule="auto"/>
        <w:jc w:val="both"/>
        <w:rPr>
          <w:lang w:val="en-GB"/>
        </w:rPr>
      </w:pPr>
    </w:p>
    <w:p w14:paraId="43CC5AB3" w14:textId="2C490876" w:rsidR="007668C1" w:rsidRPr="004E053C" w:rsidRDefault="00D82219"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T</w:t>
      </w:r>
      <w:r w:rsidR="003E574E" w:rsidRPr="004E053C">
        <w:rPr>
          <w:rFonts w:asciiTheme="minorHAnsi" w:hAnsiTheme="minorHAnsi" w:cstheme="majorHAnsi"/>
          <w:sz w:val="22"/>
          <w:szCs w:val="22"/>
        </w:rPr>
        <w:t xml:space="preserve">he preceding three chapters have analysed ASM livelihoods from a translocal perspective, highlighting how the different types of miners build their lives </w:t>
      </w:r>
      <w:r w:rsidR="0056751A" w:rsidRPr="004E053C">
        <w:rPr>
          <w:rFonts w:asciiTheme="minorHAnsi" w:hAnsiTheme="minorHAnsi" w:cstheme="majorHAnsi"/>
          <w:sz w:val="22"/>
          <w:szCs w:val="22"/>
        </w:rPr>
        <w:t>within</w:t>
      </w:r>
      <w:r w:rsidR="004B633E" w:rsidRPr="004E053C">
        <w:rPr>
          <w:rFonts w:asciiTheme="minorHAnsi" w:hAnsiTheme="minorHAnsi" w:cstheme="majorHAnsi"/>
          <w:sz w:val="22"/>
          <w:szCs w:val="22"/>
        </w:rPr>
        <w:t xml:space="preserve"> the</w:t>
      </w:r>
      <w:r w:rsidR="0056751A" w:rsidRPr="004E053C">
        <w:rPr>
          <w:rFonts w:asciiTheme="minorHAnsi" w:hAnsiTheme="minorHAnsi" w:cstheme="majorHAnsi"/>
          <w:sz w:val="22"/>
          <w:szCs w:val="22"/>
        </w:rPr>
        <w:t xml:space="preserve"> translocal community in different ways</w:t>
      </w:r>
      <w:r w:rsidR="003E574E" w:rsidRPr="004E053C">
        <w:rPr>
          <w:rFonts w:asciiTheme="minorHAnsi" w:hAnsiTheme="minorHAnsi" w:cstheme="majorHAnsi"/>
          <w:sz w:val="22"/>
          <w:szCs w:val="22"/>
        </w:rPr>
        <w:t xml:space="preserve"> and how this manifests </w:t>
      </w:r>
      <w:r w:rsidR="004B633E" w:rsidRPr="004E053C">
        <w:rPr>
          <w:rFonts w:asciiTheme="minorHAnsi" w:hAnsiTheme="minorHAnsi" w:cstheme="majorHAnsi"/>
          <w:sz w:val="22"/>
          <w:szCs w:val="22"/>
        </w:rPr>
        <w:t>itself in various tensions between local residents</w:t>
      </w:r>
      <w:r w:rsidR="003E574E" w:rsidRPr="004E053C">
        <w:rPr>
          <w:rFonts w:asciiTheme="minorHAnsi" w:hAnsiTheme="minorHAnsi" w:cstheme="majorHAnsi"/>
          <w:sz w:val="22"/>
          <w:szCs w:val="22"/>
        </w:rPr>
        <w:t xml:space="preserve">. </w:t>
      </w:r>
      <w:r w:rsidR="006156A2" w:rsidRPr="004E053C">
        <w:rPr>
          <w:rFonts w:asciiTheme="minorHAnsi" w:hAnsiTheme="minorHAnsi" w:cstheme="majorHAnsi"/>
          <w:sz w:val="22"/>
          <w:szCs w:val="22"/>
        </w:rPr>
        <w:t>While</w:t>
      </w:r>
      <w:r w:rsidR="00565C53" w:rsidRPr="004E053C">
        <w:rPr>
          <w:rFonts w:asciiTheme="minorHAnsi" w:hAnsiTheme="minorHAnsi" w:cstheme="majorHAnsi"/>
          <w:sz w:val="22"/>
          <w:szCs w:val="22"/>
        </w:rPr>
        <w:t xml:space="preserve"> chapter 8</w:t>
      </w:r>
      <w:r w:rsidRPr="004E053C">
        <w:rPr>
          <w:rFonts w:asciiTheme="minorHAnsi" w:hAnsiTheme="minorHAnsi" w:cstheme="majorHAnsi"/>
          <w:sz w:val="22"/>
          <w:szCs w:val="22"/>
        </w:rPr>
        <w:t xml:space="preserve"> looked primarily </w:t>
      </w:r>
      <w:r w:rsidR="006156A2" w:rsidRPr="004E053C">
        <w:rPr>
          <w:rFonts w:asciiTheme="minorHAnsi" w:hAnsiTheme="minorHAnsi" w:cstheme="majorHAnsi"/>
          <w:sz w:val="22"/>
          <w:szCs w:val="22"/>
        </w:rPr>
        <w:t>at sources of tension</w:t>
      </w:r>
      <w:r w:rsidRPr="004E053C">
        <w:rPr>
          <w:rFonts w:asciiTheme="minorHAnsi" w:hAnsiTheme="minorHAnsi" w:cstheme="majorHAnsi"/>
          <w:sz w:val="22"/>
          <w:szCs w:val="22"/>
        </w:rPr>
        <w:t xml:space="preserve"> within </w:t>
      </w:r>
      <w:r w:rsidR="00EB02DD" w:rsidRPr="004E053C">
        <w:rPr>
          <w:rFonts w:asciiTheme="minorHAnsi" w:hAnsiTheme="minorHAnsi" w:cstheme="majorHAnsi"/>
          <w:sz w:val="22"/>
          <w:szCs w:val="22"/>
        </w:rPr>
        <w:t>the</w:t>
      </w:r>
      <w:r w:rsidR="004B633E" w:rsidRPr="004E053C">
        <w:rPr>
          <w:rFonts w:asciiTheme="minorHAnsi" w:hAnsiTheme="minorHAnsi" w:cstheme="majorHAnsi"/>
          <w:sz w:val="22"/>
          <w:szCs w:val="22"/>
        </w:rPr>
        <w:t xml:space="preserve"> translocal social field</w:t>
      </w:r>
      <w:r w:rsidR="00EB02DD" w:rsidRPr="004E053C">
        <w:rPr>
          <w:rFonts w:asciiTheme="minorHAnsi" w:hAnsiTheme="minorHAnsi" w:cstheme="majorHAnsi"/>
          <w:sz w:val="22"/>
          <w:szCs w:val="22"/>
        </w:rPr>
        <w:t xml:space="preserve"> created by ASM</w:t>
      </w:r>
      <w:r w:rsidRPr="004E053C">
        <w:rPr>
          <w:rFonts w:asciiTheme="minorHAnsi" w:hAnsiTheme="minorHAnsi" w:cstheme="majorHAnsi"/>
          <w:sz w:val="22"/>
          <w:szCs w:val="22"/>
        </w:rPr>
        <w:t xml:space="preserve">, here we look in more detail </w:t>
      </w:r>
      <w:r w:rsidR="004B633E" w:rsidRPr="004E053C">
        <w:rPr>
          <w:rFonts w:asciiTheme="minorHAnsi" w:hAnsiTheme="minorHAnsi" w:cstheme="majorHAnsi"/>
          <w:sz w:val="22"/>
          <w:szCs w:val="22"/>
        </w:rPr>
        <w:t xml:space="preserve">at contestations with other </w:t>
      </w:r>
      <w:r w:rsidRPr="004E053C">
        <w:rPr>
          <w:rFonts w:asciiTheme="minorHAnsi" w:hAnsiTheme="minorHAnsi" w:cstheme="majorHAnsi"/>
          <w:sz w:val="22"/>
          <w:szCs w:val="22"/>
        </w:rPr>
        <w:t>social fields</w:t>
      </w:r>
      <w:r w:rsidR="00834AED" w:rsidRPr="004E053C">
        <w:rPr>
          <w:rFonts w:asciiTheme="minorHAnsi" w:hAnsiTheme="minorHAnsi" w:cstheme="majorHAnsi"/>
          <w:sz w:val="22"/>
          <w:szCs w:val="22"/>
        </w:rPr>
        <w:t xml:space="preserve">, </w:t>
      </w:r>
      <w:r w:rsidR="00D3785B" w:rsidRPr="004E053C">
        <w:rPr>
          <w:rFonts w:asciiTheme="minorHAnsi" w:hAnsiTheme="minorHAnsi" w:cstheme="majorHAnsi"/>
          <w:sz w:val="22"/>
          <w:szCs w:val="22"/>
        </w:rPr>
        <w:t>particularly</w:t>
      </w:r>
      <w:r w:rsidR="0006194D" w:rsidRPr="004E053C">
        <w:rPr>
          <w:rFonts w:asciiTheme="minorHAnsi" w:hAnsiTheme="minorHAnsi" w:cstheme="majorHAnsi"/>
          <w:sz w:val="22"/>
          <w:szCs w:val="22"/>
        </w:rPr>
        <w:t xml:space="preserve"> with the ‘</w:t>
      </w:r>
      <w:r w:rsidR="004B633E" w:rsidRPr="004E053C">
        <w:rPr>
          <w:rFonts w:asciiTheme="minorHAnsi" w:hAnsiTheme="minorHAnsi" w:cstheme="majorHAnsi"/>
          <w:sz w:val="22"/>
          <w:szCs w:val="22"/>
        </w:rPr>
        <w:t>field of power</w:t>
      </w:r>
      <w:r w:rsidR="0006194D" w:rsidRPr="004E053C">
        <w:rPr>
          <w:rFonts w:asciiTheme="minorHAnsi" w:hAnsiTheme="minorHAnsi" w:cstheme="majorHAnsi"/>
          <w:sz w:val="22"/>
          <w:szCs w:val="22"/>
        </w:rPr>
        <w:t xml:space="preserve">’ </w:t>
      </w:r>
      <w:r w:rsidR="0006194D" w:rsidRPr="004E053C">
        <w:rPr>
          <w:rFonts w:asciiTheme="minorHAnsi" w:hAnsiTheme="minorHAnsi" w:cstheme="majorHAnsi"/>
          <w:sz w:val="22"/>
          <w:szCs w:val="22"/>
        </w:rPr>
        <w:fldChar w:fldCharType="begin" w:fldLock="1"/>
      </w:r>
      <w:r w:rsidR="0006194D" w:rsidRPr="004E053C">
        <w:rPr>
          <w:rFonts w:asciiTheme="minorHAnsi" w:hAnsiTheme="minorHAnsi" w:cstheme="majorHAnsi"/>
          <w:sz w:val="22"/>
          <w:szCs w:val="22"/>
        </w:rPr>
        <w:instrText>ADDIN CSL_CITATION {"citationItems":[{"id":"ITEM-1","itemData":{"author":[{"dropping-particle":"","family":"Bourdieu","given":"Pierre","non-dropping-particle":"","parse-names":false,"suffix":""}],"container-title":"Poetics","id":"ITEM-1","issued":{"date-parts":[["1983"]]},"page":"311-356","title":"The field of cultural production, or: the economic world reversed","type":"article-journal","volume":"12"},"uris":["http://www.mendeley.com/documents/?uuid=368f22c6-e640-4b99-a364-8766eb1d28b1"]},{"id":"ITEM-2","itemData":{"author":[{"dropping-particle":"","family":"Bourdieu","given":"Pierre","non-dropping-particle":"","parse-names":false,"suffix":""}],"id":"ITEM-2","issued":{"date-parts":[["1996"]]},"publisher":"Stanford University Press","publisher-place":"Palo Alto, CA","title":"Rules of Art: Genesis and Structure of the Literary Field","type":"book"},"uris":["http://www.mendeley.com/documents/?uuid=3022829c-8f84-3423-a908-b1e7d881be13"]},{"id":"ITEM-3","itemData":{"author":[{"dropping-particle":"","family":"Bourdieu","given":"Pierre","non-dropping-particle":"","parse-names":false,"suffix":""},{"dropping-particle":"","family":"Wacquant","given":"Loic","non-dropping-particle":"","parse-names":false,"suffix":""}],"id":"ITEM-3","issued":{"date-parts":[["1992"]]},"publisher":"University of Chicago Press","publisher-place":"Chicago","title":"An Invitation to Reflexive Sociology","type":"book"},"uris":["http://www.mendeley.com/documents/?uuid=c1429f32-90a2-3b41-90c4-9a470864a959"]}],"mendeley":{"formattedCitation":"(Bourdieu, 1983, 1996; Bourdieu &amp; Wacquant, 1992)","plainTextFormattedCitation":"(Bourdieu, 1983, 1996; Bourdieu &amp; Wacquant, 1992)","previouslyFormattedCitation":"(Bourdieu, 1983, 1996; Bourdieu &amp; Wacquant, 1992)"},"properties":{"noteIndex":0},"schema":"https://github.com/citation-style-language/schema/raw/master/csl-citation.json"}</w:instrText>
      </w:r>
      <w:r w:rsidR="0006194D" w:rsidRPr="004E053C">
        <w:rPr>
          <w:rFonts w:asciiTheme="minorHAnsi" w:hAnsiTheme="minorHAnsi" w:cstheme="majorHAnsi"/>
          <w:sz w:val="22"/>
          <w:szCs w:val="22"/>
        </w:rPr>
        <w:fldChar w:fldCharType="separate"/>
      </w:r>
      <w:r w:rsidR="0006194D" w:rsidRPr="004E053C">
        <w:rPr>
          <w:rFonts w:asciiTheme="minorHAnsi" w:hAnsiTheme="minorHAnsi" w:cstheme="majorHAnsi"/>
          <w:noProof/>
          <w:sz w:val="22"/>
          <w:szCs w:val="22"/>
        </w:rPr>
        <w:t>(Bourdieu, 1983, 1996; Bourdieu &amp; Wacquant, 1992)</w:t>
      </w:r>
      <w:r w:rsidR="0006194D" w:rsidRPr="004E053C">
        <w:rPr>
          <w:rFonts w:asciiTheme="minorHAnsi" w:hAnsiTheme="minorHAnsi" w:cstheme="majorHAnsi"/>
          <w:sz w:val="22"/>
          <w:szCs w:val="22"/>
        </w:rPr>
        <w:fldChar w:fldCharType="end"/>
      </w:r>
      <w:r w:rsidR="004B633E" w:rsidRPr="004E053C">
        <w:rPr>
          <w:rFonts w:asciiTheme="minorHAnsi" w:hAnsiTheme="minorHAnsi" w:cstheme="majorHAnsi"/>
          <w:sz w:val="22"/>
          <w:szCs w:val="22"/>
          <w:lang w:eastAsia="zh-CN"/>
        </w:rPr>
        <w:t xml:space="preserve">. </w:t>
      </w:r>
      <w:r w:rsidR="004B633E" w:rsidRPr="004E053C">
        <w:rPr>
          <w:rFonts w:asciiTheme="minorHAnsi" w:hAnsiTheme="minorHAnsi" w:cstheme="majorHAnsi"/>
          <w:sz w:val="22"/>
          <w:szCs w:val="22"/>
        </w:rPr>
        <w:t>This is important, as although</w:t>
      </w:r>
      <w:r w:rsidR="006156A2" w:rsidRPr="004E053C">
        <w:rPr>
          <w:rFonts w:asciiTheme="minorHAnsi" w:hAnsiTheme="minorHAnsi" w:cstheme="majorHAnsi"/>
          <w:sz w:val="22"/>
          <w:szCs w:val="22"/>
        </w:rPr>
        <w:t xml:space="preserve"> soc</w:t>
      </w:r>
      <w:r w:rsidR="004B633E" w:rsidRPr="004E053C">
        <w:rPr>
          <w:rFonts w:asciiTheme="minorHAnsi" w:hAnsiTheme="minorHAnsi" w:cstheme="majorHAnsi"/>
          <w:sz w:val="22"/>
          <w:szCs w:val="22"/>
        </w:rPr>
        <w:t xml:space="preserve">ial fields are </w:t>
      </w:r>
      <w:r w:rsidR="006156A2" w:rsidRPr="004E053C">
        <w:rPr>
          <w:rFonts w:asciiTheme="minorHAnsi" w:hAnsiTheme="minorHAnsi" w:cstheme="majorHAnsi"/>
          <w:sz w:val="22"/>
          <w:szCs w:val="22"/>
        </w:rPr>
        <w:t xml:space="preserve">semi-autonomous, they are also created and shaped in an </w:t>
      </w:r>
      <w:r w:rsidR="00900A37" w:rsidRPr="004E053C">
        <w:rPr>
          <w:rFonts w:asciiTheme="minorHAnsi" w:hAnsiTheme="minorHAnsi" w:cstheme="majorHAnsi"/>
          <w:sz w:val="22"/>
          <w:szCs w:val="22"/>
        </w:rPr>
        <w:t>on-going</w:t>
      </w:r>
      <w:r w:rsidR="006156A2" w:rsidRPr="004E053C">
        <w:rPr>
          <w:rFonts w:asciiTheme="minorHAnsi" w:hAnsiTheme="minorHAnsi" w:cstheme="majorHAnsi"/>
          <w:sz w:val="22"/>
          <w:szCs w:val="22"/>
        </w:rPr>
        <w:t xml:space="preserve"> process of dialectical interaction with other</w:t>
      </w:r>
      <w:r w:rsidR="003C3465" w:rsidRPr="004E053C">
        <w:rPr>
          <w:rFonts w:asciiTheme="minorHAnsi" w:hAnsiTheme="minorHAnsi" w:cstheme="majorHAnsi"/>
          <w:sz w:val="22"/>
          <w:szCs w:val="22"/>
        </w:rPr>
        <w:t xml:space="preserve"> segments of social rea</w:t>
      </w:r>
      <w:r w:rsidR="00D97D13" w:rsidRPr="004E053C">
        <w:rPr>
          <w:rFonts w:asciiTheme="minorHAnsi" w:hAnsiTheme="minorHAnsi" w:cstheme="majorHAnsi"/>
          <w:sz w:val="22"/>
          <w:szCs w:val="22"/>
        </w:rPr>
        <w:t xml:space="preserve">lity, most notably </w:t>
      </w:r>
      <w:r w:rsidR="003C3465" w:rsidRPr="004E053C">
        <w:rPr>
          <w:rFonts w:asciiTheme="minorHAnsi" w:hAnsiTheme="minorHAnsi" w:cstheme="majorHAnsi"/>
          <w:sz w:val="22"/>
          <w:szCs w:val="22"/>
        </w:rPr>
        <w:t xml:space="preserve">the state </w:t>
      </w:r>
      <w:r w:rsidR="0006194D"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{"citationItems":[{"id":"ITEM-1","itemData":{"author":[{"dropping-particle":"","family":"Bourdieu","given":"Pierre","non-dropping-particle":"","parse-names":false,"suffix":""}],"container-title":"The Study of State Formation After the Cultural Turn","id":"ITEM-1","issued":{"date-parts":[["1999"]]},"page":"53-75","publisher":"Cornell University Press","publisher-place":"Ithaca, NY","title":"Rethinking the State: Genesis and structure of the bureaucratic field","type":"chapter"},"uris":["http://www.mendeley.com/documents/?uuid=f1e033b7-8a6d-3930-98bf-900ec5d21687"]},{"id":"ITEM-2","itemData":{"author":[{"dropping-particle":"","family":"Shammus","given":"Victor L","non-dropping-particle":"","parse-names":false,"suffix":""},{"dropping-particle":"","family":"Sandberg","given":"Sveinung","non-dropping-particle":"","parse-names":false,"suffix":""}],"container-title":"Criminology &amp; Criminal Justice","id":"ITEM-2","issue":"2","issued":{"date-parts":[["2016"]]},"page":"195-213","title":"Habitus, capital and conflict: bringing Bourdieusian field theory to criminoligy","type":"article-journal","volume":"16"},"uris":["http://www.mendeley.com/documents/?uuid=ee4a3f60-2227-491f-bc45-f9d879b301c5"]}],"mendeley":{"formattedCitation":"(Bourdieu, 1999; Shammus &amp; Sandberg, 2016)","plainTextFormattedCitation":"(Bourdieu, 1999; Shammus &amp; Sandberg, 2016)","previouslyFormattedCitation":"(Bourdieu, 1999; Shammus &amp; Sandberg, 2016)"},"properties":{"noteIndex":0},"schema":"https://github.com/citation-style-language/schema/raw/master/csl-citation.json"}</w:instrText>
      </w:r>
      <w:r w:rsidR="0006194D" w:rsidRPr="004E053C">
        <w:rPr>
          <w:rFonts w:asciiTheme="minorHAnsi" w:hAnsiTheme="minorHAnsi" w:cstheme="majorHAnsi"/>
          <w:sz w:val="22"/>
          <w:szCs w:val="22"/>
        </w:rPr>
        <w:fldChar w:fldCharType="separate"/>
      </w:r>
      <w:r w:rsidR="0006194D" w:rsidRPr="004E053C">
        <w:rPr>
          <w:rFonts w:asciiTheme="minorHAnsi" w:hAnsiTheme="minorHAnsi" w:cstheme="majorHAnsi"/>
          <w:noProof/>
          <w:sz w:val="22"/>
          <w:szCs w:val="22"/>
        </w:rPr>
        <w:t>(Bourdieu, 1999; Shammus &amp; Sandberg, 2016)</w:t>
      </w:r>
      <w:r w:rsidR="0006194D" w:rsidRPr="004E053C">
        <w:rPr>
          <w:rFonts w:asciiTheme="minorHAnsi" w:hAnsiTheme="minorHAnsi" w:cstheme="majorHAnsi"/>
          <w:sz w:val="22"/>
          <w:szCs w:val="22"/>
        </w:rPr>
        <w:fldChar w:fldCharType="end"/>
      </w:r>
      <w:r w:rsidR="00D97D13" w:rsidRPr="004E053C">
        <w:rPr>
          <w:rFonts w:asciiTheme="minorHAnsi" w:hAnsiTheme="minorHAnsi" w:cstheme="majorHAnsi"/>
          <w:sz w:val="22"/>
          <w:szCs w:val="22"/>
        </w:rPr>
        <w:t xml:space="preserve">. </w:t>
      </w:r>
      <w:r w:rsidR="009221C6" w:rsidRPr="004E053C">
        <w:rPr>
          <w:rFonts w:asciiTheme="minorHAnsi" w:hAnsiTheme="minorHAnsi" w:cstheme="majorHAnsi"/>
          <w:bCs/>
          <w:sz w:val="22"/>
          <w:szCs w:val="22"/>
        </w:rPr>
        <w:t xml:space="preserve">Within the </w:t>
      </w:r>
      <w:r w:rsidR="00FF7621" w:rsidRPr="004E053C">
        <w:rPr>
          <w:rFonts w:asciiTheme="minorHAnsi" w:hAnsiTheme="minorHAnsi" w:cstheme="majorHAnsi"/>
          <w:bCs/>
          <w:sz w:val="22"/>
          <w:szCs w:val="22"/>
        </w:rPr>
        <w:t xml:space="preserve">Peruvian mining sector, </w:t>
      </w:r>
      <w:r w:rsidR="00D06266" w:rsidRPr="004E053C">
        <w:rPr>
          <w:rFonts w:asciiTheme="minorHAnsi" w:hAnsiTheme="minorHAnsi" w:cstheme="majorHAnsi"/>
          <w:bCs/>
          <w:sz w:val="22"/>
          <w:szCs w:val="22"/>
        </w:rPr>
        <w:t xml:space="preserve">the lack of state control in Madre de Dios </w:t>
      </w:r>
      <w:r w:rsidR="00A446DD" w:rsidRPr="004E053C">
        <w:rPr>
          <w:rFonts w:asciiTheme="minorHAnsi" w:hAnsiTheme="minorHAnsi" w:cstheme="majorHAnsi"/>
          <w:bCs/>
          <w:sz w:val="22"/>
          <w:szCs w:val="22"/>
        </w:rPr>
        <w:fldChar w:fldCharType="begin" w:fldLock="1"/>
      </w:r>
      <w:r w:rsidR="002F0CEA">
        <w:rPr>
          <w:rFonts w:asciiTheme="minorHAnsi" w:hAnsiTheme="minorHAnsi" w:cstheme="majorHAnsi"/>
          <w:bCs/>
          <w:sz w:val="22"/>
          <w:szCs w:val="22"/>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Amazon","type":"article-journal","volume":"48"},"uris":["http://www.mendeley.com/documents/?uuid=fc7d8531-86b5-35b7-a817-8d0034336ad3"]},{"id":"ITEM-2","itemData":{"abstract":"A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Society","id":"ITEM-2","issue":"4","issued":{"date-parts":[["2016"]]},"page":"1058-1066","publisher":"Elsevier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Peru","type":"article-journal","volume":"3"},"uris":["http://www.mendeley.com/documents/?uuid=c58e85fb-cf81-4a8b-acb3-317eb51efe53"]}],"mendeley":{"formattedCitation":"(Damonte, 2016; Salo et al., 2016)","manualFormatting":"(Damonte, 2016; Salo et al., 2016)","plainTextFormattedCitation":"(Damonte, 2016; Salo et al., 2016)","previouslyFormattedCitation":"(Damonte, 2016; Salo et al., 2016)"},"properties":{"noteIndex":0},"schema":"https://github.com/citation-style-language/schema/raw/master/csl-citation.json"}</w:instrText>
      </w:r>
      <w:r w:rsidR="00A446DD" w:rsidRPr="004E053C">
        <w:rPr>
          <w:rFonts w:asciiTheme="minorHAnsi" w:hAnsiTheme="minorHAnsi" w:cstheme="majorHAnsi"/>
          <w:bCs/>
          <w:sz w:val="22"/>
          <w:szCs w:val="22"/>
        </w:rPr>
        <w:fldChar w:fldCharType="separate"/>
      </w:r>
      <w:r w:rsidR="00A446DD" w:rsidRPr="004E053C">
        <w:rPr>
          <w:rFonts w:asciiTheme="minorHAnsi" w:hAnsiTheme="minorHAnsi" w:cstheme="majorHAnsi"/>
          <w:bCs/>
          <w:noProof/>
          <w:sz w:val="22"/>
          <w:szCs w:val="22"/>
        </w:rPr>
        <w:t>(Damonte, 2016; Salo et al., 2016)</w:t>
      </w:r>
      <w:r w:rsidR="00A446DD" w:rsidRPr="004E053C">
        <w:rPr>
          <w:rFonts w:asciiTheme="minorHAnsi" w:hAnsiTheme="minorHAnsi" w:cstheme="majorHAnsi"/>
          <w:bCs/>
          <w:sz w:val="22"/>
          <w:szCs w:val="22"/>
        </w:rPr>
        <w:fldChar w:fldCharType="end"/>
      </w:r>
      <w:r w:rsidR="00D06266" w:rsidRPr="004E053C">
        <w:rPr>
          <w:rFonts w:asciiTheme="minorHAnsi" w:hAnsiTheme="minorHAnsi" w:cstheme="majorHAnsi"/>
          <w:bCs/>
          <w:sz w:val="22"/>
          <w:szCs w:val="22"/>
        </w:rPr>
        <w:t xml:space="preserve"> means that the rules of the </w:t>
      </w:r>
      <w:r w:rsidR="009221C6" w:rsidRPr="004E053C">
        <w:rPr>
          <w:rFonts w:asciiTheme="minorHAnsi" w:hAnsiTheme="minorHAnsi" w:cstheme="majorHAnsi"/>
          <w:sz w:val="22"/>
          <w:szCs w:val="22"/>
        </w:rPr>
        <w:t>field</w:t>
      </w:r>
      <w:r w:rsidR="00D06266" w:rsidRPr="004E053C">
        <w:rPr>
          <w:rFonts w:asciiTheme="minorHAnsi" w:hAnsiTheme="minorHAnsi" w:cstheme="majorHAnsi"/>
          <w:sz w:val="22"/>
          <w:szCs w:val="22"/>
        </w:rPr>
        <w:t xml:space="preserve"> can be constantly reinterpreted</w:t>
      </w:r>
      <w:r w:rsidR="009221C6" w:rsidRPr="004E053C">
        <w:rPr>
          <w:rFonts w:asciiTheme="minorHAnsi" w:hAnsiTheme="minorHAnsi" w:cstheme="majorHAnsi"/>
          <w:sz w:val="22"/>
          <w:szCs w:val="22"/>
        </w:rPr>
        <w:t xml:space="preserve">. At the same time, </w:t>
      </w:r>
      <w:r w:rsidR="00014D90" w:rsidRPr="004E053C">
        <w:rPr>
          <w:rFonts w:asciiTheme="minorHAnsi" w:hAnsiTheme="minorHAnsi" w:cstheme="majorHAnsi"/>
          <w:sz w:val="22"/>
          <w:szCs w:val="22"/>
        </w:rPr>
        <w:t xml:space="preserve">miners are </w:t>
      </w:r>
      <w:r w:rsidR="00A446DD" w:rsidRPr="004E053C">
        <w:rPr>
          <w:rFonts w:asciiTheme="minorHAnsi" w:hAnsiTheme="minorHAnsi" w:cstheme="majorHAnsi"/>
          <w:sz w:val="22"/>
          <w:szCs w:val="22"/>
        </w:rPr>
        <w:t>coming into increasingly violent conflict with the Government</w:t>
      </w:r>
      <w:r w:rsidR="009221C6" w:rsidRPr="004E053C">
        <w:rPr>
          <w:rFonts w:asciiTheme="minorHAnsi" w:hAnsiTheme="minorHAnsi" w:cstheme="majorHAnsi"/>
          <w:sz w:val="22"/>
          <w:szCs w:val="22"/>
        </w:rPr>
        <w:t xml:space="preserve">, highlighting the existent of contestations between fields. </w:t>
      </w:r>
      <w:r w:rsidR="00D97D13" w:rsidRPr="004E053C">
        <w:rPr>
          <w:rFonts w:asciiTheme="minorHAnsi" w:hAnsiTheme="minorHAnsi" w:cstheme="majorHAnsi"/>
          <w:sz w:val="22"/>
          <w:szCs w:val="22"/>
        </w:rPr>
        <w:t>T</w:t>
      </w:r>
      <w:r w:rsidR="006156A2" w:rsidRPr="004E053C">
        <w:rPr>
          <w:rFonts w:asciiTheme="minorHAnsi" w:hAnsiTheme="minorHAnsi" w:cstheme="majorHAnsi"/>
          <w:sz w:val="22"/>
          <w:szCs w:val="22"/>
        </w:rPr>
        <w:t xml:space="preserve">his chapter </w:t>
      </w:r>
      <w:r w:rsidR="00D97D13" w:rsidRPr="004E053C">
        <w:rPr>
          <w:rFonts w:asciiTheme="minorHAnsi" w:hAnsiTheme="minorHAnsi" w:cstheme="majorHAnsi"/>
          <w:sz w:val="22"/>
          <w:szCs w:val="22"/>
        </w:rPr>
        <w:t>therefore examines</w:t>
      </w:r>
      <w:r w:rsidR="006156A2" w:rsidRPr="004E053C">
        <w:rPr>
          <w:rFonts w:asciiTheme="minorHAnsi" w:hAnsiTheme="minorHAnsi" w:cstheme="majorHAnsi"/>
          <w:sz w:val="22"/>
          <w:szCs w:val="22"/>
        </w:rPr>
        <w:t xml:space="preserve"> the relationship between the translocal ASM commun</w:t>
      </w:r>
      <w:r w:rsidR="003C3465" w:rsidRPr="004E053C">
        <w:rPr>
          <w:rFonts w:asciiTheme="minorHAnsi" w:hAnsiTheme="minorHAnsi" w:cstheme="majorHAnsi"/>
          <w:sz w:val="22"/>
          <w:szCs w:val="22"/>
        </w:rPr>
        <w:t>ity and the dominant society, with a</w:t>
      </w:r>
      <w:r w:rsidR="006156A2" w:rsidRPr="004E053C">
        <w:rPr>
          <w:rFonts w:asciiTheme="minorHAnsi" w:hAnsiTheme="minorHAnsi" w:cstheme="majorHAnsi"/>
          <w:sz w:val="22"/>
          <w:szCs w:val="22"/>
        </w:rPr>
        <w:t xml:space="preserve"> particular </w:t>
      </w:r>
      <w:r w:rsidR="003C3465" w:rsidRPr="004E053C">
        <w:rPr>
          <w:rFonts w:asciiTheme="minorHAnsi" w:hAnsiTheme="minorHAnsi" w:cstheme="majorHAnsi"/>
          <w:sz w:val="22"/>
          <w:szCs w:val="22"/>
        </w:rPr>
        <w:t xml:space="preserve">focus on </w:t>
      </w:r>
      <w:r w:rsidR="00834AED" w:rsidRPr="004E053C">
        <w:rPr>
          <w:rFonts w:asciiTheme="minorHAnsi" w:hAnsiTheme="minorHAnsi" w:cstheme="majorHAnsi"/>
          <w:sz w:val="22"/>
          <w:szCs w:val="22"/>
        </w:rPr>
        <w:t>the S</w:t>
      </w:r>
      <w:r w:rsidR="006156A2" w:rsidRPr="004E053C">
        <w:rPr>
          <w:rFonts w:asciiTheme="minorHAnsi" w:hAnsiTheme="minorHAnsi" w:cstheme="majorHAnsi"/>
          <w:sz w:val="22"/>
          <w:szCs w:val="22"/>
        </w:rPr>
        <w:t xml:space="preserve">tate and conservation NGOs. </w:t>
      </w:r>
    </w:p>
    <w:p w14:paraId="342A70AB" w14:textId="77777777" w:rsidR="00D51819" w:rsidRPr="004E053C" w:rsidRDefault="00D51819" w:rsidP="004E053C">
      <w:pPr>
        <w:pStyle w:val="NormalWeb"/>
        <w:spacing w:before="0" w:beforeAutospacing="0" w:after="0" w:afterAutospacing="0" w:line="360" w:lineRule="auto"/>
        <w:jc w:val="both"/>
        <w:rPr>
          <w:rFonts w:asciiTheme="minorHAnsi" w:hAnsiTheme="minorHAnsi" w:cstheme="majorHAnsi"/>
          <w:sz w:val="22"/>
          <w:szCs w:val="22"/>
        </w:rPr>
      </w:pPr>
    </w:p>
    <w:p w14:paraId="565DD75B" w14:textId="5C09EF68"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While the translocal nature of mining livelihoods may weaken </w:t>
      </w:r>
      <w:r w:rsidR="00834AED" w:rsidRPr="004E053C">
        <w:rPr>
          <w:rFonts w:cstheme="majorHAnsi"/>
          <w:sz w:val="22"/>
          <w:szCs w:val="22"/>
          <w:lang w:val="en-GB"/>
        </w:rPr>
        <w:t>local community re</w:t>
      </w:r>
      <w:r w:rsidR="009221C6" w:rsidRPr="004E053C">
        <w:rPr>
          <w:rFonts w:cstheme="majorHAnsi"/>
          <w:sz w:val="22"/>
          <w:szCs w:val="22"/>
          <w:lang w:val="en-GB"/>
        </w:rPr>
        <w:t>lation</w:t>
      </w:r>
      <w:r w:rsidRPr="004E053C">
        <w:rPr>
          <w:rFonts w:cstheme="majorHAnsi"/>
          <w:sz w:val="22"/>
          <w:szCs w:val="22"/>
          <w:lang w:val="en-GB"/>
        </w:rPr>
        <w:t xml:space="preserve">s in some ways, the previous chapter </w:t>
      </w:r>
      <w:r w:rsidR="003D3B91" w:rsidRPr="004E053C">
        <w:rPr>
          <w:rFonts w:cstheme="majorHAnsi"/>
          <w:sz w:val="22"/>
          <w:szCs w:val="22"/>
          <w:lang w:val="en-GB"/>
        </w:rPr>
        <w:t>pointed to a</w:t>
      </w:r>
      <w:r w:rsidRPr="004E053C">
        <w:rPr>
          <w:rFonts w:cstheme="majorHAnsi"/>
          <w:sz w:val="22"/>
          <w:szCs w:val="22"/>
          <w:lang w:val="en-GB"/>
        </w:rPr>
        <w:t xml:space="preserve"> strong sense of community developing amongst t</w:t>
      </w:r>
      <w:r w:rsidR="003D3B91" w:rsidRPr="004E053C">
        <w:rPr>
          <w:rFonts w:cstheme="majorHAnsi"/>
          <w:sz w:val="22"/>
          <w:szCs w:val="22"/>
          <w:lang w:val="en-GB"/>
        </w:rPr>
        <w:t>he permanent</w:t>
      </w:r>
      <w:r w:rsidRPr="004E053C">
        <w:rPr>
          <w:rFonts w:cstheme="majorHAnsi"/>
          <w:sz w:val="22"/>
          <w:szCs w:val="22"/>
          <w:lang w:val="en-GB"/>
        </w:rPr>
        <w:t xml:space="preserve"> residents of Laberinto.</w:t>
      </w:r>
      <w:r w:rsidR="003D3B91" w:rsidRPr="004E053C">
        <w:rPr>
          <w:rFonts w:cstheme="majorHAnsi"/>
          <w:sz w:val="22"/>
          <w:szCs w:val="22"/>
          <w:lang w:val="en-GB"/>
        </w:rPr>
        <w:t xml:space="preserve"> This is most obvious in the way the residents engage collectively in resistance against the State, but is also reflected in the discourses they </w:t>
      </w:r>
      <w:r w:rsidRPr="004E053C">
        <w:rPr>
          <w:rFonts w:cstheme="majorHAnsi"/>
          <w:sz w:val="22"/>
          <w:szCs w:val="22"/>
          <w:lang w:val="en-GB"/>
        </w:rPr>
        <w:t>present about the relativ</w:t>
      </w:r>
      <w:r w:rsidR="003D3B91" w:rsidRPr="004E053C">
        <w:rPr>
          <w:rFonts w:cstheme="majorHAnsi"/>
          <w:sz w:val="22"/>
          <w:szCs w:val="22"/>
          <w:lang w:val="en-GB"/>
        </w:rPr>
        <w:t>e legality or illegality of ASM activity</w:t>
      </w:r>
      <w:r w:rsidRPr="004E053C">
        <w:rPr>
          <w:rFonts w:cstheme="majorHAnsi"/>
          <w:sz w:val="22"/>
          <w:szCs w:val="22"/>
          <w:lang w:val="en-GB"/>
        </w:rPr>
        <w:t xml:space="preserve"> within Laberinto, particularly when compared with that in other areas of Madre de Dios. Throughout fieldwork it was clear that what constituted illegality, informality and criminality were very much blurred. Not only is official Government policy extremely inconsistent, leading to confusion amongst key stakeholders, </w:t>
      </w:r>
      <w:r w:rsidR="005527DD" w:rsidRPr="004E053C">
        <w:rPr>
          <w:rFonts w:cstheme="majorHAnsi"/>
          <w:sz w:val="22"/>
          <w:szCs w:val="22"/>
          <w:lang w:val="en-GB"/>
        </w:rPr>
        <w:t>but also</w:t>
      </w:r>
      <w:r w:rsidRPr="004E053C">
        <w:rPr>
          <w:rFonts w:cstheme="majorHAnsi"/>
          <w:sz w:val="22"/>
          <w:szCs w:val="22"/>
          <w:lang w:val="en-GB"/>
        </w:rPr>
        <w:t xml:space="preserve"> miners and other actors appear to engage in discursive</w:t>
      </w:r>
      <w:r w:rsidR="0078064F" w:rsidRPr="004E053C">
        <w:rPr>
          <w:rFonts w:cstheme="majorHAnsi"/>
          <w:sz w:val="22"/>
          <w:szCs w:val="22"/>
          <w:lang w:val="en-GB"/>
        </w:rPr>
        <w:t xml:space="preserve"> processes in a bid to legitimis</w:t>
      </w:r>
      <w:r w:rsidRPr="004E053C">
        <w:rPr>
          <w:rFonts w:cstheme="majorHAnsi"/>
          <w:sz w:val="22"/>
          <w:szCs w:val="22"/>
          <w:lang w:val="en-GB"/>
        </w:rPr>
        <w:t xml:space="preserve">e behaviour and advance their own agendas. </w:t>
      </w:r>
      <w:r w:rsidR="003D3B91" w:rsidRPr="004E053C">
        <w:rPr>
          <w:rFonts w:cstheme="majorHAnsi"/>
          <w:sz w:val="22"/>
          <w:szCs w:val="22"/>
          <w:lang w:val="en-GB"/>
        </w:rPr>
        <w:t xml:space="preserve">In doing so, the residents are attempting to </w:t>
      </w:r>
      <w:r w:rsidRPr="004E053C">
        <w:rPr>
          <w:rFonts w:cstheme="majorHAnsi"/>
          <w:sz w:val="22"/>
          <w:szCs w:val="22"/>
          <w:lang w:val="en-GB"/>
        </w:rPr>
        <w:t xml:space="preserve">protect or improve their </w:t>
      </w:r>
      <w:r w:rsidR="003D3B91" w:rsidRPr="004E053C">
        <w:rPr>
          <w:rFonts w:cstheme="majorHAnsi"/>
          <w:sz w:val="22"/>
          <w:szCs w:val="22"/>
          <w:lang w:val="en-GB"/>
        </w:rPr>
        <w:t xml:space="preserve">own </w:t>
      </w:r>
      <w:r w:rsidRPr="004E053C">
        <w:rPr>
          <w:rFonts w:cstheme="majorHAnsi"/>
          <w:sz w:val="22"/>
          <w:szCs w:val="22"/>
          <w:lang w:val="en-GB"/>
        </w:rPr>
        <w:t>position</w:t>
      </w:r>
      <w:r w:rsidR="003D3B91" w:rsidRPr="004E053C">
        <w:rPr>
          <w:rFonts w:cstheme="majorHAnsi"/>
          <w:sz w:val="22"/>
          <w:szCs w:val="22"/>
          <w:lang w:val="en-GB"/>
        </w:rPr>
        <w:t>, but at the same time the</w:t>
      </w:r>
      <w:r w:rsidR="00D97D13" w:rsidRPr="004E053C">
        <w:rPr>
          <w:rFonts w:cstheme="majorHAnsi"/>
          <w:sz w:val="22"/>
          <w:szCs w:val="22"/>
          <w:lang w:val="en-GB"/>
        </w:rPr>
        <w:t>ir</w:t>
      </w:r>
      <w:r w:rsidR="003D3B91" w:rsidRPr="004E053C">
        <w:rPr>
          <w:rFonts w:cstheme="majorHAnsi"/>
          <w:sz w:val="22"/>
          <w:szCs w:val="22"/>
          <w:lang w:val="en-GB"/>
        </w:rPr>
        <w:t xml:space="preserve"> interactions with other societal domains may eventually reshape the field itself and the rules and logics within it</w:t>
      </w:r>
      <w:r w:rsidR="00D97D13" w:rsidRPr="004E053C">
        <w:rPr>
          <w:rFonts w:cstheme="majorHAnsi"/>
          <w:sz w:val="22"/>
          <w:szCs w:val="22"/>
          <w:lang w:val="en-GB"/>
        </w:rPr>
        <w:t xml:space="preserve">. </w:t>
      </w:r>
      <w:r w:rsidRPr="004E053C">
        <w:rPr>
          <w:rFonts w:cstheme="majorHAnsi"/>
          <w:sz w:val="22"/>
          <w:szCs w:val="22"/>
          <w:lang w:val="en-GB"/>
        </w:rPr>
        <w:t xml:space="preserve">This chapter attempts to provide an analysis of </w:t>
      </w:r>
      <w:r w:rsidR="003D3B91" w:rsidRPr="004E053C">
        <w:rPr>
          <w:rFonts w:cstheme="majorHAnsi"/>
          <w:sz w:val="22"/>
          <w:szCs w:val="22"/>
          <w:lang w:val="en-GB"/>
        </w:rPr>
        <w:t xml:space="preserve">the discourses and </w:t>
      </w:r>
      <w:r w:rsidRPr="004E053C">
        <w:rPr>
          <w:rFonts w:cstheme="majorHAnsi"/>
          <w:sz w:val="22"/>
          <w:szCs w:val="22"/>
          <w:lang w:val="en-GB"/>
        </w:rPr>
        <w:t xml:space="preserve">narratives </w:t>
      </w:r>
      <w:r w:rsidR="003D3B91" w:rsidRPr="004E053C">
        <w:rPr>
          <w:rFonts w:cstheme="majorHAnsi"/>
          <w:sz w:val="22"/>
          <w:szCs w:val="22"/>
          <w:lang w:val="en-GB"/>
        </w:rPr>
        <w:t xml:space="preserve">presented by the miners and other permanent residents </w:t>
      </w:r>
      <w:r w:rsidRPr="004E053C">
        <w:rPr>
          <w:rFonts w:cstheme="majorHAnsi"/>
          <w:sz w:val="22"/>
          <w:szCs w:val="22"/>
          <w:lang w:val="en-GB"/>
        </w:rPr>
        <w:t xml:space="preserve">in comparison to that posited by </w:t>
      </w:r>
      <w:r w:rsidRPr="004E053C">
        <w:rPr>
          <w:rFonts w:cstheme="majorHAnsi"/>
          <w:sz w:val="22"/>
          <w:szCs w:val="22"/>
          <w:lang w:val="en-GB"/>
        </w:rPr>
        <w:lastRenderedPageBreak/>
        <w:t>the Government</w:t>
      </w:r>
      <w:r w:rsidR="003D3B91" w:rsidRPr="004E053C">
        <w:rPr>
          <w:rFonts w:cstheme="majorHAnsi"/>
          <w:sz w:val="22"/>
          <w:szCs w:val="22"/>
          <w:lang w:val="en-GB"/>
        </w:rPr>
        <w:t>, the media and public opinion</w:t>
      </w:r>
      <w:r w:rsidR="00D97D13" w:rsidRPr="004E053C">
        <w:rPr>
          <w:rFonts w:cstheme="majorHAnsi"/>
          <w:sz w:val="22"/>
          <w:szCs w:val="22"/>
          <w:lang w:val="en-GB"/>
        </w:rPr>
        <w:t>, as this is a key element of their interaction with the dominant society</w:t>
      </w:r>
      <w:r w:rsidR="003D3B91" w:rsidRPr="004E053C">
        <w:rPr>
          <w:rFonts w:cstheme="majorHAnsi"/>
          <w:sz w:val="22"/>
          <w:szCs w:val="22"/>
          <w:lang w:val="en-GB"/>
        </w:rPr>
        <w:t xml:space="preserve">. It will also point to differences with the narratives adopted by the temporary/floating </w:t>
      </w:r>
      <w:r w:rsidRPr="004E053C">
        <w:rPr>
          <w:rFonts w:cstheme="majorHAnsi"/>
          <w:sz w:val="22"/>
          <w:szCs w:val="22"/>
          <w:lang w:val="en-GB"/>
        </w:rPr>
        <w:t xml:space="preserve">miners, </w:t>
      </w:r>
      <w:r w:rsidR="00D97D13" w:rsidRPr="004E053C">
        <w:rPr>
          <w:rFonts w:cstheme="majorHAnsi"/>
          <w:sz w:val="22"/>
          <w:szCs w:val="22"/>
          <w:lang w:val="en-GB"/>
        </w:rPr>
        <w:t>as this reinforces the implications of the temporal nature of translocal livelihoods</w:t>
      </w:r>
      <w:r w:rsidRPr="004E053C">
        <w:rPr>
          <w:rFonts w:cstheme="majorHAnsi"/>
          <w:sz w:val="22"/>
          <w:szCs w:val="22"/>
          <w:lang w:val="en-GB"/>
        </w:rPr>
        <w:t xml:space="preserve">. </w:t>
      </w:r>
    </w:p>
    <w:p w14:paraId="691BB365" w14:textId="77777777" w:rsidR="003E574E" w:rsidRPr="004E053C" w:rsidRDefault="003E574E" w:rsidP="004E053C">
      <w:pPr>
        <w:spacing w:line="360" w:lineRule="auto"/>
        <w:jc w:val="both"/>
        <w:rPr>
          <w:rFonts w:cstheme="majorHAnsi"/>
          <w:sz w:val="22"/>
          <w:szCs w:val="22"/>
          <w:lang w:val="en-GB"/>
        </w:rPr>
      </w:pPr>
    </w:p>
    <w:p w14:paraId="1127F1F9" w14:textId="42178E07" w:rsidR="00E910C5"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The chapter will initially </w:t>
      </w:r>
      <w:r w:rsidR="00834AED" w:rsidRPr="004E053C">
        <w:rPr>
          <w:rFonts w:cstheme="majorHAnsi"/>
          <w:sz w:val="22"/>
          <w:szCs w:val="22"/>
          <w:lang w:val="en-GB"/>
        </w:rPr>
        <w:t>outline the inconsistencies in G</w:t>
      </w:r>
      <w:r w:rsidRPr="004E053C">
        <w:rPr>
          <w:rFonts w:cstheme="majorHAnsi"/>
          <w:sz w:val="22"/>
          <w:szCs w:val="22"/>
          <w:lang w:val="en-GB"/>
        </w:rPr>
        <w:t xml:space="preserve">overnment policy with regard to ASM livelihoods that </w:t>
      </w:r>
      <w:r w:rsidR="00AD6CB2" w:rsidRPr="004E053C">
        <w:rPr>
          <w:rFonts w:cstheme="majorHAnsi"/>
          <w:sz w:val="22"/>
          <w:szCs w:val="22"/>
          <w:lang w:val="en-GB"/>
        </w:rPr>
        <w:t xml:space="preserve">have not only shaped the social field </w:t>
      </w:r>
      <w:r w:rsidR="00FD08A2" w:rsidRPr="004E053C">
        <w:rPr>
          <w:rFonts w:cstheme="majorHAnsi"/>
          <w:sz w:val="22"/>
          <w:szCs w:val="22"/>
          <w:lang w:val="en-GB"/>
        </w:rPr>
        <w:t xml:space="preserve">and the contestations within it, </w:t>
      </w:r>
      <w:r w:rsidR="00AD6CB2" w:rsidRPr="004E053C">
        <w:rPr>
          <w:rFonts w:cstheme="majorHAnsi"/>
          <w:sz w:val="22"/>
          <w:szCs w:val="22"/>
          <w:lang w:val="en-GB"/>
        </w:rPr>
        <w:t xml:space="preserve">but have ultimately </w:t>
      </w:r>
      <w:r w:rsidRPr="004E053C">
        <w:rPr>
          <w:rFonts w:cstheme="majorHAnsi"/>
          <w:sz w:val="22"/>
          <w:szCs w:val="22"/>
          <w:lang w:val="en-GB"/>
        </w:rPr>
        <w:t xml:space="preserve">provided scope for competing definitions of illegality to emerge. It will go on to explain the Government’s lack of differentiation between miners working within the mining corridor with those working outside of it, and how this creates a place-based </w:t>
      </w:r>
      <w:r w:rsidR="005527DD" w:rsidRPr="004E053C">
        <w:rPr>
          <w:rFonts w:cstheme="majorHAnsi"/>
          <w:sz w:val="22"/>
          <w:szCs w:val="22"/>
          <w:lang w:val="en-GB"/>
        </w:rPr>
        <w:t>grievance that</w:t>
      </w:r>
      <w:r w:rsidRPr="004E053C">
        <w:rPr>
          <w:rFonts w:cstheme="majorHAnsi"/>
          <w:sz w:val="22"/>
          <w:szCs w:val="22"/>
          <w:lang w:val="en-GB"/>
        </w:rPr>
        <w:t xml:space="preserve"> is collectively shared amongst the </w:t>
      </w:r>
      <w:r w:rsidR="00FD08A2" w:rsidRPr="004E053C">
        <w:rPr>
          <w:rFonts w:cstheme="majorHAnsi"/>
          <w:sz w:val="22"/>
          <w:szCs w:val="22"/>
          <w:lang w:val="en-GB"/>
        </w:rPr>
        <w:t>residents of Laberinto</w:t>
      </w:r>
      <w:r w:rsidRPr="004E053C">
        <w:rPr>
          <w:rFonts w:cstheme="majorHAnsi"/>
          <w:sz w:val="22"/>
          <w:szCs w:val="22"/>
          <w:lang w:val="en-GB"/>
        </w:rPr>
        <w:t>. Several links will be drawn between place attachment, the illicit ASM liv</w:t>
      </w:r>
      <w:r w:rsidR="00F6233C" w:rsidRPr="004E053C">
        <w:rPr>
          <w:rFonts w:cstheme="majorHAnsi"/>
          <w:sz w:val="22"/>
          <w:szCs w:val="22"/>
          <w:lang w:val="en-GB"/>
        </w:rPr>
        <w:t xml:space="preserve">elihood and community identity, </w:t>
      </w:r>
      <w:r w:rsidRPr="004E053C">
        <w:rPr>
          <w:rFonts w:cstheme="majorHAnsi"/>
          <w:sz w:val="22"/>
          <w:szCs w:val="22"/>
          <w:lang w:val="en-GB"/>
        </w:rPr>
        <w:t xml:space="preserve">based primarily on spatial grievances and the threat to local lives and livelihoods. The role of FEDAMIN will also be discussed, to show how </w:t>
      </w:r>
      <w:r w:rsidR="00AD6CB2" w:rsidRPr="004E053C">
        <w:rPr>
          <w:rFonts w:cstheme="majorHAnsi"/>
          <w:sz w:val="22"/>
          <w:szCs w:val="22"/>
          <w:lang w:val="en-GB"/>
        </w:rPr>
        <w:t>local</w:t>
      </w:r>
      <w:r w:rsidR="0078064F" w:rsidRPr="004E053C">
        <w:rPr>
          <w:rFonts w:cstheme="majorHAnsi"/>
          <w:sz w:val="22"/>
          <w:szCs w:val="22"/>
          <w:lang w:val="en-GB"/>
        </w:rPr>
        <w:t xml:space="preserve"> organis</w:t>
      </w:r>
      <w:r w:rsidRPr="004E053C">
        <w:rPr>
          <w:rFonts w:cstheme="majorHAnsi"/>
          <w:sz w:val="22"/>
          <w:szCs w:val="22"/>
          <w:lang w:val="en-GB"/>
        </w:rPr>
        <w:t xml:space="preserve">ation has </w:t>
      </w:r>
      <w:r w:rsidR="00AD6CB2" w:rsidRPr="004E053C">
        <w:rPr>
          <w:rFonts w:cstheme="majorHAnsi"/>
          <w:sz w:val="22"/>
          <w:szCs w:val="22"/>
          <w:lang w:val="en-GB"/>
        </w:rPr>
        <w:t>aided the</w:t>
      </w:r>
      <w:r w:rsidRPr="004E053C">
        <w:rPr>
          <w:rFonts w:cstheme="majorHAnsi"/>
          <w:sz w:val="22"/>
          <w:szCs w:val="22"/>
          <w:lang w:val="en-GB"/>
        </w:rPr>
        <w:t xml:space="preserve"> development of a strong community identity. This is crucial for showing how persecution and </w:t>
      </w:r>
      <w:r w:rsidR="0078064F" w:rsidRPr="004E053C">
        <w:rPr>
          <w:rFonts w:cstheme="majorHAnsi"/>
          <w:sz w:val="22"/>
          <w:szCs w:val="22"/>
          <w:lang w:val="en-GB"/>
        </w:rPr>
        <w:t>marginalis</w:t>
      </w:r>
      <w:r w:rsidRPr="004E053C">
        <w:rPr>
          <w:rFonts w:cstheme="majorHAnsi"/>
          <w:sz w:val="22"/>
          <w:szCs w:val="22"/>
          <w:lang w:val="en-GB"/>
        </w:rPr>
        <w:t>ation of ASM c</w:t>
      </w:r>
      <w:r w:rsidR="00AD6CB2" w:rsidRPr="004E053C">
        <w:rPr>
          <w:rFonts w:cstheme="majorHAnsi"/>
          <w:sz w:val="22"/>
          <w:szCs w:val="22"/>
          <w:lang w:val="en-GB"/>
        </w:rPr>
        <w:t xml:space="preserve">ommunities can result in active </w:t>
      </w:r>
      <w:r w:rsidRPr="004E053C">
        <w:rPr>
          <w:rFonts w:cstheme="majorHAnsi"/>
          <w:sz w:val="22"/>
          <w:szCs w:val="22"/>
          <w:lang w:val="en-GB"/>
        </w:rPr>
        <w:t xml:space="preserve">resistance against the </w:t>
      </w:r>
      <w:r w:rsidR="00FD08A2" w:rsidRPr="004E053C">
        <w:rPr>
          <w:rFonts w:cstheme="majorHAnsi"/>
          <w:sz w:val="22"/>
          <w:szCs w:val="22"/>
          <w:lang w:val="en-GB"/>
        </w:rPr>
        <w:t>field of power</w:t>
      </w:r>
      <w:r w:rsidRPr="004E053C">
        <w:rPr>
          <w:rFonts w:cstheme="majorHAnsi"/>
          <w:sz w:val="22"/>
          <w:szCs w:val="22"/>
          <w:lang w:val="en-GB"/>
        </w:rPr>
        <w:t xml:space="preserve">, but </w:t>
      </w:r>
      <w:r w:rsidR="00AD6CB2" w:rsidRPr="004E053C">
        <w:rPr>
          <w:rFonts w:cstheme="majorHAnsi"/>
          <w:sz w:val="22"/>
          <w:szCs w:val="22"/>
          <w:lang w:val="en-GB"/>
        </w:rPr>
        <w:t xml:space="preserve">moreover, how this process is hindered </w:t>
      </w:r>
      <w:r w:rsidRPr="004E053C">
        <w:rPr>
          <w:rFonts w:cstheme="majorHAnsi"/>
          <w:sz w:val="22"/>
          <w:szCs w:val="22"/>
          <w:lang w:val="en-GB"/>
        </w:rPr>
        <w:t>by the translocality</w:t>
      </w:r>
      <w:r w:rsidR="00AD6CB2" w:rsidRPr="004E053C">
        <w:rPr>
          <w:rFonts w:cstheme="majorHAnsi"/>
          <w:sz w:val="22"/>
          <w:szCs w:val="22"/>
          <w:lang w:val="en-GB"/>
        </w:rPr>
        <w:t xml:space="preserve"> of mining livelihoods through limiting</w:t>
      </w:r>
      <w:r w:rsidRPr="004E053C">
        <w:rPr>
          <w:rFonts w:cstheme="majorHAnsi"/>
          <w:sz w:val="22"/>
          <w:szCs w:val="22"/>
          <w:lang w:val="en-GB"/>
        </w:rPr>
        <w:t xml:space="preserve"> </w:t>
      </w:r>
      <w:r w:rsidR="00FD08A2" w:rsidRPr="004E053C">
        <w:rPr>
          <w:rFonts w:cstheme="majorHAnsi"/>
          <w:sz w:val="22"/>
          <w:szCs w:val="22"/>
          <w:lang w:val="en-GB"/>
        </w:rPr>
        <w:t xml:space="preserve">both </w:t>
      </w:r>
      <w:r w:rsidRPr="004E053C">
        <w:rPr>
          <w:rFonts w:cstheme="majorHAnsi"/>
          <w:sz w:val="22"/>
          <w:szCs w:val="22"/>
          <w:lang w:val="en-GB"/>
        </w:rPr>
        <w:t xml:space="preserve">place-attachment and </w:t>
      </w:r>
      <w:r w:rsidR="00AD6CB2" w:rsidRPr="004E053C">
        <w:rPr>
          <w:rFonts w:cstheme="majorHAnsi"/>
          <w:sz w:val="22"/>
          <w:szCs w:val="22"/>
          <w:lang w:val="en-GB"/>
        </w:rPr>
        <w:t xml:space="preserve">the development of a </w:t>
      </w:r>
      <w:r w:rsidRPr="004E053C">
        <w:rPr>
          <w:rFonts w:cstheme="majorHAnsi"/>
          <w:sz w:val="22"/>
          <w:szCs w:val="22"/>
          <w:lang w:val="en-GB"/>
        </w:rPr>
        <w:t xml:space="preserve">community identity. The chapter will go on to demonstrate how the strong community identity that exists between </w:t>
      </w:r>
      <w:r w:rsidR="00D3785B" w:rsidRPr="004E053C">
        <w:rPr>
          <w:rFonts w:cstheme="majorHAnsi"/>
          <w:sz w:val="22"/>
          <w:szCs w:val="22"/>
          <w:lang w:val="en-GB"/>
        </w:rPr>
        <w:t>permanent</w:t>
      </w:r>
      <w:r w:rsidRPr="004E053C">
        <w:rPr>
          <w:rFonts w:cstheme="majorHAnsi"/>
          <w:sz w:val="22"/>
          <w:szCs w:val="22"/>
          <w:lang w:val="en-GB"/>
        </w:rPr>
        <w:t xml:space="preserve"> miners is reflected in discourses of i</w:t>
      </w:r>
      <w:r w:rsidR="0078064F" w:rsidRPr="004E053C">
        <w:rPr>
          <w:rFonts w:cstheme="majorHAnsi"/>
          <w:sz w:val="22"/>
          <w:szCs w:val="22"/>
          <w:lang w:val="en-GB"/>
        </w:rPr>
        <w:t>llegality, designed to legitimis</w:t>
      </w:r>
      <w:r w:rsidRPr="004E053C">
        <w:rPr>
          <w:rFonts w:cstheme="majorHAnsi"/>
          <w:sz w:val="22"/>
          <w:szCs w:val="22"/>
          <w:lang w:val="en-GB"/>
        </w:rPr>
        <w:t>e ASM activity in Laberint</w:t>
      </w:r>
      <w:r w:rsidR="0078064F" w:rsidRPr="004E053C">
        <w:rPr>
          <w:rFonts w:cstheme="majorHAnsi"/>
          <w:sz w:val="22"/>
          <w:szCs w:val="22"/>
          <w:lang w:val="en-GB"/>
        </w:rPr>
        <w:t>o through processes of neutralis</w:t>
      </w:r>
      <w:r w:rsidRPr="004E053C">
        <w:rPr>
          <w:rFonts w:cstheme="majorHAnsi"/>
          <w:sz w:val="22"/>
          <w:szCs w:val="22"/>
          <w:lang w:val="en-GB"/>
        </w:rPr>
        <w:t>ation. This has firstly involved a construction</w:t>
      </w:r>
      <w:r w:rsidR="0078064F" w:rsidRPr="004E053C">
        <w:rPr>
          <w:rFonts w:cstheme="majorHAnsi"/>
          <w:sz w:val="22"/>
          <w:szCs w:val="22"/>
          <w:lang w:val="en-GB"/>
        </w:rPr>
        <w:t xml:space="preserve"> of the </w:t>
      </w:r>
      <w:r w:rsidR="003B5DCB" w:rsidRPr="004E053C">
        <w:rPr>
          <w:rFonts w:cstheme="majorHAnsi"/>
          <w:sz w:val="22"/>
          <w:szCs w:val="22"/>
          <w:lang w:val="en-GB"/>
        </w:rPr>
        <w:t>‘other’</w:t>
      </w:r>
      <w:r w:rsidR="0078064F" w:rsidRPr="004E053C">
        <w:rPr>
          <w:rFonts w:cstheme="majorHAnsi"/>
          <w:sz w:val="22"/>
          <w:szCs w:val="22"/>
          <w:lang w:val="en-GB"/>
        </w:rPr>
        <w:t>, which neutralis</w:t>
      </w:r>
      <w:r w:rsidRPr="004E053C">
        <w:rPr>
          <w:rFonts w:cstheme="majorHAnsi"/>
          <w:sz w:val="22"/>
          <w:szCs w:val="22"/>
          <w:lang w:val="en-GB"/>
        </w:rPr>
        <w:t>es the deviant behavio</w:t>
      </w:r>
      <w:r w:rsidR="00834AED" w:rsidRPr="004E053C">
        <w:rPr>
          <w:rFonts w:cstheme="majorHAnsi"/>
          <w:sz w:val="22"/>
          <w:szCs w:val="22"/>
          <w:lang w:val="en-GB"/>
        </w:rPr>
        <w:t>u</w:t>
      </w:r>
      <w:r w:rsidRPr="004E053C">
        <w:rPr>
          <w:rFonts w:cstheme="majorHAnsi"/>
          <w:sz w:val="22"/>
          <w:szCs w:val="22"/>
          <w:lang w:val="en-GB"/>
        </w:rPr>
        <w:t>r of the ASM community in Laberinto by posi</w:t>
      </w:r>
      <w:r w:rsidR="003B5DCB" w:rsidRPr="004E053C">
        <w:rPr>
          <w:rFonts w:cstheme="majorHAnsi"/>
          <w:sz w:val="22"/>
          <w:szCs w:val="22"/>
          <w:lang w:val="en-GB"/>
        </w:rPr>
        <w:t>tioning themselves against the ‘more deviant’</w:t>
      </w:r>
      <w:r w:rsidRPr="004E053C">
        <w:rPr>
          <w:rFonts w:cstheme="majorHAnsi"/>
          <w:sz w:val="22"/>
          <w:szCs w:val="22"/>
          <w:lang w:val="en-GB"/>
        </w:rPr>
        <w:t xml:space="preserve"> miners in La Pampa, whilst also seeking</w:t>
      </w:r>
      <w:r w:rsidR="0078064F" w:rsidRPr="004E053C">
        <w:rPr>
          <w:rFonts w:cstheme="majorHAnsi"/>
          <w:sz w:val="22"/>
          <w:szCs w:val="22"/>
          <w:lang w:val="en-GB"/>
        </w:rPr>
        <w:t xml:space="preserve"> to delegitimis</w:t>
      </w:r>
      <w:r w:rsidRPr="004E053C">
        <w:rPr>
          <w:rFonts w:cstheme="majorHAnsi"/>
          <w:sz w:val="22"/>
          <w:szCs w:val="22"/>
          <w:lang w:val="en-GB"/>
        </w:rPr>
        <w:t xml:space="preserve">e the dominant </w:t>
      </w:r>
      <w:r w:rsidR="005527DD" w:rsidRPr="004E053C">
        <w:rPr>
          <w:rFonts w:cstheme="majorHAnsi"/>
          <w:sz w:val="22"/>
          <w:szCs w:val="22"/>
          <w:lang w:val="en-GB"/>
        </w:rPr>
        <w:t>society that</w:t>
      </w:r>
      <w:r w:rsidRPr="004E053C">
        <w:rPr>
          <w:rFonts w:cstheme="majorHAnsi"/>
          <w:sz w:val="22"/>
          <w:szCs w:val="22"/>
          <w:lang w:val="en-GB"/>
        </w:rPr>
        <w:t xml:space="preserve"> has </w:t>
      </w:r>
      <w:r w:rsidR="00D3785B" w:rsidRPr="004E053C">
        <w:rPr>
          <w:rFonts w:cstheme="majorHAnsi"/>
          <w:sz w:val="22"/>
          <w:szCs w:val="22"/>
          <w:lang w:val="en-GB"/>
        </w:rPr>
        <w:t>labelled</w:t>
      </w:r>
      <w:r w:rsidRPr="004E053C">
        <w:rPr>
          <w:rFonts w:cstheme="majorHAnsi"/>
          <w:sz w:val="22"/>
          <w:szCs w:val="22"/>
          <w:lang w:val="en-GB"/>
        </w:rPr>
        <w:t xml:space="preserve"> them as deviant. </w:t>
      </w:r>
    </w:p>
    <w:p w14:paraId="252F6C56" w14:textId="77777777" w:rsidR="003E574E" w:rsidRPr="004E053C" w:rsidRDefault="003E574E" w:rsidP="004E053C">
      <w:pPr>
        <w:spacing w:line="360" w:lineRule="auto"/>
        <w:jc w:val="both"/>
        <w:rPr>
          <w:rFonts w:cstheme="majorHAnsi"/>
          <w:sz w:val="22"/>
          <w:szCs w:val="22"/>
          <w:lang w:val="en-GB"/>
        </w:rPr>
      </w:pPr>
    </w:p>
    <w:p w14:paraId="557C1BEE" w14:textId="5F89732A" w:rsidR="00E910C5" w:rsidRPr="004E053C" w:rsidRDefault="00EA7F83" w:rsidP="004E053C">
      <w:pPr>
        <w:pStyle w:val="Heading2"/>
        <w:spacing w:before="0" w:line="360" w:lineRule="auto"/>
        <w:jc w:val="both"/>
        <w:rPr>
          <w:rFonts w:cstheme="majorHAnsi"/>
          <w:lang w:val="en-GB"/>
        </w:rPr>
      </w:pPr>
      <w:bookmarkStart w:id="103" w:name="_Toc33293129"/>
      <w:r w:rsidRPr="004E053C">
        <w:rPr>
          <w:rFonts w:cstheme="majorHAnsi"/>
          <w:lang w:val="en-GB"/>
        </w:rPr>
        <w:t>9</w:t>
      </w:r>
      <w:r w:rsidR="005252FE" w:rsidRPr="004E053C">
        <w:rPr>
          <w:rFonts w:cstheme="majorHAnsi"/>
          <w:lang w:val="en-GB"/>
        </w:rPr>
        <w:t>.</w:t>
      </w:r>
      <w:r w:rsidR="003E574E" w:rsidRPr="004E053C">
        <w:rPr>
          <w:rFonts w:cstheme="majorHAnsi"/>
          <w:lang w:val="en-GB"/>
        </w:rPr>
        <w:t>2. ASM policy inconsistencies</w:t>
      </w:r>
      <w:bookmarkEnd w:id="103"/>
    </w:p>
    <w:p w14:paraId="0A4D9BE5" w14:textId="77777777" w:rsidR="003E574E" w:rsidRPr="004E053C" w:rsidRDefault="003E574E" w:rsidP="004E053C">
      <w:pPr>
        <w:spacing w:line="360" w:lineRule="auto"/>
        <w:jc w:val="both"/>
        <w:rPr>
          <w:rFonts w:cstheme="majorHAnsi"/>
          <w:sz w:val="22"/>
          <w:szCs w:val="22"/>
          <w:lang w:val="en-GB"/>
        </w:rPr>
      </w:pPr>
    </w:p>
    <w:p w14:paraId="5E626799" w14:textId="073CBB12" w:rsidR="003E574E" w:rsidRPr="004E053C" w:rsidRDefault="0078064F" w:rsidP="004E053C">
      <w:pPr>
        <w:spacing w:line="360" w:lineRule="auto"/>
        <w:jc w:val="both"/>
        <w:rPr>
          <w:rFonts w:cstheme="majorHAnsi"/>
          <w:sz w:val="22"/>
          <w:szCs w:val="22"/>
          <w:lang w:val="en-GB"/>
        </w:rPr>
      </w:pPr>
      <w:r w:rsidRPr="004E053C">
        <w:rPr>
          <w:rFonts w:cstheme="majorHAnsi"/>
          <w:sz w:val="22"/>
          <w:szCs w:val="22"/>
          <w:lang w:val="en-GB"/>
        </w:rPr>
        <w:t>Echoing theoris</w:t>
      </w:r>
      <w:r w:rsidR="00C27B83" w:rsidRPr="004E053C">
        <w:rPr>
          <w:rFonts w:cstheme="majorHAnsi"/>
          <w:sz w:val="22"/>
          <w:szCs w:val="22"/>
          <w:lang w:val="en-GB"/>
        </w:rPr>
        <w:t xml:space="preserve">ation by Trouillot </w:t>
      </w:r>
      <w:r w:rsidR="00C27B83" w:rsidRPr="004E053C">
        <w:rPr>
          <w:rFonts w:cstheme="majorHAnsi"/>
          <w:sz w:val="22"/>
          <w:szCs w:val="22"/>
          <w:lang w:val="en-GB"/>
        </w:rPr>
        <w:fldChar w:fldCharType="begin" w:fldLock="1"/>
      </w:r>
      <w:r w:rsidR="00C27B83" w:rsidRPr="004E053C">
        <w:rPr>
          <w:rFonts w:cstheme="majorHAnsi"/>
          <w:sz w:val="22"/>
          <w:szCs w:val="22"/>
          <w:lang w:val="en-GB"/>
        </w:rPr>
        <w:instrText>ADDIN CSL_CITATION {"citationItems":[{"id":"ITEM-1","itemData":{"author":[{"dropping-particle":"","family":"Trouillot","given":"MichelRolph","non-dropping-particle":"","parse-names":false,"suffix":""}],"container-title":"Current Anthropology","id":"ITEM-1","issue":"1","issued":{"date-parts":[["2001"]]},"page":"125-138.","title":"The Anthropology of the State in the Age of Globalization","type":"article-journal","volume":"42"},"uris":["http://www.mendeley.com/documents/?uuid=0c9539f1-ef9e-48ea-8abc-146ccbb1a595"]}],"mendeley":{"formattedCitation":"(Trouillot, 2001)","manualFormatting":"(2001)","plainTextFormattedCitation":"(Trouillot, 2001)","previouslyFormattedCitation":"(Trouillot, 2001)"},"properties":{"noteIndex":0},"schema":"https://github.com/citation-style-language/schema/raw/master/csl-citation.json"}</w:instrText>
      </w:r>
      <w:r w:rsidR="00C27B83" w:rsidRPr="004E053C">
        <w:rPr>
          <w:rFonts w:cstheme="majorHAnsi"/>
          <w:sz w:val="22"/>
          <w:szCs w:val="22"/>
          <w:lang w:val="en-GB"/>
        </w:rPr>
        <w:fldChar w:fldCharType="separate"/>
      </w:r>
      <w:r w:rsidR="00C27B83" w:rsidRPr="004E053C">
        <w:rPr>
          <w:rFonts w:cstheme="majorHAnsi"/>
          <w:noProof/>
          <w:sz w:val="22"/>
          <w:szCs w:val="22"/>
          <w:lang w:val="en-GB"/>
        </w:rPr>
        <w:t>(2001)</w:t>
      </w:r>
      <w:r w:rsidR="00C27B83" w:rsidRPr="004E053C">
        <w:rPr>
          <w:rFonts w:cstheme="majorHAnsi"/>
          <w:sz w:val="22"/>
          <w:szCs w:val="22"/>
          <w:lang w:val="en-GB"/>
        </w:rPr>
        <w:fldChar w:fldCharType="end"/>
      </w:r>
      <w:r w:rsidR="003E574E" w:rsidRPr="004E053C">
        <w:rPr>
          <w:rFonts w:cstheme="majorHAnsi"/>
          <w:sz w:val="22"/>
          <w:szCs w:val="22"/>
          <w:lang w:val="en-GB"/>
        </w:rPr>
        <w:t>, the policies and actions of the state in relation to ASM have come to life in the social context in Madre de Dios in wa</w:t>
      </w:r>
      <w:r w:rsidR="00834AED" w:rsidRPr="004E053C">
        <w:rPr>
          <w:rFonts w:cstheme="majorHAnsi"/>
          <w:sz w:val="22"/>
          <w:szCs w:val="22"/>
          <w:lang w:val="en-GB"/>
        </w:rPr>
        <w:t>ys that it does not control and perhaps</w:t>
      </w:r>
      <w:r w:rsidR="003E574E" w:rsidRPr="004E053C">
        <w:rPr>
          <w:rFonts w:cstheme="majorHAnsi"/>
          <w:sz w:val="22"/>
          <w:szCs w:val="22"/>
          <w:lang w:val="en-GB"/>
        </w:rPr>
        <w:t xml:space="preserve"> were not envisaged. As has been discussed already in this thesis, the government </w:t>
      </w:r>
      <w:r w:rsidR="005527DD" w:rsidRPr="004E053C">
        <w:rPr>
          <w:rFonts w:cstheme="majorHAnsi"/>
          <w:sz w:val="22"/>
          <w:szCs w:val="22"/>
          <w:lang w:val="en-GB"/>
        </w:rPr>
        <w:t>poli</w:t>
      </w:r>
      <w:r w:rsidR="00D3327C" w:rsidRPr="004E053C">
        <w:rPr>
          <w:rFonts w:cstheme="majorHAnsi"/>
          <w:sz w:val="22"/>
          <w:szCs w:val="22"/>
          <w:lang w:val="en-GB"/>
        </w:rPr>
        <w:t>cies that supported both colonis</w:t>
      </w:r>
      <w:r w:rsidR="005527DD" w:rsidRPr="004E053C">
        <w:rPr>
          <w:rFonts w:cstheme="majorHAnsi"/>
          <w:sz w:val="22"/>
          <w:szCs w:val="22"/>
          <w:lang w:val="en-GB"/>
        </w:rPr>
        <w:t>ation of the Amazonian frontier and small-scale resource extraction</w:t>
      </w:r>
      <w:r w:rsidR="003E574E" w:rsidRPr="004E053C">
        <w:rPr>
          <w:rFonts w:cstheme="majorHAnsi"/>
          <w:sz w:val="22"/>
          <w:szCs w:val="22"/>
          <w:lang w:val="en-GB"/>
        </w:rPr>
        <w:t xml:space="preserve"> were replaced in the 1990’s with economic liberali</w:t>
      </w:r>
      <w:r w:rsidR="00D3327C" w:rsidRPr="004E053C">
        <w:rPr>
          <w:rFonts w:cstheme="majorHAnsi"/>
          <w:sz w:val="22"/>
          <w:szCs w:val="22"/>
          <w:lang w:val="en-GB"/>
        </w:rPr>
        <w:t>s</w:t>
      </w:r>
      <w:r w:rsidR="003E574E" w:rsidRPr="004E053C">
        <w:rPr>
          <w:rFonts w:cstheme="majorHAnsi"/>
          <w:sz w:val="22"/>
          <w:szCs w:val="22"/>
          <w:lang w:val="en-GB"/>
        </w:rPr>
        <w:t xml:space="preserve">ation. While </w:t>
      </w:r>
      <w:r w:rsidR="00D3327C" w:rsidRPr="004E053C">
        <w:rPr>
          <w:rFonts w:cstheme="majorHAnsi"/>
          <w:sz w:val="22"/>
          <w:szCs w:val="22"/>
          <w:lang w:val="en-GB"/>
        </w:rPr>
        <w:t>liberalis</w:t>
      </w:r>
      <w:r w:rsidR="00745635" w:rsidRPr="004E053C">
        <w:rPr>
          <w:rFonts w:cstheme="majorHAnsi"/>
          <w:sz w:val="22"/>
          <w:szCs w:val="22"/>
          <w:lang w:val="en-GB"/>
        </w:rPr>
        <w:t>ation</w:t>
      </w:r>
      <w:r w:rsidR="003E574E" w:rsidRPr="004E053C">
        <w:rPr>
          <w:rFonts w:cstheme="majorHAnsi"/>
          <w:sz w:val="22"/>
          <w:szCs w:val="22"/>
          <w:lang w:val="en-GB"/>
        </w:rPr>
        <w:t xml:space="preserve"> did not </w:t>
      </w:r>
      <w:r w:rsidR="00834AED" w:rsidRPr="004E053C">
        <w:rPr>
          <w:rFonts w:cstheme="majorHAnsi"/>
          <w:sz w:val="22"/>
          <w:szCs w:val="22"/>
          <w:lang w:val="en-GB"/>
        </w:rPr>
        <w:t>actively discourage mining, it</w:t>
      </w:r>
      <w:r w:rsidR="003E574E" w:rsidRPr="004E053C">
        <w:rPr>
          <w:rFonts w:cstheme="majorHAnsi"/>
          <w:sz w:val="22"/>
          <w:szCs w:val="22"/>
          <w:lang w:val="en-GB"/>
        </w:rPr>
        <w:t xml:space="preserve"> did lose the Government an element of control over the sector </w:t>
      </w:r>
      <w:r w:rsidR="00745635" w:rsidRPr="004E053C">
        <w:rPr>
          <w:rFonts w:cstheme="majorHAnsi"/>
          <w:sz w:val="22"/>
          <w:szCs w:val="22"/>
          <w:lang w:val="en-GB"/>
        </w:rPr>
        <w:t>whilst leaving the</w:t>
      </w:r>
      <w:r w:rsidR="003E574E" w:rsidRPr="004E053C">
        <w:rPr>
          <w:rFonts w:cstheme="majorHAnsi"/>
          <w:sz w:val="22"/>
          <w:szCs w:val="22"/>
          <w:lang w:val="en-GB"/>
        </w:rPr>
        <w:t xml:space="preserve"> miners in limbo </w:t>
      </w:r>
      <w:r w:rsidR="00C27B83"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{"citationItems":[{"id":"ITEM-1","itemData":{"author":[{"dropping-particle":"","family":"Cortés-McPherson","given":"Dolores","non-dropping-particle":"","parse-names":false,"suffix":""}],"container-title":"The Extractive Industries and Society","id":"ITEM-1","issue":"2","issued":{"date-parts":[["2019"]]},"page":"382-389","title":"Expansion of small-scale gold mining in Madre de Dios: ‘capital interests’ and the emergence of a new elite of entrepreneurs in the Peruvian Amazon","type":"article-journal","volume":"6"},"uris":["http://www.mendeley.com/documents/?uuid=402f7023-8f80-4150-99dd-21c5e92f9a63"]}],"mendeley":{"formattedCitation":"(Cortés-McPherson, 2019)","manualFormatting":"(Cortés-McPherson, 2019)","plainTextFormattedCitation":"(Cortés-McPherson, 2019)","previouslyFormattedCitation":"(Cortés-McPherson, 2019)"},"properties":{"noteIndex":0},"schema":"https://github.com/citation-style-language/schema/raw/master/csl-citation.json"}</w:instrText>
      </w:r>
      <w:r w:rsidR="00C27B83" w:rsidRPr="004E053C">
        <w:rPr>
          <w:rFonts w:cstheme="majorHAnsi"/>
          <w:sz w:val="22"/>
          <w:szCs w:val="22"/>
          <w:lang w:val="en-GB"/>
        </w:rPr>
        <w:fldChar w:fldCharType="separate"/>
      </w:r>
      <w:r w:rsidR="00C27B83" w:rsidRPr="004E053C">
        <w:rPr>
          <w:rFonts w:cstheme="majorHAnsi"/>
          <w:noProof/>
          <w:sz w:val="22"/>
          <w:szCs w:val="22"/>
          <w:lang w:val="en-GB"/>
        </w:rPr>
        <w:t>(Cort</w:t>
      </w:r>
      <w:r w:rsidR="00C27B83" w:rsidRPr="004E053C">
        <w:rPr>
          <w:rStyle w:val="fontstyle01"/>
          <w:rFonts w:asciiTheme="minorHAnsi" w:hAnsiTheme="minorHAnsi" w:cstheme="majorHAnsi"/>
          <w:noProof/>
          <w:sz w:val="22"/>
          <w:szCs w:val="22"/>
          <w:lang w:val="en-GB"/>
        </w:rPr>
        <w:t>é</w:t>
      </w:r>
      <w:r w:rsidR="00C27B83" w:rsidRPr="004E053C">
        <w:rPr>
          <w:rFonts w:cstheme="majorHAnsi"/>
          <w:noProof/>
          <w:sz w:val="22"/>
          <w:szCs w:val="22"/>
          <w:lang w:val="en-GB"/>
        </w:rPr>
        <w:t>s-McPherson, 2019)</w:t>
      </w:r>
      <w:r w:rsidR="00C27B83" w:rsidRPr="004E053C">
        <w:rPr>
          <w:rFonts w:cstheme="majorHAnsi"/>
          <w:sz w:val="22"/>
          <w:szCs w:val="22"/>
          <w:lang w:val="en-GB"/>
        </w:rPr>
        <w:fldChar w:fldCharType="end"/>
      </w:r>
      <w:r w:rsidR="003E574E" w:rsidRPr="004E053C">
        <w:rPr>
          <w:rFonts w:cstheme="majorHAnsi"/>
          <w:sz w:val="22"/>
          <w:szCs w:val="22"/>
          <w:lang w:val="en-GB"/>
        </w:rPr>
        <w:t xml:space="preserve">. This, along with increasing inequality and </w:t>
      </w:r>
      <w:r w:rsidR="00745635" w:rsidRPr="004E053C">
        <w:rPr>
          <w:rFonts w:cstheme="majorHAnsi"/>
          <w:sz w:val="22"/>
          <w:szCs w:val="22"/>
          <w:lang w:val="en-GB"/>
        </w:rPr>
        <w:t>the</w:t>
      </w:r>
      <w:r w:rsidR="003E574E" w:rsidRPr="004E053C">
        <w:rPr>
          <w:rFonts w:cstheme="majorHAnsi"/>
          <w:sz w:val="22"/>
          <w:szCs w:val="22"/>
          <w:lang w:val="en-GB"/>
        </w:rPr>
        <w:t xml:space="preserve"> surge in the price of gold in 2007, facilitated a rapid increase in ASM</w:t>
      </w:r>
      <w:r w:rsidR="00A63452" w:rsidRPr="004E053C">
        <w:rPr>
          <w:rFonts w:cstheme="majorHAnsi"/>
          <w:sz w:val="22"/>
          <w:szCs w:val="22"/>
          <w:lang w:val="en-GB"/>
        </w:rPr>
        <w:t xml:space="preserve"> activity in Madre de Dios. C</w:t>
      </w:r>
      <w:r w:rsidR="003E574E" w:rsidRPr="004E053C">
        <w:rPr>
          <w:rFonts w:cstheme="majorHAnsi"/>
          <w:sz w:val="22"/>
          <w:szCs w:val="22"/>
          <w:lang w:val="en-GB"/>
        </w:rPr>
        <w:t xml:space="preserve">oncerns about environmental </w:t>
      </w:r>
      <w:r w:rsidR="003E574E" w:rsidRPr="004E053C">
        <w:rPr>
          <w:rFonts w:cstheme="majorHAnsi"/>
          <w:sz w:val="22"/>
          <w:szCs w:val="22"/>
          <w:lang w:val="en-GB"/>
        </w:rPr>
        <w:lastRenderedPageBreak/>
        <w:t>destruction, mercury contamination and deforestation grew</w:t>
      </w:r>
      <w:r w:rsidR="00A63452" w:rsidRPr="004E053C">
        <w:rPr>
          <w:rFonts w:cstheme="majorHAnsi"/>
          <w:sz w:val="22"/>
          <w:szCs w:val="22"/>
          <w:lang w:val="en-GB"/>
        </w:rPr>
        <w:t xml:space="preserve"> as a result</w:t>
      </w:r>
      <w:r w:rsidR="003E574E" w:rsidRPr="004E053C">
        <w:rPr>
          <w:rFonts w:cstheme="majorHAnsi"/>
          <w:sz w:val="22"/>
          <w:szCs w:val="22"/>
          <w:lang w:val="en-GB"/>
        </w:rPr>
        <w:t xml:space="preserve">. As a result, successive Governments have changed their approach to ASM, which has effectively changed the logic within the social field and the rules within which miners operate. </w:t>
      </w:r>
    </w:p>
    <w:p w14:paraId="002D3665" w14:textId="77777777" w:rsidR="003E574E" w:rsidRPr="004E053C" w:rsidRDefault="003E574E" w:rsidP="004E053C">
      <w:pPr>
        <w:spacing w:line="360" w:lineRule="auto"/>
        <w:jc w:val="both"/>
        <w:rPr>
          <w:rFonts w:cstheme="majorHAnsi"/>
          <w:sz w:val="22"/>
          <w:szCs w:val="22"/>
          <w:lang w:val="en-GB"/>
        </w:rPr>
      </w:pPr>
    </w:p>
    <w:p w14:paraId="618C840D" w14:textId="44DD6C16" w:rsidR="003E574E" w:rsidRPr="004E053C" w:rsidRDefault="003E574E" w:rsidP="004E053C">
      <w:pPr>
        <w:spacing w:line="360" w:lineRule="auto"/>
        <w:jc w:val="both"/>
        <w:rPr>
          <w:rFonts w:eastAsia="Times New Roman" w:cstheme="majorHAnsi"/>
          <w:sz w:val="22"/>
          <w:szCs w:val="22"/>
          <w:lang w:val="en-GB"/>
        </w:rPr>
      </w:pPr>
      <w:r w:rsidRPr="004E053C">
        <w:rPr>
          <w:rFonts w:cstheme="majorHAnsi"/>
          <w:sz w:val="22"/>
          <w:szCs w:val="22"/>
          <w:lang w:val="en-GB"/>
        </w:rPr>
        <w:t>In order to reduce ASM activity and th</w:t>
      </w:r>
      <w:r w:rsidR="00A63452" w:rsidRPr="004E053C">
        <w:rPr>
          <w:rFonts w:cstheme="majorHAnsi"/>
          <w:sz w:val="22"/>
          <w:szCs w:val="22"/>
          <w:lang w:val="en-GB"/>
        </w:rPr>
        <w:t>e associated destruction, the Go</w:t>
      </w:r>
      <w:r w:rsidRPr="004E053C">
        <w:rPr>
          <w:rFonts w:cstheme="majorHAnsi"/>
          <w:sz w:val="22"/>
          <w:szCs w:val="22"/>
          <w:lang w:val="en-GB"/>
        </w:rPr>
        <w:t xml:space="preserve">vernment </w:t>
      </w:r>
      <w:r w:rsidR="005527DD" w:rsidRPr="004E053C">
        <w:rPr>
          <w:rFonts w:cstheme="majorHAnsi"/>
          <w:sz w:val="22"/>
          <w:szCs w:val="22"/>
          <w:lang w:val="en-GB"/>
        </w:rPr>
        <w:t>has</w:t>
      </w:r>
      <w:r w:rsidRPr="004E053C">
        <w:rPr>
          <w:rFonts w:cstheme="majorHAnsi"/>
          <w:sz w:val="22"/>
          <w:szCs w:val="22"/>
          <w:lang w:val="en-GB"/>
        </w:rPr>
        <w:t xml:space="preserve"> imposed increasingly restrictive regulations, including the designation of areas </w:t>
      </w:r>
      <w:r w:rsidR="00D3327C" w:rsidRPr="004E053C">
        <w:rPr>
          <w:rFonts w:cstheme="majorHAnsi"/>
          <w:sz w:val="22"/>
          <w:szCs w:val="22"/>
          <w:lang w:val="en-GB"/>
        </w:rPr>
        <w:t xml:space="preserve">of the Amazon as National Park </w:t>
      </w:r>
      <w:r w:rsidRPr="004E053C">
        <w:rPr>
          <w:rFonts w:cstheme="majorHAnsi"/>
          <w:sz w:val="22"/>
          <w:szCs w:val="22"/>
          <w:lang w:val="en-GB"/>
        </w:rPr>
        <w:t xml:space="preserve">Buffer Zones. At the same time, they are </w:t>
      </w:r>
      <w:r w:rsidR="005527DD" w:rsidRPr="004E053C">
        <w:rPr>
          <w:rFonts w:cstheme="majorHAnsi"/>
          <w:sz w:val="22"/>
          <w:szCs w:val="22"/>
          <w:lang w:val="en-GB"/>
        </w:rPr>
        <w:t>also pushing</w:t>
      </w:r>
      <w:r w:rsidR="00D3327C" w:rsidRPr="004E053C">
        <w:rPr>
          <w:rFonts w:cstheme="majorHAnsi"/>
          <w:sz w:val="22"/>
          <w:szCs w:val="22"/>
          <w:lang w:val="en-GB"/>
        </w:rPr>
        <w:t xml:space="preserve"> formalis</w:t>
      </w:r>
      <w:r w:rsidRPr="004E053C">
        <w:rPr>
          <w:rFonts w:cstheme="majorHAnsi"/>
          <w:sz w:val="22"/>
          <w:szCs w:val="22"/>
          <w:lang w:val="en-GB"/>
        </w:rPr>
        <w:t>ation, although many of the miners find the various laws to be conflicting:</w:t>
      </w:r>
    </w:p>
    <w:p w14:paraId="66B2CBE0" w14:textId="77777777" w:rsidR="003E574E" w:rsidRPr="004E053C" w:rsidRDefault="003E574E" w:rsidP="004E053C">
      <w:pPr>
        <w:jc w:val="both"/>
        <w:rPr>
          <w:rFonts w:cstheme="majorHAnsi"/>
          <w:sz w:val="22"/>
          <w:szCs w:val="22"/>
          <w:lang w:val="en-GB"/>
        </w:rPr>
      </w:pPr>
    </w:p>
    <w:p w14:paraId="744440D7" w14:textId="684EFC26"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D3327C" w:rsidRPr="004E053C">
        <w:rPr>
          <w:rFonts w:eastAsia="Times New Roman" w:cstheme="majorHAnsi"/>
          <w:i/>
          <w:iCs/>
          <w:sz w:val="22"/>
          <w:szCs w:val="22"/>
          <w:lang w:val="en-GB"/>
        </w:rPr>
        <w:t>There is a law for the formalis</w:t>
      </w:r>
      <w:r w:rsidR="003E574E" w:rsidRPr="004E053C">
        <w:rPr>
          <w:rFonts w:eastAsia="Times New Roman" w:cstheme="majorHAnsi"/>
          <w:i/>
          <w:iCs/>
          <w:sz w:val="22"/>
          <w:szCs w:val="22"/>
          <w:lang w:val="en-GB"/>
        </w:rPr>
        <w:t>ation, and after that another law came which said it was illegal to work in mining. So there is one law that says yes, and one that says no, but the latter one is newer, and that makes it difficult for us</w:t>
      </w:r>
      <w:r w:rsidRPr="004E053C">
        <w:rPr>
          <w:rFonts w:eastAsia="Times New Roman" w:cstheme="majorHAnsi"/>
          <w:i/>
          <w:iCs/>
          <w:sz w:val="22"/>
          <w:szCs w:val="22"/>
          <w:lang w:val="en-GB"/>
        </w:rPr>
        <w:t>’</w:t>
      </w:r>
      <w:r w:rsidR="003E574E" w:rsidRPr="004E053C">
        <w:rPr>
          <w:rFonts w:eastAsia="Times New Roman" w:cstheme="majorHAnsi"/>
          <w:sz w:val="22"/>
          <w:szCs w:val="22"/>
          <w:lang w:val="en-GB"/>
        </w:rPr>
        <w:t xml:space="preserve"> (</w:t>
      </w:r>
      <w:r w:rsidR="00B21FFD" w:rsidRPr="004E053C">
        <w:rPr>
          <w:rFonts w:eastAsia="Times New Roman" w:cstheme="majorHAnsi"/>
          <w:sz w:val="22"/>
          <w:szCs w:val="22"/>
          <w:lang w:val="en-GB"/>
        </w:rPr>
        <w:t>Miriam</w:t>
      </w:r>
      <w:r w:rsidR="003E574E" w:rsidRPr="004E053C">
        <w:rPr>
          <w:rFonts w:eastAsia="Times New Roman" w:cstheme="majorHAnsi"/>
          <w:sz w:val="22"/>
          <w:szCs w:val="22"/>
          <w:lang w:val="en-GB"/>
        </w:rPr>
        <w:t>, ASM miner, Laberinto).</w:t>
      </w:r>
    </w:p>
    <w:p w14:paraId="79786A98" w14:textId="77777777" w:rsidR="003E574E" w:rsidRPr="004E053C" w:rsidRDefault="003E574E" w:rsidP="004E053C">
      <w:pPr>
        <w:spacing w:line="360" w:lineRule="auto"/>
        <w:jc w:val="both"/>
        <w:rPr>
          <w:rFonts w:eastAsia="Times New Roman" w:cstheme="majorHAnsi"/>
          <w:i/>
          <w:iCs/>
          <w:sz w:val="22"/>
          <w:szCs w:val="22"/>
          <w:lang w:val="en-GB"/>
        </w:rPr>
      </w:pPr>
    </w:p>
    <w:p w14:paraId="1B9E380A" w14:textId="39586E7B" w:rsidR="003E574E" w:rsidRPr="004E053C" w:rsidRDefault="00745635" w:rsidP="004E053C">
      <w:pPr>
        <w:spacing w:line="360" w:lineRule="auto"/>
        <w:jc w:val="both"/>
        <w:rPr>
          <w:rFonts w:cstheme="majorHAnsi"/>
          <w:sz w:val="22"/>
          <w:szCs w:val="22"/>
          <w:lang w:val="en-GB"/>
        </w:rPr>
      </w:pPr>
      <w:r w:rsidRPr="004E053C">
        <w:rPr>
          <w:rFonts w:eastAsia="Times New Roman" w:cstheme="majorHAnsi"/>
          <w:sz w:val="22"/>
          <w:szCs w:val="22"/>
          <w:lang w:val="en-GB"/>
        </w:rPr>
        <w:t>Here</w:t>
      </w:r>
      <w:r w:rsidR="003E574E" w:rsidRPr="004E053C">
        <w:rPr>
          <w:rFonts w:eastAsia="Times New Roman" w:cstheme="majorHAnsi"/>
          <w:sz w:val="22"/>
          <w:szCs w:val="22"/>
          <w:lang w:val="en-GB"/>
        </w:rPr>
        <w:t xml:space="preserve"> </w:t>
      </w:r>
      <w:r w:rsidR="00B21FFD" w:rsidRPr="004E053C">
        <w:rPr>
          <w:rFonts w:eastAsia="Times New Roman" w:cstheme="majorHAnsi"/>
          <w:sz w:val="22"/>
          <w:szCs w:val="22"/>
          <w:lang w:val="en-GB"/>
        </w:rPr>
        <w:t>Miriam</w:t>
      </w:r>
      <w:r w:rsidR="003E574E" w:rsidRPr="004E053C">
        <w:rPr>
          <w:rFonts w:eastAsia="Times New Roman" w:cstheme="majorHAnsi"/>
          <w:sz w:val="22"/>
          <w:szCs w:val="22"/>
          <w:lang w:val="en-GB"/>
        </w:rPr>
        <w:t xml:space="preserve"> is referring to </w:t>
      </w:r>
      <w:r w:rsidRPr="004E053C">
        <w:rPr>
          <w:rFonts w:eastAsia="Times New Roman" w:cstheme="majorHAnsi"/>
          <w:sz w:val="22"/>
          <w:szCs w:val="22"/>
          <w:lang w:val="en-GB"/>
        </w:rPr>
        <w:t>the inconsistencies in government policy</w:t>
      </w:r>
      <w:r w:rsidR="003E574E" w:rsidRPr="004E053C">
        <w:rPr>
          <w:rFonts w:eastAsia="Times New Roman" w:cstheme="majorHAnsi"/>
          <w:sz w:val="22"/>
          <w:szCs w:val="22"/>
          <w:lang w:val="en-GB"/>
        </w:rPr>
        <w:t xml:space="preserve">, </w:t>
      </w:r>
      <w:r w:rsidRPr="004E053C">
        <w:rPr>
          <w:rFonts w:eastAsia="Times New Roman" w:cstheme="majorHAnsi"/>
          <w:sz w:val="22"/>
          <w:szCs w:val="22"/>
          <w:lang w:val="en-GB"/>
        </w:rPr>
        <w:t>w</w:t>
      </w:r>
      <w:r w:rsidR="00D3327C" w:rsidRPr="004E053C">
        <w:rPr>
          <w:rFonts w:eastAsia="Times New Roman" w:cstheme="majorHAnsi"/>
          <w:sz w:val="22"/>
          <w:szCs w:val="22"/>
          <w:lang w:val="en-GB"/>
        </w:rPr>
        <w:t>hich claim to encourage formalis</w:t>
      </w:r>
      <w:r w:rsidRPr="004E053C">
        <w:rPr>
          <w:rFonts w:eastAsia="Times New Roman" w:cstheme="majorHAnsi"/>
          <w:sz w:val="22"/>
          <w:szCs w:val="22"/>
          <w:lang w:val="en-GB"/>
        </w:rPr>
        <w:t>ation whilst at the same time prohibiting it. For example, mining activity close to</w:t>
      </w:r>
      <w:r w:rsidR="003E574E" w:rsidRPr="004E053C">
        <w:rPr>
          <w:rFonts w:eastAsia="Times New Roman" w:cstheme="majorHAnsi"/>
          <w:sz w:val="22"/>
          <w:szCs w:val="22"/>
          <w:lang w:val="en-GB"/>
        </w:rPr>
        <w:t xml:space="preserve"> </w:t>
      </w:r>
      <w:r w:rsidRPr="004E053C">
        <w:rPr>
          <w:rFonts w:eastAsia="Times New Roman" w:cstheme="majorHAnsi"/>
          <w:sz w:val="22"/>
          <w:szCs w:val="22"/>
          <w:lang w:val="en-GB"/>
        </w:rPr>
        <w:t xml:space="preserve">rivers or in areas designated for other </w:t>
      </w:r>
      <w:r w:rsidR="003E574E" w:rsidRPr="004E053C">
        <w:rPr>
          <w:rFonts w:eastAsia="Times New Roman" w:cstheme="majorHAnsi"/>
          <w:sz w:val="22"/>
          <w:szCs w:val="22"/>
          <w:lang w:val="en-GB"/>
        </w:rPr>
        <w:t>land-use ac</w:t>
      </w:r>
      <w:r w:rsidR="00AC676F" w:rsidRPr="004E053C">
        <w:rPr>
          <w:rFonts w:eastAsia="Times New Roman" w:cstheme="majorHAnsi"/>
          <w:sz w:val="22"/>
          <w:szCs w:val="22"/>
          <w:lang w:val="en-GB"/>
        </w:rPr>
        <w:t>tivities has been banned, which</w:t>
      </w:r>
      <w:r w:rsidRPr="004E053C">
        <w:rPr>
          <w:rFonts w:eastAsia="Times New Roman" w:cstheme="majorHAnsi"/>
          <w:sz w:val="22"/>
          <w:szCs w:val="22"/>
          <w:lang w:val="en-GB"/>
        </w:rPr>
        <w:t xml:space="preserve"> makes it practi</w:t>
      </w:r>
      <w:r w:rsidR="003E574E" w:rsidRPr="004E053C">
        <w:rPr>
          <w:rFonts w:eastAsia="Times New Roman" w:cstheme="majorHAnsi"/>
          <w:sz w:val="22"/>
          <w:szCs w:val="22"/>
          <w:lang w:val="en-GB"/>
        </w:rPr>
        <w:t>cally impossible for the majority of miners in Madre de Dios to formalise</w:t>
      </w:r>
      <w:r w:rsidR="00C27B83" w:rsidRPr="004E053C">
        <w:rPr>
          <w:rFonts w:eastAsia="Times New Roman" w:cstheme="majorHAnsi"/>
          <w:sz w:val="22"/>
          <w:szCs w:val="22"/>
          <w:lang w:val="en-GB"/>
        </w:rPr>
        <w:t xml:space="preserve"> </w:t>
      </w:r>
      <w:r w:rsidR="00C27B83" w:rsidRPr="004E053C">
        <w:rPr>
          <w:rFonts w:eastAsia="Times New Roman" w:cstheme="majorHAnsi"/>
          <w:sz w:val="22"/>
          <w:szCs w:val="22"/>
          <w:lang w:val="en-GB"/>
        </w:rPr>
        <w:fldChar w:fldCharType="begin" w:fldLock="1"/>
      </w:r>
      <w:r w:rsidR="002F0CEA">
        <w:rPr>
          <w:rFonts w:eastAsia="Times New Roman" w:cstheme="majorHAnsi"/>
          <w:sz w:val="22"/>
          <w:szCs w:val="22"/>
          <w:lang w:val="en-GB"/>
        </w:rPr>
        <w:instrText>ADDIN CSL_CITATION {"citationItems":[{"id":"ITEM-1","itemData":{"abstract":"A growing number of governments and donors are promoting the formalization of artisanal and small-scale mining (ASM). They believe that doing so puts them in a better position to govern the sector, and manage the social and environmental impacts of its activities. Mainstream formalization processes are based on the assumption that clear property rights enable the recipients of these rights to capitalize their possessions. Because of reciprocal obligations, the argument follows that formalized ASM actors then better embrace the social and environmental norms regulating their activity. This paper reflects critically on attempts made to formalize ASM in Madre de Dios in Peruvian Amazonia. We share local perceptions of ASM impacts, and broaden understanding of the relationship between mainstream formalization and more bottom-up processes for governing and managing ASM impacts. We forward mesoscale collaborative approaches to impact management. In Madre de Dios, this could involve the appointment of a regional mediator with a strong mandate, establishment of a mobile formalization office, and the implementation of a series of coordinated but independent impact management activities through an impact management plan. This approach would not involve a stepwise procedure in which the failure to achieve one goal would prevent the pursuit of others.","author":[{"dropping-particle":"","family":"Salo","given":"Matti","non-dropping-particle":"","parse-names":false,"suffix":""},{"dropping-particle":"","family":"Hiedanpää","given":"Juha","non-dropping-particle":"","parse-names":false,"suffix":""},{"dropping-particle":"","family":"Karlsson","given":"Teemu","non-dropping-particle":"","parse-names":false,"suffix":""},{"dropping-particle":"","family":"Cárcamo Ávila","given":"Luciano","non-dropping-particle":"","parse-names":false,"suffix":""},{"dropping-particle":"","family":"Kotilainen","given":"Juha","non-dropping-particle":"","parse-names":false,"suffix":""},{"dropping-particle":"","family":"Jounela","given":"Pekka","non-dropping-particle":"","parse-names":false,"suffix":""},{"dropping-particle":"","family":"Rumrrill García","given":"Róger","non-dropping-particle":"","parse-names":false,"suffix":""}],"container-title":"Extractive Industries and Society","id":"ITEM-1","issue":"4","issued":{"date-parts":[["2016"]]},"page":"1058-1066","publisher":"Elsevier Ltd.","title":"Local perspectives on the formalization of artisanal and small-scale mining in the Madre de Dios gold fields, Peru","type":"article-journal","volume":"3"},"uris":["http://www.mendeley.com/documents/?uuid=c58e85fb-cf81-4a8b-acb3-317eb51efe53"]}],"mendeley":{"formattedCitation":"(Salo et al., 2016)","plainTextFormattedCitation":"(Salo et al., 2016)","previouslyFormattedCitation":"(Salo et al., 2016)"},"properties":{"noteIndex":0},"schema":"https://github.com/citation-style-language/schema/raw/master/csl-citation.json"}</w:instrText>
      </w:r>
      <w:r w:rsidR="00C27B83" w:rsidRPr="004E053C">
        <w:rPr>
          <w:rFonts w:eastAsia="Times New Roman" w:cstheme="majorHAnsi"/>
          <w:sz w:val="22"/>
          <w:szCs w:val="22"/>
          <w:lang w:val="en-GB"/>
        </w:rPr>
        <w:fldChar w:fldCharType="separate"/>
      </w:r>
      <w:r w:rsidR="00C27B83" w:rsidRPr="004E053C">
        <w:rPr>
          <w:rFonts w:eastAsia="Times New Roman" w:cstheme="majorHAnsi"/>
          <w:noProof/>
          <w:sz w:val="22"/>
          <w:szCs w:val="22"/>
          <w:lang w:val="en-GB"/>
        </w:rPr>
        <w:t>(Salo et al., 2016)</w:t>
      </w:r>
      <w:r w:rsidR="00C27B83" w:rsidRPr="004E053C">
        <w:rPr>
          <w:rFonts w:eastAsia="Times New Roman" w:cstheme="majorHAnsi"/>
          <w:sz w:val="22"/>
          <w:szCs w:val="22"/>
          <w:lang w:val="en-GB"/>
        </w:rPr>
        <w:fldChar w:fldCharType="end"/>
      </w:r>
      <w:r w:rsidR="00AC676F" w:rsidRPr="004E053C">
        <w:rPr>
          <w:rFonts w:eastAsia="Times New Roman" w:cstheme="majorHAnsi"/>
          <w:sz w:val="22"/>
          <w:szCs w:val="22"/>
          <w:lang w:val="en-GB"/>
        </w:rPr>
        <w:t xml:space="preserve">. Yet at the same time, </w:t>
      </w:r>
      <w:r w:rsidR="003E574E" w:rsidRPr="004E053C">
        <w:rPr>
          <w:rFonts w:eastAsia="Times New Roman" w:cstheme="majorHAnsi"/>
          <w:sz w:val="22"/>
          <w:szCs w:val="22"/>
          <w:lang w:val="en-GB"/>
        </w:rPr>
        <w:t xml:space="preserve">the </w:t>
      </w:r>
      <w:r w:rsidR="005B3CB8" w:rsidRPr="004E053C">
        <w:rPr>
          <w:rFonts w:eastAsia="Times New Roman" w:cstheme="majorHAnsi"/>
          <w:sz w:val="22"/>
          <w:szCs w:val="22"/>
          <w:lang w:val="en-GB"/>
        </w:rPr>
        <w:t>MINEM</w:t>
      </w:r>
      <w:r w:rsidR="003E574E" w:rsidRPr="004E053C">
        <w:rPr>
          <w:rFonts w:cstheme="majorHAnsi"/>
          <w:sz w:val="22"/>
          <w:szCs w:val="22"/>
          <w:lang w:val="en-GB"/>
        </w:rPr>
        <w:t xml:space="preserve"> </w:t>
      </w:r>
      <w:r w:rsidR="00AC676F" w:rsidRPr="004E053C">
        <w:rPr>
          <w:rFonts w:cstheme="majorHAnsi"/>
          <w:sz w:val="22"/>
          <w:szCs w:val="22"/>
          <w:lang w:val="en-GB"/>
        </w:rPr>
        <w:t xml:space="preserve">have recently </w:t>
      </w:r>
      <w:r w:rsidR="003E574E" w:rsidRPr="004E053C">
        <w:rPr>
          <w:rFonts w:cstheme="majorHAnsi"/>
          <w:sz w:val="22"/>
          <w:szCs w:val="22"/>
          <w:lang w:val="en-GB"/>
        </w:rPr>
        <w:t>initi</w:t>
      </w:r>
      <w:r w:rsidR="00D3327C" w:rsidRPr="004E053C">
        <w:rPr>
          <w:rFonts w:cstheme="majorHAnsi"/>
          <w:sz w:val="22"/>
          <w:szCs w:val="22"/>
          <w:lang w:val="en-GB"/>
        </w:rPr>
        <w:t>ated a renewed drive to formalis</w:t>
      </w:r>
      <w:r w:rsidR="003E574E" w:rsidRPr="004E053C">
        <w:rPr>
          <w:rFonts w:cstheme="majorHAnsi"/>
          <w:sz w:val="22"/>
          <w:szCs w:val="22"/>
          <w:lang w:val="en-GB"/>
        </w:rPr>
        <w:t xml:space="preserve">e miners, </w:t>
      </w:r>
      <w:r w:rsidR="00AC676F" w:rsidRPr="004E053C">
        <w:rPr>
          <w:rFonts w:cstheme="majorHAnsi"/>
          <w:sz w:val="22"/>
          <w:szCs w:val="22"/>
          <w:lang w:val="en-GB"/>
        </w:rPr>
        <w:t xml:space="preserve">including those working within the </w:t>
      </w:r>
      <w:r w:rsidR="00AC676F" w:rsidRPr="004E053C">
        <w:rPr>
          <w:rFonts w:cstheme="majorHAnsi"/>
          <w:i/>
          <w:sz w:val="22"/>
          <w:szCs w:val="22"/>
          <w:lang w:val="en-GB"/>
        </w:rPr>
        <w:t>Corridor Minero,</w:t>
      </w:r>
      <w:r w:rsidR="00AC676F" w:rsidRPr="004E053C">
        <w:rPr>
          <w:rFonts w:cstheme="majorHAnsi"/>
          <w:sz w:val="22"/>
          <w:szCs w:val="22"/>
          <w:lang w:val="en-GB"/>
        </w:rPr>
        <w:t xml:space="preserve"> </w:t>
      </w:r>
      <w:r w:rsidR="00D3327C" w:rsidRPr="004E053C">
        <w:rPr>
          <w:rFonts w:cstheme="majorHAnsi"/>
          <w:sz w:val="22"/>
          <w:szCs w:val="22"/>
          <w:lang w:val="en-GB"/>
        </w:rPr>
        <w:t>based on the concept of ‘breaking the inertia’</w:t>
      </w:r>
      <w:r w:rsidR="003E574E" w:rsidRPr="004E053C">
        <w:rPr>
          <w:rFonts w:cstheme="majorHAnsi"/>
          <w:sz w:val="22"/>
          <w:szCs w:val="22"/>
          <w:lang w:val="en-GB"/>
        </w:rPr>
        <w:t xml:space="preserve">. The Ministry claimed </w:t>
      </w:r>
      <w:r w:rsidR="00AC676F" w:rsidRPr="004E053C">
        <w:rPr>
          <w:rFonts w:cstheme="majorHAnsi"/>
          <w:sz w:val="22"/>
          <w:szCs w:val="22"/>
          <w:lang w:val="en-GB"/>
        </w:rPr>
        <w:t>to be</w:t>
      </w:r>
      <w:r w:rsidR="003E574E" w:rsidRPr="004E053C">
        <w:rPr>
          <w:rFonts w:cstheme="majorHAnsi"/>
          <w:sz w:val="22"/>
          <w:szCs w:val="22"/>
          <w:lang w:val="en-GB"/>
        </w:rPr>
        <w:t xml:space="preserve"> s</w:t>
      </w:r>
      <w:r w:rsidR="00D3327C" w:rsidRPr="004E053C">
        <w:rPr>
          <w:rFonts w:cstheme="majorHAnsi"/>
          <w:sz w:val="22"/>
          <w:szCs w:val="22"/>
          <w:lang w:val="en-GB"/>
        </w:rPr>
        <w:t>upporting the miners to formalis</w:t>
      </w:r>
      <w:r w:rsidR="003E574E" w:rsidRPr="004E053C">
        <w:rPr>
          <w:rFonts w:cstheme="majorHAnsi"/>
          <w:sz w:val="22"/>
          <w:szCs w:val="22"/>
          <w:lang w:val="en-GB"/>
        </w:rPr>
        <w:t xml:space="preserve">e but warned that if they failed to complete the process within a certain </w:t>
      </w:r>
      <w:r w:rsidR="00F21F94" w:rsidRPr="004E053C">
        <w:rPr>
          <w:rFonts w:cstheme="majorHAnsi"/>
          <w:sz w:val="22"/>
          <w:szCs w:val="22"/>
          <w:lang w:val="en-GB"/>
        </w:rPr>
        <w:t>period</w:t>
      </w:r>
      <w:r w:rsidR="003E574E" w:rsidRPr="004E053C">
        <w:rPr>
          <w:rFonts w:cstheme="majorHAnsi"/>
          <w:sz w:val="22"/>
          <w:szCs w:val="22"/>
          <w:lang w:val="en-GB"/>
        </w:rPr>
        <w:t xml:space="preserve">, they would be </w:t>
      </w:r>
      <w:r w:rsidR="00F21F94" w:rsidRPr="004E053C">
        <w:rPr>
          <w:rFonts w:cstheme="majorHAnsi"/>
          <w:sz w:val="22"/>
          <w:szCs w:val="22"/>
          <w:lang w:val="en-GB"/>
        </w:rPr>
        <w:t>rendered</w:t>
      </w:r>
      <w:r w:rsidR="003E574E" w:rsidRPr="004E053C">
        <w:rPr>
          <w:rFonts w:cstheme="majorHAnsi"/>
          <w:sz w:val="22"/>
          <w:szCs w:val="22"/>
          <w:lang w:val="en-GB"/>
        </w:rPr>
        <w:t xml:space="preserve"> </w:t>
      </w:r>
      <w:r w:rsidR="00D3327C" w:rsidRPr="004E053C">
        <w:rPr>
          <w:rFonts w:cstheme="majorHAnsi"/>
          <w:sz w:val="22"/>
          <w:szCs w:val="22"/>
          <w:lang w:val="en-GB"/>
        </w:rPr>
        <w:t>‘</w:t>
      </w:r>
      <w:r w:rsidR="00F21F94" w:rsidRPr="004E053C">
        <w:rPr>
          <w:rFonts w:cstheme="majorHAnsi"/>
          <w:sz w:val="22"/>
          <w:szCs w:val="22"/>
          <w:lang w:val="en-GB"/>
        </w:rPr>
        <w:t>illegal</w:t>
      </w:r>
      <w:r w:rsidR="00D3327C" w:rsidRPr="004E053C">
        <w:rPr>
          <w:rFonts w:cstheme="majorHAnsi"/>
          <w:sz w:val="22"/>
          <w:szCs w:val="22"/>
          <w:lang w:val="en-GB"/>
        </w:rPr>
        <w:t>’</w:t>
      </w:r>
      <w:r w:rsidR="003E574E" w:rsidRPr="004E053C">
        <w:rPr>
          <w:rFonts w:cstheme="majorHAnsi"/>
          <w:sz w:val="22"/>
          <w:szCs w:val="22"/>
          <w:lang w:val="en-GB"/>
        </w:rPr>
        <w:t xml:space="preserve">, with no possibility for extensions. </w:t>
      </w:r>
      <w:r w:rsidR="003E574E" w:rsidRPr="004E053C">
        <w:rPr>
          <w:rFonts w:eastAsia="Times New Roman" w:cstheme="majorHAnsi"/>
          <w:sz w:val="22"/>
          <w:szCs w:val="22"/>
          <w:lang w:val="en-GB"/>
        </w:rPr>
        <w:t>However, despite this push, official government figures show that</w:t>
      </w:r>
      <w:r w:rsidR="00D3327C" w:rsidRPr="004E053C">
        <w:rPr>
          <w:rFonts w:eastAsia="Times New Roman" w:cstheme="majorHAnsi"/>
          <w:sz w:val="22"/>
          <w:szCs w:val="22"/>
          <w:lang w:val="en-GB"/>
        </w:rPr>
        <w:t xml:space="preserve"> while miners are being formalis</w:t>
      </w:r>
      <w:r w:rsidR="003E574E" w:rsidRPr="004E053C">
        <w:rPr>
          <w:rFonts w:eastAsia="Times New Roman" w:cstheme="majorHAnsi"/>
          <w:sz w:val="22"/>
          <w:szCs w:val="22"/>
          <w:lang w:val="en-GB"/>
        </w:rPr>
        <w:t>ed else</w:t>
      </w:r>
      <w:r w:rsidR="00AC676F" w:rsidRPr="004E053C">
        <w:rPr>
          <w:rFonts w:eastAsia="Times New Roman" w:cstheme="majorHAnsi"/>
          <w:sz w:val="22"/>
          <w:szCs w:val="22"/>
          <w:lang w:val="en-GB"/>
        </w:rPr>
        <w:t>where in Peru, within Tambopata</w:t>
      </w:r>
      <w:r w:rsidR="003E574E" w:rsidRPr="004E053C">
        <w:rPr>
          <w:rFonts w:eastAsia="Times New Roman" w:cstheme="majorHAnsi"/>
          <w:sz w:val="22"/>
          <w:szCs w:val="22"/>
          <w:lang w:val="en-GB"/>
        </w:rPr>
        <w:t xml:space="preserve"> the push for </w:t>
      </w:r>
      <w:r w:rsidR="00091107" w:rsidRPr="004E053C">
        <w:rPr>
          <w:rFonts w:eastAsia="Times New Roman" w:cstheme="majorHAnsi"/>
          <w:sz w:val="22"/>
          <w:szCs w:val="22"/>
          <w:lang w:val="en-GB"/>
        </w:rPr>
        <w:t>formalisation</w:t>
      </w:r>
      <w:r w:rsidR="003E574E" w:rsidRPr="004E053C">
        <w:rPr>
          <w:rFonts w:eastAsia="Times New Roman" w:cstheme="majorHAnsi"/>
          <w:sz w:val="22"/>
          <w:szCs w:val="22"/>
          <w:lang w:val="en-GB"/>
        </w:rPr>
        <w:t xml:space="preserve"> is not working </w:t>
      </w:r>
      <w:r w:rsidR="00B60CA6" w:rsidRPr="004E053C">
        <w:rPr>
          <w:rFonts w:eastAsia="Times New Roman" w:cstheme="majorHAnsi"/>
          <w:sz w:val="22"/>
          <w:szCs w:val="22"/>
          <w:lang w:val="en-GB"/>
        </w:rPr>
        <w:fldChar w:fldCharType="begin" w:fldLock="1"/>
      </w:r>
      <w:r w:rsidR="008A1E6F" w:rsidRPr="004E053C">
        <w:rPr>
          <w:rFonts w:eastAsia="Times New Roman" w:cstheme="majorHAnsi"/>
          <w:sz w:val="22"/>
          <w:szCs w:val="22"/>
          <w:lang w:val="en-GB"/>
        </w:rPr>
        <w:instrText>ADDIN CSL_CITATION {"citationItems":[{"id":"ITEM-1","itemData":{"URL":"https://slideplayer.es/slide/13430759/","accessed":{"date-parts":[["2018","1","23"]]},"author":[{"dropping-particle":"","family":"MoEAM","given":"","non-dropping-particle":"","parse-names":false,"suffix":""}],"id":"ITEM-1","issued":{"date-parts":[["2017"]]},"publisher-place":"Lima, Peru","title":"Nueva Estrategia del Proceso de Formalizacion Mineria Intergral","type":"webpage"},"uris":["http://www.mendeley.com/documents/?uuid=e0c18d57-88c4-45f8-9312-3302aebd66f7"]}],"mendeley":{"formattedCitation":"(MoEAM, 2017)","manualFormatting":"(MINEM, 2017)","plainTextFormattedCitation":"(MoEAM, 2017)","previouslyFormattedCitation":"(MoEAM, 2017)"},"properties":{"noteIndex":0},"schema":"https://github.com/citation-style-language/schema/raw/master/csl-citation.json"}</w:instrText>
      </w:r>
      <w:r w:rsidR="00B60CA6" w:rsidRPr="004E053C">
        <w:rPr>
          <w:rFonts w:eastAsia="Times New Roman" w:cstheme="majorHAnsi"/>
          <w:sz w:val="22"/>
          <w:szCs w:val="22"/>
          <w:lang w:val="en-GB"/>
        </w:rPr>
        <w:fldChar w:fldCharType="separate"/>
      </w:r>
      <w:r w:rsidR="009628C7" w:rsidRPr="004E053C">
        <w:rPr>
          <w:rFonts w:eastAsia="Times New Roman" w:cstheme="majorHAnsi"/>
          <w:noProof/>
          <w:sz w:val="22"/>
          <w:szCs w:val="22"/>
          <w:lang w:val="en-GB"/>
        </w:rPr>
        <w:t>(MINEM</w:t>
      </w:r>
      <w:r w:rsidR="00B60CA6" w:rsidRPr="004E053C">
        <w:rPr>
          <w:rFonts w:eastAsia="Times New Roman" w:cstheme="majorHAnsi"/>
          <w:noProof/>
          <w:sz w:val="22"/>
          <w:szCs w:val="22"/>
          <w:lang w:val="en-GB"/>
        </w:rPr>
        <w:t>, 2017)</w:t>
      </w:r>
      <w:r w:rsidR="00B60CA6" w:rsidRPr="004E053C">
        <w:rPr>
          <w:rFonts w:eastAsia="Times New Roman" w:cstheme="majorHAnsi"/>
          <w:sz w:val="22"/>
          <w:szCs w:val="22"/>
          <w:lang w:val="en-GB"/>
        </w:rPr>
        <w:fldChar w:fldCharType="end"/>
      </w:r>
      <w:r w:rsidR="00B60CA6"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One LGA representative confirmed that as of 2017, no one in the town was legalised and the process </w:t>
      </w:r>
      <w:r w:rsidR="00D3327C" w:rsidRPr="004E053C">
        <w:rPr>
          <w:rFonts w:eastAsia="Times New Roman" w:cstheme="majorHAnsi"/>
          <w:sz w:val="22"/>
          <w:szCs w:val="22"/>
          <w:lang w:val="en-GB"/>
        </w:rPr>
        <w:t>had ‘</w:t>
      </w:r>
      <w:r w:rsidR="003E574E" w:rsidRPr="004E053C">
        <w:rPr>
          <w:rFonts w:eastAsia="Times New Roman" w:cstheme="majorHAnsi"/>
          <w:i/>
          <w:iCs/>
          <w:sz w:val="22"/>
          <w:szCs w:val="22"/>
          <w:lang w:val="en-GB"/>
        </w:rPr>
        <w:t>completely failed</w:t>
      </w:r>
      <w:r w:rsidR="00D3327C"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(LGA representative, Laberinto). </w:t>
      </w:r>
    </w:p>
    <w:p w14:paraId="1FD8A3FD" w14:textId="77777777" w:rsidR="003E574E" w:rsidRPr="004E053C" w:rsidRDefault="003E574E" w:rsidP="004E053C">
      <w:pPr>
        <w:spacing w:line="360" w:lineRule="auto"/>
        <w:jc w:val="both"/>
        <w:rPr>
          <w:rFonts w:cstheme="majorHAnsi"/>
          <w:sz w:val="22"/>
          <w:szCs w:val="22"/>
          <w:lang w:val="en-GB"/>
        </w:rPr>
      </w:pPr>
    </w:p>
    <w:p w14:paraId="5517D7E8" w14:textId="404E830F" w:rsidR="003E574E" w:rsidRPr="004E053C" w:rsidRDefault="003E574E" w:rsidP="004E053C">
      <w:pPr>
        <w:pStyle w:val="NormalWeb"/>
        <w:spacing w:before="0" w:beforeAutospacing="0" w:after="0" w:afterAutospacing="0" w:line="360" w:lineRule="auto"/>
        <w:jc w:val="both"/>
        <w:rPr>
          <w:rFonts w:asciiTheme="minorHAnsi" w:hAnsiTheme="minorHAnsi" w:cstheme="majorHAnsi"/>
        </w:rPr>
      </w:pPr>
      <w:r w:rsidRPr="004E053C">
        <w:rPr>
          <w:rFonts w:asciiTheme="minorHAnsi" w:hAnsiTheme="minorHAnsi" w:cstheme="majorHAnsi"/>
          <w:sz w:val="22"/>
          <w:szCs w:val="22"/>
        </w:rPr>
        <w:t xml:space="preserve">In recent years, the illegality of mining activities in La Pampa has undoubtedly bred violence and insecurity. In Peru, as in many countries </w:t>
      </w:r>
      <w:r w:rsidR="00AC676F" w:rsidRPr="004E053C">
        <w:rPr>
          <w:rFonts w:asciiTheme="minorHAnsi" w:hAnsiTheme="minorHAnsi" w:cstheme="majorHAnsi"/>
          <w:sz w:val="22"/>
          <w:szCs w:val="22"/>
        </w:rPr>
        <w:t>with a strong ASM sector,</w:t>
      </w:r>
      <w:r w:rsidRPr="004E053C">
        <w:rPr>
          <w:rFonts w:asciiTheme="minorHAnsi" w:hAnsiTheme="minorHAnsi" w:cstheme="majorHAnsi"/>
          <w:sz w:val="22"/>
          <w:szCs w:val="22"/>
        </w:rPr>
        <w:t xml:space="preserve"> the dominant discourse is that ASM miners are criminals with little regard for the negative outcomes of mining activities</w:t>
      </w:r>
      <w:r w:rsidR="00B60CA6" w:rsidRPr="004E053C">
        <w:rPr>
          <w:rFonts w:asciiTheme="minorHAnsi" w:hAnsiTheme="minorHAnsi" w:cstheme="majorHAnsi"/>
          <w:sz w:val="22"/>
          <w:szCs w:val="22"/>
        </w:rPr>
        <w:t xml:space="preserve"> </w:t>
      </w:r>
      <w:r w:rsidR="00B60CA6"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{"citationItems":[{"id":"ITEM-1","itemData":{"abstract":"Contrary to views of South African government officials and the media, illegal miners (. zamazama) in South Africa are better described as 'artisanal' miners and entrepreneurs who create significant numbers of jobs and economic value for many local communities. For the most part, they are not ignorant desperados, nor especially violent. They have unusual non-standard mining skills and knowledge that is distinctly different from industrial miners. They exploit gold resources that major mines cannot access and interact directly with global markets. With better legislation and, possibly, training, they could be economic assets and elements of the national heritage.","author":[{"dropping-particle":"","family":"Thornton","given":"Robert","non-dropping-particle":"","parse-names":false,"suffix":""}],"container-title":"Extractive Industries and Society","id":"ITEM-1","issue":"2","issued":{"date-parts":[["2014"]]},"page":"127-129","publisher":"Elsevier Ltd","title":"Zamazama, \"illegal\" artisanal miners, misrepresented by the South African Press and Government","type":"article-journal","volume":"1"},"uris":["http://www.mendeley.com/documents/?uuid=e5f815be-8d68-4df2-a3e5-b010b5bdc70c"]},{"id":"ITEM-2","itemData":{"author":[{"dropping-particle":"","family":"Ofori","given":"Daisy Rose","non-dropping-particle":"","parse-names":false,"suffix":""},{"dropping-particle":"","family":"Ofori","given":"Jerome Jeffison","non-dropping-particle":"","parse-names":false,"suffix":""}],"container-title":"Social Justice Research","id":"ITEM-2","issue":"4","issued":{"date-parts":[["2018"]]},"page":"355-373","title":"Digging for gold or justice? Misrecognition and marginalization of “illegal” small-scale miners in Ghana","type":"article-journal","volume":"31"},"uris":["http://www.mendeley.com/documents/?uuid=6b4d3379-303c-49a9-81f2-6d445e47ea18"]}],"mendeley":{"formattedCitation":"(Ofori &amp; Ofori, 2018; Thornton, 2014)","plainTextFormattedCitation":"(Ofori &amp; Ofori, 2018; Thornton, 2014)","previouslyFormattedCitation":"(Ofori &amp; Ofori, 2018; Thornton, 2014)"},"properties":{"noteIndex":0},"schema":"https://github.com/citation-style-language/schema/raw/master/csl-citation.json"}</w:instrText>
      </w:r>
      <w:r w:rsidR="00B60CA6" w:rsidRPr="004E053C">
        <w:rPr>
          <w:rFonts w:asciiTheme="minorHAnsi" w:hAnsiTheme="minorHAnsi" w:cstheme="majorHAnsi"/>
          <w:sz w:val="22"/>
          <w:szCs w:val="22"/>
        </w:rPr>
        <w:fldChar w:fldCharType="separate"/>
      </w:r>
      <w:r w:rsidR="00B60CA6" w:rsidRPr="004E053C">
        <w:rPr>
          <w:rFonts w:asciiTheme="minorHAnsi" w:hAnsiTheme="minorHAnsi" w:cstheme="majorHAnsi"/>
          <w:noProof/>
          <w:sz w:val="22"/>
          <w:szCs w:val="22"/>
        </w:rPr>
        <w:t>(Ofori &amp; Ofori, 2018; Thornton, 2014)</w:t>
      </w:r>
      <w:r w:rsidR="00B60CA6"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As such, miners are considered to </w:t>
      </w:r>
      <w:r w:rsidR="00D3327C" w:rsidRPr="004E053C">
        <w:rPr>
          <w:rFonts w:asciiTheme="minorHAnsi" w:hAnsiTheme="minorHAnsi" w:cstheme="majorHAnsi"/>
          <w:sz w:val="22"/>
          <w:szCs w:val="22"/>
        </w:rPr>
        <w:t>be criminals or deviants</w:t>
      </w:r>
      <w:r w:rsidRPr="004E053C">
        <w:rPr>
          <w:rFonts w:asciiTheme="minorHAnsi" w:hAnsiTheme="minorHAnsi" w:cstheme="majorHAnsi"/>
          <w:sz w:val="22"/>
          <w:szCs w:val="22"/>
        </w:rPr>
        <w:t xml:space="preserve"> who exist outside of the d</w:t>
      </w:r>
      <w:r w:rsidR="0026192C" w:rsidRPr="004E053C">
        <w:rPr>
          <w:rFonts w:asciiTheme="minorHAnsi" w:hAnsiTheme="minorHAnsi" w:cstheme="majorHAnsi"/>
          <w:sz w:val="22"/>
          <w:szCs w:val="22"/>
        </w:rPr>
        <w:t xml:space="preserve">ominant society </w:t>
      </w:r>
      <w:r w:rsidR="00B60CA6" w:rsidRPr="004E053C">
        <w:rPr>
          <w:rFonts w:asciiTheme="minorHAnsi" w:hAnsiTheme="minorHAnsi" w:cstheme="majorHAnsi"/>
          <w:sz w:val="22"/>
          <w:szCs w:val="22"/>
        </w:rPr>
        <w:fldChar w:fldCharType="begin" w:fldLock="1"/>
      </w:r>
      <w:r w:rsidR="002D6A2F" w:rsidRPr="004E053C">
        <w:rPr>
          <w:rFonts w:asciiTheme="minorHAnsi" w:hAnsiTheme="minorHAnsi" w:cstheme="majorHAnsi"/>
          <w:sz w:val="22"/>
          <w:szCs w:val="22"/>
        </w:rPr>
        <w:instrText>ADDIN CSL_CITATION {"citationItems":[{"id":"ITEM-1","itemData":{"author":[{"dropping-particle":"","family":"Becker","given":"Howard. S.","non-dropping-particle":"","parse-names":false,"suffix":""}],"id":"ITEM-1","issued":{"date-parts":[["1963"]]},"number-of-pages":"213","publisher":"The Free Press","publisher-place":"New York","title":"Outsiders: Studies in the Sociology of Deviance","type":"book"},"uris":["http://www.mendeley.com/documents/?uuid=a0af309e-d110-40cc-907a-12b4892a474b"]}],"mendeley":{"formattedCitation":"(H. S. Becker, 1963)","manualFormatting":"(Becker, 1963)","plainTextFormattedCitation":"(H. S. Becker, 1963)","previouslyFormattedCitation":"(H. S. Becker, 1963)"},"properties":{"noteIndex":0},"schema":"https://github.com/citation-style-language/schema/raw/master/csl-citation.json"}</w:instrText>
      </w:r>
      <w:r w:rsidR="00B60CA6" w:rsidRPr="004E053C">
        <w:rPr>
          <w:rFonts w:asciiTheme="minorHAnsi" w:hAnsiTheme="minorHAnsi" w:cstheme="majorHAnsi"/>
          <w:sz w:val="22"/>
          <w:szCs w:val="22"/>
        </w:rPr>
        <w:fldChar w:fldCharType="separate"/>
      </w:r>
      <w:r w:rsidR="00A446DD" w:rsidRPr="004E053C">
        <w:rPr>
          <w:rFonts w:asciiTheme="minorHAnsi" w:hAnsiTheme="minorHAnsi" w:cstheme="majorHAnsi"/>
          <w:noProof/>
          <w:sz w:val="22"/>
          <w:szCs w:val="22"/>
        </w:rPr>
        <w:t>(</w:t>
      </w:r>
      <w:r w:rsidR="00BD2031" w:rsidRPr="004E053C">
        <w:rPr>
          <w:rFonts w:asciiTheme="minorHAnsi" w:hAnsiTheme="minorHAnsi" w:cstheme="majorHAnsi"/>
          <w:noProof/>
          <w:sz w:val="22"/>
          <w:szCs w:val="22"/>
        </w:rPr>
        <w:t>Becker, 1963)</w:t>
      </w:r>
      <w:r w:rsidR="00B60CA6" w:rsidRPr="004E053C">
        <w:rPr>
          <w:rFonts w:asciiTheme="minorHAnsi" w:hAnsiTheme="minorHAnsi" w:cstheme="majorHAnsi"/>
          <w:sz w:val="22"/>
          <w:szCs w:val="22"/>
        </w:rPr>
        <w:fldChar w:fldCharType="end"/>
      </w:r>
      <w:r w:rsidR="0026192C" w:rsidRPr="004E053C">
        <w:rPr>
          <w:rFonts w:asciiTheme="minorHAnsi" w:hAnsiTheme="minorHAnsi" w:cstheme="majorHAnsi"/>
          <w:sz w:val="22"/>
          <w:szCs w:val="22"/>
        </w:rPr>
        <w:t xml:space="preserve">, which speaks to </w:t>
      </w:r>
      <w:r w:rsidR="00D3327C" w:rsidRPr="004E053C">
        <w:rPr>
          <w:rFonts w:asciiTheme="minorHAnsi" w:hAnsiTheme="minorHAnsi" w:cstheme="majorHAnsi"/>
          <w:sz w:val="22"/>
          <w:szCs w:val="22"/>
        </w:rPr>
        <w:t>the idea that those with</w:t>
      </w:r>
      <w:r w:rsidR="0026192C" w:rsidRPr="004E053C">
        <w:rPr>
          <w:rFonts w:asciiTheme="minorHAnsi" w:hAnsiTheme="minorHAnsi" w:cstheme="majorHAnsi"/>
          <w:sz w:val="22"/>
          <w:szCs w:val="22"/>
        </w:rPr>
        <w:t xml:space="preserve"> power impose language and definitions on others, </w:t>
      </w:r>
      <w:r w:rsidR="00D3327C" w:rsidRPr="004E053C">
        <w:rPr>
          <w:rFonts w:asciiTheme="minorHAnsi" w:hAnsiTheme="minorHAnsi" w:cstheme="majorHAnsi"/>
          <w:sz w:val="22"/>
          <w:szCs w:val="22"/>
        </w:rPr>
        <w:t>in a process which naturalises</w:t>
      </w:r>
      <w:r w:rsidR="0026192C" w:rsidRPr="004E053C">
        <w:rPr>
          <w:rFonts w:asciiTheme="minorHAnsi" w:hAnsiTheme="minorHAnsi" w:cstheme="majorHAnsi"/>
          <w:sz w:val="22"/>
          <w:szCs w:val="22"/>
        </w:rPr>
        <w:t xml:space="preserve"> social inequality </w:t>
      </w:r>
      <w:r w:rsidR="00B60CA6"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{"citationItems":[{"id":"ITEM-1","itemData":{"author":[{"dropping-particle":"","family":"Bourdieu","given":"Pierre","non-dropping-particle":"","parse-names":false,"suffix":""}],"container-title":"The Study of State Formation After the Cultural Turn","id":"ITEM-1","issued":{"date-parts":[["1999"]]},"page":"53-75","publisher":"Cornell University Press","publisher-place":"Ithaca, NY","title":"Rethinking the State: Genesis and structure of the bureaucratic field","type":"chapter"},"uris":["http://www.mendeley.com/documents/?uuid=f1e033b7-8a6d-3930-98bf-900ec5d21687"]},{"id":"ITEM-2","itemData":{"abstract":"The work of Bourdieu has increasingly gained interest in criminology. His theoretical framework is rich and arguably the most sophisticated approach to social inequality and difference in sociology. It has however, been criticized for bias towards the structural aspects of social life, and for leaving little space for the constitutive, and creative role of language. We argue for the inclusion of narrative for understanding street fields. Based on qualitative interviews with 40 incarcerated drug dealers in Norway, we describe the narrative repertoire of the street field, including stories of crime business, violence, drugs and the ‘hard life’. The narrative repertoire is constituted by street capital, but also upholds and produces this form of capital. Street talk is embedded in objective social and economic structures and displayed in the actors’ habitus. Narratives bind the street field together: producing social practices and social structure.","author":[{"dropping-particle":"","family":"Sandberg","given":"Sveinung","non-dropping-particle":"","parse-names":false,"suffix":""},{"dropping-particle":"","family":"Fleetwood","given":"Jennifer","non-dropping-particle":"","parse-names":false,"suffix":""}],"container-title":"Criminology &amp; Criminal Justice","id":"ITEM-2","issue":"4","issued":{"date-parts":[["2017"]]},"page":"365-381","title":"Street talk and Bourdieusian criminology: bringing narrative to field theory","type":"article-journal","volume":"17"},"uris":["http://www.mendeley.com/documents/?uuid=da2ac546-8ca1-4c74-a7fe-59d9ea2001e8"]}],"mendeley":{"formattedCitation":"(Bourdieu, 1999; Sandberg &amp; Fleetwood, 2017)","plainTextFormattedCitation":"(Bourdieu, 1999; Sandberg &amp; Fleetwood, 2017)","previouslyFormattedCitation":"(Bourdieu, 1999; Sandberg &amp; Fleetwood, 2017)"},"properties":{"noteIndex":0},"schema":"https://github.com/citation-style-language/schema/raw/master/csl-citation.json"}</w:instrText>
      </w:r>
      <w:r w:rsidR="00B60CA6" w:rsidRPr="004E053C">
        <w:rPr>
          <w:rFonts w:asciiTheme="minorHAnsi" w:hAnsiTheme="minorHAnsi" w:cstheme="majorHAnsi"/>
          <w:sz w:val="22"/>
          <w:szCs w:val="22"/>
        </w:rPr>
        <w:fldChar w:fldCharType="separate"/>
      </w:r>
      <w:r w:rsidR="00B60CA6" w:rsidRPr="004E053C">
        <w:rPr>
          <w:rFonts w:asciiTheme="minorHAnsi" w:hAnsiTheme="minorHAnsi" w:cstheme="majorHAnsi"/>
          <w:noProof/>
          <w:sz w:val="22"/>
          <w:szCs w:val="22"/>
        </w:rPr>
        <w:t>(Bourdieu, 1999; Sandberg &amp; Fleetwood, 2017)</w:t>
      </w:r>
      <w:r w:rsidR="00B60CA6" w:rsidRPr="004E053C">
        <w:rPr>
          <w:rFonts w:asciiTheme="minorHAnsi" w:hAnsiTheme="minorHAnsi" w:cstheme="majorHAnsi"/>
          <w:sz w:val="22"/>
          <w:szCs w:val="22"/>
        </w:rPr>
        <w:fldChar w:fldCharType="end"/>
      </w:r>
      <w:r w:rsidR="00B60CA6" w:rsidRPr="004E053C">
        <w:rPr>
          <w:rFonts w:asciiTheme="minorHAnsi" w:hAnsiTheme="minorHAnsi" w:cstheme="majorHAnsi"/>
          <w:sz w:val="22"/>
          <w:szCs w:val="22"/>
        </w:rPr>
        <w:t xml:space="preserve">. </w:t>
      </w:r>
      <w:r w:rsidRPr="004E053C">
        <w:rPr>
          <w:rFonts w:asciiTheme="minorHAnsi" w:hAnsiTheme="minorHAnsi" w:cstheme="majorHAnsi"/>
          <w:sz w:val="22"/>
          <w:szCs w:val="22"/>
        </w:rPr>
        <w:t xml:space="preserve">The Government’s portrayal of all ASM miners in Madre de Dios as illegal is a clear example of </w:t>
      </w:r>
      <w:r w:rsidR="00900A37" w:rsidRPr="004E053C">
        <w:rPr>
          <w:rFonts w:asciiTheme="minorHAnsi" w:hAnsiTheme="minorHAnsi" w:cstheme="majorHAnsi"/>
          <w:sz w:val="22"/>
          <w:szCs w:val="22"/>
        </w:rPr>
        <w:t>labelling</w:t>
      </w:r>
      <w:r w:rsidRPr="004E053C">
        <w:rPr>
          <w:rFonts w:asciiTheme="minorHAnsi" w:hAnsiTheme="minorHAnsi" w:cstheme="majorHAnsi"/>
          <w:sz w:val="22"/>
          <w:szCs w:val="22"/>
        </w:rPr>
        <w:t xml:space="preserve">, which is an important element of public policy </w:t>
      </w:r>
      <w:r w:rsidR="00B60CA6"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{"citationItems":[{"id":"ITEM-1","itemData":{"author":[{"dropping-particle":"","family":"Wood","given":"Geof","non-dropping-particle":"","parse-names":false,"suffix":""}],"container-title":"Development and Change","id":"ITEM-1","issue":"3","issued":{"date-parts":[["1985"]]},"page":"347-373","title":"The politics of development policy Labelling","type":"article-journal","volume":"16"},"uris":["http://www.mendeley.com/documents/?uuid=9d46b648-a203-4b06-a625-87b6a8fe7c03"]}],"mendeley":{"formattedCitation":"(Wood, 1985)","plainTextFormattedCitation":"(Wood, 1985)","previouslyFormattedCitation":"(Wood, 1985)"},"properties":{"noteIndex":0},"schema":"https://github.com/citation-style-language/schema/raw/master/csl-citation.json"}</w:instrText>
      </w:r>
      <w:r w:rsidR="00B60CA6" w:rsidRPr="004E053C">
        <w:rPr>
          <w:rFonts w:asciiTheme="minorHAnsi" w:hAnsiTheme="minorHAnsi" w:cstheme="majorHAnsi"/>
          <w:sz w:val="22"/>
          <w:szCs w:val="22"/>
        </w:rPr>
        <w:fldChar w:fldCharType="separate"/>
      </w:r>
      <w:r w:rsidR="00B60CA6" w:rsidRPr="004E053C">
        <w:rPr>
          <w:rFonts w:asciiTheme="minorHAnsi" w:hAnsiTheme="minorHAnsi" w:cstheme="majorHAnsi"/>
          <w:noProof/>
          <w:sz w:val="22"/>
          <w:szCs w:val="22"/>
        </w:rPr>
        <w:t>(Wood, 1985)</w:t>
      </w:r>
      <w:r w:rsidR="00B60CA6"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and in this case attempts to control how artisanal miners are viewed and understood in political discourse. In </w:t>
      </w:r>
      <w:r w:rsidR="00EA7F83" w:rsidRPr="004E053C">
        <w:rPr>
          <w:rFonts w:asciiTheme="minorHAnsi" w:hAnsiTheme="minorHAnsi" w:cstheme="majorHAnsi"/>
          <w:sz w:val="22"/>
          <w:szCs w:val="22"/>
        </w:rPr>
        <w:t>Cha</w:t>
      </w:r>
      <w:r w:rsidR="00565C53" w:rsidRPr="004E053C">
        <w:rPr>
          <w:rFonts w:asciiTheme="minorHAnsi" w:hAnsiTheme="minorHAnsi" w:cstheme="majorHAnsi"/>
          <w:sz w:val="22"/>
          <w:szCs w:val="22"/>
        </w:rPr>
        <w:t>pter 5</w:t>
      </w:r>
      <w:r w:rsidR="00D3327C" w:rsidRPr="004E053C">
        <w:rPr>
          <w:rFonts w:asciiTheme="minorHAnsi" w:hAnsiTheme="minorHAnsi" w:cstheme="majorHAnsi"/>
          <w:sz w:val="22"/>
          <w:szCs w:val="22"/>
        </w:rPr>
        <w:t>,</w:t>
      </w:r>
      <w:r w:rsidRPr="004E053C">
        <w:rPr>
          <w:rFonts w:asciiTheme="minorHAnsi" w:hAnsiTheme="minorHAnsi" w:cstheme="majorHAnsi"/>
          <w:sz w:val="22"/>
          <w:szCs w:val="22"/>
        </w:rPr>
        <w:t xml:space="preserve"> it was noted that the </w:t>
      </w:r>
      <w:r w:rsidR="00900A37" w:rsidRPr="004E053C">
        <w:rPr>
          <w:rFonts w:asciiTheme="minorHAnsi" w:hAnsiTheme="minorHAnsi" w:cstheme="majorHAnsi"/>
          <w:sz w:val="22"/>
          <w:szCs w:val="22"/>
        </w:rPr>
        <w:t>labelling</w:t>
      </w:r>
      <w:r w:rsidRPr="004E053C">
        <w:rPr>
          <w:rFonts w:asciiTheme="minorHAnsi" w:hAnsiTheme="minorHAnsi" w:cstheme="majorHAnsi"/>
          <w:sz w:val="22"/>
          <w:szCs w:val="22"/>
        </w:rPr>
        <w:t xml:space="preserve"> of the miners as </w:t>
      </w:r>
      <w:r w:rsidRPr="004E053C">
        <w:rPr>
          <w:rFonts w:asciiTheme="minorHAnsi" w:hAnsiTheme="minorHAnsi" w:cstheme="majorHAnsi"/>
          <w:sz w:val="22"/>
          <w:szCs w:val="22"/>
        </w:rPr>
        <w:lastRenderedPageBreak/>
        <w:t xml:space="preserve">criminals </w:t>
      </w:r>
      <w:r w:rsidR="00AC676F" w:rsidRPr="004E053C">
        <w:rPr>
          <w:rFonts w:asciiTheme="minorHAnsi" w:hAnsiTheme="minorHAnsi" w:cstheme="majorHAnsi"/>
          <w:sz w:val="22"/>
          <w:szCs w:val="22"/>
        </w:rPr>
        <w:t>effectively closed off the</w:t>
      </w:r>
      <w:r w:rsidRPr="004E053C">
        <w:rPr>
          <w:rFonts w:asciiTheme="minorHAnsi" w:hAnsiTheme="minorHAnsi" w:cstheme="majorHAnsi"/>
          <w:sz w:val="22"/>
          <w:szCs w:val="22"/>
        </w:rPr>
        <w:t xml:space="preserve"> legitimate opportunities that were available for other citizens</w:t>
      </w:r>
      <w:r w:rsidR="00AC676F" w:rsidRPr="004E053C">
        <w:rPr>
          <w:rFonts w:asciiTheme="minorHAnsi" w:hAnsiTheme="minorHAnsi" w:cstheme="majorHAnsi"/>
          <w:sz w:val="22"/>
          <w:szCs w:val="22"/>
        </w:rPr>
        <w:t xml:space="preserve"> </w:t>
      </w:r>
      <w:r w:rsidR="00B60CA6"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{"citationItems":[{"id":"ITEM-1","itemData":{"author":[{"dropping-particle":"","family":"Cohen","given":"Albert K","non-dropping-particle":"","parse-names":false,"suffix":""}],"container-title":"American Sociological Review","id":"ITEM-1","issue":"1","issued":{"date-parts":[["1965"]]},"page":"5-14","title":"The sociology of the deviant act: anomie theory and beyond","type":"article-journal","volume":"30"},"uris":["http://www.mendeley.com/documents/?uuid=c1c2c79d-efa2-4293-a531-e2f85a0cf3a3"]}],"mendeley":{"formattedCitation":"(Cohen, 1965)","plainTextFormattedCitation":"(Cohen, 1965)","previouslyFormattedCitation":"(Cohen, 1965)"},"properties":{"noteIndex":0},"schema":"https://github.com/citation-style-language/schema/raw/master/csl-citation.json"}</w:instrText>
      </w:r>
      <w:r w:rsidR="00B60CA6" w:rsidRPr="004E053C">
        <w:rPr>
          <w:rFonts w:asciiTheme="minorHAnsi" w:hAnsiTheme="minorHAnsi" w:cstheme="majorHAnsi"/>
          <w:sz w:val="22"/>
          <w:szCs w:val="22"/>
        </w:rPr>
        <w:fldChar w:fldCharType="separate"/>
      </w:r>
      <w:r w:rsidR="00B60CA6" w:rsidRPr="004E053C">
        <w:rPr>
          <w:rFonts w:asciiTheme="minorHAnsi" w:hAnsiTheme="minorHAnsi" w:cstheme="majorHAnsi"/>
          <w:noProof/>
          <w:sz w:val="22"/>
          <w:szCs w:val="22"/>
        </w:rPr>
        <w:t>(Cohen, 1965)</w:t>
      </w:r>
      <w:r w:rsidR="00B60CA6"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Cohen </w:t>
      </w:r>
      <w:r w:rsidR="00B60CA6"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{"citationItems":[{"id":"ITEM-1","itemData":{"author":[{"dropping-particle":"","family":"Cohen","given":"Albert K","non-dropping-particle":"","parse-names":false,"suffix":""}],"container-title":"American Sociological Review","id":"ITEM-1","issue":"1","issued":{"date-parts":[["1965"]]},"page":"5-14","title":"The sociology of the deviant act: anomie theory and beyond","type":"article-journal","volume":"30"},"uris":["http://www.mendeley.com/documents/?uuid=c1c2c79d-efa2-4293-a531-e2f85a0cf3a3"]}],"mendeley":{"formattedCitation":"(Cohen, 1965)","manualFormatting":"(1965)","plainTextFormattedCitation":"(Cohen, 1965)","previouslyFormattedCitation":"(Cohen, 1965)"},"properties":{"noteIndex":0},"schema":"https://github.com/citation-style-language/schema/raw/master/csl-citation.json"}</w:instrText>
      </w:r>
      <w:r w:rsidR="00B60CA6" w:rsidRPr="004E053C">
        <w:rPr>
          <w:rFonts w:asciiTheme="minorHAnsi" w:hAnsiTheme="minorHAnsi" w:cstheme="majorHAnsi"/>
          <w:sz w:val="22"/>
          <w:szCs w:val="22"/>
        </w:rPr>
        <w:fldChar w:fldCharType="separate"/>
      </w:r>
      <w:r w:rsidR="00B60CA6" w:rsidRPr="004E053C">
        <w:rPr>
          <w:rFonts w:asciiTheme="minorHAnsi" w:hAnsiTheme="minorHAnsi" w:cstheme="majorHAnsi"/>
          <w:noProof/>
          <w:sz w:val="22"/>
          <w:szCs w:val="22"/>
        </w:rPr>
        <w:t>(1965)</w:t>
      </w:r>
      <w:r w:rsidR="00B60CA6" w:rsidRPr="004E053C">
        <w:rPr>
          <w:rFonts w:asciiTheme="minorHAnsi" w:hAnsiTheme="minorHAnsi" w:cstheme="majorHAnsi"/>
          <w:sz w:val="22"/>
          <w:szCs w:val="22"/>
        </w:rPr>
        <w:fldChar w:fldCharType="end"/>
      </w:r>
      <w:r w:rsidR="00AC676F" w:rsidRPr="004E053C">
        <w:rPr>
          <w:rFonts w:asciiTheme="minorHAnsi" w:hAnsiTheme="minorHAnsi" w:cstheme="majorHAnsi"/>
          <w:sz w:val="22"/>
          <w:szCs w:val="22"/>
        </w:rPr>
        <w:t xml:space="preserve"> has </w:t>
      </w:r>
      <w:r w:rsidRPr="004E053C">
        <w:rPr>
          <w:rFonts w:asciiTheme="minorHAnsi" w:hAnsiTheme="minorHAnsi" w:cstheme="majorHAnsi"/>
          <w:sz w:val="22"/>
          <w:szCs w:val="22"/>
        </w:rPr>
        <w:t xml:space="preserve">argued that </w:t>
      </w:r>
      <w:r w:rsidR="00900A37" w:rsidRPr="004E053C">
        <w:rPr>
          <w:rFonts w:asciiTheme="minorHAnsi" w:hAnsiTheme="minorHAnsi" w:cstheme="majorHAnsi"/>
          <w:sz w:val="22"/>
          <w:szCs w:val="22"/>
        </w:rPr>
        <w:t>labelling</w:t>
      </w:r>
      <w:r w:rsidR="00AC676F" w:rsidRPr="004E053C">
        <w:rPr>
          <w:rFonts w:asciiTheme="minorHAnsi" w:hAnsiTheme="minorHAnsi" w:cstheme="majorHAnsi"/>
          <w:sz w:val="22"/>
          <w:szCs w:val="22"/>
        </w:rPr>
        <w:t xml:space="preserve"> ascribes groups a social role, changes</w:t>
      </w:r>
      <w:r w:rsidRPr="004E053C">
        <w:rPr>
          <w:rFonts w:asciiTheme="minorHAnsi" w:hAnsiTheme="minorHAnsi" w:cstheme="majorHAnsi"/>
          <w:sz w:val="22"/>
          <w:szCs w:val="22"/>
        </w:rPr>
        <w:t xml:space="preserve"> t</w:t>
      </w:r>
      <w:r w:rsidR="00AC676F" w:rsidRPr="004E053C">
        <w:rPr>
          <w:rFonts w:asciiTheme="minorHAnsi" w:hAnsiTheme="minorHAnsi" w:cstheme="majorHAnsi"/>
          <w:sz w:val="22"/>
          <w:szCs w:val="22"/>
        </w:rPr>
        <w:t>heir public image and activates</w:t>
      </w:r>
      <w:r w:rsidRPr="004E053C">
        <w:rPr>
          <w:rFonts w:asciiTheme="minorHAnsi" w:hAnsiTheme="minorHAnsi" w:cstheme="majorHAnsi"/>
          <w:sz w:val="22"/>
          <w:szCs w:val="22"/>
        </w:rPr>
        <w:t xml:space="preserve"> a set of appropriate responses, both on the part of the miners and the wider society. </w:t>
      </w:r>
      <w:r w:rsidR="00AC676F" w:rsidRPr="004E053C">
        <w:rPr>
          <w:rFonts w:asciiTheme="minorHAnsi" w:hAnsiTheme="minorHAnsi" w:cstheme="majorHAnsi"/>
          <w:sz w:val="22"/>
          <w:szCs w:val="22"/>
        </w:rPr>
        <w:t xml:space="preserve">Alongside this, the </w:t>
      </w:r>
      <w:r w:rsidR="00A63452" w:rsidRPr="004E053C">
        <w:rPr>
          <w:rFonts w:asciiTheme="minorHAnsi" w:hAnsiTheme="minorHAnsi" w:cstheme="majorHAnsi"/>
          <w:sz w:val="22"/>
          <w:szCs w:val="22"/>
        </w:rPr>
        <w:t>G</w:t>
      </w:r>
      <w:r w:rsidRPr="004E053C">
        <w:rPr>
          <w:rFonts w:asciiTheme="minorHAnsi" w:hAnsiTheme="minorHAnsi" w:cstheme="majorHAnsi"/>
          <w:sz w:val="22"/>
          <w:szCs w:val="22"/>
        </w:rPr>
        <w:t xml:space="preserve">overnment pursues a strategy of </w:t>
      </w:r>
      <w:r w:rsidR="00AC676F" w:rsidRPr="004E053C">
        <w:rPr>
          <w:rFonts w:asciiTheme="minorHAnsi" w:hAnsiTheme="minorHAnsi" w:cstheme="majorHAnsi"/>
          <w:sz w:val="22"/>
          <w:szCs w:val="22"/>
        </w:rPr>
        <w:t xml:space="preserve">violent </w:t>
      </w:r>
      <w:r w:rsidRPr="004E053C">
        <w:rPr>
          <w:rFonts w:asciiTheme="minorHAnsi" w:hAnsiTheme="minorHAnsi" w:cstheme="majorHAnsi"/>
          <w:sz w:val="22"/>
          <w:szCs w:val="22"/>
        </w:rPr>
        <w:t xml:space="preserve">interdictions, designed to reduce illegitimate opportunities. The </w:t>
      </w:r>
      <w:r w:rsidR="00900A37" w:rsidRPr="004E053C">
        <w:rPr>
          <w:rFonts w:asciiTheme="minorHAnsi" w:hAnsiTheme="minorHAnsi" w:cstheme="majorHAnsi"/>
          <w:sz w:val="22"/>
          <w:szCs w:val="22"/>
        </w:rPr>
        <w:t>labelling</w:t>
      </w:r>
      <w:r w:rsidRPr="004E053C">
        <w:rPr>
          <w:rFonts w:asciiTheme="minorHAnsi" w:hAnsiTheme="minorHAnsi" w:cstheme="majorHAnsi"/>
          <w:sz w:val="22"/>
          <w:szCs w:val="22"/>
        </w:rPr>
        <w:t xml:space="preserve"> of the miners as cr</w:t>
      </w:r>
      <w:r w:rsidR="00A63452" w:rsidRPr="004E053C">
        <w:rPr>
          <w:rFonts w:asciiTheme="minorHAnsi" w:hAnsiTheme="minorHAnsi" w:cstheme="majorHAnsi"/>
          <w:sz w:val="22"/>
          <w:szCs w:val="22"/>
        </w:rPr>
        <w:t>iminals justifies this approach</w:t>
      </w:r>
      <w:r w:rsidRPr="004E053C">
        <w:rPr>
          <w:rFonts w:asciiTheme="minorHAnsi" w:hAnsiTheme="minorHAnsi" w:cstheme="majorHAnsi"/>
          <w:sz w:val="22"/>
          <w:szCs w:val="22"/>
        </w:rPr>
        <w:t xml:space="preserve"> and the two can be seen as being mutually reinforcing. </w:t>
      </w:r>
      <w:r w:rsidRPr="004E053C">
        <w:rPr>
          <w:rFonts w:asciiTheme="minorHAnsi" w:eastAsia="Times New Roman" w:hAnsiTheme="minorHAnsi" w:cstheme="majorHAnsi"/>
          <w:sz w:val="22"/>
          <w:szCs w:val="22"/>
        </w:rPr>
        <w:t>However, the continual policy changes and heavy-handed approach to ASM</w:t>
      </w:r>
      <w:r w:rsidR="00F21F94" w:rsidRPr="004E053C">
        <w:rPr>
          <w:rFonts w:asciiTheme="minorHAnsi" w:eastAsia="Times New Roman" w:hAnsiTheme="minorHAnsi" w:cstheme="majorHAnsi"/>
          <w:sz w:val="22"/>
          <w:szCs w:val="22"/>
        </w:rPr>
        <w:t xml:space="preserve">, and the fact that it has coincided with a process of criminalising the indigenous Amazonians who protest against large-scale extractives, </w:t>
      </w:r>
      <w:r w:rsidRPr="004E053C">
        <w:rPr>
          <w:rFonts w:asciiTheme="minorHAnsi" w:eastAsia="Times New Roman" w:hAnsiTheme="minorHAnsi" w:cstheme="majorHAnsi"/>
          <w:sz w:val="22"/>
          <w:szCs w:val="22"/>
        </w:rPr>
        <w:t>has provided scope</w:t>
      </w:r>
      <w:r w:rsidR="00AC676F" w:rsidRPr="004E053C">
        <w:rPr>
          <w:rFonts w:asciiTheme="minorHAnsi" w:hAnsiTheme="minorHAnsi" w:cstheme="majorHAnsi"/>
          <w:sz w:val="22"/>
          <w:szCs w:val="22"/>
        </w:rPr>
        <w:t xml:space="preserve"> for the </w:t>
      </w:r>
      <w:r w:rsidRPr="004E053C">
        <w:rPr>
          <w:rFonts w:asciiTheme="minorHAnsi" w:hAnsiTheme="minorHAnsi" w:cstheme="majorHAnsi"/>
          <w:sz w:val="22"/>
          <w:szCs w:val="22"/>
        </w:rPr>
        <w:t xml:space="preserve">actors </w:t>
      </w:r>
      <w:r w:rsidR="00AC676F" w:rsidRPr="004E053C">
        <w:rPr>
          <w:rFonts w:asciiTheme="minorHAnsi" w:hAnsiTheme="minorHAnsi" w:cstheme="majorHAnsi"/>
          <w:sz w:val="22"/>
          <w:szCs w:val="22"/>
        </w:rPr>
        <w:t xml:space="preserve">within the social field </w:t>
      </w:r>
      <w:r w:rsidRPr="004E053C">
        <w:rPr>
          <w:rFonts w:asciiTheme="minorHAnsi" w:hAnsiTheme="minorHAnsi" w:cstheme="majorHAnsi"/>
          <w:sz w:val="22"/>
          <w:szCs w:val="22"/>
        </w:rPr>
        <w:t xml:space="preserve">to adopt competing discourses of illegality, informality and criminality to further their own agendas. </w:t>
      </w:r>
      <w:r w:rsidR="00AC676F" w:rsidRPr="004E053C">
        <w:rPr>
          <w:rFonts w:asciiTheme="minorHAnsi" w:hAnsiTheme="minorHAnsi" w:cstheme="majorHAnsi"/>
          <w:sz w:val="22"/>
          <w:szCs w:val="22"/>
        </w:rPr>
        <w:t>The</w:t>
      </w:r>
      <w:r w:rsidRPr="004E053C">
        <w:rPr>
          <w:rFonts w:asciiTheme="minorHAnsi" w:hAnsiTheme="minorHAnsi" w:cstheme="majorHAnsi"/>
          <w:sz w:val="22"/>
          <w:szCs w:val="22"/>
        </w:rPr>
        <w:t xml:space="preserve"> miners’ perception of the Government’s treatment of them has </w:t>
      </w:r>
      <w:r w:rsidR="00AC676F" w:rsidRPr="004E053C">
        <w:rPr>
          <w:rFonts w:asciiTheme="minorHAnsi" w:hAnsiTheme="minorHAnsi" w:cstheme="majorHAnsi"/>
          <w:sz w:val="22"/>
          <w:szCs w:val="22"/>
        </w:rPr>
        <w:t xml:space="preserve">also </w:t>
      </w:r>
      <w:r w:rsidRPr="004E053C">
        <w:rPr>
          <w:rFonts w:asciiTheme="minorHAnsi" w:hAnsiTheme="minorHAnsi" w:cstheme="majorHAnsi"/>
          <w:sz w:val="22"/>
          <w:szCs w:val="22"/>
        </w:rPr>
        <w:t>led to protests, activism and the growing influence of individuals previously assoc</w:t>
      </w:r>
      <w:r w:rsidR="00D3327C" w:rsidRPr="004E053C">
        <w:rPr>
          <w:rFonts w:asciiTheme="minorHAnsi" w:hAnsiTheme="minorHAnsi" w:cstheme="majorHAnsi"/>
          <w:sz w:val="22"/>
          <w:szCs w:val="22"/>
        </w:rPr>
        <w:t>iated with the FEDAMIN organis</w:t>
      </w:r>
      <w:r w:rsidRPr="004E053C">
        <w:rPr>
          <w:rFonts w:asciiTheme="minorHAnsi" w:hAnsiTheme="minorHAnsi" w:cstheme="majorHAnsi"/>
          <w:sz w:val="22"/>
          <w:szCs w:val="22"/>
        </w:rPr>
        <w:t>ation.</w:t>
      </w:r>
    </w:p>
    <w:p w14:paraId="0EC2C590" w14:textId="77777777" w:rsidR="003E574E" w:rsidRPr="004E053C" w:rsidRDefault="003E574E" w:rsidP="004E053C">
      <w:pPr>
        <w:spacing w:line="360" w:lineRule="auto"/>
        <w:jc w:val="both"/>
        <w:rPr>
          <w:rFonts w:cstheme="majorHAnsi"/>
          <w:sz w:val="22"/>
          <w:szCs w:val="22"/>
          <w:lang w:val="en-GB"/>
        </w:rPr>
      </w:pPr>
    </w:p>
    <w:p w14:paraId="6121D677" w14:textId="7DAF0C3D" w:rsidR="003E574E" w:rsidRPr="004E053C" w:rsidRDefault="00EA7F83" w:rsidP="004E053C">
      <w:pPr>
        <w:pStyle w:val="Heading2"/>
        <w:spacing w:before="0" w:line="360" w:lineRule="auto"/>
        <w:jc w:val="both"/>
        <w:rPr>
          <w:rFonts w:cstheme="majorHAnsi"/>
          <w:lang w:val="en-GB"/>
        </w:rPr>
      </w:pPr>
      <w:bookmarkStart w:id="104" w:name="_Toc33293130"/>
      <w:r w:rsidRPr="004E053C">
        <w:rPr>
          <w:rFonts w:cstheme="majorHAnsi"/>
          <w:lang w:val="en-GB"/>
        </w:rPr>
        <w:t>9</w:t>
      </w:r>
      <w:r w:rsidR="005252FE" w:rsidRPr="004E053C">
        <w:rPr>
          <w:rFonts w:cstheme="majorHAnsi"/>
          <w:lang w:val="en-GB"/>
        </w:rPr>
        <w:t>.</w:t>
      </w:r>
      <w:r w:rsidR="003E574E" w:rsidRPr="004E053C">
        <w:rPr>
          <w:rFonts w:cstheme="majorHAnsi"/>
          <w:lang w:val="en-GB"/>
        </w:rPr>
        <w:t>3. Government</w:t>
      </w:r>
      <w:r w:rsidR="004A3EF1" w:rsidRPr="004E053C">
        <w:rPr>
          <w:rFonts w:cstheme="majorHAnsi"/>
          <w:lang w:val="en-GB"/>
        </w:rPr>
        <w:t>’s</w:t>
      </w:r>
      <w:r w:rsidR="003E574E" w:rsidRPr="004E053C">
        <w:rPr>
          <w:rFonts w:cstheme="majorHAnsi"/>
          <w:lang w:val="en-GB"/>
        </w:rPr>
        <w:t xml:space="preserve"> lack of differentiation </w:t>
      </w:r>
      <w:r w:rsidR="004A3EF1" w:rsidRPr="004E053C">
        <w:rPr>
          <w:rFonts w:cstheme="majorHAnsi"/>
          <w:lang w:val="en-GB"/>
        </w:rPr>
        <w:t>within the ASM social field</w:t>
      </w:r>
      <w:bookmarkEnd w:id="104"/>
    </w:p>
    <w:p w14:paraId="29159D7E" w14:textId="77777777" w:rsidR="00D51819" w:rsidRPr="004E053C" w:rsidRDefault="00D51819" w:rsidP="004E053C">
      <w:pPr>
        <w:jc w:val="both"/>
        <w:rPr>
          <w:lang w:val="en-GB"/>
        </w:rPr>
      </w:pPr>
    </w:p>
    <w:p w14:paraId="3C1FC948" w14:textId="65690C56" w:rsidR="00947159" w:rsidRPr="004E053C" w:rsidRDefault="00541E9C" w:rsidP="004E053C">
      <w:pPr>
        <w:pStyle w:val="NormalWeb"/>
        <w:spacing w:before="0" w:beforeAutospacing="0" w:after="0" w:afterAutospacing="0" w:line="360" w:lineRule="auto"/>
        <w:jc w:val="both"/>
        <w:rPr>
          <w:rFonts w:asciiTheme="minorHAnsi" w:hAnsiTheme="minorHAnsi" w:cstheme="majorHAnsi"/>
          <w:sz w:val="22"/>
          <w:szCs w:val="22"/>
        </w:rPr>
      </w:pPr>
      <w:r w:rsidRPr="004E053C">
        <w:rPr>
          <w:rFonts w:asciiTheme="minorHAnsi" w:hAnsiTheme="minorHAnsi" w:cstheme="majorHAnsi"/>
          <w:sz w:val="22"/>
          <w:szCs w:val="22"/>
        </w:rPr>
        <w:t>As Bec</w:t>
      </w:r>
      <w:r w:rsidR="00E45F49" w:rsidRPr="004E053C">
        <w:rPr>
          <w:rFonts w:asciiTheme="minorHAnsi" w:hAnsiTheme="minorHAnsi" w:cstheme="majorHAnsi"/>
          <w:sz w:val="22"/>
          <w:szCs w:val="22"/>
        </w:rPr>
        <w:t xml:space="preserve">ker points out, </w:t>
      </w:r>
      <w:r w:rsidR="00D3327C" w:rsidRPr="004E053C">
        <w:rPr>
          <w:rFonts w:asciiTheme="minorHAnsi" w:hAnsiTheme="minorHAnsi" w:cstheme="majorHAnsi"/>
          <w:sz w:val="22"/>
          <w:szCs w:val="22"/>
        </w:rPr>
        <w:t>the ‘</w:t>
      </w:r>
      <w:r w:rsidR="003E574E" w:rsidRPr="004E053C">
        <w:rPr>
          <w:rFonts w:asciiTheme="minorHAnsi" w:hAnsiTheme="minorHAnsi" w:cstheme="majorHAnsi"/>
          <w:sz w:val="22"/>
          <w:szCs w:val="22"/>
        </w:rPr>
        <w:t xml:space="preserve">questions of what rules are to be enforced, what </w:t>
      </w:r>
      <w:r w:rsidR="00900A37" w:rsidRPr="004E053C">
        <w:rPr>
          <w:rFonts w:asciiTheme="minorHAnsi" w:hAnsiTheme="minorHAnsi" w:cstheme="majorHAnsi"/>
          <w:sz w:val="22"/>
          <w:szCs w:val="22"/>
        </w:rPr>
        <w:t>behaviour</w:t>
      </w:r>
      <w:r w:rsidR="003E574E" w:rsidRPr="004E053C">
        <w:rPr>
          <w:rFonts w:asciiTheme="minorHAnsi" w:hAnsiTheme="minorHAnsi" w:cstheme="majorHAnsi"/>
          <w:sz w:val="22"/>
          <w:szCs w:val="22"/>
        </w:rPr>
        <w:t xml:space="preserve"> regarded as deviant, and which people </w:t>
      </w:r>
      <w:r w:rsidR="00900A37" w:rsidRPr="004E053C">
        <w:rPr>
          <w:rFonts w:asciiTheme="minorHAnsi" w:hAnsiTheme="minorHAnsi" w:cstheme="majorHAnsi"/>
          <w:sz w:val="22"/>
          <w:szCs w:val="22"/>
        </w:rPr>
        <w:t>labelled</w:t>
      </w:r>
      <w:r w:rsidR="003E574E" w:rsidRPr="004E053C">
        <w:rPr>
          <w:rFonts w:asciiTheme="minorHAnsi" w:hAnsiTheme="minorHAnsi" w:cstheme="majorHAnsi"/>
          <w:sz w:val="22"/>
          <w:szCs w:val="22"/>
        </w:rPr>
        <w:t xml:space="preserve"> as outside</w:t>
      </w:r>
      <w:r w:rsidR="00D3327C" w:rsidRPr="004E053C">
        <w:rPr>
          <w:rFonts w:asciiTheme="minorHAnsi" w:hAnsiTheme="minorHAnsi" w:cstheme="majorHAnsi"/>
          <w:sz w:val="22"/>
          <w:szCs w:val="22"/>
        </w:rPr>
        <w:t>r must…be regarded as political’</w:t>
      </w:r>
      <w:r w:rsidR="003E574E" w:rsidRPr="004E053C">
        <w:rPr>
          <w:rFonts w:asciiTheme="minorHAnsi" w:hAnsiTheme="minorHAnsi" w:cstheme="majorHAnsi"/>
          <w:sz w:val="22"/>
          <w:szCs w:val="22"/>
        </w:rPr>
        <w:t xml:space="preserve"> </w:t>
      </w:r>
      <w:r w:rsidR="00B60CA6" w:rsidRPr="004E053C">
        <w:rPr>
          <w:rFonts w:asciiTheme="minorHAnsi" w:hAnsiTheme="minorHAnsi" w:cstheme="majorHAnsi"/>
          <w:sz w:val="22"/>
          <w:szCs w:val="22"/>
        </w:rPr>
        <w:fldChar w:fldCharType="begin" w:fldLock="1"/>
      </w:r>
      <w:r w:rsidR="00BD2031" w:rsidRPr="004E053C">
        <w:rPr>
          <w:rFonts w:asciiTheme="minorHAnsi" w:hAnsiTheme="minorHAnsi" w:cstheme="majorHAnsi"/>
          <w:sz w:val="22"/>
          <w:szCs w:val="22"/>
        </w:rPr>
        <w:instrText>ADDIN CSL_CITATION {"citationItems":[{"id":"ITEM-1","itemData":{"author":[{"dropping-particle":"","family":"Becker","given":"Howard. S.","non-dropping-particle":"","parse-names":false,"suffix":""}],"id":"ITEM-1","issued":{"date-parts":[["1963"]]},"number-of-pages":"213","publisher":"The Free Press","publisher-place":"New York","title":"Outsiders: Studies in the Sociology of Deviance","type":"book"},"uris":["http://www.mendeley.com/documents/?uuid=a0af309e-d110-40cc-907a-12b4892a474b"]}],"mendeley":{"formattedCitation":"(H. S. Becker, 1963)","manualFormatting":"(1963, p.7)","plainTextFormattedCitation":"(H. S. Becker, 1963)","previouslyFormattedCitation":"(H. S. Becker, 1963)"},"properties":{"noteIndex":0},"schema":"https://github.com/citation-style-language/schema/raw/master/csl-citation.json"}</w:instrText>
      </w:r>
      <w:r w:rsidR="00B60CA6" w:rsidRPr="004E053C">
        <w:rPr>
          <w:rFonts w:asciiTheme="minorHAnsi" w:hAnsiTheme="minorHAnsi" w:cstheme="majorHAnsi"/>
          <w:sz w:val="22"/>
          <w:szCs w:val="22"/>
        </w:rPr>
        <w:fldChar w:fldCharType="separate"/>
      </w:r>
      <w:r w:rsidR="00B60CA6" w:rsidRPr="004E053C">
        <w:rPr>
          <w:rFonts w:asciiTheme="minorHAnsi" w:hAnsiTheme="minorHAnsi" w:cstheme="majorHAnsi"/>
          <w:noProof/>
          <w:sz w:val="22"/>
          <w:szCs w:val="22"/>
        </w:rPr>
        <w:t>(1963, p.7)</w:t>
      </w:r>
      <w:r w:rsidR="00B60CA6" w:rsidRPr="004E053C">
        <w:rPr>
          <w:rFonts w:asciiTheme="minorHAnsi" w:hAnsiTheme="minorHAnsi" w:cstheme="majorHAnsi"/>
          <w:sz w:val="22"/>
          <w:szCs w:val="22"/>
        </w:rPr>
        <w:fldChar w:fldCharType="end"/>
      </w:r>
      <w:r w:rsidR="003E574E" w:rsidRPr="004E053C">
        <w:rPr>
          <w:rFonts w:asciiTheme="minorHAnsi" w:hAnsiTheme="minorHAnsi" w:cstheme="majorHAnsi"/>
          <w:sz w:val="22"/>
          <w:szCs w:val="22"/>
        </w:rPr>
        <w:t xml:space="preserve">. </w:t>
      </w:r>
      <w:r w:rsidR="003E574E" w:rsidRPr="004E053C">
        <w:rPr>
          <w:rFonts w:asciiTheme="minorHAnsi" w:eastAsia="Times New Roman" w:hAnsiTheme="minorHAnsi" w:cstheme="majorHAnsi"/>
          <w:sz w:val="22"/>
          <w:szCs w:val="22"/>
        </w:rPr>
        <w:t>As expla</w:t>
      </w:r>
      <w:r w:rsidR="00565C53" w:rsidRPr="004E053C">
        <w:rPr>
          <w:rFonts w:asciiTheme="minorHAnsi" w:eastAsia="Times New Roman" w:hAnsiTheme="minorHAnsi" w:cstheme="majorHAnsi"/>
          <w:sz w:val="22"/>
          <w:szCs w:val="22"/>
        </w:rPr>
        <w:t>ined in chapter 8</w:t>
      </w:r>
      <w:r w:rsidR="004A3EF1" w:rsidRPr="004E053C">
        <w:rPr>
          <w:rFonts w:asciiTheme="minorHAnsi" w:eastAsia="Times New Roman" w:hAnsiTheme="minorHAnsi" w:cstheme="majorHAnsi"/>
          <w:sz w:val="22"/>
          <w:szCs w:val="22"/>
        </w:rPr>
        <w:t>, the permanent</w:t>
      </w:r>
      <w:r w:rsidR="003E574E" w:rsidRPr="004E053C">
        <w:rPr>
          <w:rFonts w:asciiTheme="minorHAnsi" w:eastAsia="Times New Roman" w:hAnsiTheme="minorHAnsi" w:cstheme="majorHAnsi"/>
          <w:sz w:val="22"/>
          <w:szCs w:val="22"/>
        </w:rPr>
        <w:t xml:space="preserve"> miners feel persecuted by the Government due to the labelling of them as criminal and what they see as an unfair assault on their livelihood and community. </w:t>
      </w:r>
      <w:r w:rsidRPr="004E053C">
        <w:rPr>
          <w:rFonts w:asciiTheme="minorHAnsi" w:hAnsiTheme="minorHAnsi" w:cstheme="majorHAnsi"/>
          <w:sz w:val="22"/>
          <w:szCs w:val="22"/>
        </w:rPr>
        <w:t xml:space="preserve">Fraser and Atkinson </w:t>
      </w:r>
      <w:r w:rsidR="005E572D" w:rsidRPr="004E053C">
        <w:rPr>
          <w:rFonts w:asciiTheme="minorHAnsi" w:hAnsiTheme="minorHAnsi" w:cstheme="majorHAnsi"/>
          <w:sz w:val="22"/>
          <w:szCs w:val="22"/>
        </w:rPr>
        <w:fldChar w:fldCharType="begin" w:fldLock="1"/>
      </w:r>
      <w:r w:rsidR="002D6A2F" w:rsidRPr="004E053C">
        <w:rPr>
          <w:rFonts w:asciiTheme="minorHAnsi" w:hAnsiTheme="minorHAnsi" w:cstheme="majorHAnsi"/>
          <w:sz w:val="22"/>
          <w:szCs w:val="22"/>
        </w:rPr>
        <w:instrText>ADDIN CSL_CITATION {"citationItems":[{"id":"ITEM-1","itemData":{"author":[{"dropping-particle":"","family":"Fraser","given":"A","non-dropping-particle":"","parse-names":false,"suffix":""},{"dropping-particle":"","family":"Atkinson","given":"C","non-dropping-particle":"","parse-names":false,"suffix":""}],"container-title":"Youth Justice","id":"ITEM-1","issue":"2","issued":{"date-parts":[["2014"]]},"page":"154-170","title":"Making up gangs: looping, labelling and the new politics of intelligence-led policing","type":"article-journal","volume":"14"},"uris":["http://www.mendeley.com/documents/?uuid=112763c5-f768-4536-804d-b5f2c4e89d55"]}],"mendeley":{"formattedCitation":"(Fraser &amp; Atkinson, 2014)","manualFormatting":"(2014)","plainTextFormattedCitation":"(Fraser &amp; Atkinson, 2014)","previouslyFormattedCitation":"(Fraser &amp; Atkinson, 2014)"},"properties":{"noteIndex":0},"schema":"https://github.com/citation-style-language/schema/raw/master/csl-citation.json"}</w:instrText>
      </w:r>
      <w:r w:rsidR="005E572D" w:rsidRPr="004E053C">
        <w:rPr>
          <w:rFonts w:asciiTheme="minorHAnsi" w:hAnsiTheme="minorHAnsi" w:cstheme="majorHAnsi"/>
          <w:sz w:val="22"/>
          <w:szCs w:val="22"/>
        </w:rPr>
        <w:fldChar w:fldCharType="separate"/>
      </w:r>
      <w:r w:rsidR="00A446DD" w:rsidRPr="004E053C">
        <w:rPr>
          <w:rFonts w:asciiTheme="minorHAnsi" w:hAnsiTheme="minorHAnsi" w:cstheme="majorHAnsi"/>
          <w:noProof/>
          <w:sz w:val="22"/>
          <w:szCs w:val="22"/>
        </w:rPr>
        <w:t>(</w:t>
      </w:r>
      <w:r w:rsidR="005E572D" w:rsidRPr="004E053C">
        <w:rPr>
          <w:rFonts w:asciiTheme="minorHAnsi" w:hAnsiTheme="minorHAnsi" w:cstheme="majorHAnsi"/>
          <w:noProof/>
          <w:sz w:val="22"/>
          <w:szCs w:val="22"/>
        </w:rPr>
        <w:t>2014)</w:t>
      </w:r>
      <w:r w:rsidR="005E572D"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have observed the same differentiations when </w:t>
      </w:r>
      <w:r w:rsidR="00B7547B" w:rsidRPr="004E053C">
        <w:rPr>
          <w:rFonts w:asciiTheme="minorHAnsi" w:hAnsiTheme="minorHAnsi" w:cstheme="majorHAnsi"/>
          <w:sz w:val="22"/>
          <w:szCs w:val="22"/>
        </w:rPr>
        <w:t>examining the</w:t>
      </w:r>
      <w:r w:rsidRPr="004E053C">
        <w:rPr>
          <w:rFonts w:asciiTheme="minorHAnsi" w:hAnsiTheme="minorHAnsi" w:cstheme="majorHAnsi"/>
          <w:sz w:val="22"/>
          <w:szCs w:val="22"/>
        </w:rPr>
        <w:t xml:space="preserve"> a</w:t>
      </w:r>
      <w:r w:rsidR="00B7547B" w:rsidRPr="004E053C">
        <w:rPr>
          <w:rFonts w:asciiTheme="minorHAnsi" w:hAnsiTheme="minorHAnsi" w:cstheme="majorHAnsi"/>
          <w:sz w:val="22"/>
          <w:szCs w:val="22"/>
        </w:rPr>
        <w:t>nta</w:t>
      </w:r>
      <w:r w:rsidRPr="004E053C">
        <w:rPr>
          <w:rFonts w:asciiTheme="minorHAnsi" w:hAnsiTheme="minorHAnsi" w:cstheme="majorHAnsi"/>
          <w:sz w:val="22"/>
          <w:szCs w:val="22"/>
        </w:rPr>
        <w:t>gonistic relationship bet</w:t>
      </w:r>
      <w:r w:rsidR="00B7547B" w:rsidRPr="004E053C">
        <w:rPr>
          <w:rFonts w:asciiTheme="minorHAnsi" w:hAnsiTheme="minorHAnsi" w:cstheme="majorHAnsi"/>
          <w:sz w:val="22"/>
          <w:szCs w:val="22"/>
        </w:rPr>
        <w:t xml:space="preserve">ween the distinct social fields of </w:t>
      </w:r>
      <w:r w:rsidRPr="004E053C">
        <w:rPr>
          <w:rFonts w:asciiTheme="minorHAnsi" w:hAnsiTheme="minorHAnsi" w:cstheme="majorHAnsi"/>
          <w:sz w:val="22"/>
          <w:szCs w:val="22"/>
        </w:rPr>
        <w:t xml:space="preserve">street-based youths on the one hand and law enforcement on the other. While the youths may see their identification with the group as fluid and as offering a sense of belonging, police officers view the gang as a static entity of violence, where membership is not only fixed but also often recorded in computer databases. It is clear that the formers’ version of reality conflicts dramatically with the logic of police officers and intelligence analysts </w:t>
      </w:r>
      <w:r w:rsidR="005E572D"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Fraser","given":"A","non-dropping-particle":"","parse-names":false,"suffix":""},{"dropping-particle":"","family":"Atkinson","given":"C","non-dropping-particle":"","parse-names":false,"suffix":""}],"container-title":"Youth Justice","id":"ITEM-1","issue":"2","issued":{"date-parts":[["2014"]]},"page":"154-170","title":"Making up gangs: looping, labelling and the new politics of intelligence-led policing","type":"article-journal","volume":"14"},"uris":["http://www.mendeley.com/documents/?uuid=112763c5-f768-4536-804d-b5f2c4e89d55"]},{"id":"ITEM-2","itemData":{"author":[{"dropping-particle":"","family":"Shammus","given":"Victor L","non-dropping-particle":"","parse-names":false,"suffix":""},{"dropping-particle":"","family":"Sandberg","given":"Sveinung","non-dropping-particle":"","parse-names":false,"suffix":""}],"container-title":"Criminology &amp; Criminal Justice","id":"ITEM-2","issue":"2","issued":{"date-parts":[["2016"]]},"page":"195-213","title":"Habitus, capital and conflict: bringing Bourdieusian field theory to criminoligy","type":"article-journal","volume":"16"},"uris":["http://www.mendeley.com/documents/?uuid=ee4a3f60-2227-491f-bc45-f9d879b301c5"]}],"mendeley":{"formattedCitation":"(Fraser &amp; Atkinson, 2014; Shammus &amp; Sandberg, 2016)","plainTextFormattedCitation":"(Fraser &amp; Atkinson, 2014; Shammus &amp; Sandberg, 2016)","previouslyFormattedCitation":"(Fraser &amp; Atkinson, 2014; Shammus &amp; Sandberg, 2016)"},"properties":{"noteIndex":0},"schema":"https://github.com/citation-style-language/schema/raw/master/csl-citation.json"}</w:instrText>
      </w:r>
      <w:r w:rsidR="005E572D" w:rsidRPr="004E053C">
        <w:rPr>
          <w:rFonts w:asciiTheme="minorHAnsi" w:hAnsiTheme="minorHAnsi" w:cstheme="majorHAnsi"/>
          <w:sz w:val="22"/>
          <w:szCs w:val="22"/>
        </w:rPr>
        <w:fldChar w:fldCharType="separate"/>
      </w:r>
      <w:r w:rsidR="005E572D" w:rsidRPr="004E053C">
        <w:rPr>
          <w:rFonts w:asciiTheme="minorHAnsi" w:hAnsiTheme="minorHAnsi" w:cstheme="majorHAnsi"/>
          <w:noProof/>
          <w:sz w:val="22"/>
          <w:szCs w:val="22"/>
        </w:rPr>
        <w:t>(Fraser &amp; Atkinson, 2014; Shammus &amp; Sandberg, 2016)</w:t>
      </w:r>
      <w:r w:rsidR="005E572D" w:rsidRPr="004E053C">
        <w:rPr>
          <w:rFonts w:asciiTheme="minorHAnsi" w:hAnsiTheme="minorHAnsi" w:cstheme="majorHAnsi"/>
          <w:sz w:val="22"/>
          <w:szCs w:val="22"/>
        </w:rPr>
        <w:fldChar w:fldCharType="end"/>
      </w:r>
      <w:r w:rsidRPr="004E053C">
        <w:rPr>
          <w:rFonts w:asciiTheme="minorHAnsi" w:hAnsiTheme="minorHAnsi" w:cstheme="majorHAnsi"/>
          <w:sz w:val="22"/>
          <w:szCs w:val="22"/>
        </w:rPr>
        <w:t>. In the same way, the logic of the field of ASM conflicts wi</w:t>
      </w:r>
      <w:r w:rsidR="00A63452" w:rsidRPr="004E053C">
        <w:rPr>
          <w:rFonts w:asciiTheme="minorHAnsi" w:hAnsiTheme="minorHAnsi" w:cstheme="majorHAnsi"/>
          <w:sz w:val="22"/>
          <w:szCs w:val="22"/>
        </w:rPr>
        <w:t>th that of the dominant society</w:t>
      </w:r>
      <w:r w:rsidRPr="004E053C">
        <w:rPr>
          <w:rFonts w:asciiTheme="minorHAnsi" w:hAnsiTheme="minorHAnsi" w:cstheme="majorHAnsi"/>
          <w:sz w:val="22"/>
          <w:szCs w:val="22"/>
        </w:rPr>
        <w:t xml:space="preserve"> and particularly the field of power, which is </w:t>
      </w:r>
      <w:r w:rsidR="00900A37" w:rsidRPr="004E053C">
        <w:rPr>
          <w:rFonts w:asciiTheme="minorHAnsi" w:hAnsiTheme="minorHAnsi" w:cstheme="majorHAnsi"/>
          <w:sz w:val="22"/>
          <w:szCs w:val="22"/>
        </w:rPr>
        <w:t>preoccupied</w:t>
      </w:r>
      <w:r w:rsidRPr="004E053C">
        <w:rPr>
          <w:rFonts w:asciiTheme="minorHAnsi" w:hAnsiTheme="minorHAnsi" w:cstheme="majorHAnsi"/>
          <w:sz w:val="22"/>
          <w:szCs w:val="22"/>
        </w:rPr>
        <w:t xml:space="preserve"> with the labelling of all residents of mining towns as criminals, although interestingly not those temporarily living in their origin communities </w:t>
      </w:r>
      <w:r w:rsidR="00900A37" w:rsidRPr="004E053C">
        <w:rPr>
          <w:rFonts w:asciiTheme="minorHAnsi" w:hAnsiTheme="minorHAnsi" w:cstheme="majorHAnsi"/>
          <w:sz w:val="22"/>
          <w:szCs w:val="22"/>
        </w:rPr>
        <w:t>in-between</w:t>
      </w:r>
      <w:r w:rsidRPr="004E053C">
        <w:rPr>
          <w:rFonts w:asciiTheme="minorHAnsi" w:hAnsiTheme="minorHAnsi" w:cstheme="majorHAnsi"/>
          <w:sz w:val="22"/>
          <w:szCs w:val="22"/>
        </w:rPr>
        <w:t xml:space="preserve"> stretches in the mining towns.</w:t>
      </w:r>
      <w:r w:rsidR="00947159" w:rsidRPr="004E053C">
        <w:rPr>
          <w:rFonts w:asciiTheme="minorHAnsi" w:hAnsiTheme="minorHAnsi" w:cstheme="majorHAnsi"/>
          <w:sz w:val="22"/>
          <w:szCs w:val="22"/>
        </w:rPr>
        <w:t xml:space="preserve"> </w:t>
      </w:r>
    </w:p>
    <w:p w14:paraId="3D47C536" w14:textId="77777777" w:rsidR="00D51819" w:rsidRPr="004E053C" w:rsidRDefault="00D51819" w:rsidP="004E053C">
      <w:pPr>
        <w:pStyle w:val="NormalWeb"/>
        <w:spacing w:before="0" w:beforeAutospacing="0" w:after="0" w:afterAutospacing="0" w:line="360" w:lineRule="auto"/>
        <w:jc w:val="both"/>
        <w:rPr>
          <w:rFonts w:asciiTheme="minorHAnsi" w:hAnsiTheme="minorHAnsi" w:cstheme="majorHAnsi"/>
          <w:sz w:val="22"/>
          <w:szCs w:val="22"/>
        </w:rPr>
      </w:pPr>
    </w:p>
    <w:p w14:paraId="6D749142" w14:textId="653BE0BC" w:rsidR="003E574E" w:rsidRPr="004E053C" w:rsidRDefault="00947159" w:rsidP="004E053C">
      <w:pPr>
        <w:pStyle w:val="NormalWeb"/>
        <w:spacing w:before="0" w:beforeAutospacing="0" w:after="0" w:afterAutospacing="0" w:line="360" w:lineRule="auto"/>
        <w:jc w:val="both"/>
        <w:rPr>
          <w:rFonts w:asciiTheme="minorHAnsi" w:eastAsia="Times New Roman" w:hAnsiTheme="minorHAnsi" w:cstheme="majorHAnsi"/>
          <w:sz w:val="22"/>
          <w:szCs w:val="22"/>
        </w:rPr>
      </w:pPr>
      <w:r w:rsidRPr="004E053C">
        <w:rPr>
          <w:rFonts w:asciiTheme="minorHAnsi" w:hAnsiTheme="minorHAnsi" w:cstheme="majorHAnsi"/>
          <w:sz w:val="22"/>
          <w:szCs w:val="22"/>
        </w:rPr>
        <w:t xml:space="preserve">While theorists have pointed to the tendency of the state to impose classifications and </w:t>
      </w:r>
      <w:r w:rsidR="00900A37" w:rsidRPr="004E053C">
        <w:rPr>
          <w:rFonts w:asciiTheme="minorHAnsi" w:hAnsiTheme="minorHAnsi" w:cstheme="majorHAnsi"/>
          <w:sz w:val="22"/>
          <w:szCs w:val="22"/>
        </w:rPr>
        <w:t>penalties</w:t>
      </w:r>
      <w:r w:rsidRPr="004E053C">
        <w:rPr>
          <w:rFonts w:asciiTheme="minorHAnsi" w:hAnsiTheme="minorHAnsi" w:cstheme="majorHAnsi"/>
          <w:sz w:val="22"/>
          <w:szCs w:val="22"/>
        </w:rPr>
        <w:t xml:space="preserve"> based on an external understanding of how a social field operates, which may not be how the agents themselves see the field </w:t>
      </w:r>
      <w:r w:rsidR="005E572D" w:rsidRPr="004E053C">
        <w:rPr>
          <w:rFonts w:asciiTheme="minorHAnsi" w:hAnsiTheme="minorHAnsi" w:cstheme="majorHAnsi"/>
          <w:sz w:val="22"/>
          <w:szCs w:val="22"/>
        </w:rPr>
        <w:fldChar w:fldCharType="begin" w:fldLock="1"/>
      </w:r>
      <w:r w:rsidR="0004146F" w:rsidRPr="004E053C">
        <w:rPr>
          <w:rFonts w:asciiTheme="minorHAnsi" w:hAnsiTheme="minorHAnsi" w:cstheme="majorHAnsi"/>
          <w:sz w:val="22"/>
          <w:szCs w:val="22"/>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2016)","plainTextFormattedCitation":"(Shammus &amp; Sandberg, 2016)","previouslyFormattedCitation":"(Shammus &amp; Sandberg, 2016)"},"properties":{"noteIndex":0},"schema":"https://github.com/citation-style-language/schema/raw/master/csl-citation.json"}</w:instrText>
      </w:r>
      <w:r w:rsidR="005E572D" w:rsidRPr="004E053C">
        <w:rPr>
          <w:rFonts w:asciiTheme="minorHAnsi" w:hAnsiTheme="minorHAnsi" w:cstheme="majorHAnsi"/>
          <w:sz w:val="22"/>
          <w:szCs w:val="22"/>
        </w:rPr>
        <w:fldChar w:fldCharType="separate"/>
      </w:r>
      <w:r w:rsidR="005E572D" w:rsidRPr="004E053C">
        <w:rPr>
          <w:rFonts w:asciiTheme="minorHAnsi" w:hAnsiTheme="minorHAnsi" w:cstheme="majorHAnsi"/>
          <w:noProof/>
          <w:sz w:val="22"/>
          <w:szCs w:val="22"/>
        </w:rPr>
        <w:t>(Shammus &amp; Sandberg, 2016)</w:t>
      </w:r>
      <w:r w:rsidR="005E572D" w:rsidRPr="004E053C">
        <w:rPr>
          <w:rFonts w:asciiTheme="minorHAnsi" w:hAnsiTheme="minorHAnsi" w:cstheme="majorHAnsi"/>
          <w:sz w:val="22"/>
          <w:szCs w:val="22"/>
        </w:rPr>
        <w:fldChar w:fldCharType="end"/>
      </w:r>
      <w:r w:rsidRPr="004E053C">
        <w:rPr>
          <w:rFonts w:asciiTheme="minorHAnsi" w:hAnsiTheme="minorHAnsi" w:cstheme="majorHAnsi"/>
          <w:sz w:val="22"/>
          <w:szCs w:val="22"/>
        </w:rPr>
        <w:t xml:space="preserve">, in ASM the tendency has been for the state to ignore the differentiations between those </w:t>
      </w:r>
      <w:r w:rsidR="00B7547B" w:rsidRPr="004E053C">
        <w:rPr>
          <w:rFonts w:asciiTheme="minorHAnsi" w:hAnsiTheme="minorHAnsi" w:cstheme="majorHAnsi"/>
          <w:sz w:val="22"/>
          <w:szCs w:val="22"/>
        </w:rPr>
        <w:t>operating with</w:t>
      </w:r>
      <w:r w:rsidRPr="004E053C">
        <w:rPr>
          <w:rFonts w:asciiTheme="minorHAnsi" w:hAnsiTheme="minorHAnsi" w:cstheme="majorHAnsi"/>
          <w:sz w:val="22"/>
          <w:szCs w:val="22"/>
        </w:rPr>
        <w:t>in the field.</w:t>
      </w:r>
      <w:r w:rsidR="00A63452" w:rsidRPr="004E053C">
        <w:rPr>
          <w:rFonts w:asciiTheme="minorHAnsi" w:hAnsiTheme="minorHAnsi" w:cstheme="majorHAnsi"/>
          <w:sz w:val="22"/>
          <w:szCs w:val="22"/>
        </w:rPr>
        <w:t xml:space="preserve"> </w:t>
      </w:r>
      <w:r w:rsidR="003E574E" w:rsidRPr="004E053C">
        <w:rPr>
          <w:rFonts w:asciiTheme="minorHAnsi" w:eastAsia="Times New Roman" w:hAnsiTheme="minorHAnsi" w:cstheme="majorHAnsi"/>
          <w:sz w:val="22"/>
          <w:szCs w:val="22"/>
        </w:rPr>
        <w:t xml:space="preserve">The miners frequently </w:t>
      </w:r>
      <w:r w:rsidR="003E574E" w:rsidRPr="004E053C">
        <w:rPr>
          <w:rFonts w:asciiTheme="minorHAnsi" w:eastAsia="Times New Roman" w:hAnsiTheme="minorHAnsi" w:cstheme="majorHAnsi"/>
          <w:sz w:val="22"/>
          <w:szCs w:val="22"/>
        </w:rPr>
        <w:lastRenderedPageBreak/>
        <w:t>complained that the Government make no distinctions between them and the miners in La Pampa, both in their targeting of interdictions and their public discourse. They c</w:t>
      </w:r>
      <w:r w:rsidRPr="004E053C">
        <w:rPr>
          <w:rFonts w:asciiTheme="minorHAnsi" w:eastAsia="Times New Roman" w:hAnsiTheme="minorHAnsi" w:cstheme="majorHAnsi"/>
          <w:sz w:val="22"/>
          <w:szCs w:val="22"/>
        </w:rPr>
        <w:t>onsider</w:t>
      </w:r>
      <w:r w:rsidR="003E574E" w:rsidRPr="004E053C">
        <w:rPr>
          <w:rFonts w:asciiTheme="minorHAnsi" w:eastAsia="Times New Roman" w:hAnsiTheme="minorHAnsi" w:cstheme="majorHAnsi"/>
          <w:sz w:val="22"/>
          <w:szCs w:val="22"/>
        </w:rPr>
        <w:t xml:space="preserve"> this unfair as Laberinto lies within the </w:t>
      </w:r>
      <w:r w:rsidR="003E574E" w:rsidRPr="004E053C">
        <w:rPr>
          <w:rFonts w:asciiTheme="minorHAnsi" w:eastAsia="Times New Roman" w:hAnsiTheme="minorHAnsi" w:cstheme="majorHAnsi"/>
          <w:i/>
          <w:iCs/>
          <w:sz w:val="22"/>
          <w:szCs w:val="22"/>
        </w:rPr>
        <w:t>Corridor Minero</w:t>
      </w:r>
      <w:r w:rsidRPr="004E053C">
        <w:rPr>
          <w:rFonts w:asciiTheme="minorHAnsi" w:eastAsia="Times New Roman" w:hAnsiTheme="minorHAnsi" w:cstheme="majorHAnsi"/>
          <w:i/>
          <w:iCs/>
          <w:sz w:val="22"/>
          <w:szCs w:val="22"/>
        </w:rPr>
        <w:t>,</w:t>
      </w:r>
      <w:r w:rsidR="008348AE" w:rsidRPr="004E053C">
        <w:rPr>
          <w:rFonts w:asciiTheme="minorHAnsi" w:eastAsia="Times New Roman" w:hAnsiTheme="minorHAnsi" w:cstheme="majorHAnsi"/>
          <w:sz w:val="22"/>
          <w:szCs w:val="22"/>
        </w:rPr>
        <w:t xml:space="preserve"> in which</w:t>
      </w:r>
      <w:r w:rsidRPr="004E053C">
        <w:rPr>
          <w:rFonts w:asciiTheme="minorHAnsi" w:eastAsia="Times New Roman" w:hAnsiTheme="minorHAnsi" w:cstheme="majorHAnsi"/>
          <w:sz w:val="22"/>
          <w:szCs w:val="22"/>
        </w:rPr>
        <w:t xml:space="preserve"> mining activity was previously</w:t>
      </w:r>
      <w:r w:rsidR="003E574E" w:rsidRPr="004E053C">
        <w:rPr>
          <w:rFonts w:asciiTheme="minorHAnsi" w:eastAsia="Times New Roman" w:hAnsiTheme="minorHAnsi" w:cstheme="majorHAnsi"/>
          <w:sz w:val="22"/>
          <w:szCs w:val="22"/>
        </w:rPr>
        <w:t xml:space="preserve"> permitted</w:t>
      </w:r>
      <w:r w:rsidR="00D3327C" w:rsidRPr="004E053C">
        <w:rPr>
          <w:rFonts w:asciiTheme="minorHAnsi" w:eastAsia="Times New Roman" w:hAnsiTheme="minorHAnsi" w:cstheme="majorHAnsi"/>
          <w:sz w:val="22"/>
          <w:szCs w:val="22"/>
        </w:rPr>
        <w:t xml:space="preserve"> and formalis</w:t>
      </w:r>
      <w:r w:rsidRPr="004E053C">
        <w:rPr>
          <w:rFonts w:asciiTheme="minorHAnsi" w:eastAsia="Times New Roman" w:hAnsiTheme="minorHAnsi" w:cstheme="majorHAnsi"/>
          <w:sz w:val="22"/>
          <w:szCs w:val="22"/>
        </w:rPr>
        <w:t>ation</w:t>
      </w:r>
      <w:r w:rsidR="00D3327C" w:rsidRPr="004E053C">
        <w:rPr>
          <w:rFonts w:asciiTheme="minorHAnsi" w:eastAsia="Times New Roman" w:hAnsiTheme="minorHAnsi" w:cstheme="majorHAnsi"/>
          <w:sz w:val="22"/>
          <w:szCs w:val="22"/>
        </w:rPr>
        <w:t xml:space="preserve"> is still theoretically possible</w:t>
      </w:r>
      <w:r w:rsidR="003E574E" w:rsidRPr="004E053C">
        <w:rPr>
          <w:rFonts w:asciiTheme="minorHAnsi" w:eastAsia="Times New Roman" w:hAnsiTheme="minorHAnsi" w:cstheme="majorHAnsi"/>
          <w:sz w:val="22"/>
          <w:szCs w:val="22"/>
        </w:rPr>
        <w:t>, where</w:t>
      </w:r>
      <w:r w:rsidRPr="004E053C">
        <w:rPr>
          <w:rFonts w:asciiTheme="minorHAnsi" w:eastAsia="Times New Roman" w:hAnsiTheme="minorHAnsi" w:cstheme="majorHAnsi"/>
          <w:sz w:val="22"/>
          <w:szCs w:val="22"/>
        </w:rPr>
        <w:t>as</w:t>
      </w:r>
      <w:r w:rsidR="003E574E" w:rsidRPr="004E053C">
        <w:rPr>
          <w:rFonts w:asciiTheme="minorHAnsi" w:eastAsia="Times New Roman" w:hAnsiTheme="minorHAnsi" w:cstheme="majorHAnsi"/>
          <w:sz w:val="22"/>
          <w:szCs w:val="22"/>
        </w:rPr>
        <w:t xml:space="preserve"> La Pampa </w:t>
      </w:r>
      <w:r w:rsidRPr="004E053C">
        <w:rPr>
          <w:rFonts w:asciiTheme="minorHAnsi" w:eastAsia="Times New Roman" w:hAnsiTheme="minorHAnsi" w:cstheme="majorHAnsi"/>
          <w:sz w:val="22"/>
          <w:szCs w:val="22"/>
        </w:rPr>
        <w:t>is in the</w:t>
      </w:r>
      <w:r w:rsidR="003E574E" w:rsidRPr="004E053C">
        <w:rPr>
          <w:rFonts w:asciiTheme="minorHAnsi" w:eastAsia="Times New Roman" w:hAnsiTheme="minorHAnsi" w:cstheme="majorHAnsi"/>
          <w:sz w:val="22"/>
          <w:szCs w:val="22"/>
        </w:rPr>
        <w:t xml:space="preserve"> National Park Buffer Zone </w:t>
      </w:r>
      <w:r w:rsidRPr="004E053C">
        <w:rPr>
          <w:rFonts w:asciiTheme="minorHAnsi" w:eastAsia="Times New Roman" w:hAnsiTheme="minorHAnsi" w:cstheme="majorHAnsi"/>
          <w:sz w:val="22"/>
          <w:szCs w:val="22"/>
        </w:rPr>
        <w:t>where the</w:t>
      </w:r>
      <w:r w:rsidR="00D3327C" w:rsidRPr="004E053C">
        <w:rPr>
          <w:rFonts w:asciiTheme="minorHAnsi" w:eastAsia="Times New Roman" w:hAnsiTheme="minorHAnsi" w:cstheme="majorHAnsi"/>
          <w:sz w:val="22"/>
          <w:szCs w:val="22"/>
        </w:rPr>
        <w:t xml:space="preserve"> truly ‘illegal’</w:t>
      </w:r>
      <w:r w:rsidR="003E574E" w:rsidRPr="004E053C">
        <w:rPr>
          <w:rFonts w:asciiTheme="minorHAnsi" w:eastAsia="Times New Roman" w:hAnsiTheme="minorHAnsi" w:cstheme="majorHAnsi"/>
          <w:sz w:val="22"/>
          <w:szCs w:val="22"/>
        </w:rPr>
        <w:t xml:space="preserve"> mining</w:t>
      </w:r>
      <w:r w:rsidRPr="004E053C">
        <w:rPr>
          <w:rFonts w:asciiTheme="minorHAnsi" w:eastAsia="Times New Roman" w:hAnsiTheme="minorHAnsi" w:cstheme="majorHAnsi"/>
          <w:sz w:val="22"/>
          <w:szCs w:val="22"/>
        </w:rPr>
        <w:t xml:space="preserve"> takes place</w:t>
      </w:r>
      <w:r w:rsidR="003E574E" w:rsidRPr="004E053C">
        <w:rPr>
          <w:rFonts w:asciiTheme="minorHAnsi" w:eastAsia="Times New Roman" w:hAnsiTheme="minorHAnsi" w:cstheme="majorHAnsi"/>
          <w:sz w:val="22"/>
          <w:szCs w:val="22"/>
        </w:rPr>
        <w:t>. These issues were mentioned several ti</w:t>
      </w:r>
      <w:r w:rsidRPr="004E053C">
        <w:rPr>
          <w:rFonts w:asciiTheme="minorHAnsi" w:eastAsia="Times New Roman" w:hAnsiTheme="minorHAnsi" w:cstheme="majorHAnsi"/>
          <w:sz w:val="22"/>
          <w:szCs w:val="22"/>
        </w:rPr>
        <w:t>mes. One miner insisted that although the</w:t>
      </w:r>
      <w:r w:rsidR="003E574E" w:rsidRPr="004E053C">
        <w:rPr>
          <w:rFonts w:asciiTheme="minorHAnsi" w:eastAsia="Times New Roman" w:hAnsiTheme="minorHAnsi" w:cstheme="majorHAnsi"/>
          <w:sz w:val="22"/>
          <w:szCs w:val="22"/>
        </w:rPr>
        <w:t xml:space="preserve"> miners in Laberin</w:t>
      </w:r>
      <w:r w:rsidR="00A63452" w:rsidRPr="004E053C">
        <w:rPr>
          <w:rFonts w:asciiTheme="minorHAnsi" w:eastAsia="Times New Roman" w:hAnsiTheme="minorHAnsi" w:cstheme="majorHAnsi"/>
          <w:sz w:val="22"/>
          <w:szCs w:val="22"/>
        </w:rPr>
        <w:t>to wanted to formalise, the G</w:t>
      </w:r>
      <w:r w:rsidRPr="004E053C">
        <w:rPr>
          <w:rFonts w:asciiTheme="minorHAnsi" w:eastAsia="Times New Roman" w:hAnsiTheme="minorHAnsi" w:cstheme="majorHAnsi"/>
          <w:sz w:val="22"/>
          <w:szCs w:val="22"/>
        </w:rPr>
        <w:t>overnment not only made the process</w:t>
      </w:r>
      <w:r w:rsidR="003E574E" w:rsidRPr="004E053C">
        <w:rPr>
          <w:rFonts w:asciiTheme="minorHAnsi" w:eastAsia="Times New Roman" w:hAnsiTheme="minorHAnsi" w:cstheme="majorHAnsi"/>
          <w:sz w:val="22"/>
          <w:szCs w:val="22"/>
        </w:rPr>
        <w:t xml:space="preserve"> </w:t>
      </w:r>
      <w:r w:rsidRPr="004E053C">
        <w:rPr>
          <w:rFonts w:asciiTheme="minorHAnsi" w:eastAsia="Times New Roman" w:hAnsiTheme="minorHAnsi" w:cstheme="majorHAnsi"/>
          <w:sz w:val="22"/>
          <w:szCs w:val="22"/>
        </w:rPr>
        <w:t xml:space="preserve">too </w:t>
      </w:r>
      <w:r w:rsidR="003E574E" w:rsidRPr="004E053C">
        <w:rPr>
          <w:rFonts w:asciiTheme="minorHAnsi" w:eastAsia="Times New Roman" w:hAnsiTheme="minorHAnsi" w:cstheme="majorHAnsi"/>
          <w:sz w:val="22"/>
          <w:szCs w:val="22"/>
        </w:rPr>
        <w:t xml:space="preserve">difficult </w:t>
      </w:r>
      <w:r w:rsidRPr="004E053C">
        <w:rPr>
          <w:rFonts w:asciiTheme="minorHAnsi" w:eastAsia="Times New Roman" w:hAnsiTheme="minorHAnsi" w:cstheme="majorHAnsi"/>
          <w:sz w:val="22"/>
          <w:szCs w:val="22"/>
        </w:rPr>
        <w:t>but</w:t>
      </w:r>
      <w:r w:rsidR="003E574E" w:rsidRPr="004E053C">
        <w:rPr>
          <w:rFonts w:asciiTheme="minorHAnsi" w:eastAsia="Times New Roman" w:hAnsiTheme="minorHAnsi" w:cstheme="majorHAnsi"/>
          <w:sz w:val="22"/>
          <w:szCs w:val="22"/>
        </w:rPr>
        <w:t xml:space="preserve"> also </w:t>
      </w:r>
      <w:r w:rsidR="008348AE" w:rsidRPr="004E053C">
        <w:rPr>
          <w:rFonts w:asciiTheme="minorHAnsi" w:eastAsia="Times New Roman" w:hAnsiTheme="minorHAnsi" w:cstheme="majorHAnsi"/>
          <w:sz w:val="22"/>
          <w:szCs w:val="22"/>
        </w:rPr>
        <w:t>treated them the same as</w:t>
      </w:r>
      <w:r w:rsidR="00D3327C" w:rsidRPr="004E053C">
        <w:rPr>
          <w:rFonts w:asciiTheme="minorHAnsi" w:eastAsia="Times New Roman" w:hAnsiTheme="minorHAnsi" w:cstheme="majorHAnsi"/>
          <w:sz w:val="22"/>
          <w:szCs w:val="22"/>
        </w:rPr>
        <w:t xml:space="preserve"> the ‘illegal ones’</w:t>
      </w:r>
      <w:r w:rsidR="003E574E" w:rsidRPr="004E053C">
        <w:rPr>
          <w:rFonts w:asciiTheme="minorHAnsi" w:eastAsia="Times New Roman" w:hAnsiTheme="minorHAnsi" w:cstheme="majorHAnsi"/>
          <w:sz w:val="22"/>
          <w:szCs w:val="22"/>
        </w:rPr>
        <w:t xml:space="preserve"> in La Pampa. </w:t>
      </w:r>
    </w:p>
    <w:p w14:paraId="05658BAD" w14:textId="77777777" w:rsidR="00D51819" w:rsidRPr="004E053C" w:rsidRDefault="00D51819" w:rsidP="004E053C">
      <w:pPr>
        <w:pStyle w:val="NormalWeb"/>
        <w:spacing w:before="0" w:beforeAutospacing="0" w:after="0" w:afterAutospacing="0" w:line="360" w:lineRule="auto"/>
        <w:jc w:val="both"/>
        <w:rPr>
          <w:rFonts w:asciiTheme="minorHAnsi" w:hAnsiTheme="minorHAnsi" w:cstheme="majorHAnsi"/>
          <w:sz w:val="22"/>
          <w:szCs w:val="22"/>
          <w:highlight w:val="yellow"/>
        </w:rPr>
      </w:pPr>
    </w:p>
    <w:p w14:paraId="2BF57D40" w14:textId="6F14B376"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w:t>
      </w:r>
      <w:r w:rsidR="003E574E" w:rsidRPr="004E053C">
        <w:rPr>
          <w:rFonts w:eastAsia="Times New Roman" w:cstheme="majorHAnsi"/>
          <w:i/>
          <w:sz w:val="22"/>
          <w:szCs w:val="22"/>
          <w:lang w:val="en-GB"/>
        </w:rPr>
        <w:t>The problem is, thanks to La Pampa everybody thinks we are the same, and that’s a problem for us. And that’s why it should be destroyed. It’s not good to be associated with them</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Noe</w:t>
      </w:r>
      <w:r w:rsidR="003E574E" w:rsidRPr="004E053C">
        <w:rPr>
          <w:rFonts w:eastAsia="Times New Roman" w:cstheme="majorHAnsi"/>
          <w:sz w:val="22"/>
          <w:szCs w:val="22"/>
          <w:lang w:val="en-GB"/>
        </w:rPr>
        <w:t>, ASM miners, Laberinto).</w:t>
      </w:r>
    </w:p>
    <w:p w14:paraId="03D2C5DD" w14:textId="77777777" w:rsidR="003E574E" w:rsidRPr="004E053C" w:rsidRDefault="003E574E" w:rsidP="004E053C">
      <w:pPr>
        <w:spacing w:line="360" w:lineRule="auto"/>
        <w:jc w:val="both"/>
        <w:rPr>
          <w:rFonts w:eastAsia="Times New Roman" w:cstheme="majorHAnsi"/>
          <w:sz w:val="22"/>
          <w:szCs w:val="22"/>
          <w:lang w:val="en-GB"/>
        </w:rPr>
      </w:pPr>
    </w:p>
    <w:p w14:paraId="47FD58F2" w14:textId="04AFFD16" w:rsidR="003E574E" w:rsidRPr="004E053C" w:rsidRDefault="003E574E" w:rsidP="004E053C">
      <w:pPr>
        <w:spacing w:line="360" w:lineRule="auto"/>
        <w:jc w:val="both"/>
        <w:rPr>
          <w:rFonts w:eastAsia="Times New Roman" w:cstheme="majorHAnsi"/>
          <w:i/>
          <w:iCs/>
          <w:sz w:val="22"/>
          <w:szCs w:val="22"/>
          <w:lang w:val="en-GB"/>
        </w:rPr>
      </w:pPr>
      <w:r w:rsidRPr="004E053C">
        <w:rPr>
          <w:rFonts w:eastAsia="Times New Roman" w:cstheme="majorHAnsi"/>
          <w:sz w:val="22"/>
          <w:szCs w:val="22"/>
          <w:lang w:val="en-GB"/>
        </w:rPr>
        <w:t xml:space="preserve">In this quote, </w:t>
      </w:r>
      <w:r w:rsidR="00EA7F80" w:rsidRPr="004E053C">
        <w:rPr>
          <w:rFonts w:eastAsia="Times New Roman" w:cstheme="majorHAnsi"/>
          <w:sz w:val="22"/>
          <w:szCs w:val="22"/>
          <w:lang w:val="en-GB"/>
        </w:rPr>
        <w:t>Noe</w:t>
      </w:r>
      <w:r w:rsidRPr="004E053C">
        <w:rPr>
          <w:rFonts w:eastAsia="Times New Roman" w:cstheme="majorHAnsi"/>
          <w:sz w:val="22"/>
          <w:szCs w:val="22"/>
          <w:lang w:val="en-GB"/>
        </w:rPr>
        <w:t xml:space="preserve"> is referring to the negative press surrounding La </w:t>
      </w:r>
      <w:r w:rsidR="005527DD" w:rsidRPr="004E053C">
        <w:rPr>
          <w:rFonts w:eastAsia="Times New Roman" w:cstheme="majorHAnsi"/>
          <w:sz w:val="22"/>
          <w:szCs w:val="22"/>
          <w:lang w:val="en-GB"/>
        </w:rPr>
        <w:t>Pampa that</w:t>
      </w:r>
      <w:r w:rsidRPr="004E053C">
        <w:rPr>
          <w:rFonts w:eastAsia="Times New Roman" w:cstheme="majorHAnsi"/>
          <w:sz w:val="22"/>
          <w:szCs w:val="22"/>
          <w:lang w:val="en-GB"/>
        </w:rPr>
        <w:t xml:space="preserve"> has drawn attention to artisanal and small-scale gold mining in the whole of Madre de Dios. The social and environmental issues in La Pampa have given it a leve</w:t>
      </w:r>
      <w:r w:rsidR="008348AE" w:rsidRPr="004E053C">
        <w:rPr>
          <w:rFonts w:eastAsia="Times New Roman" w:cstheme="majorHAnsi"/>
          <w:sz w:val="22"/>
          <w:szCs w:val="22"/>
          <w:lang w:val="en-GB"/>
        </w:rPr>
        <w:t xml:space="preserve">l of notoriety even at the international </w:t>
      </w:r>
      <w:r w:rsidRPr="004E053C">
        <w:rPr>
          <w:rFonts w:eastAsia="Times New Roman" w:cstheme="majorHAnsi"/>
          <w:sz w:val="22"/>
          <w:szCs w:val="22"/>
          <w:lang w:val="en-GB"/>
        </w:rPr>
        <w:t xml:space="preserve">level, but the narrative has </w:t>
      </w:r>
      <w:r w:rsidR="00D3327C" w:rsidRPr="004E053C">
        <w:rPr>
          <w:rFonts w:eastAsia="Times New Roman" w:cstheme="majorHAnsi"/>
          <w:sz w:val="22"/>
          <w:szCs w:val="22"/>
          <w:lang w:val="en-GB"/>
        </w:rPr>
        <w:t>come to refer to the</w:t>
      </w:r>
      <w:r w:rsidRPr="004E053C">
        <w:rPr>
          <w:rFonts w:eastAsia="Times New Roman" w:cstheme="majorHAnsi"/>
          <w:sz w:val="22"/>
          <w:szCs w:val="22"/>
          <w:lang w:val="en-GB"/>
        </w:rPr>
        <w:t xml:space="preserve"> illegal miners of Madre de Dios, and not specifically those in La Pampa. Thus, </w:t>
      </w:r>
      <w:r w:rsidR="00EA7F80" w:rsidRPr="004E053C">
        <w:rPr>
          <w:rFonts w:eastAsia="Times New Roman" w:cstheme="majorHAnsi"/>
          <w:sz w:val="22"/>
          <w:szCs w:val="22"/>
          <w:lang w:val="en-GB"/>
        </w:rPr>
        <w:t>Jorge</w:t>
      </w:r>
      <w:r w:rsidRPr="004E053C">
        <w:rPr>
          <w:rFonts w:eastAsia="Times New Roman" w:cstheme="majorHAnsi"/>
          <w:sz w:val="22"/>
          <w:szCs w:val="22"/>
          <w:lang w:val="en-GB"/>
        </w:rPr>
        <w:t xml:space="preserve"> explained that</w:t>
      </w:r>
      <w:r w:rsidR="008348AE" w:rsidRPr="004E053C">
        <w:rPr>
          <w:rFonts w:eastAsia="Times New Roman" w:cstheme="majorHAnsi"/>
          <w:sz w:val="22"/>
          <w:szCs w:val="22"/>
          <w:lang w:val="en-GB"/>
        </w:rPr>
        <w:t xml:space="preserve"> when the Government say they </w:t>
      </w:r>
      <w:r w:rsidRPr="004E053C">
        <w:rPr>
          <w:rFonts w:eastAsia="Times New Roman" w:cstheme="majorHAnsi"/>
          <w:sz w:val="22"/>
          <w:szCs w:val="22"/>
          <w:lang w:val="en-GB"/>
        </w:rPr>
        <w:t>want to eradicate the il</w:t>
      </w:r>
      <w:r w:rsidR="008348AE" w:rsidRPr="004E053C">
        <w:rPr>
          <w:rFonts w:eastAsia="Times New Roman" w:cstheme="majorHAnsi"/>
          <w:sz w:val="22"/>
          <w:szCs w:val="22"/>
          <w:lang w:val="en-GB"/>
        </w:rPr>
        <w:t>legal mining from Madre de Dios</w:t>
      </w:r>
      <w:r w:rsidRPr="004E053C">
        <w:rPr>
          <w:rFonts w:eastAsia="Times New Roman" w:cstheme="majorHAnsi"/>
          <w:sz w:val="22"/>
          <w:szCs w:val="22"/>
          <w:lang w:val="en-GB"/>
        </w:rPr>
        <w:t xml:space="preserve">, they </w:t>
      </w:r>
      <w:r w:rsidR="008348AE" w:rsidRPr="004E053C">
        <w:rPr>
          <w:rFonts w:eastAsia="Times New Roman" w:cstheme="majorHAnsi"/>
          <w:sz w:val="22"/>
          <w:szCs w:val="22"/>
          <w:lang w:val="en-GB"/>
        </w:rPr>
        <w:t>also include</w:t>
      </w:r>
      <w:r w:rsidRPr="004E053C">
        <w:rPr>
          <w:rFonts w:eastAsia="Times New Roman" w:cstheme="majorHAnsi"/>
          <w:sz w:val="22"/>
          <w:szCs w:val="22"/>
          <w:lang w:val="en-GB"/>
        </w:rPr>
        <w:t xml:space="preserve"> those mining within the </w:t>
      </w:r>
      <w:r w:rsidR="00D3327C" w:rsidRPr="004E053C">
        <w:rPr>
          <w:rFonts w:eastAsia="Times New Roman" w:cstheme="majorHAnsi"/>
          <w:i/>
          <w:iCs/>
          <w:sz w:val="22"/>
          <w:szCs w:val="22"/>
          <w:lang w:val="en-GB"/>
        </w:rPr>
        <w:t>Corridor Minero – ‘</w:t>
      </w:r>
      <w:r w:rsidRPr="004E053C">
        <w:rPr>
          <w:rFonts w:eastAsia="Times New Roman" w:cstheme="majorHAnsi"/>
          <w:i/>
          <w:sz w:val="22"/>
          <w:szCs w:val="22"/>
          <w:lang w:val="en-GB"/>
        </w:rPr>
        <w:t>and that’s no good for us</w:t>
      </w:r>
      <w:r w:rsidR="00D3327C" w:rsidRPr="004E053C">
        <w:rPr>
          <w:rFonts w:eastAsia="Times New Roman" w:cstheme="majorHAnsi"/>
          <w: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Jorge</w:t>
      </w:r>
      <w:r w:rsidRPr="004E053C">
        <w:rPr>
          <w:rFonts w:eastAsia="Times New Roman" w:cstheme="majorHAnsi"/>
          <w:sz w:val="22"/>
          <w:szCs w:val="22"/>
          <w:lang w:val="en-GB"/>
        </w:rPr>
        <w:t>, ASM miner, Laberinto). Similar sentiments regarding the lack of understanding</w:t>
      </w:r>
      <w:r w:rsidR="008348AE" w:rsidRPr="004E053C">
        <w:rPr>
          <w:rFonts w:eastAsia="Times New Roman" w:cstheme="majorHAnsi"/>
          <w:sz w:val="22"/>
          <w:szCs w:val="22"/>
          <w:lang w:val="en-GB"/>
        </w:rPr>
        <w:t xml:space="preserve"> at the national level were</w:t>
      </w:r>
      <w:r w:rsidRPr="004E053C">
        <w:rPr>
          <w:rFonts w:eastAsia="Times New Roman" w:cstheme="majorHAnsi"/>
          <w:sz w:val="22"/>
          <w:szCs w:val="22"/>
          <w:lang w:val="en-GB"/>
        </w:rPr>
        <w:t xml:space="preserve"> reported within local g</w:t>
      </w:r>
      <w:r w:rsidR="008348AE" w:rsidRPr="004E053C">
        <w:rPr>
          <w:rFonts w:eastAsia="Times New Roman" w:cstheme="majorHAnsi"/>
          <w:sz w:val="22"/>
          <w:szCs w:val="22"/>
          <w:lang w:val="en-GB"/>
        </w:rPr>
        <w:t>overnment, with one LGA representative</w:t>
      </w:r>
      <w:r w:rsidRPr="004E053C">
        <w:rPr>
          <w:rFonts w:eastAsia="Times New Roman" w:cstheme="majorHAnsi"/>
          <w:sz w:val="22"/>
          <w:szCs w:val="22"/>
          <w:lang w:val="en-GB"/>
        </w:rPr>
        <w:t xml:space="preserve"> noting the disconnect between the conceptualisation of ASM at higher levels of government, particularly </w:t>
      </w:r>
      <w:r w:rsidR="008348AE" w:rsidRPr="004E053C">
        <w:rPr>
          <w:rFonts w:eastAsia="Times New Roman" w:cstheme="majorHAnsi"/>
          <w:sz w:val="22"/>
          <w:szCs w:val="22"/>
          <w:lang w:val="en-GB"/>
        </w:rPr>
        <w:t>those based in</w:t>
      </w:r>
      <w:r w:rsidRPr="004E053C">
        <w:rPr>
          <w:rFonts w:eastAsia="Times New Roman" w:cstheme="majorHAnsi"/>
          <w:sz w:val="22"/>
          <w:szCs w:val="22"/>
          <w:lang w:val="en-GB"/>
        </w:rPr>
        <w:t xml:space="preserve"> Lima who </w:t>
      </w:r>
      <w:r w:rsidR="008348AE" w:rsidRPr="004E053C">
        <w:rPr>
          <w:rFonts w:eastAsia="Times New Roman" w:cstheme="majorHAnsi"/>
          <w:sz w:val="22"/>
          <w:szCs w:val="22"/>
          <w:lang w:val="en-GB"/>
        </w:rPr>
        <w:t xml:space="preserve">have </w:t>
      </w:r>
      <w:r w:rsidRPr="004E053C">
        <w:rPr>
          <w:rFonts w:eastAsia="Times New Roman" w:cstheme="majorHAnsi"/>
          <w:sz w:val="22"/>
          <w:szCs w:val="22"/>
          <w:lang w:val="en-GB"/>
        </w:rPr>
        <w:t>rarely visited Madre de Dios, and the realities on the ground:</w:t>
      </w:r>
    </w:p>
    <w:p w14:paraId="5D4A1574" w14:textId="77777777" w:rsidR="003E574E" w:rsidRPr="004E053C" w:rsidRDefault="003E574E" w:rsidP="004E053C">
      <w:pPr>
        <w:spacing w:line="360" w:lineRule="auto"/>
        <w:jc w:val="both"/>
        <w:rPr>
          <w:rFonts w:eastAsia="Times New Roman" w:cstheme="majorHAnsi"/>
          <w:sz w:val="22"/>
          <w:szCs w:val="22"/>
          <w:lang w:val="en-GB"/>
        </w:rPr>
      </w:pPr>
    </w:p>
    <w:p w14:paraId="7E25DF4D" w14:textId="68DDCCEA"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They just don’t understand what we’re doing…and how we live here a</w:t>
      </w:r>
      <w:r w:rsidR="00A63452" w:rsidRPr="004E053C">
        <w:rPr>
          <w:rFonts w:eastAsia="Times New Roman" w:cstheme="majorHAnsi"/>
          <w:i/>
          <w:iCs/>
          <w:sz w:val="22"/>
          <w:szCs w:val="22"/>
          <w:lang w:val="en-GB"/>
        </w:rPr>
        <w:t>nd what our interests are. The G</w:t>
      </w:r>
      <w:r w:rsidR="003E574E" w:rsidRPr="004E053C">
        <w:rPr>
          <w:rFonts w:eastAsia="Times New Roman" w:cstheme="majorHAnsi"/>
          <w:i/>
          <w:iCs/>
          <w:sz w:val="22"/>
          <w:szCs w:val="22"/>
          <w:lang w:val="en-GB"/>
        </w:rPr>
        <w:t xml:space="preserve">overnment just treats us like the rest of the miners. And that’s a problem because we’re different… </w:t>
      </w:r>
      <w:r w:rsidR="00A63452" w:rsidRPr="004E053C">
        <w:rPr>
          <w:rFonts w:eastAsia="Times New Roman" w:cstheme="majorHAnsi"/>
          <w:i/>
          <w:iCs/>
          <w:sz w:val="22"/>
          <w:szCs w:val="22"/>
          <w:lang w:val="en-GB"/>
        </w:rPr>
        <w:t>The G</w:t>
      </w:r>
      <w:r w:rsidR="003E574E" w:rsidRPr="004E053C">
        <w:rPr>
          <w:rFonts w:eastAsia="Times New Roman" w:cstheme="majorHAnsi"/>
          <w:i/>
          <w:iCs/>
          <w:sz w:val="22"/>
          <w:szCs w:val="22"/>
          <w:lang w:val="en-GB"/>
        </w:rPr>
        <w:t>overnment needs to come and see what’s happening here…</w:t>
      </w:r>
      <w:r w:rsidR="008348AE" w:rsidRPr="004E053C">
        <w:rPr>
          <w:rFonts w:eastAsia="Times New Roman" w:cstheme="majorHAnsi"/>
          <w:i/>
          <w:iCs/>
          <w:sz w:val="22"/>
          <w:szCs w:val="22"/>
          <w:lang w:val="en-GB"/>
        </w:rPr>
        <w:t xml:space="preserve"> </w:t>
      </w:r>
      <w:r w:rsidR="003E574E" w:rsidRPr="004E053C">
        <w:rPr>
          <w:rFonts w:eastAsia="Times New Roman" w:cstheme="majorHAnsi"/>
          <w:i/>
          <w:iCs/>
          <w:sz w:val="22"/>
          <w:szCs w:val="22"/>
          <w:lang w:val="en-GB"/>
        </w:rPr>
        <w:t>We have a reputation that we are damaging the “lung of the world”. We are mostly known as illegal miners, all of us. This isn’t good for us</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(LGA representative, Laberinto).</w:t>
      </w:r>
    </w:p>
    <w:p w14:paraId="0DF476DA" w14:textId="77777777" w:rsidR="003E574E" w:rsidRPr="004E053C" w:rsidRDefault="003E574E" w:rsidP="004E053C">
      <w:pPr>
        <w:spacing w:line="360" w:lineRule="auto"/>
        <w:jc w:val="both"/>
        <w:rPr>
          <w:rFonts w:eastAsia="Times New Roman" w:cstheme="majorHAnsi"/>
          <w:sz w:val="22"/>
          <w:szCs w:val="22"/>
          <w:lang w:val="en-GB"/>
        </w:rPr>
      </w:pPr>
    </w:p>
    <w:p w14:paraId="76802FA1" w14:textId="3770067E" w:rsidR="003E574E" w:rsidRPr="004E053C" w:rsidRDefault="003E574E" w:rsidP="004E053C">
      <w:pPr>
        <w:spacing w:line="360" w:lineRule="auto"/>
        <w:jc w:val="both"/>
        <w:rPr>
          <w:rFonts w:eastAsia="Times New Roman" w:cstheme="majorHAnsi"/>
          <w:i/>
          <w:color w:val="FF0000"/>
          <w:sz w:val="22"/>
          <w:szCs w:val="22"/>
          <w:lang w:val="en-GB"/>
        </w:rPr>
      </w:pPr>
      <w:r w:rsidRPr="004E053C">
        <w:rPr>
          <w:rFonts w:eastAsia="Times New Roman" w:cstheme="majorHAnsi"/>
          <w:sz w:val="22"/>
          <w:szCs w:val="22"/>
          <w:lang w:val="en-GB"/>
        </w:rPr>
        <w:t>As the quote shows,</w:t>
      </w:r>
      <w:r w:rsidR="00F6233C" w:rsidRPr="004E053C">
        <w:rPr>
          <w:rFonts w:eastAsia="Times New Roman" w:cstheme="majorHAnsi"/>
          <w:sz w:val="22"/>
          <w:szCs w:val="22"/>
          <w:lang w:val="en-GB"/>
        </w:rPr>
        <w:t xml:space="preserve"> there is a belief at the local </w:t>
      </w:r>
      <w:r w:rsidRPr="004E053C">
        <w:rPr>
          <w:rFonts w:eastAsia="Times New Roman" w:cstheme="majorHAnsi"/>
          <w:sz w:val="22"/>
          <w:szCs w:val="22"/>
          <w:lang w:val="en-GB"/>
        </w:rPr>
        <w:t>level that the Ministry do not understand the difference between informal miners working wi</w:t>
      </w:r>
      <w:r w:rsidR="008348AE" w:rsidRPr="004E053C">
        <w:rPr>
          <w:rFonts w:eastAsia="Times New Roman" w:cstheme="majorHAnsi"/>
          <w:sz w:val="22"/>
          <w:szCs w:val="22"/>
          <w:lang w:val="en-GB"/>
        </w:rPr>
        <w:t>thin the mining corridor i</w:t>
      </w:r>
      <w:r w:rsidRPr="004E053C">
        <w:rPr>
          <w:rFonts w:eastAsia="Times New Roman" w:cstheme="majorHAnsi"/>
          <w:sz w:val="22"/>
          <w:szCs w:val="22"/>
          <w:lang w:val="en-GB"/>
        </w:rPr>
        <w:t xml:space="preserve">n </w:t>
      </w:r>
      <w:r w:rsidR="008348AE" w:rsidRPr="004E053C">
        <w:rPr>
          <w:rFonts w:eastAsia="Times New Roman" w:cstheme="majorHAnsi"/>
          <w:sz w:val="22"/>
          <w:szCs w:val="22"/>
          <w:lang w:val="en-GB"/>
        </w:rPr>
        <w:t xml:space="preserve">towns such as </w:t>
      </w:r>
      <w:r w:rsidRPr="004E053C">
        <w:rPr>
          <w:rFonts w:eastAsia="Times New Roman" w:cstheme="majorHAnsi"/>
          <w:sz w:val="22"/>
          <w:szCs w:val="22"/>
          <w:lang w:val="en-GB"/>
        </w:rPr>
        <w:t>Laberinto, and those</w:t>
      </w:r>
      <w:r w:rsidR="008348AE" w:rsidRPr="004E053C">
        <w:rPr>
          <w:rFonts w:eastAsia="Times New Roman" w:cstheme="majorHAnsi"/>
          <w:sz w:val="22"/>
          <w:szCs w:val="22"/>
          <w:lang w:val="en-GB"/>
        </w:rPr>
        <w:t xml:space="preserve"> working in La Pampa where mining i</w:t>
      </w:r>
      <w:r w:rsidRPr="004E053C">
        <w:rPr>
          <w:rFonts w:eastAsia="Times New Roman" w:cstheme="majorHAnsi"/>
          <w:sz w:val="22"/>
          <w:szCs w:val="22"/>
          <w:lang w:val="en-GB"/>
        </w:rPr>
        <w:t xml:space="preserve">s prohibited. </w:t>
      </w:r>
    </w:p>
    <w:p w14:paraId="2EB03AA9" w14:textId="77777777" w:rsidR="003E574E" w:rsidRPr="004E053C" w:rsidRDefault="003E574E" w:rsidP="004E053C">
      <w:pPr>
        <w:spacing w:line="360" w:lineRule="auto"/>
        <w:jc w:val="both"/>
        <w:rPr>
          <w:rFonts w:eastAsia="Times New Roman" w:cstheme="majorHAnsi"/>
          <w:sz w:val="22"/>
          <w:szCs w:val="22"/>
          <w:lang w:val="en-GB"/>
        </w:rPr>
      </w:pPr>
    </w:p>
    <w:p w14:paraId="39C732F2" w14:textId="1AC2947A"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The State </w:t>
      </w:r>
      <w:r w:rsidR="008348AE" w:rsidRPr="004E053C">
        <w:rPr>
          <w:rFonts w:cstheme="majorHAnsi"/>
          <w:sz w:val="22"/>
          <w:szCs w:val="22"/>
          <w:lang w:val="en-GB"/>
        </w:rPr>
        <w:t xml:space="preserve">has responded to </w:t>
      </w:r>
      <w:r w:rsidRPr="004E053C">
        <w:rPr>
          <w:rFonts w:cstheme="majorHAnsi"/>
          <w:sz w:val="22"/>
          <w:szCs w:val="22"/>
          <w:lang w:val="en-GB"/>
        </w:rPr>
        <w:t>the increase in ASM activity with a dual-approach of r</w:t>
      </w:r>
      <w:r w:rsidR="008348AE" w:rsidRPr="004E053C">
        <w:rPr>
          <w:rFonts w:cstheme="majorHAnsi"/>
          <w:sz w:val="22"/>
          <w:szCs w:val="22"/>
          <w:lang w:val="en-GB"/>
        </w:rPr>
        <w:t>egulation and interdiction. These interdictions take</w:t>
      </w:r>
      <w:r w:rsidRPr="004E053C">
        <w:rPr>
          <w:rFonts w:cstheme="majorHAnsi"/>
          <w:sz w:val="22"/>
          <w:szCs w:val="22"/>
          <w:lang w:val="en-GB"/>
        </w:rPr>
        <w:t xml:space="preserve"> the form of police and military action, </w:t>
      </w:r>
      <w:r w:rsidRPr="004E053C">
        <w:rPr>
          <w:rFonts w:eastAsia="Times New Roman" w:cstheme="majorHAnsi"/>
          <w:sz w:val="22"/>
          <w:szCs w:val="22"/>
          <w:lang w:val="en-GB"/>
        </w:rPr>
        <w:t xml:space="preserve">in which miners are arrested and their mining equipment blown up. As the Government </w:t>
      </w:r>
      <w:r w:rsidR="005527DD" w:rsidRPr="004E053C">
        <w:rPr>
          <w:rFonts w:eastAsia="Times New Roman" w:cstheme="majorHAnsi"/>
          <w:sz w:val="22"/>
          <w:szCs w:val="22"/>
          <w:lang w:val="en-GB"/>
        </w:rPr>
        <w:t>makes</w:t>
      </w:r>
      <w:r w:rsidRPr="004E053C">
        <w:rPr>
          <w:rFonts w:eastAsia="Times New Roman" w:cstheme="majorHAnsi"/>
          <w:sz w:val="22"/>
          <w:szCs w:val="22"/>
          <w:lang w:val="en-GB"/>
        </w:rPr>
        <w:t xml:space="preserve"> no distinctions between miners, the informal miners in </w:t>
      </w:r>
      <w:r w:rsidR="008348AE" w:rsidRPr="004E053C">
        <w:rPr>
          <w:rFonts w:eastAsia="Times New Roman" w:cstheme="majorHAnsi"/>
          <w:sz w:val="22"/>
          <w:szCs w:val="22"/>
          <w:lang w:val="en-GB"/>
        </w:rPr>
        <w:t xml:space="preserve">towns and </w:t>
      </w:r>
      <w:r w:rsidRPr="004E053C">
        <w:rPr>
          <w:rFonts w:eastAsia="Times New Roman" w:cstheme="majorHAnsi"/>
          <w:sz w:val="22"/>
          <w:szCs w:val="22"/>
          <w:lang w:val="en-GB"/>
        </w:rPr>
        <w:t xml:space="preserve">settlements within the Mining Corridor can be subject to </w:t>
      </w:r>
      <w:r w:rsidRPr="004E053C">
        <w:rPr>
          <w:rFonts w:eastAsia="Times New Roman" w:cstheme="majorHAnsi"/>
          <w:sz w:val="22"/>
          <w:szCs w:val="22"/>
          <w:lang w:val="en-GB"/>
        </w:rPr>
        <w:lastRenderedPageBreak/>
        <w:t>the same interdictions used to control the illegal mining in the National Park buffer zone.</w:t>
      </w:r>
      <w:r w:rsidR="00D3327C" w:rsidRPr="004E053C">
        <w:rPr>
          <w:rFonts w:eastAsia="Times New Roman" w:cstheme="majorHAnsi"/>
          <w:sz w:val="22"/>
          <w:szCs w:val="22"/>
          <w:lang w:val="en-GB"/>
        </w:rPr>
        <w:t xml:space="preserve"> As a result, </w:t>
      </w:r>
      <w:r w:rsidRPr="004E053C">
        <w:rPr>
          <w:rFonts w:eastAsia="Times New Roman" w:cstheme="majorHAnsi"/>
          <w:sz w:val="22"/>
          <w:szCs w:val="22"/>
          <w:lang w:val="en-GB"/>
        </w:rPr>
        <w:t xml:space="preserve">the </w:t>
      </w:r>
      <w:r w:rsidRPr="004E053C">
        <w:rPr>
          <w:rFonts w:cstheme="majorHAnsi"/>
          <w:sz w:val="22"/>
          <w:szCs w:val="22"/>
          <w:lang w:val="en-GB"/>
        </w:rPr>
        <w:t>miners sometimes have to work at night or hide their machinery to prevent losing it. According to one NGO representative, the miners who find themselves being bombed are often the very same as those who are in the process o</w:t>
      </w:r>
      <w:r w:rsidR="00D3327C" w:rsidRPr="004E053C">
        <w:rPr>
          <w:rFonts w:cstheme="majorHAnsi"/>
          <w:sz w:val="22"/>
          <w:szCs w:val="22"/>
          <w:lang w:val="en-GB"/>
        </w:rPr>
        <w:t>f formalis</w:t>
      </w:r>
      <w:r w:rsidRPr="004E053C">
        <w:rPr>
          <w:rFonts w:cstheme="majorHAnsi"/>
          <w:sz w:val="22"/>
          <w:szCs w:val="22"/>
          <w:lang w:val="en-GB"/>
        </w:rPr>
        <w:t xml:space="preserve">ing. </w:t>
      </w:r>
      <w:r w:rsidR="008348AE" w:rsidRPr="004E053C">
        <w:rPr>
          <w:rFonts w:cstheme="majorHAnsi"/>
          <w:sz w:val="22"/>
          <w:szCs w:val="22"/>
          <w:lang w:val="en-GB"/>
        </w:rPr>
        <w:t>T</w:t>
      </w:r>
      <w:r w:rsidRPr="004E053C">
        <w:rPr>
          <w:rFonts w:cstheme="majorHAnsi"/>
          <w:sz w:val="22"/>
          <w:szCs w:val="22"/>
          <w:lang w:val="en-GB"/>
        </w:rPr>
        <w:t>he miners</w:t>
      </w:r>
      <w:r w:rsidR="008348AE" w:rsidRPr="004E053C">
        <w:rPr>
          <w:rFonts w:cstheme="majorHAnsi"/>
          <w:sz w:val="22"/>
          <w:szCs w:val="22"/>
          <w:lang w:val="en-GB"/>
        </w:rPr>
        <w:t xml:space="preserve"> frequently discussed the consequences of this for their livelihood</w:t>
      </w:r>
      <w:r w:rsidRPr="004E053C">
        <w:rPr>
          <w:rFonts w:cstheme="majorHAnsi"/>
          <w:sz w:val="22"/>
          <w:szCs w:val="22"/>
          <w:lang w:val="en-GB"/>
        </w:rPr>
        <w:t>:</w:t>
      </w:r>
    </w:p>
    <w:p w14:paraId="29FA47AE" w14:textId="77777777" w:rsidR="003E574E" w:rsidRPr="004E053C" w:rsidRDefault="003E574E" w:rsidP="004E053C">
      <w:pPr>
        <w:spacing w:line="360" w:lineRule="auto"/>
        <w:jc w:val="both"/>
        <w:rPr>
          <w:rFonts w:cstheme="majorHAnsi"/>
          <w:sz w:val="22"/>
          <w:szCs w:val="22"/>
          <w:lang w:val="en-GB"/>
        </w:rPr>
      </w:pPr>
    </w:p>
    <w:p w14:paraId="019CA8EB" w14:textId="5086BE48" w:rsidR="003E574E" w:rsidRPr="004E053C" w:rsidRDefault="003B5DCB" w:rsidP="004E053C">
      <w:pPr>
        <w:ind w:left="720" w:firstLine="40"/>
        <w:jc w:val="both"/>
        <w:rPr>
          <w:rFonts w:eastAsia="Times New Roman" w:cstheme="majorHAnsi"/>
          <w:sz w:val="22"/>
          <w:szCs w:val="22"/>
          <w:lang w:val="en-GB"/>
        </w:rPr>
      </w:pPr>
      <w:r w:rsidRPr="004E053C">
        <w:rPr>
          <w:rFonts w:eastAsia="Times New Roman" w:cstheme="majorHAnsi"/>
          <w:i/>
          <w:sz w:val="22"/>
          <w:szCs w:val="22"/>
          <w:lang w:val="en-GB"/>
        </w:rPr>
        <w:t>‘</w:t>
      </w:r>
      <w:r w:rsidR="00A63452" w:rsidRPr="004E053C">
        <w:rPr>
          <w:rFonts w:eastAsia="Times New Roman" w:cstheme="majorHAnsi"/>
          <w:i/>
          <w:sz w:val="22"/>
          <w:szCs w:val="22"/>
          <w:lang w:val="en-GB"/>
        </w:rPr>
        <w:t>The G</w:t>
      </w:r>
      <w:r w:rsidR="003E574E" w:rsidRPr="004E053C">
        <w:rPr>
          <w:rFonts w:eastAsia="Times New Roman" w:cstheme="majorHAnsi"/>
          <w:i/>
          <w:sz w:val="22"/>
          <w:szCs w:val="22"/>
          <w:lang w:val="en-GB"/>
        </w:rPr>
        <w:t>overnment are making our machines blow and they don’t have respect for us. They think we are all drug traffickers. Now we are afra</w:t>
      </w:r>
      <w:r w:rsidR="00A63452" w:rsidRPr="004E053C">
        <w:rPr>
          <w:rFonts w:eastAsia="Times New Roman" w:cstheme="majorHAnsi"/>
          <w:i/>
          <w:sz w:val="22"/>
          <w:szCs w:val="22"/>
          <w:lang w:val="en-GB"/>
        </w:rPr>
        <w:t>id. Everyone is a thief to the G</w:t>
      </w:r>
      <w:r w:rsidR="003E574E" w:rsidRPr="004E053C">
        <w:rPr>
          <w:rFonts w:eastAsia="Times New Roman" w:cstheme="majorHAnsi"/>
          <w:i/>
          <w:sz w:val="22"/>
          <w:szCs w:val="22"/>
          <w:lang w:val="en-GB"/>
        </w:rPr>
        <w:t>overnment. I’m a thief, everyone is a thief, as if we are killing people here. And the police came here…why did they do this?</w:t>
      </w:r>
      <w:r w:rsidRPr="004E053C">
        <w:rPr>
          <w:rFonts w:eastAsia="Times New Roman" w:cstheme="majorHAnsi"/>
          <w:i/>
          <w:sz w:val="22"/>
          <w:szCs w:val="22"/>
          <w:lang w:val="en-GB"/>
        </w:rPr>
        <w:t xml:space="preserve">’ </w:t>
      </w:r>
      <w:r w:rsidR="006572D1" w:rsidRPr="004E053C">
        <w:rPr>
          <w:rFonts w:eastAsia="Times New Roman" w:cstheme="majorHAnsi"/>
          <w:sz w:val="22"/>
          <w:szCs w:val="22"/>
          <w:lang w:val="en-GB"/>
        </w:rPr>
        <w:t>(</w:t>
      </w:r>
      <w:r w:rsidR="00B21FFD" w:rsidRPr="004E053C">
        <w:rPr>
          <w:rFonts w:eastAsia="Times New Roman" w:cstheme="majorHAnsi"/>
          <w:sz w:val="22"/>
          <w:szCs w:val="22"/>
          <w:lang w:val="en-GB"/>
        </w:rPr>
        <w:t>Kiara</w:t>
      </w:r>
      <w:r w:rsidR="006572D1" w:rsidRPr="004E053C">
        <w:rPr>
          <w:rFonts w:eastAsia="Times New Roman" w:cstheme="majorHAnsi"/>
          <w:sz w:val="22"/>
          <w:szCs w:val="22"/>
          <w:lang w:val="en-GB"/>
        </w:rPr>
        <w:t>, ASM miner, Boc</w:t>
      </w:r>
      <w:r w:rsidR="003E574E" w:rsidRPr="004E053C">
        <w:rPr>
          <w:rFonts w:eastAsia="Times New Roman" w:cstheme="majorHAnsi"/>
          <w:sz w:val="22"/>
          <w:szCs w:val="22"/>
          <w:lang w:val="en-GB"/>
        </w:rPr>
        <w:t>a Union)</w:t>
      </w:r>
      <w:r w:rsidR="008C405D" w:rsidRPr="004E053C">
        <w:rPr>
          <w:rFonts w:eastAsia="Times New Roman" w:cstheme="majorHAnsi"/>
          <w:sz w:val="22"/>
          <w:szCs w:val="22"/>
          <w:lang w:val="en-GB"/>
        </w:rPr>
        <w:t xml:space="preserve">. </w:t>
      </w:r>
    </w:p>
    <w:p w14:paraId="7208F684" w14:textId="77777777" w:rsidR="003E574E" w:rsidRPr="004E053C" w:rsidRDefault="003E574E" w:rsidP="004E053C">
      <w:pPr>
        <w:spacing w:line="360" w:lineRule="auto"/>
        <w:jc w:val="both"/>
        <w:rPr>
          <w:rFonts w:cstheme="majorHAnsi"/>
          <w:sz w:val="22"/>
          <w:szCs w:val="22"/>
          <w:lang w:val="en-GB"/>
        </w:rPr>
      </w:pPr>
    </w:p>
    <w:p w14:paraId="5CE61A2B" w14:textId="5929E742" w:rsidR="003E574E" w:rsidRPr="004E053C" w:rsidRDefault="003E574E"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Here, </w:t>
      </w:r>
      <w:r w:rsidR="00B21FFD" w:rsidRPr="004E053C">
        <w:rPr>
          <w:rFonts w:cstheme="majorHAnsi"/>
          <w:sz w:val="22"/>
          <w:szCs w:val="22"/>
          <w:lang w:val="en-GB"/>
        </w:rPr>
        <w:t>Kiara</w:t>
      </w:r>
      <w:r w:rsidRPr="004E053C">
        <w:rPr>
          <w:rFonts w:cstheme="majorHAnsi"/>
          <w:sz w:val="22"/>
          <w:szCs w:val="22"/>
          <w:lang w:val="en-GB"/>
        </w:rPr>
        <w:t xml:space="preserve"> likens the way the government treats them to how they would treat other criminals, namely drug traffickers, which Peru also has a serious problem with </w:t>
      </w:r>
      <w:r w:rsidR="00B673A8"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{"citationItems":[{"id":"ITEM-1","itemData":{"author":[{"dropping-particle":"","family":"Dun","given":"Mirella","non-dropping-particle":"van","parse-names":false,"suffix":""}],"container-title":"International Journal of Drug Policy","id":"ITEM-1","issue":"6","issued":{"date-parts":[["2012"]]},"page":"442-448","title":"The drugs industry and peasant self-defence in a Peruvian cocaine enclave","type":"article-journal","volume":"23"},"uris":["http://www.mendeley.com/documents/?uuid=1259a59e-e2b0-43d0-af93-3ef501aff3eb"]},{"id":"ITEM-2","itemData":{"author":[{"dropping-particle":"","family":"Kernaghan","given":"Richard","non-dropping-particle":"","parse-names":false,"suffix":""}],"container-title":"American Ethnologist","id":"ITEM-2","issue":"4","issued":{"date-parts":[["2015"]]},"page":"658-672","title":"Cocaine's minor destinies: ephemerality and legal threat on the margins of the Peruvian state","type":"article-journal","volume":"42"},"uris":["http://www.mendeley.com/documents/?uuid=edadb49e-6711-4895-97e9-2ab4890fc4ab"]}],"mendeley":{"formattedCitation":"(Kernaghan, 2015; van Dun, 2012)","plainTextFormattedCitation":"(Kernaghan, 2015; van Dun, 2012)","previouslyFormattedCitation":"(Kernaghan, 2015; van Dun, 2012)"},"properties":{"noteIndex":0},"schema":"https://github.com/citation-style-language/schema/raw/master/csl-citation.json"}</w:instrText>
      </w:r>
      <w:r w:rsidR="00B673A8" w:rsidRPr="004E053C">
        <w:rPr>
          <w:rFonts w:cstheme="majorHAnsi"/>
          <w:sz w:val="22"/>
          <w:szCs w:val="22"/>
          <w:lang w:val="en-GB"/>
        </w:rPr>
        <w:fldChar w:fldCharType="separate"/>
      </w:r>
      <w:r w:rsidR="00B673A8" w:rsidRPr="004E053C">
        <w:rPr>
          <w:rFonts w:cstheme="majorHAnsi"/>
          <w:noProof/>
          <w:sz w:val="22"/>
          <w:szCs w:val="22"/>
          <w:lang w:val="en-GB"/>
        </w:rPr>
        <w:t>(Kernaghan, 2015; van Dun, 2012)</w:t>
      </w:r>
      <w:r w:rsidR="00B673A8" w:rsidRPr="004E053C">
        <w:rPr>
          <w:rFonts w:cstheme="majorHAnsi"/>
          <w:sz w:val="22"/>
          <w:szCs w:val="22"/>
          <w:lang w:val="en-GB"/>
        </w:rPr>
        <w:fldChar w:fldCharType="end"/>
      </w:r>
      <w:r w:rsidRPr="004E053C">
        <w:rPr>
          <w:rFonts w:cstheme="majorHAnsi"/>
          <w:sz w:val="22"/>
          <w:szCs w:val="22"/>
          <w:lang w:val="en-GB"/>
        </w:rPr>
        <w:t xml:space="preserve">. She is alluding to the fact that some of the miners operating in La </w:t>
      </w:r>
      <w:r w:rsidR="00D3327C" w:rsidRPr="004E053C">
        <w:rPr>
          <w:rFonts w:cstheme="majorHAnsi"/>
          <w:sz w:val="22"/>
          <w:szCs w:val="22"/>
          <w:lang w:val="en-GB"/>
        </w:rPr>
        <w:t>Pampa, the ‘big guys’</w:t>
      </w:r>
      <w:r w:rsidRPr="004E053C">
        <w:rPr>
          <w:rFonts w:cstheme="majorHAnsi"/>
          <w:sz w:val="22"/>
          <w:szCs w:val="22"/>
          <w:lang w:val="en-GB"/>
        </w:rPr>
        <w:t>, are often t</w:t>
      </w:r>
      <w:r w:rsidR="00475547" w:rsidRPr="004E053C">
        <w:rPr>
          <w:rFonts w:cstheme="majorHAnsi"/>
          <w:sz w:val="22"/>
          <w:szCs w:val="22"/>
          <w:lang w:val="en-GB"/>
        </w:rPr>
        <w:t>hought to be involved in organis</w:t>
      </w:r>
      <w:r w:rsidRPr="004E053C">
        <w:rPr>
          <w:rFonts w:cstheme="majorHAnsi"/>
          <w:sz w:val="22"/>
          <w:szCs w:val="22"/>
          <w:lang w:val="en-GB"/>
        </w:rPr>
        <w:t xml:space="preserve">ed crime, including </w:t>
      </w:r>
      <w:r w:rsidR="00014D90" w:rsidRPr="004E053C">
        <w:rPr>
          <w:rFonts w:cstheme="majorHAnsi"/>
          <w:sz w:val="22"/>
          <w:szCs w:val="22"/>
          <w:lang w:val="en-GB"/>
        </w:rPr>
        <w:t>human and narco-</w:t>
      </w:r>
      <w:r w:rsidR="00D90D49" w:rsidRPr="004E053C">
        <w:rPr>
          <w:rFonts w:cstheme="majorHAnsi"/>
          <w:sz w:val="22"/>
          <w:szCs w:val="22"/>
          <w:lang w:val="en-GB"/>
        </w:rPr>
        <w:t>trafficking, which</w:t>
      </w:r>
      <w:r w:rsidRPr="004E053C">
        <w:rPr>
          <w:rFonts w:cstheme="majorHAnsi"/>
          <w:sz w:val="22"/>
          <w:szCs w:val="22"/>
          <w:lang w:val="en-GB"/>
        </w:rPr>
        <w:t xml:space="preserve"> contributes to the </w:t>
      </w:r>
      <w:r w:rsidR="00D90D49" w:rsidRPr="004E053C">
        <w:rPr>
          <w:rFonts w:cstheme="majorHAnsi"/>
          <w:sz w:val="22"/>
          <w:szCs w:val="22"/>
          <w:lang w:val="en-GB"/>
        </w:rPr>
        <w:t>violence</w:t>
      </w:r>
      <w:r w:rsidRPr="004E053C">
        <w:rPr>
          <w:rFonts w:cstheme="majorHAnsi"/>
          <w:sz w:val="22"/>
          <w:szCs w:val="22"/>
          <w:lang w:val="en-GB"/>
        </w:rPr>
        <w:t xml:space="preserve"> </w:t>
      </w:r>
      <w:r w:rsidR="00D90D49" w:rsidRPr="004E053C">
        <w:rPr>
          <w:rFonts w:cstheme="majorHAnsi"/>
          <w:sz w:val="22"/>
          <w:szCs w:val="22"/>
          <w:lang w:val="en-GB"/>
        </w:rPr>
        <w:t xml:space="preserve">in the area. While </w:t>
      </w:r>
      <w:r w:rsidR="00B21FFD" w:rsidRPr="004E053C">
        <w:rPr>
          <w:rFonts w:cstheme="majorHAnsi"/>
          <w:sz w:val="22"/>
          <w:szCs w:val="22"/>
          <w:lang w:val="en-GB"/>
        </w:rPr>
        <w:t>Kiara</w:t>
      </w:r>
      <w:r w:rsidR="00D90D49" w:rsidRPr="004E053C">
        <w:rPr>
          <w:rFonts w:cstheme="majorHAnsi"/>
          <w:sz w:val="22"/>
          <w:szCs w:val="22"/>
          <w:lang w:val="en-GB"/>
        </w:rPr>
        <w:t>’s family have</w:t>
      </w:r>
      <w:r w:rsidRPr="004E053C">
        <w:rPr>
          <w:rFonts w:cstheme="majorHAnsi"/>
          <w:sz w:val="22"/>
          <w:szCs w:val="22"/>
          <w:lang w:val="en-GB"/>
        </w:rPr>
        <w:t xml:space="preserve"> so far be</w:t>
      </w:r>
      <w:r w:rsidR="00D90D49" w:rsidRPr="004E053C">
        <w:rPr>
          <w:rFonts w:cstheme="majorHAnsi"/>
          <w:sz w:val="22"/>
          <w:szCs w:val="22"/>
          <w:lang w:val="en-GB"/>
        </w:rPr>
        <w:t xml:space="preserve">en fortunate to avoid arrest and having their machines </w:t>
      </w:r>
      <w:r w:rsidRPr="004E053C">
        <w:rPr>
          <w:rFonts w:cstheme="majorHAnsi"/>
          <w:sz w:val="22"/>
          <w:szCs w:val="22"/>
          <w:lang w:val="en-GB"/>
        </w:rPr>
        <w:t xml:space="preserve">blown up, some of </w:t>
      </w:r>
      <w:r w:rsidR="00D90D49" w:rsidRPr="004E053C">
        <w:rPr>
          <w:rFonts w:cstheme="majorHAnsi"/>
          <w:sz w:val="22"/>
          <w:szCs w:val="22"/>
          <w:lang w:val="en-GB"/>
        </w:rPr>
        <w:t>the other interviewed miners have</w:t>
      </w:r>
      <w:r w:rsidRPr="004E053C">
        <w:rPr>
          <w:rFonts w:cstheme="majorHAnsi"/>
          <w:sz w:val="22"/>
          <w:szCs w:val="22"/>
          <w:lang w:val="en-GB"/>
        </w:rPr>
        <w:t xml:space="preserve"> not been so lucky. A good example of</w:t>
      </w:r>
      <w:r w:rsidR="00D90D49" w:rsidRPr="004E053C">
        <w:rPr>
          <w:rFonts w:cstheme="majorHAnsi"/>
          <w:sz w:val="22"/>
          <w:szCs w:val="22"/>
          <w:lang w:val="en-GB"/>
        </w:rPr>
        <w:t xml:space="preserve"> this is </w:t>
      </w:r>
      <w:r w:rsidR="00EA7F80" w:rsidRPr="004E053C">
        <w:rPr>
          <w:rFonts w:cstheme="majorHAnsi"/>
          <w:sz w:val="22"/>
          <w:szCs w:val="22"/>
          <w:lang w:val="en-GB"/>
        </w:rPr>
        <w:t>Jorge</w:t>
      </w:r>
      <w:r w:rsidR="00D90D49" w:rsidRPr="004E053C">
        <w:rPr>
          <w:rFonts w:cstheme="majorHAnsi"/>
          <w:sz w:val="22"/>
          <w:szCs w:val="22"/>
          <w:lang w:val="en-GB"/>
        </w:rPr>
        <w:t xml:space="preserve">, whose family previously </w:t>
      </w:r>
      <w:r w:rsidRPr="004E053C">
        <w:rPr>
          <w:rFonts w:cstheme="majorHAnsi"/>
          <w:sz w:val="22"/>
          <w:szCs w:val="22"/>
          <w:lang w:val="en-GB"/>
        </w:rPr>
        <w:t xml:space="preserve">owned a concession inside the mining corridor, close to Laberinto. </w:t>
      </w:r>
      <w:r w:rsidRPr="004E053C">
        <w:rPr>
          <w:rFonts w:eastAsia="Times New Roman" w:cstheme="majorHAnsi"/>
          <w:sz w:val="22"/>
          <w:szCs w:val="22"/>
          <w:lang w:val="en-GB"/>
        </w:rPr>
        <w:t xml:space="preserve">They had lost the rights to the concession due to an inability to keep up with the increasing taxes, but had continued mining on </w:t>
      </w:r>
      <w:r w:rsidR="00A63452" w:rsidRPr="004E053C">
        <w:rPr>
          <w:rFonts w:eastAsia="Times New Roman" w:cstheme="majorHAnsi"/>
          <w:sz w:val="22"/>
          <w:szCs w:val="22"/>
          <w:lang w:val="en-GB"/>
        </w:rPr>
        <w:t xml:space="preserve">it </w:t>
      </w:r>
      <w:r w:rsidRPr="004E053C">
        <w:rPr>
          <w:rFonts w:eastAsia="Times New Roman" w:cstheme="majorHAnsi"/>
          <w:sz w:val="22"/>
          <w:szCs w:val="22"/>
          <w:lang w:val="en-GB"/>
        </w:rPr>
        <w:t xml:space="preserve">as the concession was not sold to a new </w:t>
      </w:r>
      <w:r w:rsidR="005527DD" w:rsidRPr="004E053C">
        <w:rPr>
          <w:rFonts w:eastAsia="Times New Roman" w:cstheme="majorHAnsi"/>
          <w:sz w:val="22"/>
          <w:szCs w:val="22"/>
          <w:lang w:val="en-GB"/>
        </w:rPr>
        <w:t>titleholder</w:t>
      </w:r>
      <w:r w:rsidRPr="004E053C">
        <w:rPr>
          <w:rFonts w:eastAsia="Times New Roman" w:cstheme="majorHAnsi"/>
          <w:sz w:val="22"/>
          <w:szCs w:val="22"/>
          <w:lang w:val="en-GB"/>
        </w:rPr>
        <w:t xml:space="preserve">. However, a year or so ago the Government blew up </w:t>
      </w:r>
      <w:r w:rsidR="00EA7F80" w:rsidRPr="004E053C">
        <w:rPr>
          <w:rFonts w:eastAsia="Times New Roman" w:cstheme="majorHAnsi"/>
          <w:sz w:val="22"/>
          <w:szCs w:val="22"/>
          <w:lang w:val="en-GB"/>
        </w:rPr>
        <w:t>Jorge</w:t>
      </w:r>
      <w:r w:rsidRPr="004E053C">
        <w:rPr>
          <w:rFonts w:eastAsia="Times New Roman" w:cstheme="majorHAnsi"/>
          <w:sz w:val="22"/>
          <w:szCs w:val="22"/>
          <w:lang w:val="en-GB"/>
        </w:rPr>
        <w:t>’s mining equipment:</w:t>
      </w:r>
    </w:p>
    <w:p w14:paraId="0286BE83" w14:textId="77777777" w:rsidR="003E574E" w:rsidRPr="004E053C" w:rsidRDefault="003E574E" w:rsidP="004E053C">
      <w:pPr>
        <w:jc w:val="both"/>
        <w:rPr>
          <w:rFonts w:eastAsia="Times New Roman" w:cstheme="majorHAnsi"/>
          <w:i/>
          <w:sz w:val="22"/>
          <w:szCs w:val="22"/>
          <w:lang w:val="en-GB"/>
        </w:rPr>
      </w:pPr>
    </w:p>
    <w:p w14:paraId="064767BB" w14:textId="77476431"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w:t>
      </w:r>
      <w:r w:rsidR="003E574E" w:rsidRPr="004E053C">
        <w:rPr>
          <w:rFonts w:eastAsia="Times New Roman" w:cstheme="majorHAnsi"/>
          <w:i/>
          <w:sz w:val="22"/>
          <w:szCs w:val="22"/>
          <w:lang w:val="en-GB"/>
        </w:rPr>
        <w:t>Now I have a kid I work for money for my kid. The small money I earn every day is for my family. Sometimes the army or navy or police come her</w:t>
      </w:r>
      <w:r w:rsidR="00A63452" w:rsidRPr="004E053C">
        <w:rPr>
          <w:rFonts w:eastAsia="Times New Roman" w:cstheme="majorHAnsi"/>
          <w:i/>
          <w:sz w:val="22"/>
          <w:szCs w:val="22"/>
          <w:lang w:val="en-GB"/>
        </w:rPr>
        <w:t>e</w:t>
      </w:r>
      <w:r w:rsidR="003E574E" w:rsidRPr="004E053C">
        <w:rPr>
          <w:rFonts w:eastAsia="Times New Roman" w:cstheme="majorHAnsi"/>
          <w:i/>
          <w:sz w:val="22"/>
          <w:szCs w:val="22"/>
          <w:lang w:val="en-GB"/>
        </w:rPr>
        <w:t xml:space="preserve"> and they take this small money. That’s not fair, because I work to get the money for my family and they take it from me. And we really don’t earn that much here</w:t>
      </w:r>
      <w:r w:rsidRPr="004E053C">
        <w:rPr>
          <w:rFonts w:eastAsia="Times New Roman" w:cstheme="majorHAnsi"/>
          <w: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Jorge</w:t>
      </w:r>
      <w:r w:rsidR="003E574E" w:rsidRPr="004E053C">
        <w:rPr>
          <w:rFonts w:eastAsia="Times New Roman" w:cstheme="majorHAnsi"/>
          <w:sz w:val="22"/>
          <w:szCs w:val="22"/>
          <w:lang w:val="en-GB"/>
        </w:rPr>
        <w:t xml:space="preserve">, Obrero, Laberinto). </w:t>
      </w:r>
    </w:p>
    <w:p w14:paraId="7C6336FE" w14:textId="77777777" w:rsidR="003E574E" w:rsidRPr="004E053C" w:rsidRDefault="003E574E" w:rsidP="004E053C">
      <w:pPr>
        <w:spacing w:line="360" w:lineRule="auto"/>
        <w:jc w:val="both"/>
        <w:rPr>
          <w:rFonts w:eastAsia="Times New Roman" w:cstheme="majorHAnsi"/>
          <w:i/>
          <w:sz w:val="22"/>
          <w:szCs w:val="22"/>
          <w:lang w:val="en-GB"/>
        </w:rPr>
      </w:pPr>
    </w:p>
    <w:p w14:paraId="054198BE" w14:textId="727FA5C7"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Although he had managed to avoid arrest, </w:t>
      </w:r>
      <w:r w:rsidR="00EA7F80" w:rsidRPr="004E053C">
        <w:rPr>
          <w:rFonts w:eastAsia="Times New Roman" w:cstheme="majorHAnsi"/>
          <w:sz w:val="22"/>
          <w:szCs w:val="22"/>
          <w:lang w:val="en-GB"/>
        </w:rPr>
        <w:t>Jorge</w:t>
      </w:r>
      <w:r w:rsidRPr="004E053C">
        <w:rPr>
          <w:rFonts w:eastAsia="Times New Roman" w:cstheme="majorHAnsi"/>
          <w:sz w:val="22"/>
          <w:szCs w:val="22"/>
          <w:lang w:val="en-GB"/>
        </w:rPr>
        <w:t xml:space="preserve"> lost his investments and had been forced to go back to being an </w:t>
      </w:r>
      <w:r w:rsidRPr="004E053C">
        <w:rPr>
          <w:rFonts w:eastAsia="Times New Roman" w:cstheme="majorHAnsi"/>
          <w:i/>
          <w:iCs/>
          <w:sz w:val="22"/>
          <w:szCs w:val="22"/>
          <w:lang w:val="en-GB"/>
        </w:rPr>
        <w:t>obrero</w:t>
      </w:r>
      <w:r w:rsidRPr="004E053C">
        <w:rPr>
          <w:rFonts w:eastAsia="Times New Roman" w:cstheme="majorHAnsi"/>
          <w:sz w:val="22"/>
          <w:szCs w:val="22"/>
          <w:lang w:val="en-GB"/>
        </w:rPr>
        <w:t xml:space="preserve">. Although he hopes to be able to reinvest in some new machines, he thinks it will be difficult to save enough as he is currently spending most of his earnings on providing for his child. This reinforces the fact that while mining helps people get out of poverty, for most it is far from being a get rich quick scheme. </w:t>
      </w:r>
      <w:r w:rsidR="00EA7F80" w:rsidRPr="004E053C">
        <w:rPr>
          <w:rFonts w:eastAsia="Times New Roman" w:cstheme="majorHAnsi"/>
          <w:sz w:val="22"/>
          <w:szCs w:val="22"/>
          <w:lang w:val="en-GB"/>
        </w:rPr>
        <w:t>Jorge</w:t>
      </w:r>
      <w:r w:rsidR="00D90D49" w:rsidRPr="004E053C">
        <w:rPr>
          <w:rFonts w:eastAsia="Times New Roman" w:cstheme="majorHAnsi"/>
          <w:sz w:val="22"/>
          <w:szCs w:val="22"/>
          <w:lang w:val="en-GB"/>
        </w:rPr>
        <w:t xml:space="preserve">’s experience also shows how the actions of external actors can affect the positions of agents within the social field, reducing their access to resources and making it more difficult for them to earn a livelihood. </w:t>
      </w:r>
      <w:r w:rsidR="00900A37" w:rsidRPr="004E053C">
        <w:rPr>
          <w:rFonts w:eastAsia="Times New Roman" w:cstheme="majorHAnsi"/>
          <w:sz w:val="22"/>
          <w:szCs w:val="22"/>
          <w:lang w:val="en-GB"/>
        </w:rPr>
        <w:t xml:space="preserve">It is unsurprising therefore that those contestations may occur between these fields, rather than just within them. </w:t>
      </w:r>
    </w:p>
    <w:p w14:paraId="408D598F" w14:textId="77777777" w:rsidR="003E574E" w:rsidRPr="004E053C" w:rsidRDefault="003E574E" w:rsidP="004E053C">
      <w:pPr>
        <w:spacing w:line="360" w:lineRule="auto"/>
        <w:jc w:val="both"/>
        <w:rPr>
          <w:rFonts w:cstheme="majorHAnsi"/>
          <w:sz w:val="22"/>
          <w:szCs w:val="22"/>
          <w:lang w:val="en-GB"/>
        </w:rPr>
      </w:pPr>
    </w:p>
    <w:p w14:paraId="09B1A70F" w14:textId="7ADF0DBA"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lastRenderedPageBreak/>
        <w:t xml:space="preserve">For many of the miners in Laberinto and elsewhere in the mining corridor, the notion of illegality is linked primarily to </w:t>
      </w:r>
      <w:r w:rsidR="00A63452" w:rsidRPr="004E053C">
        <w:rPr>
          <w:rFonts w:eastAsia="Times New Roman" w:cstheme="majorHAnsi"/>
          <w:sz w:val="22"/>
          <w:szCs w:val="22"/>
          <w:lang w:val="en-GB"/>
        </w:rPr>
        <w:t>place. They</w:t>
      </w:r>
      <w:r w:rsidRPr="004E053C">
        <w:rPr>
          <w:rFonts w:eastAsia="Times New Roman" w:cstheme="majorHAnsi"/>
          <w:sz w:val="22"/>
          <w:szCs w:val="22"/>
          <w:lang w:val="en-GB"/>
        </w:rPr>
        <w:t xml:space="preserve"> tend to focus on the location of mining activity as the marker of criminality. As a result, many miners expressed confusion as to why the Government treated them the same as the miners working outside of the mining corridor:</w:t>
      </w:r>
    </w:p>
    <w:p w14:paraId="7F629155" w14:textId="77777777" w:rsidR="003E574E" w:rsidRPr="004E053C" w:rsidRDefault="003E574E" w:rsidP="004E053C">
      <w:pPr>
        <w:spacing w:line="360" w:lineRule="auto"/>
        <w:jc w:val="both"/>
        <w:rPr>
          <w:rFonts w:eastAsia="Times New Roman" w:cstheme="majorHAnsi"/>
          <w:sz w:val="22"/>
          <w:szCs w:val="22"/>
          <w:lang w:val="en-GB"/>
        </w:rPr>
      </w:pPr>
    </w:p>
    <w:p w14:paraId="036E7480" w14:textId="0DE77E1F"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w:t>
      </w:r>
      <w:r w:rsidR="003E574E" w:rsidRPr="004E053C">
        <w:rPr>
          <w:rFonts w:eastAsia="Times New Roman" w:cstheme="majorHAnsi"/>
          <w:i/>
          <w:sz w:val="22"/>
          <w:szCs w:val="22"/>
          <w:lang w:val="en-GB"/>
        </w:rPr>
        <w:t>La Pampa is the illegal place because it’s close to protective land, b</w:t>
      </w:r>
      <w:r w:rsidR="00A63452" w:rsidRPr="004E053C">
        <w:rPr>
          <w:rFonts w:eastAsia="Times New Roman" w:cstheme="majorHAnsi"/>
          <w:i/>
          <w:sz w:val="22"/>
          <w:szCs w:val="22"/>
          <w:lang w:val="en-GB"/>
        </w:rPr>
        <w:t>ut this part is different. The G</w:t>
      </w:r>
      <w:r w:rsidR="003E574E" w:rsidRPr="004E053C">
        <w:rPr>
          <w:rFonts w:eastAsia="Times New Roman" w:cstheme="majorHAnsi"/>
          <w:i/>
          <w:sz w:val="22"/>
          <w:szCs w:val="22"/>
          <w:lang w:val="en-GB"/>
        </w:rPr>
        <w:t>overnment go there to make things explode because its illegal, but they’re also coming here. I don’t understand that. We have concessions, why are they making it explode?</w:t>
      </w:r>
      <w:r w:rsidRPr="004E053C">
        <w:rPr>
          <w:rFonts w:eastAsia="Times New Roman" w:cstheme="majorHAnsi"/>
          <w:sz w:val="22"/>
          <w:szCs w:val="22"/>
          <w:lang w:val="en-GB"/>
        </w:rPr>
        <w:t>’</w:t>
      </w:r>
      <w:r w:rsidR="006572D1"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Noe</w:t>
      </w:r>
      <w:r w:rsidR="006572D1" w:rsidRPr="004E053C">
        <w:rPr>
          <w:rFonts w:eastAsia="Times New Roman" w:cstheme="majorHAnsi"/>
          <w:sz w:val="22"/>
          <w:szCs w:val="22"/>
          <w:lang w:val="en-GB"/>
        </w:rPr>
        <w:t>, ASM miner, Boc</w:t>
      </w:r>
      <w:r w:rsidR="003E574E" w:rsidRPr="004E053C">
        <w:rPr>
          <w:rFonts w:eastAsia="Times New Roman" w:cstheme="majorHAnsi"/>
          <w:sz w:val="22"/>
          <w:szCs w:val="22"/>
          <w:lang w:val="en-GB"/>
        </w:rPr>
        <w:t>a Union)</w:t>
      </w:r>
      <w:r w:rsidR="00D51819" w:rsidRPr="004E053C">
        <w:rPr>
          <w:rFonts w:eastAsia="Times New Roman" w:cstheme="majorHAnsi"/>
          <w:sz w:val="22"/>
          <w:szCs w:val="22"/>
          <w:lang w:val="en-GB"/>
        </w:rPr>
        <w:t xml:space="preserve">. </w:t>
      </w:r>
    </w:p>
    <w:p w14:paraId="3F78077A" w14:textId="77777777" w:rsidR="003E574E" w:rsidRPr="004E053C" w:rsidRDefault="003E574E" w:rsidP="004E053C">
      <w:pPr>
        <w:spacing w:line="360" w:lineRule="auto"/>
        <w:jc w:val="both"/>
        <w:rPr>
          <w:rFonts w:eastAsia="Times New Roman" w:cstheme="majorHAnsi"/>
          <w:sz w:val="22"/>
          <w:szCs w:val="22"/>
          <w:lang w:val="en-GB"/>
        </w:rPr>
      </w:pPr>
    </w:p>
    <w:p w14:paraId="7AC396E7" w14:textId="15A9100D"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The key issue for many of the miners, as illustrated in this quo</w:t>
      </w:r>
      <w:r w:rsidR="00A63452" w:rsidRPr="004E053C">
        <w:rPr>
          <w:rFonts w:eastAsia="Times New Roman" w:cstheme="majorHAnsi"/>
          <w:sz w:val="22"/>
          <w:szCs w:val="22"/>
          <w:lang w:val="en-GB"/>
        </w:rPr>
        <w:t xml:space="preserve">te from </w:t>
      </w:r>
      <w:r w:rsidR="00EA7F80" w:rsidRPr="004E053C">
        <w:rPr>
          <w:rFonts w:eastAsia="Times New Roman" w:cstheme="majorHAnsi"/>
          <w:sz w:val="22"/>
          <w:szCs w:val="22"/>
          <w:lang w:val="en-GB"/>
        </w:rPr>
        <w:t>Noe</w:t>
      </w:r>
      <w:r w:rsidR="00A63452" w:rsidRPr="004E053C">
        <w:rPr>
          <w:rFonts w:eastAsia="Times New Roman" w:cstheme="majorHAnsi"/>
          <w:sz w:val="22"/>
          <w:szCs w:val="22"/>
          <w:lang w:val="en-GB"/>
        </w:rPr>
        <w:t>, is that the G</w:t>
      </w:r>
      <w:r w:rsidRPr="004E053C">
        <w:rPr>
          <w:rFonts w:eastAsia="Times New Roman" w:cstheme="majorHAnsi"/>
          <w:sz w:val="22"/>
          <w:szCs w:val="22"/>
          <w:lang w:val="en-GB"/>
        </w:rPr>
        <w:t xml:space="preserve">overnment previously sold them the concessions yet were now trying to stop mining activity on those same concessions. One of the miners also questioned why they were being targeted while the mining activity within La Pampa, where there are no concessions, had not </w:t>
      </w:r>
      <w:r w:rsidR="00D90D49" w:rsidRPr="004E053C">
        <w:rPr>
          <w:rFonts w:eastAsia="Times New Roman" w:cstheme="majorHAnsi"/>
          <w:sz w:val="22"/>
          <w:szCs w:val="22"/>
          <w:lang w:val="en-GB"/>
        </w:rPr>
        <w:t xml:space="preserve">yet </w:t>
      </w:r>
      <w:r w:rsidR="00A63452" w:rsidRPr="004E053C">
        <w:rPr>
          <w:rFonts w:eastAsia="Times New Roman" w:cstheme="majorHAnsi"/>
          <w:sz w:val="22"/>
          <w:szCs w:val="22"/>
          <w:lang w:val="en-GB"/>
        </w:rPr>
        <w:t>been eradicated. Although the G</w:t>
      </w:r>
      <w:r w:rsidRPr="004E053C">
        <w:rPr>
          <w:rFonts w:eastAsia="Times New Roman" w:cstheme="majorHAnsi"/>
          <w:sz w:val="22"/>
          <w:szCs w:val="22"/>
          <w:lang w:val="en-GB"/>
        </w:rPr>
        <w:t xml:space="preserve">overnment’s interdictions do target La Pampa, it was not sufficient to </w:t>
      </w:r>
      <w:r w:rsidR="00D90D49" w:rsidRPr="004E053C">
        <w:rPr>
          <w:rFonts w:eastAsia="Times New Roman" w:cstheme="majorHAnsi"/>
          <w:sz w:val="22"/>
          <w:szCs w:val="22"/>
          <w:lang w:val="en-GB"/>
        </w:rPr>
        <w:t>halt mining activity</w:t>
      </w:r>
      <w:r w:rsidRPr="004E053C">
        <w:rPr>
          <w:rFonts w:eastAsia="Times New Roman" w:cstheme="majorHAnsi"/>
          <w:sz w:val="22"/>
          <w:szCs w:val="22"/>
          <w:lang w:val="en-GB"/>
        </w:rPr>
        <w:t xml:space="preserve">, yet at the same time the Government were </w:t>
      </w:r>
      <w:r w:rsidR="00D90D49" w:rsidRPr="004E053C">
        <w:rPr>
          <w:rFonts w:eastAsia="Times New Roman" w:cstheme="majorHAnsi"/>
          <w:sz w:val="22"/>
          <w:szCs w:val="22"/>
          <w:lang w:val="en-GB"/>
        </w:rPr>
        <w:t xml:space="preserve">perceived to be </w:t>
      </w:r>
      <w:r w:rsidRPr="004E053C">
        <w:rPr>
          <w:rFonts w:eastAsia="Times New Roman" w:cstheme="majorHAnsi"/>
          <w:sz w:val="22"/>
          <w:szCs w:val="22"/>
          <w:lang w:val="en-GB"/>
        </w:rPr>
        <w:t xml:space="preserve">wasting resources attacking mining operations within the mining corridor. This </w:t>
      </w:r>
      <w:r w:rsidR="00D90D49" w:rsidRPr="004E053C">
        <w:rPr>
          <w:rFonts w:eastAsia="Times New Roman" w:cstheme="majorHAnsi"/>
          <w:sz w:val="22"/>
          <w:szCs w:val="22"/>
          <w:lang w:val="en-GB"/>
        </w:rPr>
        <w:t xml:space="preserve">clearly constitutes a </w:t>
      </w:r>
      <w:r w:rsidRPr="004E053C">
        <w:rPr>
          <w:rFonts w:eastAsia="Times New Roman" w:cstheme="majorHAnsi"/>
          <w:sz w:val="22"/>
          <w:szCs w:val="22"/>
          <w:lang w:val="en-GB"/>
        </w:rPr>
        <w:t xml:space="preserve">spatial definition of legality, as it </w:t>
      </w:r>
      <w:r w:rsidR="00D90D49" w:rsidRPr="004E053C">
        <w:rPr>
          <w:rFonts w:eastAsia="Times New Roman" w:cstheme="majorHAnsi"/>
          <w:sz w:val="22"/>
          <w:szCs w:val="22"/>
          <w:lang w:val="en-GB"/>
        </w:rPr>
        <w:t>is primarily</w:t>
      </w:r>
      <w:r w:rsidRPr="004E053C">
        <w:rPr>
          <w:rFonts w:eastAsia="Times New Roman" w:cstheme="majorHAnsi"/>
          <w:sz w:val="22"/>
          <w:szCs w:val="22"/>
          <w:lang w:val="en-GB"/>
        </w:rPr>
        <w:t xml:space="preserve"> linked to the geographic location of the places in question, but also highlights the way these two places are linked:</w:t>
      </w:r>
    </w:p>
    <w:p w14:paraId="3C8115FA" w14:textId="77777777" w:rsidR="003E574E" w:rsidRPr="004E053C" w:rsidRDefault="003E574E" w:rsidP="004E053C">
      <w:pPr>
        <w:spacing w:line="360" w:lineRule="auto"/>
        <w:jc w:val="both"/>
        <w:rPr>
          <w:rFonts w:eastAsia="Times New Roman" w:cstheme="majorHAnsi"/>
          <w:sz w:val="22"/>
          <w:szCs w:val="22"/>
          <w:lang w:val="en-GB"/>
        </w:rPr>
      </w:pPr>
    </w:p>
    <w:p w14:paraId="3F34ED9D" w14:textId="4871F934"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w:t>
      </w:r>
      <w:r w:rsidR="003E574E" w:rsidRPr="004E053C">
        <w:rPr>
          <w:rFonts w:eastAsia="Times New Roman" w:cstheme="majorHAnsi"/>
          <w:i/>
          <w:sz w:val="22"/>
          <w:szCs w:val="22"/>
          <w:lang w:val="en-GB"/>
        </w:rPr>
        <w:t>While (La Pampa) still exists they will come here as well, and they will confuse us with them and think we are the same…That is the problem, the corruption is part of La Pampa, but it makes it hard for everybody if La Pampa still exists</w:t>
      </w:r>
      <w:r w:rsidRPr="004E053C">
        <w:rPr>
          <w:rFonts w:eastAsia="Times New Roman" w:cstheme="majorHAnsi"/>
          <w: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Noe</w:t>
      </w:r>
      <w:r w:rsidR="003E574E" w:rsidRPr="004E053C">
        <w:rPr>
          <w:rFonts w:eastAsia="Times New Roman" w:cstheme="majorHAnsi"/>
          <w:sz w:val="22"/>
          <w:szCs w:val="22"/>
          <w:lang w:val="en-GB"/>
        </w:rPr>
        <w:t>, ASM miner, Laberinto)</w:t>
      </w:r>
      <w:r w:rsidR="00294FB4" w:rsidRPr="004E053C">
        <w:rPr>
          <w:rFonts w:eastAsia="Times New Roman" w:cstheme="majorHAnsi"/>
          <w:sz w:val="22"/>
          <w:szCs w:val="22"/>
          <w:lang w:val="en-GB"/>
        </w:rPr>
        <w:t xml:space="preserve">. </w:t>
      </w:r>
    </w:p>
    <w:p w14:paraId="6C8C790C" w14:textId="77777777" w:rsidR="003E574E" w:rsidRPr="004E053C" w:rsidRDefault="003E574E" w:rsidP="004E053C">
      <w:pPr>
        <w:spacing w:line="360" w:lineRule="auto"/>
        <w:jc w:val="both"/>
        <w:rPr>
          <w:rFonts w:eastAsia="Times New Roman" w:cstheme="majorHAnsi"/>
          <w:sz w:val="22"/>
          <w:szCs w:val="22"/>
          <w:lang w:val="en-GB"/>
        </w:rPr>
      </w:pPr>
    </w:p>
    <w:p w14:paraId="640CB978" w14:textId="44B2E84B" w:rsidR="003E574E" w:rsidRPr="004E053C" w:rsidRDefault="00EA7F80" w:rsidP="004E053C">
      <w:pPr>
        <w:spacing w:line="360" w:lineRule="auto"/>
        <w:jc w:val="both"/>
        <w:rPr>
          <w:rFonts w:eastAsia="Times New Roman" w:cstheme="majorHAnsi"/>
          <w:color w:val="FF0000"/>
          <w:sz w:val="22"/>
          <w:szCs w:val="22"/>
          <w:lang w:val="en-GB"/>
        </w:rPr>
      </w:pPr>
      <w:r w:rsidRPr="004E053C">
        <w:rPr>
          <w:rFonts w:eastAsia="Times New Roman" w:cstheme="majorHAnsi"/>
          <w:sz w:val="22"/>
          <w:szCs w:val="22"/>
          <w:lang w:val="en-GB"/>
        </w:rPr>
        <w:t>Noe</w:t>
      </w:r>
      <w:r w:rsidR="003E574E" w:rsidRPr="004E053C">
        <w:rPr>
          <w:rFonts w:eastAsia="Times New Roman" w:cstheme="majorHAnsi"/>
          <w:sz w:val="22"/>
          <w:szCs w:val="22"/>
          <w:lang w:val="en-GB"/>
        </w:rPr>
        <w:t>’s quote above</w:t>
      </w:r>
      <w:r w:rsidR="00A63452" w:rsidRPr="004E053C">
        <w:rPr>
          <w:rFonts w:eastAsia="Times New Roman" w:cstheme="majorHAnsi"/>
          <w:sz w:val="22"/>
          <w:szCs w:val="22"/>
          <w:lang w:val="en-GB"/>
        </w:rPr>
        <w:t xml:space="preserve"> shows the consequences of the G</w:t>
      </w:r>
      <w:r w:rsidR="003E574E" w:rsidRPr="004E053C">
        <w:rPr>
          <w:rFonts w:eastAsia="Times New Roman" w:cstheme="majorHAnsi"/>
          <w:sz w:val="22"/>
          <w:szCs w:val="22"/>
          <w:lang w:val="en-GB"/>
        </w:rPr>
        <w:t>overnment’s dissolution of the spatial boundaries between L</w:t>
      </w:r>
      <w:r w:rsidR="00D3327C" w:rsidRPr="004E053C">
        <w:rPr>
          <w:rFonts w:eastAsia="Times New Roman" w:cstheme="majorHAnsi"/>
          <w:sz w:val="22"/>
          <w:szCs w:val="22"/>
          <w:lang w:val="en-GB"/>
        </w:rPr>
        <w:t>a Pampa and Laberinto, which</w:t>
      </w:r>
      <w:r w:rsidR="003E574E" w:rsidRPr="004E053C">
        <w:rPr>
          <w:rFonts w:eastAsia="Times New Roman" w:cstheme="majorHAnsi"/>
          <w:sz w:val="22"/>
          <w:szCs w:val="22"/>
          <w:lang w:val="en-GB"/>
        </w:rPr>
        <w:t xml:space="preserve"> the miners </w:t>
      </w:r>
      <w:r w:rsidR="00D3327C" w:rsidRPr="004E053C">
        <w:rPr>
          <w:rFonts w:eastAsia="Times New Roman" w:cstheme="majorHAnsi"/>
          <w:sz w:val="22"/>
          <w:szCs w:val="22"/>
          <w:lang w:val="en-GB"/>
        </w:rPr>
        <w:t>consider to be one of</w:t>
      </w:r>
      <w:r w:rsidR="003E574E" w:rsidRPr="004E053C">
        <w:rPr>
          <w:rFonts w:eastAsia="Times New Roman" w:cstheme="majorHAnsi"/>
          <w:sz w:val="22"/>
          <w:szCs w:val="22"/>
          <w:lang w:val="en-GB"/>
        </w:rPr>
        <w:t xml:space="preserve"> the key distinguishing features between them. </w:t>
      </w:r>
      <w:r w:rsidR="00D90D49" w:rsidRPr="004E053C">
        <w:rPr>
          <w:rFonts w:eastAsia="Times New Roman" w:cstheme="majorHAnsi"/>
          <w:sz w:val="22"/>
          <w:szCs w:val="22"/>
          <w:lang w:val="en-GB"/>
        </w:rPr>
        <w:t>This</w:t>
      </w:r>
      <w:r w:rsidR="003E574E" w:rsidRPr="004E053C">
        <w:rPr>
          <w:rFonts w:eastAsia="Times New Roman" w:cstheme="majorHAnsi"/>
          <w:sz w:val="22"/>
          <w:szCs w:val="22"/>
          <w:lang w:val="en-GB"/>
        </w:rPr>
        <w:t xml:space="preserve"> also links back to the concept of translocality, as it highlights how it is not only that these two places are joined by the </w:t>
      </w:r>
      <w:r w:rsidR="00745635" w:rsidRPr="004E053C">
        <w:rPr>
          <w:rFonts w:eastAsia="Times New Roman" w:cstheme="majorHAnsi"/>
          <w:sz w:val="22"/>
          <w:szCs w:val="22"/>
          <w:lang w:val="en-GB"/>
        </w:rPr>
        <w:t>people, equipment and money</w:t>
      </w:r>
      <w:r w:rsidR="003E574E" w:rsidRPr="004E053C">
        <w:rPr>
          <w:rFonts w:eastAsia="Times New Roman" w:cstheme="majorHAnsi"/>
          <w:sz w:val="22"/>
          <w:szCs w:val="22"/>
          <w:lang w:val="en-GB"/>
        </w:rPr>
        <w:t xml:space="preserve"> that flow between them, but also that for many they are conceptualised as one system – albeit a system in which the origin communities of those migrant workers is still rarely considered.</w:t>
      </w:r>
    </w:p>
    <w:p w14:paraId="57341106" w14:textId="77777777" w:rsidR="003E574E" w:rsidRPr="004E053C" w:rsidRDefault="003E574E" w:rsidP="004E053C">
      <w:pPr>
        <w:spacing w:line="360" w:lineRule="auto"/>
        <w:jc w:val="both"/>
        <w:rPr>
          <w:rFonts w:eastAsia="Times New Roman" w:cstheme="majorHAnsi"/>
          <w:sz w:val="22"/>
          <w:szCs w:val="22"/>
          <w:lang w:val="en-GB"/>
        </w:rPr>
      </w:pPr>
    </w:p>
    <w:p w14:paraId="037E0A9F" w14:textId="02740DBE" w:rsidR="003E574E" w:rsidRPr="004E053C" w:rsidRDefault="00745635"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While the majority of </w:t>
      </w:r>
      <w:r w:rsidR="003E574E" w:rsidRPr="004E053C">
        <w:rPr>
          <w:rFonts w:eastAsia="Times New Roman" w:cstheme="majorHAnsi"/>
          <w:sz w:val="22"/>
          <w:szCs w:val="22"/>
          <w:lang w:val="en-GB"/>
        </w:rPr>
        <w:t>miners</w:t>
      </w:r>
      <w:r w:rsidRPr="004E053C">
        <w:rPr>
          <w:rFonts w:eastAsia="Times New Roman" w:cstheme="majorHAnsi"/>
          <w:sz w:val="22"/>
          <w:szCs w:val="22"/>
          <w:lang w:val="en-GB"/>
        </w:rPr>
        <w:t xml:space="preserve"> and other residents</w:t>
      </w:r>
      <w:r w:rsidR="003E574E" w:rsidRPr="004E053C">
        <w:rPr>
          <w:rFonts w:eastAsia="Times New Roman" w:cstheme="majorHAnsi"/>
          <w:sz w:val="22"/>
          <w:szCs w:val="22"/>
          <w:lang w:val="en-GB"/>
        </w:rPr>
        <w:t xml:space="preserve"> in Laberinto use spatial definition to distinguish themselves from </w:t>
      </w:r>
      <w:r w:rsidRPr="004E053C">
        <w:rPr>
          <w:rFonts w:eastAsia="Times New Roman" w:cstheme="majorHAnsi"/>
          <w:sz w:val="22"/>
          <w:szCs w:val="22"/>
          <w:lang w:val="en-GB"/>
        </w:rPr>
        <w:t>those in</w:t>
      </w:r>
      <w:r w:rsidR="003E574E" w:rsidRPr="004E053C">
        <w:rPr>
          <w:rFonts w:eastAsia="Times New Roman" w:cstheme="majorHAnsi"/>
          <w:sz w:val="22"/>
          <w:szCs w:val="22"/>
          <w:lang w:val="en-GB"/>
        </w:rPr>
        <w:t xml:space="preserve"> La Pampa, those working inside La Pampa have to rely on different narratives of illegal</w:t>
      </w:r>
      <w:r w:rsidRPr="004E053C">
        <w:rPr>
          <w:rFonts w:eastAsia="Times New Roman" w:cstheme="majorHAnsi"/>
          <w:sz w:val="22"/>
          <w:szCs w:val="22"/>
          <w:lang w:val="en-GB"/>
        </w:rPr>
        <w:t xml:space="preserve">ity in an attempt to defend </w:t>
      </w:r>
      <w:r w:rsidR="003E574E" w:rsidRPr="004E053C">
        <w:rPr>
          <w:rFonts w:eastAsia="Times New Roman" w:cstheme="majorHAnsi"/>
          <w:sz w:val="22"/>
          <w:szCs w:val="22"/>
          <w:lang w:val="en-GB"/>
        </w:rPr>
        <w:t xml:space="preserve">their own livelihood activities. For example, </w:t>
      </w:r>
      <w:r w:rsidR="00B21FFD" w:rsidRPr="004E053C">
        <w:rPr>
          <w:rFonts w:eastAsia="Times New Roman" w:cstheme="majorHAnsi"/>
          <w:sz w:val="22"/>
          <w:szCs w:val="22"/>
          <w:lang w:val="en-GB"/>
        </w:rPr>
        <w:t>Azucena</w:t>
      </w:r>
      <w:r w:rsidR="003E574E" w:rsidRPr="004E053C">
        <w:rPr>
          <w:rFonts w:eastAsia="Times New Roman" w:cstheme="majorHAnsi"/>
          <w:sz w:val="22"/>
          <w:szCs w:val="22"/>
          <w:lang w:val="en-GB"/>
        </w:rPr>
        <w:t xml:space="preserve"> uses a temporal definition of illegality because she distinguishes her small com</w:t>
      </w:r>
      <w:r w:rsidRPr="004E053C">
        <w:rPr>
          <w:rFonts w:eastAsia="Times New Roman" w:cstheme="majorHAnsi"/>
          <w:sz w:val="22"/>
          <w:szCs w:val="22"/>
          <w:lang w:val="en-GB"/>
        </w:rPr>
        <w:t>munity, who were mining in the area</w:t>
      </w:r>
      <w:r w:rsidR="003E574E" w:rsidRPr="004E053C">
        <w:rPr>
          <w:rFonts w:eastAsia="Times New Roman" w:cstheme="majorHAnsi"/>
          <w:sz w:val="22"/>
          <w:szCs w:val="22"/>
          <w:lang w:val="en-GB"/>
        </w:rPr>
        <w:t xml:space="preserve"> </w:t>
      </w:r>
      <w:r w:rsidRPr="004E053C">
        <w:rPr>
          <w:rFonts w:eastAsia="Times New Roman" w:cstheme="majorHAnsi"/>
          <w:sz w:val="22"/>
          <w:szCs w:val="22"/>
          <w:lang w:val="en-GB"/>
        </w:rPr>
        <w:t xml:space="preserve">for </w:t>
      </w:r>
      <w:r w:rsidR="003E574E" w:rsidRPr="004E053C">
        <w:rPr>
          <w:rFonts w:eastAsia="Times New Roman" w:cstheme="majorHAnsi"/>
          <w:sz w:val="22"/>
          <w:szCs w:val="22"/>
          <w:lang w:val="en-GB"/>
        </w:rPr>
        <w:t xml:space="preserve">decades before it was designated as a National Park Buffer Zone, with </w:t>
      </w:r>
      <w:r w:rsidRPr="004E053C">
        <w:rPr>
          <w:rFonts w:eastAsia="Times New Roman" w:cstheme="majorHAnsi"/>
          <w:sz w:val="22"/>
          <w:szCs w:val="22"/>
          <w:lang w:val="en-GB"/>
        </w:rPr>
        <w:t>those who arrived</w:t>
      </w:r>
      <w:r w:rsidR="00A63452" w:rsidRPr="004E053C">
        <w:rPr>
          <w:rFonts w:eastAsia="Times New Roman" w:cstheme="majorHAnsi"/>
          <w:sz w:val="22"/>
          <w:szCs w:val="22"/>
          <w:lang w:val="en-GB"/>
        </w:rPr>
        <w:t xml:space="preserve"> </w:t>
      </w:r>
      <w:r w:rsidRPr="004E053C">
        <w:rPr>
          <w:rFonts w:eastAsia="Times New Roman" w:cstheme="majorHAnsi"/>
          <w:sz w:val="22"/>
          <w:szCs w:val="22"/>
          <w:lang w:val="en-GB"/>
        </w:rPr>
        <w:t>after</w:t>
      </w:r>
      <w:r w:rsidR="003E574E" w:rsidRPr="004E053C">
        <w:rPr>
          <w:rFonts w:eastAsia="Times New Roman" w:cstheme="majorHAnsi"/>
          <w:sz w:val="22"/>
          <w:szCs w:val="22"/>
          <w:lang w:val="en-GB"/>
        </w:rPr>
        <w:t xml:space="preserve"> mining activity was prohibited. She ref</w:t>
      </w:r>
      <w:r w:rsidR="0040411C" w:rsidRPr="004E053C">
        <w:rPr>
          <w:rFonts w:eastAsia="Times New Roman" w:cstheme="majorHAnsi"/>
          <w:sz w:val="22"/>
          <w:szCs w:val="22"/>
          <w:lang w:val="en-GB"/>
        </w:rPr>
        <w:t>ers to these illegal miners as ‘invaders’</w:t>
      </w:r>
      <w:r w:rsidR="003E574E" w:rsidRPr="004E053C">
        <w:rPr>
          <w:rFonts w:eastAsia="Times New Roman" w:cstheme="majorHAnsi"/>
          <w:sz w:val="22"/>
          <w:szCs w:val="22"/>
          <w:lang w:val="en-GB"/>
        </w:rPr>
        <w:t xml:space="preserve">, </w:t>
      </w:r>
      <w:r w:rsidR="003E574E" w:rsidRPr="004E053C">
        <w:rPr>
          <w:rFonts w:eastAsia="Times New Roman" w:cstheme="majorHAnsi"/>
          <w:sz w:val="22"/>
          <w:szCs w:val="22"/>
          <w:lang w:val="en-GB"/>
        </w:rPr>
        <w:lastRenderedPageBreak/>
        <w:t xml:space="preserve">which again highlights not a spatial differentiation but a temporal one. Unfortunately for </w:t>
      </w:r>
      <w:r w:rsidR="00B21FFD" w:rsidRPr="004E053C">
        <w:rPr>
          <w:rFonts w:eastAsia="Times New Roman" w:cstheme="majorHAnsi"/>
          <w:sz w:val="22"/>
          <w:szCs w:val="22"/>
          <w:lang w:val="en-GB"/>
        </w:rPr>
        <w:t>Azucena</w:t>
      </w:r>
      <w:r w:rsidR="003E574E" w:rsidRPr="004E053C">
        <w:rPr>
          <w:rFonts w:eastAsia="Times New Roman" w:cstheme="majorHAnsi"/>
          <w:sz w:val="22"/>
          <w:szCs w:val="22"/>
          <w:lang w:val="en-GB"/>
        </w:rPr>
        <w:t>, even if she is able to reclaim her land and go back to mining there, she realises that it will be difficult to convince the government that she was not also illegal:</w:t>
      </w:r>
    </w:p>
    <w:p w14:paraId="156A1768" w14:textId="77777777" w:rsidR="003E574E" w:rsidRPr="004E053C" w:rsidRDefault="003E574E" w:rsidP="004E053C">
      <w:pPr>
        <w:spacing w:line="360" w:lineRule="auto"/>
        <w:jc w:val="both"/>
        <w:rPr>
          <w:rFonts w:eastAsia="Times New Roman" w:cstheme="majorHAnsi"/>
          <w:sz w:val="22"/>
          <w:szCs w:val="22"/>
          <w:lang w:val="en-GB"/>
        </w:rPr>
      </w:pPr>
    </w:p>
    <w:p w14:paraId="2210B99D" w14:textId="64AD21A7"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w:t>
      </w:r>
      <w:r w:rsidR="003E574E" w:rsidRPr="004E053C">
        <w:rPr>
          <w:rFonts w:eastAsia="Times New Roman" w:cstheme="majorHAnsi"/>
          <w:i/>
          <w:sz w:val="22"/>
          <w:szCs w:val="22"/>
          <w:lang w:val="en-GB"/>
        </w:rPr>
        <w:t>It is difficult, no? Even if the government get rid of illegal miners…If we go back to mine there, we are also illegal miners</w:t>
      </w:r>
      <w:r w:rsidRPr="004E053C">
        <w:rPr>
          <w:rFonts w:eastAsia="Times New Roman" w:cstheme="majorHAnsi"/>
          <w:i/>
          <w:sz w:val="22"/>
          <w:szCs w:val="22"/>
          <w:lang w:val="en-GB"/>
        </w:rPr>
        <w:t xml:space="preserve">’ </w:t>
      </w:r>
      <w:r w:rsidR="003E574E" w:rsidRPr="004E053C">
        <w:rPr>
          <w:rFonts w:eastAsia="Times New Roman" w:cstheme="majorHAnsi"/>
          <w:sz w:val="22"/>
          <w:szCs w:val="22"/>
          <w:lang w:val="en-GB"/>
        </w:rPr>
        <w:t>(</w:t>
      </w:r>
      <w:r w:rsidR="00B21FFD" w:rsidRPr="004E053C">
        <w:rPr>
          <w:rFonts w:eastAsia="Times New Roman" w:cstheme="majorHAnsi"/>
          <w:sz w:val="22"/>
          <w:szCs w:val="22"/>
          <w:lang w:val="en-GB"/>
        </w:rPr>
        <w:t>Azucena</w:t>
      </w:r>
      <w:r w:rsidR="003E574E" w:rsidRPr="004E053C">
        <w:rPr>
          <w:rFonts w:eastAsia="Times New Roman" w:cstheme="majorHAnsi"/>
          <w:sz w:val="22"/>
          <w:szCs w:val="22"/>
          <w:lang w:val="en-GB"/>
        </w:rPr>
        <w:t>, ASM miner, La Pampa).</w:t>
      </w:r>
    </w:p>
    <w:p w14:paraId="76AD84CA" w14:textId="77777777" w:rsidR="003E574E" w:rsidRPr="004E053C" w:rsidRDefault="003E574E" w:rsidP="004E053C">
      <w:pPr>
        <w:spacing w:line="360" w:lineRule="auto"/>
        <w:jc w:val="both"/>
        <w:rPr>
          <w:rFonts w:eastAsia="Times New Roman" w:cstheme="majorHAnsi"/>
          <w:sz w:val="22"/>
          <w:szCs w:val="22"/>
          <w:lang w:val="en-GB"/>
        </w:rPr>
      </w:pPr>
    </w:p>
    <w:p w14:paraId="79CC2188" w14:textId="3C848FD7" w:rsidR="003E574E" w:rsidRPr="004E053C" w:rsidRDefault="00B21FFD" w:rsidP="004E053C">
      <w:pPr>
        <w:spacing w:line="360" w:lineRule="auto"/>
        <w:jc w:val="both"/>
        <w:rPr>
          <w:rFonts w:cstheme="majorHAnsi"/>
          <w:sz w:val="22"/>
          <w:szCs w:val="22"/>
          <w:lang w:val="en-GB"/>
        </w:rPr>
      </w:pPr>
      <w:r w:rsidRPr="004E053C">
        <w:rPr>
          <w:rFonts w:cstheme="majorHAnsi"/>
          <w:sz w:val="22"/>
          <w:szCs w:val="22"/>
          <w:lang w:val="en-GB"/>
        </w:rPr>
        <w:t>Azucena</w:t>
      </w:r>
      <w:r w:rsidR="003E574E" w:rsidRPr="004E053C">
        <w:rPr>
          <w:rFonts w:cstheme="majorHAnsi"/>
          <w:sz w:val="22"/>
          <w:szCs w:val="22"/>
          <w:lang w:val="en-GB"/>
        </w:rPr>
        <w:t xml:space="preserve">’s comment points </w:t>
      </w:r>
      <w:r w:rsidR="0040411C" w:rsidRPr="004E053C">
        <w:rPr>
          <w:rFonts w:cstheme="majorHAnsi"/>
          <w:sz w:val="22"/>
          <w:szCs w:val="22"/>
          <w:lang w:val="en-GB"/>
        </w:rPr>
        <w:t xml:space="preserve">particularly </w:t>
      </w:r>
      <w:r w:rsidR="003E574E" w:rsidRPr="004E053C">
        <w:rPr>
          <w:rFonts w:cstheme="majorHAnsi"/>
          <w:sz w:val="22"/>
          <w:szCs w:val="22"/>
          <w:lang w:val="en-GB"/>
        </w:rPr>
        <w:t>to the miners’ self-awareness, and the</w:t>
      </w:r>
      <w:r w:rsidR="0040411C" w:rsidRPr="004E053C">
        <w:rPr>
          <w:rFonts w:cstheme="majorHAnsi"/>
          <w:sz w:val="22"/>
          <w:szCs w:val="22"/>
          <w:lang w:val="en-GB"/>
        </w:rPr>
        <w:t>ir understanding of the</w:t>
      </w:r>
      <w:r w:rsidR="003E574E" w:rsidRPr="004E053C">
        <w:rPr>
          <w:rFonts w:cstheme="majorHAnsi"/>
          <w:sz w:val="22"/>
          <w:szCs w:val="22"/>
          <w:lang w:val="en-GB"/>
        </w:rPr>
        <w:t xml:space="preserve"> need to negotiate their self-interest within broader </w:t>
      </w:r>
      <w:r w:rsidR="0027338B" w:rsidRPr="004E053C">
        <w:rPr>
          <w:rFonts w:cstheme="majorHAnsi"/>
          <w:sz w:val="22"/>
          <w:szCs w:val="22"/>
          <w:lang w:val="en-GB"/>
        </w:rPr>
        <w:t xml:space="preserve">ASM </w:t>
      </w:r>
      <w:r w:rsidR="003E574E" w:rsidRPr="004E053C">
        <w:rPr>
          <w:rFonts w:cstheme="majorHAnsi"/>
          <w:sz w:val="22"/>
          <w:szCs w:val="22"/>
          <w:lang w:val="en-GB"/>
        </w:rPr>
        <w:t xml:space="preserve">policy issues </w:t>
      </w:r>
      <w:r w:rsidR="00B7547B" w:rsidRPr="004E053C">
        <w:rPr>
          <w:rFonts w:cstheme="majorHAnsi"/>
          <w:sz w:val="22"/>
          <w:szCs w:val="22"/>
          <w:lang w:val="en-GB"/>
        </w:rPr>
        <w:t>that are imposed on th</w:t>
      </w:r>
      <w:r w:rsidR="0027338B" w:rsidRPr="004E053C">
        <w:rPr>
          <w:rFonts w:cstheme="majorHAnsi"/>
          <w:sz w:val="22"/>
          <w:szCs w:val="22"/>
          <w:lang w:val="en-GB"/>
        </w:rPr>
        <w:t>e social field by external force</w:t>
      </w:r>
      <w:r w:rsidR="00B7547B" w:rsidRPr="004E053C">
        <w:rPr>
          <w:rFonts w:cstheme="majorHAnsi"/>
          <w:sz w:val="22"/>
          <w:szCs w:val="22"/>
          <w:lang w:val="en-GB"/>
        </w:rPr>
        <w:t>s</w:t>
      </w:r>
      <w:r w:rsidR="003E574E" w:rsidRPr="004E053C">
        <w:rPr>
          <w:rFonts w:cstheme="majorHAnsi"/>
          <w:sz w:val="22"/>
          <w:szCs w:val="22"/>
          <w:lang w:val="en-GB"/>
        </w:rPr>
        <w:t xml:space="preserve">. </w:t>
      </w:r>
      <w:r w:rsidR="0027338B" w:rsidRPr="004E053C">
        <w:rPr>
          <w:rFonts w:cstheme="majorHAnsi"/>
          <w:sz w:val="22"/>
          <w:szCs w:val="22"/>
          <w:lang w:val="en-GB"/>
        </w:rPr>
        <w:t>Such behavio</w:t>
      </w:r>
      <w:r w:rsidR="00A63452" w:rsidRPr="004E053C">
        <w:rPr>
          <w:rFonts w:cstheme="majorHAnsi"/>
          <w:sz w:val="22"/>
          <w:szCs w:val="22"/>
          <w:lang w:val="en-GB"/>
        </w:rPr>
        <w:t>u</w:t>
      </w:r>
      <w:r w:rsidR="0027338B" w:rsidRPr="004E053C">
        <w:rPr>
          <w:rFonts w:cstheme="majorHAnsi"/>
          <w:sz w:val="22"/>
          <w:szCs w:val="22"/>
          <w:lang w:val="en-GB"/>
        </w:rPr>
        <w:t>r has been observed</w:t>
      </w:r>
      <w:r w:rsidR="003E574E" w:rsidRPr="004E053C">
        <w:rPr>
          <w:rFonts w:cstheme="majorHAnsi"/>
          <w:sz w:val="22"/>
          <w:szCs w:val="22"/>
          <w:lang w:val="en-GB"/>
        </w:rPr>
        <w:t xml:space="preserve"> in other sectors where livelihoods have been rendered illegal through changes in policy aimed at protecting natural resources </w:t>
      </w:r>
      <w:r w:rsidR="00B673A8"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{"citationItems":[{"id":"ITEM-1","itemData":{"author":[{"dropping-particle":"","family":"Agrawal","given":"Arun","non-dropping-particle":"","parse-names":false,"suffix":""}],"id":"ITEM-1","issued":{"date-parts":[["2005"]]},"publisher":"Duke University Press","title":"Environmentality: Technologies of Government and the Making of Subjects","type":"book"},"uris":["http://www.mendeley.com/documents/?uuid=98c7589e-f5e5-4577-8bea-ea8fc423ca0b"]}],"mendeley":{"formattedCitation":"(Agrawal, 2005)","plainTextFormattedCitation":"(Agrawal, 2005)","previouslyFormattedCitation":"(Agrawal, 2005)"},"properties":{"noteIndex":0},"schema":"https://github.com/citation-style-language/schema/raw/master/csl-citation.json"}</w:instrText>
      </w:r>
      <w:r w:rsidR="00B673A8" w:rsidRPr="004E053C">
        <w:rPr>
          <w:rFonts w:cstheme="majorHAnsi"/>
          <w:sz w:val="22"/>
          <w:szCs w:val="22"/>
          <w:lang w:val="en-GB"/>
        </w:rPr>
        <w:fldChar w:fldCharType="separate"/>
      </w:r>
      <w:r w:rsidR="00B673A8" w:rsidRPr="004E053C">
        <w:rPr>
          <w:rFonts w:cstheme="majorHAnsi"/>
          <w:noProof/>
          <w:sz w:val="22"/>
          <w:szCs w:val="22"/>
          <w:lang w:val="en-GB"/>
        </w:rPr>
        <w:t>(Agrawal, 2005)</w:t>
      </w:r>
      <w:r w:rsidR="00B673A8" w:rsidRPr="004E053C">
        <w:rPr>
          <w:rFonts w:cstheme="majorHAnsi"/>
          <w:sz w:val="22"/>
          <w:szCs w:val="22"/>
          <w:lang w:val="en-GB"/>
        </w:rPr>
        <w:fldChar w:fldCharType="end"/>
      </w:r>
      <w:r w:rsidR="003E574E" w:rsidRPr="004E053C">
        <w:rPr>
          <w:rFonts w:cstheme="majorHAnsi"/>
          <w:sz w:val="22"/>
          <w:szCs w:val="22"/>
          <w:lang w:val="en-GB"/>
        </w:rPr>
        <w:t>. It also serves as e</w:t>
      </w:r>
      <w:r w:rsidR="0027338B" w:rsidRPr="004E053C">
        <w:rPr>
          <w:rFonts w:cstheme="majorHAnsi"/>
          <w:sz w:val="22"/>
          <w:szCs w:val="22"/>
          <w:lang w:val="en-GB"/>
        </w:rPr>
        <w:t xml:space="preserve">vidence of ASM regulation </w:t>
      </w:r>
      <w:r w:rsidR="003E574E" w:rsidRPr="004E053C">
        <w:rPr>
          <w:rFonts w:cstheme="majorHAnsi"/>
          <w:sz w:val="22"/>
          <w:szCs w:val="22"/>
          <w:lang w:val="en-GB"/>
        </w:rPr>
        <w:t xml:space="preserve">forcing miners into illegality, which has been </w:t>
      </w:r>
      <w:r w:rsidR="0027338B" w:rsidRPr="004E053C">
        <w:rPr>
          <w:rFonts w:cstheme="majorHAnsi"/>
          <w:sz w:val="22"/>
          <w:szCs w:val="22"/>
          <w:lang w:val="en-GB"/>
        </w:rPr>
        <w:t>well documented</w:t>
      </w:r>
      <w:r w:rsidR="003E574E" w:rsidRPr="004E053C">
        <w:rPr>
          <w:rFonts w:cstheme="majorHAnsi"/>
          <w:sz w:val="22"/>
          <w:szCs w:val="22"/>
          <w:lang w:val="en-GB"/>
        </w:rPr>
        <w:t xml:space="preserve"> elsewhere </w:t>
      </w:r>
      <w:r w:rsidR="00B673A8"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{"citationItems":[{"id":"ITEM-1","itemData":{"abstract":"This paper argues that a formalized and supported artisanal and small-scale mining (ASM) sector could assist immeasurably with reducing the intensity of the youth unemployment crisis which now plagues sub-Saharan Africa. Over the past decade, hundreds of thousands of the region's youth have pursued work in the ASM economy in various capacities, decisions which have brought much-needed stability in a landscape devoid of formal sector job opportunities. Host governments and donors, however, have often condemned these moves, failing to fully appreciate why youth have pursued work in ASM in the first place and the impact it has had on their livelihoods. Whilst by no means the solution to the youth unemployment problem in sub-Saharan Africa, heightened emphasis on formalizing and supporting ASM could certainly buy policymakers and donors some valuable time - at least in the short term - to sufficiently 're-think' their ineffective approaches to tackling the crisis. © 2014 Elsevier Ltd.","author":[{"dropping-particle":"","family":"Hilson","given":"G","non-dropping-particle":"","parse-names":false,"suffix":""},{"dropping-particle":"","family":"Osei","given":"L","non-dropping-particle":"","parse-names":false,"suffix":""}],"container-title":"Futures","id":"ITEM-1","issue":"2014","issued":{"date-parts":[["2014"]]},"page":"83-94","publisher":"Elsevier Ltd","title":"Tackling youth unemployment in sub-Saharan Africa: Is there a role for artisanal and small-scale mining?","type":"article-journal","volume":"62"},"uris":["http://www.mendeley.com/documents/?uuid=6a2ab234-bc06-4c78-aa0f-b114aff5cf85"]},{"id":"ITEM-2","itemData":{"abstract":"This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-2","issue":"6","issued":{"date-parts":[["2007"]]},"page":"1304-1321","title":"Contaminated identities: mercury and marginalization in Ghana's artisanal mining sector","type":"article-journal","volume":"38"},"uris":["http://www.mendeley.com/documents/?uuid=bb6c3eb8-5f3a-408f-89eb-506be52b9a46"]},{"id":"ITEM-3","itemData":{"abstract":"Among policy-makers and governments, there is a broad consensus that artisanal and small-scale mining (ASM) needs to be 'formalized' - embodied in a standardized legal framework that is registered in and governed by a central state system-, the basic condition being that artisanal miners are given formal property rights. This article aims to contribute to this discussion, drawing on a case study from the Eastern Democratic Republic of Congo (DRC), where it is estimated that up to 90 percent of mineral production and export is 'informal'. After having pointed out some of the theoretical assumptions behind the formalization canon, we study the challenges of formalizing the mining sector in the DRC. Next, we provide an in-depth analysis of one concrete policy measure of the Congolese government, the temporary ban on all artisanal activities. We argue that the mining ban was not only a radical example of a top-down formalization policy, but also an illustration of a bureaucratic and technical measure that compounds but does not address different problems associated with ASM: conflict, informality, poverty, illegality, state control. Looking at the empirical evidence from the DRC, we argue that these kinds of technical solutions can never address the broader socio-economic and political issues at stake. © 2012 Elsevier Ltd.","author":[{"dropping-particle":"","family":"Geenen","given":"Sara","non-dropping-particle":"","parse-names":false,"suffix":""}],"container-title":"Resources Policy","id":"ITEM-3","issue":"3","issued":{"date-parts":[["2012"]]},"page":"322-330","publisher":"Elsevier","title":"A dangerous bet: the challenges of formalizing artisanal mining in the Democratic Republic of Congo","type":"article-journal","volume":"37"},"uris":["http://www.mendeley.com/documents/?uuid=990e6cea-1184-450e-8800-32c367a9e244"]}],"mendeley":{"formattedCitation":"(Geenen, 2012; G Hilson &amp; Osei, 2014; Tschakert &amp; Singha, 2007)","manualFormatting":"(Geenen, 2012; Hilson &amp; Osei, 2014; Tschakert &amp; Singha, 2007)","plainTextFormattedCitation":"(Geenen, 2012; G Hilson &amp; Osei, 2014; Tschakert &amp; Singha, 2007)","previouslyFormattedCitation":"(Geenen, 2012; G Hilson &amp; Osei, 2014; Tschakert &amp; Singha, 2007)"},"properties":{"noteIndex":0},"schema":"https://github.com/citation-style-language/schema/raw/master/csl-citation.json"}</w:instrText>
      </w:r>
      <w:r w:rsidR="00B673A8" w:rsidRPr="004E053C">
        <w:rPr>
          <w:rFonts w:cstheme="majorHAnsi"/>
          <w:sz w:val="22"/>
          <w:szCs w:val="22"/>
          <w:lang w:val="en-GB"/>
        </w:rPr>
        <w:fldChar w:fldCharType="separate"/>
      </w:r>
      <w:r w:rsidR="009628C7" w:rsidRPr="004E053C">
        <w:rPr>
          <w:rFonts w:cstheme="majorHAnsi"/>
          <w:noProof/>
          <w:sz w:val="22"/>
          <w:szCs w:val="22"/>
          <w:lang w:val="en-GB"/>
        </w:rPr>
        <w:t xml:space="preserve">(Geenen, 2012; </w:t>
      </w:r>
      <w:r w:rsidR="00B673A8" w:rsidRPr="004E053C">
        <w:rPr>
          <w:rFonts w:cstheme="majorHAnsi"/>
          <w:noProof/>
          <w:sz w:val="22"/>
          <w:szCs w:val="22"/>
          <w:lang w:val="en-GB"/>
        </w:rPr>
        <w:t>Hilson &amp; Osei, 2014; Tschakert &amp; Singha, 2007)</w:t>
      </w:r>
      <w:r w:rsidR="00B673A8" w:rsidRPr="004E053C">
        <w:rPr>
          <w:rFonts w:cstheme="majorHAnsi"/>
          <w:sz w:val="22"/>
          <w:szCs w:val="22"/>
          <w:lang w:val="en-GB"/>
        </w:rPr>
        <w:fldChar w:fldCharType="end"/>
      </w:r>
      <w:r w:rsidR="0027338B" w:rsidRPr="004E053C">
        <w:rPr>
          <w:rFonts w:cstheme="majorHAnsi"/>
          <w:sz w:val="22"/>
          <w:szCs w:val="22"/>
          <w:lang w:val="en-GB"/>
        </w:rPr>
        <w:t xml:space="preserve">. </w:t>
      </w:r>
      <w:r w:rsidR="00A63452" w:rsidRPr="004E053C">
        <w:rPr>
          <w:rFonts w:cstheme="majorHAnsi"/>
          <w:sz w:val="22"/>
          <w:szCs w:val="22"/>
          <w:lang w:val="en-GB"/>
        </w:rPr>
        <w:t>Local populations often oppose the introduction of new policies and regulations that threaten existing livelihoods</w:t>
      </w:r>
      <w:r w:rsidR="003E574E" w:rsidRPr="004E053C">
        <w:rPr>
          <w:rFonts w:cstheme="majorHAnsi"/>
          <w:sz w:val="22"/>
          <w:szCs w:val="22"/>
          <w:lang w:val="en-GB"/>
        </w:rPr>
        <w:t xml:space="preserve">, and </w:t>
      </w:r>
      <w:r w:rsidR="0027338B" w:rsidRPr="004E053C">
        <w:rPr>
          <w:rFonts w:cstheme="majorHAnsi"/>
          <w:sz w:val="22"/>
          <w:szCs w:val="22"/>
          <w:lang w:val="en-GB"/>
        </w:rPr>
        <w:t>it is unsurprising that</w:t>
      </w:r>
      <w:r w:rsidR="003E574E" w:rsidRPr="004E053C">
        <w:rPr>
          <w:rFonts w:cstheme="majorHAnsi"/>
          <w:sz w:val="22"/>
          <w:szCs w:val="22"/>
          <w:lang w:val="en-GB"/>
        </w:rPr>
        <w:t xml:space="preserve"> the same patterns of behaviour are witnessed amongst the miners in Madre de Dios. The following sections will go on to explore this in more detail. </w:t>
      </w:r>
    </w:p>
    <w:p w14:paraId="272F4AD4" w14:textId="77777777" w:rsidR="003E574E" w:rsidRPr="004E053C" w:rsidRDefault="003E574E" w:rsidP="004E053C">
      <w:pPr>
        <w:spacing w:line="360" w:lineRule="auto"/>
        <w:jc w:val="both"/>
        <w:rPr>
          <w:rFonts w:cstheme="majorHAnsi"/>
          <w:sz w:val="22"/>
          <w:szCs w:val="22"/>
          <w:lang w:val="en-GB"/>
        </w:rPr>
      </w:pPr>
    </w:p>
    <w:p w14:paraId="5C567A8F" w14:textId="0F7D32F1" w:rsidR="003E574E" w:rsidRPr="004E053C" w:rsidRDefault="00EA7F83" w:rsidP="004E053C">
      <w:pPr>
        <w:pStyle w:val="Heading2"/>
        <w:spacing w:before="0" w:line="360" w:lineRule="auto"/>
        <w:jc w:val="both"/>
        <w:rPr>
          <w:rFonts w:cstheme="majorHAnsi"/>
          <w:lang w:val="en-GB"/>
        </w:rPr>
      </w:pPr>
      <w:bookmarkStart w:id="105" w:name="_Toc33293131"/>
      <w:r w:rsidRPr="004E053C">
        <w:rPr>
          <w:rFonts w:cstheme="majorHAnsi"/>
          <w:lang w:val="en-GB"/>
        </w:rPr>
        <w:t>9</w:t>
      </w:r>
      <w:r w:rsidR="005252FE" w:rsidRPr="004E053C">
        <w:rPr>
          <w:rFonts w:cstheme="majorHAnsi"/>
          <w:lang w:val="en-GB"/>
        </w:rPr>
        <w:t>.</w:t>
      </w:r>
      <w:r w:rsidR="004A3EF1" w:rsidRPr="004E053C">
        <w:rPr>
          <w:rFonts w:cstheme="majorHAnsi"/>
          <w:lang w:val="en-GB"/>
        </w:rPr>
        <w:t>4. Place and collective i</w:t>
      </w:r>
      <w:r w:rsidR="003E574E" w:rsidRPr="004E053C">
        <w:rPr>
          <w:rFonts w:cstheme="majorHAnsi"/>
          <w:lang w:val="en-GB"/>
        </w:rPr>
        <w:t>dentity</w:t>
      </w:r>
      <w:bookmarkEnd w:id="105"/>
      <w:r w:rsidR="003E574E" w:rsidRPr="004E053C">
        <w:rPr>
          <w:rFonts w:cstheme="majorHAnsi"/>
          <w:lang w:val="en-GB"/>
        </w:rPr>
        <w:t xml:space="preserve"> </w:t>
      </w:r>
    </w:p>
    <w:p w14:paraId="6BED1ACF" w14:textId="77777777" w:rsidR="0036261D" w:rsidRPr="004E053C" w:rsidRDefault="0036261D" w:rsidP="004E053C">
      <w:pPr>
        <w:spacing w:line="360" w:lineRule="auto"/>
        <w:jc w:val="both"/>
        <w:rPr>
          <w:rFonts w:eastAsia="Times New Roman" w:cstheme="majorHAnsi"/>
          <w:sz w:val="22"/>
          <w:szCs w:val="22"/>
          <w:lang w:val="en-GB"/>
        </w:rPr>
      </w:pPr>
    </w:p>
    <w:p w14:paraId="6E2BA901" w14:textId="6FAC39D3" w:rsidR="003E574E" w:rsidRPr="004E053C" w:rsidRDefault="003E574E" w:rsidP="004E053C">
      <w:pPr>
        <w:spacing w:line="360" w:lineRule="auto"/>
        <w:jc w:val="both"/>
        <w:rPr>
          <w:rFonts w:eastAsia="Times New Roman" w:cstheme="majorHAnsi"/>
          <w:color w:val="FF0000"/>
          <w:sz w:val="22"/>
          <w:szCs w:val="22"/>
          <w:lang w:val="en-GB"/>
        </w:rPr>
      </w:pPr>
      <w:r w:rsidRPr="004E053C">
        <w:rPr>
          <w:rFonts w:eastAsia="Times New Roman" w:cstheme="majorHAnsi"/>
          <w:sz w:val="22"/>
          <w:szCs w:val="22"/>
          <w:lang w:val="en-GB"/>
        </w:rPr>
        <w:t>The previous section has started to sketch out how place is important in debates and narratives about criminality in Madre de</w:t>
      </w:r>
      <w:r w:rsidR="00A63452" w:rsidRPr="004E053C">
        <w:rPr>
          <w:rFonts w:eastAsia="Times New Roman" w:cstheme="majorHAnsi"/>
          <w:sz w:val="22"/>
          <w:szCs w:val="22"/>
          <w:lang w:val="en-GB"/>
        </w:rPr>
        <w:t xml:space="preserve"> Dios</w:t>
      </w:r>
      <w:r w:rsidRPr="004E053C">
        <w:rPr>
          <w:rFonts w:eastAsia="Times New Roman" w:cstheme="majorHAnsi"/>
          <w:sz w:val="22"/>
          <w:szCs w:val="22"/>
          <w:lang w:val="en-GB"/>
        </w:rPr>
        <w:t xml:space="preserve"> and can be used to make spatial distinctions with other</w:t>
      </w:r>
      <w:r w:rsidR="00565C53" w:rsidRPr="004E053C">
        <w:rPr>
          <w:rFonts w:eastAsia="Times New Roman" w:cstheme="majorHAnsi"/>
          <w:sz w:val="22"/>
          <w:szCs w:val="22"/>
          <w:lang w:val="en-GB"/>
        </w:rPr>
        <w:t xml:space="preserve"> groups. As noted in the </w:t>
      </w:r>
      <w:r w:rsidRPr="004E053C">
        <w:rPr>
          <w:rFonts w:eastAsia="Times New Roman" w:cstheme="majorHAnsi"/>
          <w:sz w:val="22"/>
          <w:szCs w:val="22"/>
          <w:lang w:val="en-GB"/>
        </w:rPr>
        <w:t>chapter</w:t>
      </w:r>
      <w:r w:rsidR="00565C53" w:rsidRPr="004E053C">
        <w:rPr>
          <w:rFonts w:eastAsia="Times New Roman" w:cstheme="majorHAnsi"/>
          <w:sz w:val="22"/>
          <w:szCs w:val="22"/>
          <w:lang w:val="en-GB"/>
        </w:rPr>
        <w:t xml:space="preserve"> 4</w:t>
      </w:r>
      <w:r w:rsidRPr="004E053C">
        <w:rPr>
          <w:rFonts w:eastAsia="Times New Roman" w:cstheme="majorHAnsi"/>
          <w:sz w:val="22"/>
          <w:szCs w:val="22"/>
          <w:lang w:val="en-GB"/>
        </w:rPr>
        <w:t>, a strong, collective place-identity at the community level can also be linked to collective forms of active resistance against labels of deviance and cr</w:t>
      </w:r>
      <w:r w:rsidR="0026192C" w:rsidRPr="004E053C">
        <w:rPr>
          <w:rFonts w:eastAsia="Times New Roman" w:cstheme="majorHAnsi"/>
          <w:sz w:val="22"/>
          <w:szCs w:val="22"/>
          <w:lang w:val="en-GB"/>
        </w:rPr>
        <w:t>iminality aimed at the members of the social field</w:t>
      </w:r>
      <w:r w:rsidRPr="004E053C">
        <w:rPr>
          <w:rFonts w:eastAsia="Times New Roman" w:cstheme="majorHAnsi"/>
          <w:sz w:val="22"/>
          <w:szCs w:val="22"/>
          <w:lang w:val="en-GB"/>
        </w:rPr>
        <w:t xml:space="preserve"> by the dominant society </w:t>
      </w:r>
      <w:r w:rsidR="00B673A8"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2011)","manualFormatting":"(Cross &amp; Hernández, 2011)","plainTextFormattedCitation":"(J. C. Cross &amp; Hernández, 2011)","previouslyFormattedCitation":"(J. C. Cross &amp; Hernández, 2011)"},"properties":{"noteIndex":0},"schema":"https://github.com/citation-style-language/schema/raw/master/csl-citation.json"}</w:instrText>
      </w:r>
      <w:r w:rsidR="00B673A8" w:rsidRPr="004E053C">
        <w:rPr>
          <w:rFonts w:eastAsia="Times New Roman" w:cstheme="majorHAnsi"/>
          <w:sz w:val="22"/>
          <w:szCs w:val="22"/>
          <w:lang w:val="en-GB"/>
        </w:rPr>
        <w:fldChar w:fldCharType="separate"/>
      </w:r>
      <w:r w:rsidR="00A63452" w:rsidRPr="004E053C">
        <w:rPr>
          <w:rFonts w:eastAsia="Times New Roman" w:cstheme="majorHAnsi"/>
          <w:noProof/>
          <w:sz w:val="22"/>
          <w:szCs w:val="22"/>
          <w:lang w:val="en-GB"/>
        </w:rPr>
        <w:t>(</w:t>
      </w:r>
      <w:r w:rsidR="00B06217" w:rsidRPr="004E053C">
        <w:rPr>
          <w:rFonts w:eastAsia="Times New Roman" w:cstheme="majorHAnsi"/>
          <w:noProof/>
          <w:sz w:val="22"/>
          <w:szCs w:val="22"/>
          <w:lang w:val="en-GB"/>
        </w:rPr>
        <w:t>Cross &amp; Hernández, 2011)</w:t>
      </w:r>
      <w:r w:rsidR="00B673A8"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The specific location of a place has shown to be a crucial aspect of place attachment and collective identity, </w:t>
      </w:r>
      <w:r w:rsidR="00A63452" w:rsidRPr="004E053C">
        <w:rPr>
          <w:rFonts w:eastAsia="Times New Roman" w:cstheme="majorHAnsi"/>
          <w:sz w:val="22"/>
          <w:szCs w:val="22"/>
          <w:lang w:val="en-GB"/>
        </w:rPr>
        <w:t xml:space="preserve">particularly if that </w:t>
      </w:r>
      <w:r w:rsidRPr="004E053C">
        <w:rPr>
          <w:rFonts w:eastAsia="Times New Roman" w:cstheme="majorHAnsi"/>
          <w:sz w:val="22"/>
          <w:szCs w:val="22"/>
          <w:lang w:val="en-GB"/>
        </w:rPr>
        <w:t xml:space="preserve">place also suffers from </w:t>
      </w:r>
      <w:r w:rsidR="0026192C" w:rsidRPr="004E053C">
        <w:rPr>
          <w:rFonts w:eastAsia="Times New Roman" w:cstheme="majorHAnsi"/>
          <w:sz w:val="22"/>
          <w:szCs w:val="22"/>
          <w:lang w:val="en-GB"/>
        </w:rPr>
        <w:t>relative poverty and marginalisation</w:t>
      </w:r>
      <w:r w:rsidRPr="004E053C">
        <w:rPr>
          <w:rFonts w:eastAsia="Times New Roman" w:cstheme="majorHAnsi"/>
          <w:sz w:val="22"/>
          <w:szCs w:val="22"/>
          <w:lang w:val="en-GB"/>
        </w:rPr>
        <w:t xml:space="preserve"> </w:t>
      </w:r>
      <w:r w:rsidR="00B673A8"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Sociology","id":"ITEM-1","issued":{"date-parts":[["2000"]]},"page":"463-496","title":"A space for place in sociology","type":"article-journal","volume":"26"},"uris":["http://www.mendeley.com/documents/?uuid=40055a61-4bab-46a9-a28c-e073dfac7680"]},{"id":"ITEM-2","itemData":{"abstract":"Cities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Behavior","id":"ITEM-2","issue":"6","issued":{"date-parts":[["2011"]]},"page":"503-537","title":"Place,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 Gieryn, 2000)","manualFormatting":"(Cross &amp; Hernández, 2011; Gieryn, 2000)","plainTextFormattedCitation":"(J. C. Cross &amp; Hernández, 2011; Gieryn, 2000)","previouslyFormattedCitation":"(J. C. Cross &amp; Hernández, 2011; Gieryn, 2000)"},"properties":{"noteIndex":0},"schema":"https://github.com/citation-style-language/schema/raw/master/csl-citation.json"}</w:instrText>
      </w:r>
      <w:r w:rsidR="00B673A8" w:rsidRPr="004E053C">
        <w:rPr>
          <w:rFonts w:eastAsia="Times New Roman" w:cstheme="majorHAnsi"/>
          <w:sz w:val="22"/>
          <w:szCs w:val="22"/>
          <w:lang w:val="en-GB"/>
        </w:rPr>
        <w:fldChar w:fldCharType="separate"/>
      </w:r>
      <w:r w:rsidR="00A63452" w:rsidRPr="004E053C">
        <w:rPr>
          <w:rFonts w:eastAsia="Times New Roman" w:cstheme="majorHAnsi"/>
          <w:noProof/>
          <w:sz w:val="22"/>
          <w:szCs w:val="22"/>
          <w:lang w:val="en-GB"/>
        </w:rPr>
        <w:t>(</w:t>
      </w:r>
      <w:r w:rsidR="00B06217" w:rsidRPr="004E053C">
        <w:rPr>
          <w:rFonts w:eastAsia="Times New Roman" w:cstheme="majorHAnsi"/>
          <w:noProof/>
          <w:sz w:val="22"/>
          <w:szCs w:val="22"/>
          <w:lang w:val="en-GB"/>
        </w:rPr>
        <w:t>Cross &amp; Hernández, 2011; Gieryn, 2000)</w:t>
      </w:r>
      <w:r w:rsidR="00B673A8" w:rsidRPr="004E053C">
        <w:rPr>
          <w:rFonts w:eastAsia="Times New Roman" w:cstheme="majorHAnsi"/>
          <w:sz w:val="22"/>
          <w:szCs w:val="22"/>
          <w:lang w:val="en-GB"/>
        </w:rPr>
        <w:fldChar w:fldCharType="end"/>
      </w:r>
      <w:r w:rsidR="00B673A8" w:rsidRPr="004E053C">
        <w:rPr>
          <w:rFonts w:eastAsia="Times New Roman" w:cstheme="majorHAnsi"/>
          <w:sz w:val="22"/>
          <w:szCs w:val="22"/>
          <w:lang w:val="en-GB"/>
        </w:rPr>
        <w:t xml:space="preserve">. </w:t>
      </w:r>
      <w:r w:rsidR="0026192C" w:rsidRPr="004E053C">
        <w:rPr>
          <w:rFonts w:eastAsia="Times New Roman" w:cstheme="majorHAnsi"/>
          <w:sz w:val="22"/>
          <w:szCs w:val="22"/>
          <w:lang w:val="en-GB"/>
        </w:rPr>
        <w:t xml:space="preserve">However, </w:t>
      </w:r>
      <w:r w:rsidRPr="004E053C">
        <w:rPr>
          <w:rFonts w:eastAsia="Times New Roman" w:cstheme="majorHAnsi"/>
          <w:sz w:val="22"/>
          <w:szCs w:val="22"/>
          <w:lang w:val="en-GB"/>
        </w:rPr>
        <w:t xml:space="preserve">the threat to lives and livelihoods and the presence of a driving </w:t>
      </w:r>
      <w:r w:rsidR="0026192C" w:rsidRPr="004E053C">
        <w:rPr>
          <w:rFonts w:eastAsia="Times New Roman" w:cstheme="majorHAnsi"/>
          <w:sz w:val="22"/>
          <w:szCs w:val="22"/>
          <w:lang w:val="en-GB"/>
        </w:rPr>
        <w:t xml:space="preserve">organisation </w:t>
      </w:r>
      <w:r w:rsidR="005527DD" w:rsidRPr="004E053C">
        <w:rPr>
          <w:rFonts w:eastAsia="Times New Roman" w:cstheme="majorHAnsi"/>
          <w:sz w:val="22"/>
          <w:szCs w:val="22"/>
          <w:lang w:val="en-GB"/>
        </w:rPr>
        <w:t>have also contributed</w:t>
      </w:r>
      <w:r w:rsidRPr="004E053C">
        <w:rPr>
          <w:rFonts w:eastAsia="Times New Roman" w:cstheme="majorHAnsi"/>
          <w:sz w:val="22"/>
          <w:szCs w:val="22"/>
          <w:lang w:val="en-GB"/>
        </w:rPr>
        <w:t xml:space="preserve"> to the collective identity seen in Laberinto, which goes far beyond simply a mining identity. This section will discuss ho</w:t>
      </w:r>
      <w:r w:rsidR="00A63452" w:rsidRPr="004E053C">
        <w:rPr>
          <w:rFonts w:eastAsia="Times New Roman" w:cstheme="majorHAnsi"/>
          <w:sz w:val="22"/>
          <w:szCs w:val="22"/>
          <w:lang w:val="en-GB"/>
        </w:rPr>
        <w:t>w such an identity is developed</w:t>
      </w:r>
      <w:r w:rsidRPr="004E053C">
        <w:rPr>
          <w:rFonts w:eastAsia="Times New Roman" w:cstheme="majorHAnsi"/>
          <w:sz w:val="22"/>
          <w:szCs w:val="22"/>
          <w:lang w:val="en-GB"/>
        </w:rPr>
        <w:t xml:space="preserve"> and highlight how these processes are undermined to some extent by the translocality of the community. </w:t>
      </w:r>
      <w:r w:rsidR="0090643D" w:rsidRPr="004E053C">
        <w:rPr>
          <w:rFonts w:eastAsia="Times New Roman" w:cstheme="majorHAnsi"/>
          <w:sz w:val="22"/>
          <w:szCs w:val="22"/>
          <w:lang w:val="en-GB"/>
        </w:rPr>
        <w:t>What is im</w:t>
      </w:r>
      <w:r w:rsidR="00B673A8" w:rsidRPr="004E053C">
        <w:rPr>
          <w:rFonts w:eastAsia="Times New Roman" w:cstheme="majorHAnsi"/>
          <w:sz w:val="22"/>
          <w:szCs w:val="22"/>
          <w:lang w:val="en-GB"/>
        </w:rPr>
        <w:t>portant to note at the outset</w:t>
      </w:r>
      <w:r w:rsidR="0090643D" w:rsidRPr="004E053C">
        <w:rPr>
          <w:rFonts w:eastAsia="Times New Roman" w:cstheme="majorHAnsi"/>
          <w:sz w:val="22"/>
          <w:szCs w:val="22"/>
          <w:lang w:val="en-GB"/>
        </w:rPr>
        <w:t xml:space="preserve"> that there were no observable difference</w:t>
      </w:r>
      <w:r w:rsidR="00F6233C" w:rsidRPr="004E053C">
        <w:rPr>
          <w:rFonts w:eastAsia="Times New Roman" w:cstheme="majorHAnsi"/>
          <w:sz w:val="22"/>
          <w:szCs w:val="22"/>
          <w:lang w:val="en-GB"/>
        </w:rPr>
        <w:t>s</w:t>
      </w:r>
      <w:r w:rsidR="0090643D" w:rsidRPr="004E053C">
        <w:rPr>
          <w:rFonts w:eastAsia="Times New Roman" w:cstheme="majorHAnsi"/>
          <w:sz w:val="22"/>
          <w:szCs w:val="22"/>
          <w:lang w:val="en-GB"/>
        </w:rPr>
        <w:t xml:space="preserve"> between the men and women who had settled in the area permanently</w:t>
      </w:r>
      <w:r w:rsidR="00B673A8" w:rsidRPr="004E053C">
        <w:rPr>
          <w:rFonts w:eastAsia="Times New Roman" w:cstheme="majorHAnsi"/>
          <w:sz w:val="22"/>
          <w:szCs w:val="22"/>
          <w:lang w:val="en-GB"/>
        </w:rPr>
        <w:t xml:space="preserve"> in terms of their </w:t>
      </w:r>
      <w:r w:rsidR="003620F5" w:rsidRPr="004E053C">
        <w:rPr>
          <w:rFonts w:eastAsia="Times New Roman" w:cstheme="majorHAnsi"/>
          <w:sz w:val="22"/>
          <w:szCs w:val="22"/>
          <w:lang w:val="en-GB"/>
        </w:rPr>
        <w:t>apparent attachment to the mining area</w:t>
      </w:r>
      <w:r w:rsidR="0090643D" w:rsidRPr="004E053C">
        <w:rPr>
          <w:rFonts w:eastAsia="Times New Roman" w:cstheme="majorHAnsi"/>
          <w:sz w:val="22"/>
          <w:szCs w:val="22"/>
          <w:lang w:val="en-GB"/>
        </w:rPr>
        <w:t xml:space="preserve">. Although this was not a key focus </w:t>
      </w:r>
      <w:r w:rsidR="00BD36B3" w:rsidRPr="004E053C">
        <w:rPr>
          <w:rFonts w:eastAsia="Times New Roman" w:cstheme="majorHAnsi"/>
          <w:sz w:val="22"/>
          <w:szCs w:val="22"/>
          <w:lang w:val="en-GB"/>
        </w:rPr>
        <w:t>of the research</w:t>
      </w:r>
      <w:r w:rsidR="0090643D" w:rsidRPr="004E053C">
        <w:rPr>
          <w:rFonts w:eastAsia="Times New Roman" w:cstheme="majorHAnsi"/>
          <w:sz w:val="22"/>
          <w:szCs w:val="22"/>
          <w:lang w:val="en-GB"/>
        </w:rPr>
        <w:t xml:space="preserve"> </w:t>
      </w:r>
      <w:r w:rsidR="003620F5" w:rsidRPr="004E053C">
        <w:rPr>
          <w:rFonts w:eastAsia="Times New Roman" w:cstheme="majorHAnsi"/>
          <w:sz w:val="22"/>
          <w:szCs w:val="22"/>
          <w:lang w:val="en-GB"/>
        </w:rPr>
        <w:t xml:space="preserve">and thus was not investigated deeply, </w:t>
      </w:r>
      <w:r w:rsidR="0090643D" w:rsidRPr="004E053C">
        <w:rPr>
          <w:rFonts w:eastAsia="Times New Roman" w:cstheme="majorHAnsi"/>
          <w:sz w:val="22"/>
          <w:szCs w:val="22"/>
          <w:lang w:val="en-GB"/>
        </w:rPr>
        <w:t xml:space="preserve">it is interesting </w:t>
      </w:r>
      <w:r w:rsidR="003620F5" w:rsidRPr="004E053C">
        <w:rPr>
          <w:rFonts w:eastAsia="Times New Roman" w:cstheme="majorHAnsi"/>
          <w:sz w:val="22"/>
          <w:szCs w:val="22"/>
          <w:lang w:val="en-GB"/>
        </w:rPr>
        <w:t xml:space="preserve">to note </w:t>
      </w:r>
      <w:r w:rsidR="0090643D" w:rsidRPr="004E053C">
        <w:rPr>
          <w:rFonts w:eastAsia="Times New Roman" w:cstheme="majorHAnsi"/>
          <w:sz w:val="22"/>
          <w:szCs w:val="22"/>
          <w:lang w:val="en-GB"/>
        </w:rPr>
        <w:t xml:space="preserve">because it has previously been claimed that women are often more eager to </w:t>
      </w:r>
      <w:r w:rsidR="0090643D" w:rsidRPr="004E053C">
        <w:rPr>
          <w:rFonts w:cstheme="majorHAnsi"/>
          <w:sz w:val="22"/>
          <w:szCs w:val="22"/>
          <w:lang w:val="en-GB"/>
        </w:rPr>
        <w:t xml:space="preserve">leave mining settlements for engagement in alternative livelihood activities </w:t>
      </w:r>
      <w:r w:rsidR="003620F5" w:rsidRPr="004E053C">
        <w:rPr>
          <w:rFonts w:cstheme="majorHAnsi"/>
          <w:sz w:val="22"/>
          <w:szCs w:val="22"/>
          <w:lang w:val="en-GB"/>
        </w:rPr>
        <w:fldChar w:fldCharType="begin" w:fldLock="1"/>
      </w:r>
      <w:r w:rsidR="003620F5" w:rsidRPr="004E053C">
        <w:rPr>
          <w:rFonts w:cstheme="majorHAnsi"/>
          <w:sz w:val="22"/>
          <w:szCs w:val="22"/>
          <w:lang w:val="en-GB"/>
        </w:rPr>
        <w:instrText>ADDIN CSL_CITATION {"citationItems":[{"id":"ITEM-1","itemData":{"author":[{"dropping-particle":"","family":"Seeling","given":"Andrea","non-dropping-particle":"","parse-names":false,"suffix":""}],"id":"ITEM-1","issued":{"date-parts":[["2002"]]},"number-of-pages":"33","publisher-place":"Birmingham","title":"Field Research into the socio-economic and social impact of artisanal and small-scale mining in Peru","type":"report"},"uris":["http://www.mendeley.com/documents/?uuid=f9f3549a-9bcd-37b8-93f3-416c5f58ec76"]}],"mendeley":{"formattedCitation":"(Seeling, 2002)","plainTextFormattedCitation":"(Seeling, 2002)","previouslyFormattedCitation":"(Seeling, 2002)"},"properties":{"noteIndex":0},"schema":"https://github.com/citation-style-language/schema/raw/master/csl-citation.json"}</w:instrText>
      </w:r>
      <w:r w:rsidR="003620F5" w:rsidRPr="004E053C">
        <w:rPr>
          <w:rFonts w:cstheme="majorHAnsi"/>
          <w:sz w:val="22"/>
          <w:szCs w:val="22"/>
          <w:lang w:val="en-GB"/>
        </w:rPr>
        <w:fldChar w:fldCharType="separate"/>
      </w:r>
      <w:r w:rsidR="003620F5" w:rsidRPr="004E053C">
        <w:rPr>
          <w:rFonts w:cstheme="majorHAnsi"/>
          <w:noProof/>
          <w:sz w:val="22"/>
          <w:szCs w:val="22"/>
          <w:lang w:val="en-GB"/>
        </w:rPr>
        <w:t>(Seeling, 2002)</w:t>
      </w:r>
      <w:r w:rsidR="003620F5" w:rsidRPr="004E053C">
        <w:rPr>
          <w:rFonts w:cstheme="majorHAnsi"/>
          <w:sz w:val="22"/>
          <w:szCs w:val="22"/>
          <w:lang w:val="en-GB"/>
        </w:rPr>
        <w:fldChar w:fldCharType="end"/>
      </w:r>
      <w:r w:rsidR="0090643D" w:rsidRPr="004E053C">
        <w:rPr>
          <w:rFonts w:cstheme="majorHAnsi"/>
          <w:sz w:val="22"/>
          <w:szCs w:val="22"/>
          <w:lang w:val="en-GB"/>
        </w:rPr>
        <w:t xml:space="preserve">. </w:t>
      </w:r>
    </w:p>
    <w:p w14:paraId="1BFF86EC" w14:textId="77777777" w:rsidR="003E574E" w:rsidRPr="004E053C" w:rsidRDefault="003E574E" w:rsidP="004E053C">
      <w:pPr>
        <w:spacing w:line="360" w:lineRule="auto"/>
        <w:jc w:val="both"/>
        <w:rPr>
          <w:rFonts w:cstheme="majorHAnsi"/>
          <w:sz w:val="22"/>
          <w:szCs w:val="22"/>
          <w:lang w:val="en-GB"/>
        </w:rPr>
      </w:pPr>
    </w:p>
    <w:p w14:paraId="34E7D371" w14:textId="4926DE03" w:rsidR="003E574E"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w:t>
      </w:r>
      <w:r w:rsidR="003E574E" w:rsidRPr="004E053C">
        <w:rPr>
          <w:rFonts w:asciiTheme="minorHAnsi" w:hAnsiTheme="minorHAnsi"/>
        </w:rPr>
        <w:t>4.1. Use of spatial differentiations in the construction of deviance</w:t>
      </w:r>
    </w:p>
    <w:p w14:paraId="3CA7695F" w14:textId="77777777" w:rsidR="003E574E" w:rsidRPr="004E053C" w:rsidRDefault="003E574E" w:rsidP="004E053C">
      <w:pPr>
        <w:spacing w:line="360" w:lineRule="auto"/>
        <w:jc w:val="both"/>
        <w:rPr>
          <w:rFonts w:eastAsia="Times New Roman" w:cstheme="majorHAnsi"/>
          <w:sz w:val="22"/>
          <w:szCs w:val="22"/>
          <w:lang w:val="en-GB"/>
        </w:rPr>
      </w:pPr>
    </w:p>
    <w:p w14:paraId="7D823ABF" w14:textId="26B425F9"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From the discussion </w:t>
      </w:r>
      <w:r w:rsidR="00533C80" w:rsidRPr="004E053C">
        <w:rPr>
          <w:rFonts w:eastAsia="Times New Roman" w:cstheme="majorHAnsi"/>
          <w:sz w:val="22"/>
          <w:szCs w:val="22"/>
          <w:lang w:val="en-GB"/>
        </w:rPr>
        <w:t>above</w:t>
      </w:r>
      <w:r w:rsidRPr="004E053C">
        <w:rPr>
          <w:rFonts w:eastAsia="Times New Roman" w:cstheme="majorHAnsi"/>
          <w:sz w:val="22"/>
          <w:szCs w:val="22"/>
          <w:lang w:val="en-GB"/>
        </w:rPr>
        <w:t xml:space="preserve">, it is clear that the miners’ understanding of illegality is very directly linked to place, not least because of Government policy drawing clear boundaries between where mining is tolerated and where it is not. While the Government now pursues anti-ASM policies that seemingly ignore these spatially imposed boundaries, the miners in Laberinto continue to refer to them. They argue that as </w:t>
      </w:r>
      <w:r w:rsidR="0090643D" w:rsidRPr="004E053C">
        <w:rPr>
          <w:rFonts w:eastAsia="Times New Roman" w:cstheme="majorHAnsi"/>
          <w:sz w:val="22"/>
          <w:szCs w:val="22"/>
          <w:lang w:val="en-GB"/>
        </w:rPr>
        <w:t>they work on</w:t>
      </w:r>
      <w:r w:rsidRPr="004E053C">
        <w:rPr>
          <w:rFonts w:eastAsia="Times New Roman" w:cstheme="majorHAnsi"/>
          <w:sz w:val="22"/>
          <w:szCs w:val="22"/>
          <w:lang w:val="en-GB"/>
        </w:rPr>
        <w:t xml:space="preserve"> land previously designated as mining concessions they s</w:t>
      </w:r>
      <w:r w:rsidR="00BD36B3" w:rsidRPr="004E053C">
        <w:rPr>
          <w:rFonts w:eastAsia="Times New Roman" w:cstheme="majorHAnsi"/>
          <w:sz w:val="22"/>
          <w:szCs w:val="22"/>
          <w:lang w:val="en-GB"/>
        </w:rPr>
        <w:t xml:space="preserve">hould not be considered illegal, </w:t>
      </w:r>
      <w:r w:rsidRPr="004E053C">
        <w:rPr>
          <w:rFonts w:eastAsia="Times New Roman" w:cstheme="majorHAnsi"/>
          <w:sz w:val="22"/>
          <w:szCs w:val="22"/>
          <w:lang w:val="en-GB"/>
        </w:rPr>
        <w:t>highlight</w:t>
      </w:r>
      <w:r w:rsidR="00BD36B3" w:rsidRPr="004E053C">
        <w:rPr>
          <w:rFonts w:eastAsia="Times New Roman" w:cstheme="majorHAnsi"/>
          <w:sz w:val="22"/>
          <w:szCs w:val="22"/>
          <w:lang w:val="en-GB"/>
        </w:rPr>
        <w:t>ing</w:t>
      </w:r>
      <w:r w:rsidRPr="004E053C">
        <w:rPr>
          <w:rFonts w:eastAsia="Times New Roman" w:cstheme="majorHAnsi"/>
          <w:sz w:val="22"/>
          <w:szCs w:val="22"/>
          <w:lang w:val="en-GB"/>
        </w:rPr>
        <w:t xml:space="preserve"> the fact that this is very different to mining in La Pampa where mining activity is prohibited. </w:t>
      </w:r>
    </w:p>
    <w:p w14:paraId="0814BE68" w14:textId="77777777" w:rsidR="003E574E" w:rsidRPr="004E053C" w:rsidRDefault="003E574E" w:rsidP="004E053C">
      <w:pPr>
        <w:spacing w:line="360" w:lineRule="auto"/>
        <w:jc w:val="both"/>
        <w:rPr>
          <w:rFonts w:eastAsia="Times New Roman" w:cstheme="majorHAnsi"/>
          <w:sz w:val="22"/>
          <w:szCs w:val="22"/>
          <w:lang w:val="en-GB"/>
        </w:rPr>
      </w:pPr>
    </w:p>
    <w:p w14:paraId="1ED94991" w14:textId="12EC5093"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sz w:val="22"/>
          <w:szCs w:val="22"/>
          <w:lang w:val="en-GB"/>
        </w:rPr>
        <w:t>‘</w:t>
      </w:r>
      <w:r w:rsidR="00BD36B3" w:rsidRPr="004E053C">
        <w:rPr>
          <w:rFonts w:eastAsia="Times New Roman" w:cstheme="majorHAnsi"/>
          <w:i/>
          <w:sz w:val="22"/>
          <w:szCs w:val="22"/>
          <w:lang w:val="en-GB"/>
        </w:rPr>
        <w:t>La P</w:t>
      </w:r>
      <w:r w:rsidR="003E574E" w:rsidRPr="004E053C">
        <w:rPr>
          <w:rFonts w:eastAsia="Times New Roman" w:cstheme="majorHAnsi"/>
          <w:i/>
          <w:sz w:val="22"/>
          <w:szCs w:val="22"/>
          <w:lang w:val="en-GB"/>
        </w:rPr>
        <w:t>ampa is a place where people are not supposed to work. It’s a national park and it’s protected. But here is the opposite, we’re allowed to work because it’s the Mining Corrido</w:t>
      </w:r>
      <w:r w:rsidR="00BD36B3" w:rsidRPr="004E053C">
        <w:rPr>
          <w:rFonts w:eastAsia="Times New Roman" w:cstheme="majorHAnsi"/>
          <w:i/>
          <w:sz w:val="22"/>
          <w:szCs w:val="22"/>
          <w:lang w:val="en-GB"/>
        </w:rPr>
        <w:t>r. The G</w:t>
      </w:r>
      <w:r w:rsidR="003E574E" w:rsidRPr="004E053C">
        <w:rPr>
          <w:rFonts w:eastAsia="Times New Roman" w:cstheme="majorHAnsi"/>
          <w:i/>
          <w:sz w:val="22"/>
          <w:szCs w:val="22"/>
          <w:lang w:val="en-GB"/>
        </w:rPr>
        <w:t>overnment knows that we pay taxes, and that we get receipts and</w:t>
      </w:r>
      <w:r w:rsidR="00BD36B3" w:rsidRPr="004E053C">
        <w:rPr>
          <w:rFonts w:eastAsia="Times New Roman" w:cstheme="majorHAnsi"/>
          <w:i/>
          <w:sz w:val="22"/>
          <w:szCs w:val="22"/>
          <w:lang w:val="en-GB"/>
        </w:rPr>
        <w:t xml:space="preserve"> we buy and sell gold. And the G</w:t>
      </w:r>
      <w:r w:rsidR="003E574E" w:rsidRPr="004E053C">
        <w:rPr>
          <w:rFonts w:eastAsia="Times New Roman" w:cstheme="majorHAnsi"/>
          <w:i/>
          <w:sz w:val="22"/>
          <w:szCs w:val="22"/>
          <w:lang w:val="en-GB"/>
        </w:rPr>
        <w:t>overnment know that some concessionarios have their own titles proving they have this land and they have to protect the land, but it doesn’t matter. Even</w:t>
      </w:r>
      <w:r w:rsidR="00BD36B3" w:rsidRPr="004E053C">
        <w:rPr>
          <w:rFonts w:eastAsia="Times New Roman" w:cstheme="majorHAnsi"/>
          <w:i/>
          <w:sz w:val="22"/>
          <w:szCs w:val="22"/>
          <w:lang w:val="en-GB"/>
        </w:rPr>
        <w:t xml:space="preserve"> though the G</w:t>
      </w:r>
      <w:r w:rsidR="003E574E" w:rsidRPr="004E053C">
        <w:rPr>
          <w:rFonts w:eastAsia="Times New Roman" w:cstheme="majorHAnsi"/>
          <w:i/>
          <w:sz w:val="22"/>
          <w:szCs w:val="22"/>
          <w:lang w:val="en-GB"/>
        </w:rPr>
        <w:t xml:space="preserve">overnment know they have these documents, they </w:t>
      </w:r>
      <w:r w:rsidR="00BD36B3" w:rsidRPr="004E053C">
        <w:rPr>
          <w:rFonts w:eastAsia="Times New Roman" w:cstheme="majorHAnsi"/>
          <w:i/>
          <w:sz w:val="22"/>
          <w:szCs w:val="22"/>
          <w:lang w:val="en-GB"/>
        </w:rPr>
        <w:t>are acting like this place and La P</w:t>
      </w:r>
      <w:r w:rsidR="003E574E" w:rsidRPr="004E053C">
        <w:rPr>
          <w:rFonts w:eastAsia="Times New Roman" w:cstheme="majorHAnsi"/>
          <w:i/>
          <w:sz w:val="22"/>
          <w:szCs w:val="22"/>
          <w:lang w:val="en-GB"/>
        </w:rPr>
        <w:t>ampa are the same thing</w:t>
      </w:r>
      <w:r w:rsidRPr="004E053C">
        <w:rPr>
          <w:rFonts w:eastAsia="Times New Roman" w:cstheme="majorHAnsi"/>
          <w: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Jorge</w:t>
      </w:r>
      <w:r w:rsidR="003E574E" w:rsidRPr="004E053C">
        <w:rPr>
          <w:rFonts w:eastAsia="Times New Roman" w:cstheme="majorHAnsi"/>
          <w:sz w:val="22"/>
          <w:szCs w:val="22"/>
          <w:lang w:val="en-GB"/>
        </w:rPr>
        <w:t xml:space="preserve">, ASM miner, Laberinto). </w:t>
      </w:r>
    </w:p>
    <w:p w14:paraId="10E7F27B" w14:textId="77777777" w:rsidR="003E574E" w:rsidRPr="004E053C" w:rsidRDefault="003E574E" w:rsidP="004E053C">
      <w:pPr>
        <w:spacing w:line="360" w:lineRule="auto"/>
        <w:jc w:val="both"/>
        <w:rPr>
          <w:rFonts w:eastAsia="Times New Roman" w:cstheme="majorHAnsi"/>
          <w:sz w:val="22"/>
          <w:szCs w:val="22"/>
          <w:lang w:val="en-GB"/>
        </w:rPr>
      </w:pPr>
    </w:p>
    <w:p w14:paraId="2D4E1201" w14:textId="212E0979" w:rsidR="003E574E" w:rsidRPr="004E053C" w:rsidRDefault="003E574E" w:rsidP="004E053C">
      <w:pPr>
        <w:spacing w:line="360" w:lineRule="auto"/>
        <w:jc w:val="both"/>
        <w:rPr>
          <w:rFonts w:cstheme="majorHAnsi"/>
          <w:sz w:val="22"/>
          <w:szCs w:val="22"/>
          <w:lang w:val="en-GB"/>
        </w:rPr>
      </w:pPr>
      <w:r w:rsidRPr="004E053C">
        <w:rPr>
          <w:rFonts w:eastAsia="Times New Roman" w:cstheme="majorHAnsi"/>
          <w:sz w:val="22"/>
          <w:szCs w:val="22"/>
          <w:lang w:val="en-GB"/>
        </w:rPr>
        <w:t xml:space="preserve">The quote from </w:t>
      </w:r>
      <w:r w:rsidR="00EA7F80" w:rsidRPr="004E053C">
        <w:rPr>
          <w:rFonts w:eastAsia="Times New Roman" w:cstheme="majorHAnsi"/>
          <w:sz w:val="22"/>
          <w:szCs w:val="22"/>
          <w:lang w:val="en-GB"/>
        </w:rPr>
        <w:t>Jorge</w:t>
      </w:r>
      <w:r w:rsidRPr="004E053C">
        <w:rPr>
          <w:rFonts w:eastAsia="Times New Roman" w:cstheme="majorHAnsi"/>
          <w:sz w:val="22"/>
          <w:szCs w:val="22"/>
          <w:lang w:val="en-GB"/>
        </w:rPr>
        <w:t xml:space="preserve"> above perfectly summarises how </w:t>
      </w:r>
      <w:r w:rsidR="000C3F44" w:rsidRPr="004E053C">
        <w:rPr>
          <w:rFonts w:eastAsia="Times New Roman" w:cstheme="majorHAnsi"/>
          <w:sz w:val="22"/>
          <w:szCs w:val="22"/>
          <w:lang w:val="en-GB"/>
        </w:rPr>
        <w:t>angry the conflation between Laberinto and La Pampa makes people in the former</w:t>
      </w:r>
      <w:r w:rsidRPr="004E053C">
        <w:rPr>
          <w:rFonts w:eastAsia="Times New Roman" w:cstheme="majorHAnsi"/>
          <w:sz w:val="22"/>
          <w:szCs w:val="22"/>
          <w:lang w:val="en-GB"/>
        </w:rPr>
        <w:t xml:space="preserve">. It highlights the formal procedures that occur within the ASM sector in Laberinto, such as paying taxes and having documents and titles, which sets it apart from La Pampa. The perceived unfairness of being, </w:t>
      </w:r>
      <w:r w:rsidRPr="004E053C">
        <w:rPr>
          <w:rFonts w:eastAsia="Times New Roman" w:cstheme="majorHAnsi"/>
          <w:i/>
          <w:iCs/>
          <w:sz w:val="22"/>
          <w:szCs w:val="22"/>
          <w:lang w:val="en-GB"/>
        </w:rPr>
        <w:t xml:space="preserve">de jure, </w:t>
      </w:r>
      <w:r w:rsidRPr="004E053C">
        <w:rPr>
          <w:rFonts w:eastAsia="Times New Roman" w:cstheme="majorHAnsi"/>
          <w:sz w:val="22"/>
          <w:szCs w:val="22"/>
          <w:lang w:val="en-GB"/>
        </w:rPr>
        <w:t>recognised by</w:t>
      </w:r>
      <w:r w:rsidR="00BD36B3" w:rsidRPr="004E053C">
        <w:rPr>
          <w:rFonts w:eastAsia="Times New Roman" w:cstheme="majorHAnsi"/>
          <w:sz w:val="22"/>
          <w:szCs w:val="22"/>
          <w:lang w:val="en-GB"/>
        </w:rPr>
        <w:t xml:space="preserve"> the G</w:t>
      </w:r>
      <w:r w:rsidRPr="004E053C">
        <w:rPr>
          <w:rFonts w:eastAsia="Times New Roman" w:cstheme="majorHAnsi"/>
          <w:sz w:val="22"/>
          <w:szCs w:val="22"/>
          <w:lang w:val="en-GB"/>
        </w:rPr>
        <w:t xml:space="preserve">overnment yet being </w:t>
      </w:r>
      <w:r w:rsidRPr="004E053C">
        <w:rPr>
          <w:rFonts w:eastAsia="Times New Roman" w:cstheme="majorHAnsi"/>
          <w:i/>
          <w:iCs/>
          <w:sz w:val="22"/>
          <w:szCs w:val="22"/>
          <w:lang w:val="en-GB"/>
        </w:rPr>
        <w:t>de facto</w:t>
      </w:r>
      <w:r w:rsidRPr="004E053C">
        <w:rPr>
          <w:rFonts w:eastAsia="Times New Roman" w:cstheme="majorHAnsi"/>
          <w:sz w:val="22"/>
          <w:szCs w:val="22"/>
          <w:lang w:val="en-GB"/>
        </w:rPr>
        <w:t xml:space="preserve"> criminals creates part of a shared identity which is int</w:t>
      </w:r>
      <w:r w:rsidR="00BD36B3" w:rsidRPr="004E053C">
        <w:rPr>
          <w:rFonts w:eastAsia="Times New Roman" w:cstheme="majorHAnsi"/>
          <w:sz w:val="22"/>
          <w:szCs w:val="22"/>
          <w:lang w:val="en-GB"/>
        </w:rPr>
        <w:t xml:space="preserve">rinsically linked to place, </w:t>
      </w:r>
      <w:r w:rsidRPr="004E053C">
        <w:rPr>
          <w:rFonts w:eastAsia="Times New Roman" w:cstheme="majorHAnsi"/>
          <w:sz w:val="22"/>
          <w:szCs w:val="22"/>
          <w:lang w:val="en-GB"/>
        </w:rPr>
        <w:t xml:space="preserve">particularly its geographical location </w:t>
      </w:r>
      <w:r w:rsidR="003620F5" w:rsidRPr="004E053C">
        <w:rPr>
          <w:rFonts w:eastAsia="Times New Roman" w:cstheme="majorHAnsi"/>
          <w:sz w:val="22"/>
          <w:szCs w:val="22"/>
          <w:lang w:val="en-GB"/>
        </w:rPr>
        <w:fldChar w:fldCharType="begin" w:fldLock="1"/>
      </w:r>
      <w:r w:rsidR="003620F5" w:rsidRPr="004E053C">
        <w:rPr>
          <w:rFonts w:eastAsia="Times New Roman" w:cstheme="majorHAnsi"/>
          <w:sz w:val="22"/>
          <w:szCs w:val="22"/>
          <w:lang w:val="en-GB"/>
        </w:rPr>
        <w:instrText>ADDIN CSL_CITATION {"citationItems":[{"id":"ITEM-1","itemData":{"abstract":"Sociological studies sensitive to the issue of place are rarely labeled thus, and at the same time there are far too many of them to fit in this review. It may be a good thing that this research is seldom gathered up as a \"sociology of place,\" for that could ghettoize the subject as something of interest only to geographers, architects, or environmental historians. The point of this review is to indicate that sociologists have a stake in place no matter what they analyze, or how: The works cited below emplace inequality, difference, power, politics, interaction, community, social movements, deviance, crime, life course, science, identity, memory, history. After a prologue of definitions and methodological ruminations, I ask: How do places come to be the way they are, and how do places matter for social practices and historical change?","author":[{"dropping-particle":"","family":"Gieryn","given":"Thomas. F","non-dropping-particle":"","parse-names":false,"suffix":""}],"container-title":"Annual Review of Sociology","id":"ITEM-1","issued":{"date-parts":[["2000"]]},"page":"463-496","title":"A space for place in sociology","type":"article-journal","volume":"26"},"uris":["http://www.mendeley.com/documents/?uuid=40055a61-4bab-46a9-a28c-e073dfac7680"]}],"mendeley":{"formattedCitation":"(Gieryn, 2000)","plainTextFormattedCitation":"(Gieryn, 2000)","previouslyFormattedCitation":"(Gieryn, 2000)"},"properties":{"noteIndex":0},"schema":"https://github.com/citation-style-language/schema/raw/master/csl-citation.json"}</w:instrText>
      </w:r>
      <w:r w:rsidR="003620F5" w:rsidRPr="004E053C">
        <w:rPr>
          <w:rFonts w:eastAsia="Times New Roman" w:cstheme="majorHAnsi"/>
          <w:sz w:val="22"/>
          <w:szCs w:val="22"/>
          <w:lang w:val="en-GB"/>
        </w:rPr>
        <w:fldChar w:fldCharType="separate"/>
      </w:r>
      <w:r w:rsidR="003620F5" w:rsidRPr="004E053C">
        <w:rPr>
          <w:rFonts w:eastAsia="Times New Roman" w:cstheme="majorHAnsi"/>
          <w:noProof/>
          <w:sz w:val="22"/>
          <w:szCs w:val="22"/>
          <w:lang w:val="en-GB"/>
        </w:rPr>
        <w:t>(Gieryn, 2000)</w:t>
      </w:r>
      <w:r w:rsidR="003620F5"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w:t>
      </w:r>
      <w:r w:rsidR="000C3F44" w:rsidRPr="004E053C">
        <w:rPr>
          <w:rFonts w:cstheme="majorHAnsi"/>
          <w:sz w:val="22"/>
          <w:szCs w:val="22"/>
          <w:lang w:val="en-GB"/>
        </w:rPr>
        <w:t>LGA re</w:t>
      </w:r>
      <w:r w:rsidRPr="004E053C">
        <w:rPr>
          <w:rFonts w:cstheme="majorHAnsi"/>
          <w:sz w:val="22"/>
          <w:szCs w:val="22"/>
          <w:lang w:val="en-GB"/>
        </w:rPr>
        <w:t xml:space="preserve">presentatives in the area also discussed how the illegality of life in La Pampa extended far beyond the simple act of mining where it was prohibited, although it should be noted that some of the elected local representatives are also involved in ASM in some way. For example, one LGA representative in Laberinto discussed how even day-to-day life had illegal connotations due to the informal nature of the settlement. </w:t>
      </w:r>
    </w:p>
    <w:p w14:paraId="2715887B" w14:textId="77777777" w:rsidR="003E574E" w:rsidRPr="004E053C" w:rsidRDefault="003E574E" w:rsidP="004E053C">
      <w:pPr>
        <w:spacing w:line="360" w:lineRule="auto"/>
        <w:jc w:val="both"/>
        <w:rPr>
          <w:rFonts w:cstheme="majorHAnsi"/>
          <w:sz w:val="22"/>
          <w:szCs w:val="22"/>
          <w:lang w:val="en-GB"/>
        </w:rPr>
      </w:pPr>
    </w:p>
    <w:p w14:paraId="0021A18B" w14:textId="5D8E6F01" w:rsidR="003E574E" w:rsidRPr="004E053C" w:rsidRDefault="00BD36B3"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Laberinto is in the mining corridor desig</w:t>
      </w:r>
      <w:r w:rsidRPr="004E053C">
        <w:rPr>
          <w:rFonts w:eastAsia="Times New Roman" w:cstheme="majorHAnsi"/>
          <w:i/>
          <w:iCs/>
          <w:sz w:val="22"/>
          <w:szCs w:val="22"/>
          <w:lang w:val="en-GB"/>
        </w:rPr>
        <w:t>nated by the government but La P</w:t>
      </w:r>
      <w:r w:rsidR="003E574E" w:rsidRPr="004E053C">
        <w:rPr>
          <w:rFonts w:eastAsia="Times New Roman" w:cstheme="majorHAnsi"/>
          <w:i/>
          <w:iCs/>
          <w:sz w:val="22"/>
          <w:szCs w:val="22"/>
          <w:lang w:val="en-GB"/>
        </w:rPr>
        <w:t>ampa is next to th</w:t>
      </w:r>
      <w:r w:rsidRPr="004E053C">
        <w:rPr>
          <w:rFonts w:eastAsia="Times New Roman" w:cstheme="majorHAnsi"/>
          <w:i/>
          <w:iCs/>
          <w:sz w:val="22"/>
          <w:szCs w:val="22"/>
          <w:lang w:val="en-GB"/>
        </w:rPr>
        <w:t>e National P</w:t>
      </w:r>
      <w:r w:rsidR="003E574E" w:rsidRPr="004E053C">
        <w:rPr>
          <w:rFonts w:eastAsia="Times New Roman" w:cstheme="majorHAnsi"/>
          <w:i/>
          <w:iCs/>
          <w:sz w:val="22"/>
          <w:szCs w:val="22"/>
          <w:lang w:val="en-GB"/>
        </w:rPr>
        <w:t>ark and so mining is forbidden there…The best way is to make it disappear because there’s no way to fix it. The contamination is in the river and there’s no way to fix that. Everything is</w:t>
      </w:r>
      <w:r w:rsidRPr="004E053C">
        <w:rPr>
          <w:rFonts w:eastAsia="Times New Roman" w:cstheme="majorHAnsi"/>
          <w:i/>
          <w:iCs/>
          <w:sz w:val="22"/>
          <w:szCs w:val="22"/>
          <w:lang w:val="en-GB"/>
        </w:rPr>
        <w:t xml:space="preserve"> illegal there, gasoline, food…’</w:t>
      </w:r>
      <w:r w:rsidR="003E574E" w:rsidRPr="004E053C">
        <w:rPr>
          <w:rFonts w:eastAsia="Times New Roman" w:cstheme="majorHAnsi"/>
          <w:i/>
          <w:iCs/>
          <w:sz w:val="22"/>
          <w:szCs w:val="22"/>
          <w:lang w:val="en-GB"/>
        </w:rPr>
        <w:t xml:space="preserve"> </w:t>
      </w:r>
      <w:r w:rsidRPr="004E053C">
        <w:rPr>
          <w:rFonts w:eastAsia="Times New Roman" w:cstheme="majorHAnsi"/>
          <w:sz w:val="22"/>
          <w:szCs w:val="22"/>
          <w:lang w:val="en-GB"/>
        </w:rPr>
        <w:t>(LGA r</w:t>
      </w:r>
      <w:r w:rsidR="003E574E" w:rsidRPr="004E053C">
        <w:rPr>
          <w:rFonts w:eastAsia="Times New Roman" w:cstheme="majorHAnsi"/>
          <w:sz w:val="22"/>
          <w:szCs w:val="22"/>
          <w:lang w:val="en-GB"/>
        </w:rPr>
        <w:t>epresentative, Laberinto).</w:t>
      </w:r>
    </w:p>
    <w:p w14:paraId="253EF038" w14:textId="77777777" w:rsidR="003E574E" w:rsidRPr="004E053C" w:rsidRDefault="003E574E" w:rsidP="004E053C">
      <w:pPr>
        <w:spacing w:line="360" w:lineRule="auto"/>
        <w:jc w:val="both"/>
        <w:rPr>
          <w:rFonts w:eastAsia="Times New Roman" w:cstheme="majorHAnsi"/>
          <w:sz w:val="22"/>
          <w:szCs w:val="22"/>
          <w:lang w:val="en-GB"/>
        </w:rPr>
      </w:pPr>
    </w:p>
    <w:p w14:paraId="7A9259F3" w14:textId="5B470F97" w:rsidR="003E574E" w:rsidRPr="004E053C" w:rsidRDefault="003E574E" w:rsidP="004E053C">
      <w:pPr>
        <w:spacing w:line="360" w:lineRule="auto"/>
        <w:jc w:val="both"/>
        <w:rPr>
          <w:rFonts w:eastAsia="Times New Roman" w:cstheme="majorHAnsi"/>
          <w:color w:val="FF0000"/>
          <w:sz w:val="22"/>
          <w:szCs w:val="22"/>
          <w:lang w:val="en-GB"/>
        </w:rPr>
      </w:pPr>
      <w:r w:rsidRPr="004E053C">
        <w:rPr>
          <w:rFonts w:eastAsia="Times New Roman" w:cstheme="majorHAnsi"/>
          <w:sz w:val="22"/>
          <w:szCs w:val="22"/>
          <w:lang w:val="en-GB"/>
        </w:rPr>
        <w:t>Again here the LGA representative is making a cle</w:t>
      </w:r>
      <w:r w:rsidR="00C27D12" w:rsidRPr="004E053C">
        <w:rPr>
          <w:rFonts w:eastAsia="Times New Roman" w:cstheme="majorHAnsi"/>
          <w:sz w:val="22"/>
          <w:szCs w:val="22"/>
          <w:lang w:val="en-GB"/>
        </w:rPr>
        <w:t>ar spatial distinction between ‘here’ and ‘there’</w:t>
      </w:r>
      <w:r w:rsidRPr="004E053C">
        <w:rPr>
          <w:rFonts w:eastAsia="Times New Roman" w:cstheme="majorHAnsi"/>
          <w:sz w:val="22"/>
          <w:szCs w:val="22"/>
          <w:lang w:val="en-GB"/>
        </w:rPr>
        <w:t xml:space="preserve">, but this time highlighting the differences in day-to-day life activities, such as buying food, as well as making comparisons about more destructive activities such as pollution. </w:t>
      </w:r>
    </w:p>
    <w:p w14:paraId="5B91C40D" w14:textId="77777777" w:rsidR="003E574E" w:rsidRPr="004E053C" w:rsidRDefault="003E574E" w:rsidP="004E053C">
      <w:pPr>
        <w:spacing w:line="360" w:lineRule="auto"/>
        <w:jc w:val="both"/>
        <w:rPr>
          <w:rFonts w:eastAsia="Times New Roman" w:cstheme="majorHAnsi"/>
          <w:color w:val="FF0000"/>
          <w:sz w:val="22"/>
          <w:szCs w:val="22"/>
          <w:lang w:val="en-GB"/>
        </w:rPr>
      </w:pPr>
    </w:p>
    <w:p w14:paraId="6CAF0CA3" w14:textId="10849E70" w:rsidR="004C1951"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w:t>
      </w:r>
      <w:r w:rsidR="003E574E" w:rsidRPr="004E053C">
        <w:rPr>
          <w:rFonts w:asciiTheme="minorHAnsi" w:hAnsiTheme="minorHAnsi"/>
        </w:rPr>
        <w:t xml:space="preserve">4.2. Threats to livelihood and place </w:t>
      </w:r>
    </w:p>
    <w:p w14:paraId="0716AEE7" w14:textId="77777777" w:rsidR="004C1951" w:rsidRPr="004E053C" w:rsidRDefault="004C1951" w:rsidP="004E053C">
      <w:pPr>
        <w:spacing w:line="360" w:lineRule="auto"/>
        <w:jc w:val="both"/>
        <w:rPr>
          <w:rFonts w:eastAsia="Times New Roman" w:cstheme="majorHAnsi"/>
          <w:sz w:val="22"/>
          <w:szCs w:val="22"/>
          <w:lang w:val="en-GB"/>
        </w:rPr>
      </w:pPr>
    </w:p>
    <w:p w14:paraId="5D2E2D5F" w14:textId="0020F325"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In Laberinto the entir</w:t>
      </w:r>
      <w:r w:rsidR="00BD36B3" w:rsidRPr="004E053C">
        <w:rPr>
          <w:rFonts w:eastAsia="Times New Roman" w:cstheme="majorHAnsi"/>
          <w:sz w:val="22"/>
          <w:szCs w:val="22"/>
          <w:lang w:val="en-GB"/>
        </w:rPr>
        <w:t>e economy is based on ASM. T</w:t>
      </w:r>
      <w:r w:rsidRPr="004E053C">
        <w:rPr>
          <w:rFonts w:eastAsia="Times New Roman" w:cstheme="majorHAnsi"/>
          <w:sz w:val="22"/>
          <w:szCs w:val="22"/>
          <w:lang w:val="en-GB"/>
        </w:rPr>
        <w:t xml:space="preserve">he nature of those activities and the way the town has built around them can be </w:t>
      </w:r>
      <w:r w:rsidR="00A41B6E" w:rsidRPr="004E053C">
        <w:rPr>
          <w:rFonts w:eastAsia="Times New Roman" w:cstheme="majorHAnsi"/>
          <w:sz w:val="22"/>
          <w:szCs w:val="22"/>
          <w:lang w:val="en-GB"/>
        </w:rPr>
        <w:t xml:space="preserve">linked to </w:t>
      </w:r>
      <w:r w:rsidRPr="004E053C">
        <w:rPr>
          <w:rFonts w:eastAsia="Times New Roman" w:cstheme="majorHAnsi"/>
          <w:sz w:val="22"/>
          <w:szCs w:val="22"/>
          <w:lang w:val="en-GB"/>
        </w:rPr>
        <w:t>place-identity. The subterranean nature of the sector emphasises the importance of the local environment and cont</w:t>
      </w:r>
      <w:r w:rsidR="00C7396E" w:rsidRPr="004E053C">
        <w:rPr>
          <w:rFonts w:eastAsia="Times New Roman" w:cstheme="majorHAnsi"/>
          <w:sz w:val="22"/>
          <w:szCs w:val="22"/>
          <w:lang w:val="en-GB"/>
        </w:rPr>
        <w:t>ributes to the significance of ‘place’</w:t>
      </w:r>
      <w:r w:rsidRPr="004E053C">
        <w:rPr>
          <w:rFonts w:eastAsia="Times New Roman" w:cstheme="majorHAnsi"/>
          <w:sz w:val="22"/>
          <w:szCs w:val="22"/>
          <w:lang w:val="en-GB"/>
        </w:rPr>
        <w:t xml:space="preserve">. Furthermore, the nature of mining activities also involves miners working in close proximity to each other, forming close bonds through place-based activities. Almost all of the interviewed miners explained how they had initially formed social networks in Laberinto through their work, creating a basis for </w:t>
      </w:r>
      <w:r w:rsidR="005527DD" w:rsidRPr="004E053C">
        <w:rPr>
          <w:rFonts w:eastAsia="Times New Roman" w:cstheme="majorHAnsi"/>
          <w:sz w:val="22"/>
          <w:szCs w:val="22"/>
          <w:lang w:val="en-GB"/>
        </w:rPr>
        <w:t>community building</w:t>
      </w:r>
      <w:r w:rsidRPr="004E053C">
        <w:rPr>
          <w:rFonts w:eastAsia="Times New Roman" w:cstheme="majorHAnsi"/>
          <w:sz w:val="22"/>
          <w:szCs w:val="22"/>
          <w:lang w:val="en-GB"/>
        </w:rPr>
        <w:t xml:space="preserve">. Work-life in ASM thus requires constant cooperation with neighbours and contributes to the mining identity observed elsewhere in the ASM literature </w:t>
      </w:r>
      <w:r w:rsidR="003620F5"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2010)","manualFormatting":"(Bryceson &amp; Jønsson, 2010)","plainTextFormattedCitation":"(D. F. Bryceson &amp; Jønsson, 2010)","previouslyFormattedCitation":"(D. F. Bryceson &amp; Jønsson, 2010)"},"properties":{"noteIndex":0},"schema":"https://github.com/citation-style-language/schema/raw/master/csl-citation.json"}</w:instrText>
      </w:r>
      <w:r w:rsidR="003620F5" w:rsidRPr="004E053C">
        <w:rPr>
          <w:rFonts w:eastAsia="Times New Roman" w:cstheme="majorHAnsi"/>
          <w:sz w:val="22"/>
          <w:szCs w:val="22"/>
          <w:lang w:val="en-GB"/>
        </w:rPr>
        <w:fldChar w:fldCharType="separate"/>
      </w:r>
      <w:r w:rsidR="00BD36B3" w:rsidRPr="004E053C">
        <w:rPr>
          <w:rFonts w:eastAsia="Times New Roman" w:cstheme="majorHAnsi"/>
          <w:noProof/>
          <w:sz w:val="22"/>
          <w:szCs w:val="22"/>
          <w:lang w:val="en-GB"/>
        </w:rPr>
        <w:t>(</w:t>
      </w:r>
      <w:r w:rsidR="00EE12FF" w:rsidRPr="004E053C">
        <w:rPr>
          <w:rFonts w:eastAsia="Times New Roman" w:cstheme="majorHAnsi"/>
          <w:noProof/>
          <w:sz w:val="22"/>
          <w:szCs w:val="22"/>
          <w:lang w:val="en-GB"/>
        </w:rPr>
        <w:t>Bryceson &amp; Jønsson, 2010)</w:t>
      </w:r>
      <w:r w:rsidR="003620F5"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However, this overlooks the </w:t>
      </w:r>
      <w:r w:rsidR="00A41B6E" w:rsidRPr="004E053C">
        <w:rPr>
          <w:rFonts w:eastAsia="Times New Roman" w:cstheme="majorHAnsi"/>
          <w:sz w:val="22"/>
          <w:szCs w:val="22"/>
          <w:lang w:val="en-GB"/>
        </w:rPr>
        <w:t xml:space="preserve">extent to which </w:t>
      </w:r>
      <w:r w:rsidRPr="004E053C">
        <w:rPr>
          <w:rFonts w:eastAsia="Times New Roman" w:cstheme="majorHAnsi"/>
          <w:sz w:val="22"/>
          <w:szCs w:val="22"/>
          <w:lang w:val="en-GB"/>
        </w:rPr>
        <w:t xml:space="preserve">place-attachment </w:t>
      </w:r>
      <w:r w:rsidR="00A41B6E" w:rsidRPr="004E053C">
        <w:rPr>
          <w:rFonts w:eastAsia="Times New Roman" w:cstheme="majorHAnsi"/>
          <w:sz w:val="22"/>
          <w:szCs w:val="22"/>
          <w:lang w:val="en-GB"/>
        </w:rPr>
        <w:t>may</w:t>
      </w:r>
      <w:r w:rsidRPr="004E053C">
        <w:rPr>
          <w:rFonts w:eastAsia="Times New Roman" w:cstheme="majorHAnsi"/>
          <w:sz w:val="22"/>
          <w:szCs w:val="22"/>
          <w:lang w:val="en-GB"/>
        </w:rPr>
        <w:t xml:space="preserve"> develop, especially amongst the </w:t>
      </w:r>
      <w:r w:rsidR="00C21441" w:rsidRPr="004E053C">
        <w:rPr>
          <w:rFonts w:eastAsia="Times New Roman" w:cstheme="majorHAnsi"/>
          <w:sz w:val="22"/>
          <w:szCs w:val="22"/>
          <w:lang w:val="en-GB"/>
        </w:rPr>
        <w:t>permanent</w:t>
      </w:r>
      <w:r w:rsidRPr="004E053C">
        <w:rPr>
          <w:rFonts w:eastAsia="Times New Roman" w:cstheme="majorHAnsi"/>
          <w:sz w:val="22"/>
          <w:szCs w:val="22"/>
          <w:lang w:val="en-GB"/>
        </w:rPr>
        <w:t xml:space="preserve"> miners</w:t>
      </w:r>
      <w:r w:rsidR="00444A19" w:rsidRPr="004E053C">
        <w:rPr>
          <w:rFonts w:eastAsia="Times New Roman" w:cstheme="majorHAnsi"/>
          <w:sz w:val="22"/>
          <w:szCs w:val="22"/>
          <w:lang w:val="en-GB"/>
        </w:rPr>
        <w:t>, and t</w:t>
      </w:r>
      <w:r w:rsidRPr="004E053C">
        <w:rPr>
          <w:rFonts w:eastAsia="Times New Roman" w:cstheme="majorHAnsi"/>
          <w:sz w:val="22"/>
          <w:szCs w:val="22"/>
          <w:lang w:val="en-GB"/>
        </w:rPr>
        <w:t>he sense of community that becomes linked to both livelihood and place, which are inextricably linked.</w:t>
      </w:r>
    </w:p>
    <w:p w14:paraId="4F8F87A0" w14:textId="77777777" w:rsidR="003E574E" w:rsidRPr="004E053C" w:rsidRDefault="003E574E" w:rsidP="004E053C">
      <w:pPr>
        <w:spacing w:line="360" w:lineRule="auto"/>
        <w:jc w:val="both"/>
        <w:rPr>
          <w:rFonts w:eastAsia="Times New Roman" w:cstheme="majorHAnsi"/>
          <w:sz w:val="22"/>
          <w:szCs w:val="22"/>
          <w:lang w:val="en-GB"/>
        </w:rPr>
      </w:pPr>
    </w:p>
    <w:p w14:paraId="5052F777" w14:textId="3B0E9695" w:rsidR="003E574E" w:rsidRPr="004E053C" w:rsidRDefault="003E574E" w:rsidP="004E053C">
      <w:pPr>
        <w:pStyle w:val="NoSpacing"/>
        <w:spacing w:line="360" w:lineRule="auto"/>
        <w:jc w:val="both"/>
        <w:rPr>
          <w:rFonts w:cstheme="majorHAnsi"/>
          <w:bCs/>
          <w:sz w:val="22"/>
          <w:szCs w:val="22"/>
          <w:lang w:val="en-GB"/>
        </w:rPr>
      </w:pPr>
      <w:r w:rsidRPr="004E053C">
        <w:rPr>
          <w:rFonts w:eastAsia="Times New Roman" w:cstheme="majorHAnsi"/>
          <w:sz w:val="22"/>
          <w:szCs w:val="22"/>
          <w:lang w:val="en-GB"/>
        </w:rPr>
        <w:t xml:space="preserve">The importance of livelihoods and place are compounded further when they are both threatened. </w:t>
      </w:r>
      <w:r w:rsidR="00A41B6E" w:rsidRPr="004E053C">
        <w:rPr>
          <w:rFonts w:eastAsia="Times New Roman" w:cstheme="majorHAnsi"/>
          <w:sz w:val="22"/>
          <w:szCs w:val="22"/>
          <w:shd w:val="clear" w:color="auto" w:fill="FFFFFF"/>
          <w:lang w:val="en-GB"/>
        </w:rPr>
        <w:t>As noted in cha</w:t>
      </w:r>
      <w:r w:rsidR="00444A19" w:rsidRPr="004E053C">
        <w:rPr>
          <w:rFonts w:eastAsia="Times New Roman" w:cstheme="majorHAnsi"/>
          <w:sz w:val="22"/>
          <w:szCs w:val="22"/>
          <w:shd w:val="clear" w:color="auto" w:fill="FFFFFF"/>
          <w:lang w:val="en-GB"/>
        </w:rPr>
        <w:t>p</w:t>
      </w:r>
      <w:r w:rsidR="00A41B6E" w:rsidRPr="004E053C">
        <w:rPr>
          <w:rFonts w:eastAsia="Times New Roman" w:cstheme="majorHAnsi"/>
          <w:sz w:val="22"/>
          <w:szCs w:val="22"/>
          <w:shd w:val="clear" w:color="auto" w:fill="FFFFFF"/>
          <w:lang w:val="en-GB"/>
        </w:rPr>
        <w:t xml:space="preserve">ter 2, </w:t>
      </w:r>
      <w:r w:rsidR="00A41B6E" w:rsidRPr="004E053C">
        <w:rPr>
          <w:rFonts w:cstheme="majorHAnsi"/>
          <w:bCs/>
          <w:sz w:val="22"/>
          <w:szCs w:val="22"/>
          <w:lang w:val="en-GB"/>
        </w:rPr>
        <w:t xml:space="preserve">Werthmann </w:t>
      </w:r>
      <w:r w:rsidR="003620F5" w:rsidRPr="004E053C">
        <w:rPr>
          <w:rFonts w:cstheme="majorHAnsi"/>
          <w:bCs/>
          <w:sz w:val="22"/>
          <w:szCs w:val="22"/>
          <w:lang w:val="en-GB"/>
        </w:rPr>
        <w:fldChar w:fldCharType="begin" w:fldLock="1"/>
      </w:r>
      <w:r w:rsidR="0004146F" w:rsidRPr="004E053C">
        <w:rPr>
          <w:rFonts w:cstheme="majorHAnsi"/>
          <w:bCs/>
          <w:sz w:val="22"/>
          <w:szCs w:val="22"/>
          <w:lang w:val="en-GB"/>
        </w:rPr>
        <w:instrText>ADDIN CSL_CITATION {"citationItems":[{"id":"ITEM-1","itemData":{"author":[{"dropping-particle":"","family":"Werthmann","given":"Katja","non-dropping-particle":"","parse-names":false,"suffix":""}],"container-title":"Translocality. The Study of Globalising Processes from a Southern Perspective","editor":[{"dropping-particle":"","family":"Freitag","given":"Ulrike","non-dropping-particle":"","parse-names":false,"suffix":""},{"dropping-particle":"","family":"Oppen","given":"Achim","non-dropping-particle":"von","parse-names":false,"suffix":""}],"id":"ITEM-1","issued":{"date-parts":[["2010"]]},"page":"111-132","publisher":"Brill","publisher-place":"Leiden","title":"Following the hills: gold mining camps as heterotopias","type":"chapter"},"uris":["http://www.mendeley.com/documents/?uuid=83603393-cc44-4264-a8c3-b78d02289a5a"]}],"mendeley":{"formattedCitation":"(Werthmann, 2010)","manualFormatting":"(2010)","plainTextFormattedCitation":"(Werthmann, 2010)","previouslyFormattedCitation":"(Werthmann, 2010)"},"properties":{"noteIndex":0},"schema":"https://github.com/citation-style-language/schema/raw/master/csl-citation.json"}</w:instrText>
      </w:r>
      <w:r w:rsidR="003620F5" w:rsidRPr="004E053C">
        <w:rPr>
          <w:rFonts w:cstheme="majorHAnsi"/>
          <w:bCs/>
          <w:sz w:val="22"/>
          <w:szCs w:val="22"/>
          <w:lang w:val="en-GB"/>
        </w:rPr>
        <w:fldChar w:fldCharType="separate"/>
      </w:r>
      <w:r w:rsidR="003620F5" w:rsidRPr="004E053C">
        <w:rPr>
          <w:rFonts w:cstheme="majorHAnsi"/>
          <w:bCs/>
          <w:noProof/>
          <w:sz w:val="22"/>
          <w:szCs w:val="22"/>
          <w:lang w:val="en-GB"/>
        </w:rPr>
        <w:t>(2010)</w:t>
      </w:r>
      <w:r w:rsidR="003620F5" w:rsidRPr="004E053C">
        <w:rPr>
          <w:rFonts w:cstheme="majorHAnsi"/>
          <w:bCs/>
          <w:sz w:val="22"/>
          <w:szCs w:val="22"/>
          <w:lang w:val="en-GB"/>
        </w:rPr>
        <w:fldChar w:fldCharType="end"/>
      </w:r>
      <w:r w:rsidR="00C7396E" w:rsidRPr="004E053C">
        <w:rPr>
          <w:rFonts w:cstheme="majorHAnsi"/>
          <w:bCs/>
          <w:sz w:val="22"/>
          <w:szCs w:val="22"/>
          <w:lang w:val="en-GB"/>
        </w:rPr>
        <w:t xml:space="preserve"> has suggested </w:t>
      </w:r>
      <w:r w:rsidR="00A41B6E" w:rsidRPr="004E053C">
        <w:rPr>
          <w:rFonts w:cstheme="majorHAnsi"/>
          <w:bCs/>
          <w:sz w:val="22"/>
          <w:szCs w:val="22"/>
          <w:lang w:val="en-GB"/>
        </w:rPr>
        <w:t xml:space="preserve">that the collective awareness of being despised by the social mainstream </w:t>
      </w:r>
      <w:r w:rsidR="00C7396E" w:rsidRPr="004E053C">
        <w:rPr>
          <w:rFonts w:cstheme="majorHAnsi"/>
          <w:bCs/>
          <w:sz w:val="22"/>
          <w:szCs w:val="22"/>
          <w:lang w:val="en-GB"/>
        </w:rPr>
        <w:t>may contribute</w:t>
      </w:r>
      <w:r w:rsidR="00A41B6E" w:rsidRPr="004E053C">
        <w:rPr>
          <w:rFonts w:cstheme="majorHAnsi"/>
          <w:bCs/>
          <w:sz w:val="22"/>
          <w:szCs w:val="22"/>
          <w:lang w:val="en-GB"/>
        </w:rPr>
        <w:t xml:space="preserve"> to </w:t>
      </w:r>
      <w:r w:rsidR="00C7396E" w:rsidRPr="004E053C">
        <w:rPr>
          <w:rFonts w:cstheme="majorHAnsi"/>
          <w:bCs/>
          <w:sz w:val="22"/>
          <w:szCs w:val="22"/>
          <w:lang w:val="en-GB"/>
        </w:rPr>
        <w:t>collective identity, and</w:t>
      </w:r>
      <w:r w:rsidR="00444A19" w:rsidRPr="004E053C">
        <w:rPr>
          <w:rFonts w:cstheme="majorHAnsi"/>
          <w:bCs/>
          <w:sz w:val="22"/>
          <w:szCs w:val="22"/>
          <w:lang w:val="en-GB"/>
        </w:rPr>
        <w:t xml:space="preserve"> </w:t>
      </w:r>
      <w:r w:rsidR="00A41B6E" w:rsidRPr="004E053C">
        <w:rPr>
          <w:rFonts w:cstheme="majorHAnsi"/>
          <w:bCs/>
          <w:sz w:val="22"/>
          <w:szCs w:val="22"/>
          <w:lang w:val="en-GB"/>
        </w:rPr>
        <w:t xml:space="preserve">here I argue that this is exacerbated in Laberinto due to the perceived threat to place and livelihood. </w:t>
      </w:r>
      <w:r w:rsidRPr="004E053C">
        <w:rPr>
          <w:rFonts w:eastAsia="Times New Roman" w:cstheme="majorHAnsi"/>
          <w:sz w:val="22"/>
          <w:szCs w:val="22"/>
          <w:lang w:val="en-GB"/>
        </w:rPr>
        <w:t xml:space="preserve">The Government’s lack of differentiation between the miners within the mining corridor and those outside of it would not cause such concern amongst the miners if it wasn’t for the Government’s claims that they want to get rid of the illegal miners in Madre de Dios. In some countries where ASM is technically illegal miners are rarely prevented from carrying out mining activity, but in Peru the interdictions are a major threat to livelihoods. This is particularly concerning for the </w:t>
      </w:r>
      <w:r w:rsidR="00C7396E" w:rsidRPr="004E053C">
        <w:rPr>
          <w:rFonts w:eastAsia="Times New Roman" w:cstheme="majorHAnsi"/>
          <w:sz w:val="22"/>
          <w:szCs w:val="22"/>
          <w:lang w:val="en-GB"/>
        </w:rPr>
        <w:t xml:space="preserve">permanent </w:t>
      </w:r>
      <w:r w:rsidRPr="004E053C">
        <w:rPr>
          <w:rFonts w:eastAsia="Times New Roman" w:cstheme="majorHAnsi"/>
          <w:sz w:val="22"/>
          <w:szCs w:val="22"/>
          <w:lang w:val="en-GB"/>
        </w:rPr>
        <w:t>residents, who have become convinced that the Government want to completely remove them from their land, and not just stop them from mining.</w:t>
      </w:r>
    </w:p>
    <w:p w14:paraId="19EC711E" w14:textId="77777777" w:rsidR="003E574E" w:rsidRPr="004E053C" w:rsidRDefault="003E574E" w:rsidP="004E053C">
      <w:pPr>
        <w:spacing w:line="360" w:lineRule="auto"/>
        <w:jc w:val="both"/>
        <w:rPr>
          <w:rFonts w:eastAsia="Times New Roman" w:cstheme="majorHAnsi"/>
          <w:i/>
          <w:iCs/>
          <w:sz w:val="22"/>
          <w:szCs w:val="22"/>
          <w:lang w:val="en-GB"/>
        </w:rPr>
      </w:pPr>
    </w:p>
    <w:p w14:paraId="1EBC3A0E" w14:textId="09500871"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What I’m really afraid of is being chased away from her</w:t>
      </w:r>
      <w:r w:rsidR="00444A19" w:rsidRPr="004E053C">
        <w:rPr>
          <w:rFonts w:eastAsia="Times New Roman" w:cstheme="majorHAnsi"/>
          <w:i/>
          <w:iCs/>
          <w:sz w:val="22"/>
          <w:szCs w:val="22"/>
          <w:lang w:val="en-GB"/>
        </w:rPr>
        <w:t>e by the Police and the G</w:t>
      </w:r>
      <w:r w:rsidR="003E574E" w:rsidRPr="004E053C">
        <w:rPr>
          <w:rFonts w:eastAsia="Times New Roman" w:cstheme="majorHAnsi"/>
          <w:i/>
          <w:iCs/>
          <w:sz w:val="22"/>
          <w:szCs w:val="22"/>
          <w:lang w:val="en-GB"/>
        </w:rPr>
        <w:t>overnment, if they tell us to leave our machines and get out of the land</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Andres</w:t>
      </w:r>
      <w:r w:rsidR="003E574E" w:rsidRPr="004E053C">
        <w:rPr>
          <w:rFonts w:eastAsia="Times New Roman" w:cstheme="majorHAnsi"/>
          <w:sz w:val="22"/>
          <w:szCs w:val="22"/>
          <w:lang w:val="en-GB"/>
        </w:rPr>
        <w:t>, ASM miner, Laberinto)</w:t>
      </w:r>
      <w:r w:rsidR="00294FB4" w:rsidRPr="004E053C">
        <w:rPr>
          <w:rFonts w:eastAsia="Times New Roman" w:cstheme="majorHAnsi"/>
          <w:sz w:val="22"/>
          <w:szCs w:val="22"/>
          <w:lang w:val="en-GB"/>
        </w:rPr>
        <w:t xml:space="preserve">. </w:t>
      </w:r>
    </w:p>
    <w:p w14:paraId="360C00BB" w14:textId="77777777" w:rsidR="003E574E" w:rsidRPr="004E053C" w:rsidRDefault="003E574E" w:rsidP="004E053C">
      <w:pPr>
        <w:jc w:val="both"/>
        <w:rPr>
          <w:rFonts w:eastAsia="Times New Roman" w:cstheme="majorHAnsi"/>
          <w:sz w:val="22"/>
          <w:szCs w:val="22"/>
          <w:lang w:val="en-GB"/>
        </w:rPr>
      </w:pPr>
    </w:p>
    <w:p w14:paraId="0584D104" w14:textId="5E608ECC"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444A19" w:rsidRPr="004E053C">
        <w:rPr>
          <w:rFonts w:eastAsia="Times New Roman" w:cstheme="majorHAnsi"/>
          <w:i/>
          <w:iCs/>
          <w:sz w:val="22"/>
          <w:szCs w:val="22"/>
          <w:lang w:val="en-GB"/>
        </w:rPr>
        <w:t>The G</w:t>
      </w:r>
      <w:r w:rsidR="003E574E" w:rsidRPr="004E053C">
        <w:rPr>
          <w:rFonts w:eastAsia="Times New Roman" w:cstheme="majorHAnsi"/>
          <w:i/>
          <w:iCs/>
          <w:sz w:val="22"/>
          <w:szCs w:val="22"/>
          <w:lang w:val="en-GB"/>
        </w:rPr>
        <w:t>overnment is doing everything to close these places, and the government effort to stop them is stronger than ever…I could do agriculture here if the mining was closed, but it is di</w:t>
      </w:r>
      <w:r w:rsidR="00444A19" w:rsidRPr="004E053C">
        <w:rPr>
          <w:rFonts w:eastAsia="Times New Roman" w:cstheme="majorHAnsi"/>
          <w:i/>
          <w:iCs/>
          <w:sz w:val="22"/>
          <w:szCs w:val="22"/>
          <w:lang w:val="en-GB"/>
        </w:rPr>
        <w:t>fficult here it seems that the G</w:t>
      </w:r>
      <w:r w:rsidR="003E574E" w:rsidRPr="004E053C">
        <w:rPr>
          <w:rFonts w:eastAsia="Times New Roman" w:cstheme="majorHAnsi"/>
          <w:i/>
          <w:iCs/>
          <w:sz w:val="22"/>
          <w:szCs w:val="22"/>
          <w:lang w:val="en-GB"/>
        </w:rPr>
        <w:t>overnment want to close everything here, not just mining but agriculture too</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Willan</w:t>
      </w:r>
      <w:r w:rsidR="003E574E" w:rsidRPr="004E053C">
        <w:rPr>
          <w:rFonts w:eastAsia="Times New Roman" w:cstheme="majorHAnsi"/>
          <w:sz w:val="22"/>
          <w:szCs w:val="22"/>
          <w:lang w:val="en-GB"/>
        </w:rPr>
        <w:t>, ASM miner, Laberinto)</w:t>
      </w:r>
      <w:r w:rsidR="00294FB4" w:rsidRPr="004E053C">
        <w:rPr>
          <w:rFonts w:eastAsia="Times New Roman" w:cstheme="majorHAnsi"/>
          <w:sz w:val="22"/>
          <w:szCs w:val="22"/>
          <w:lang w:val="en-GB"/>
        </w:rPr>
        <w:t xml:space="preserve">. </w:t>
      </w:r>
    </w:p>
    <w:p w14:paraId="53533A14" w14:textId="77777777" w:rsidR="003E574E" w:rsidRPr="004E053C" w:rsidRDefault="003E574E" w:rsidP="004E053C">
      <w:pPr>
        <w:spacing w:line="360" w:lineRule="auto"/>
        <w:jc w:val="both"/>
        <w:rPr>
          <w:rFonts w:eastAsia="Times New Roman" w:cstheme="majorHAnsi"/>
          <w:sz w:val="22"/>
          <w:szCs w:val="22"/>
          <w:lang w:val="en-GB"/>
        </w:rPr>
      </w:pPr>
    </w:p>
    <w:p w14:paraId="3AE7F0E0" w14:textId="75524161"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The quotes above highlight the threat to the miners’ space of work</w:t>
      </w:r>
      <w:r w:rsidR="00444A19" w:rsidRPr="004E053C">
        <w:rPr>
          <w:rFonts w:eastAsia="Times New Roman" w:cstheme="majorHAnsi"/>
          <w:sz w:val="22"/>
          <w:szCs w:val="22"/>
          <w:lang w:val="en-GB"/>
        </w:rPr>
        <w:t xml:space="preserve"> </w:t>
      </w:r>
      <w:r w:rsidRPr="004E053C">
        <w:rPr>
          <w:rFonts w:eastAsia="Times New Roman" w:cstheme="majorHAnsi"/>
          <w:sz w:val="22"/>
          <w:szCs w:val="22"/>
          <w:lang w:val="en-GB"/>
        </w:rPr>
        <w:t>is likely to contribu</w:t>
      </w:r>
      <w:r w:rsidR="003A758D" w:rsidRPr="004E053C">
        <w:rPr>
          <w:rFonts w:eastAsia="Times New Roman" w:cstheme="majorHAnsi"/>
          <w:sz w:val="22"/>
          <w:szCs w:val="22"/>
          <w:lang w:val="en-GB"/>
        </w:rPr>
        <w:t xml:space="preserve">te to the formation of a shared </w:t>
      </w:r>
      <w:r w:rsidRPr="004E053C">
        <w:rPr>
          <w:rFonts w:eastAsia="Times New Roman" w:cstheme="majorHAnsi"/>
          <w:sz w:val="22"/>
          <w:szCs w:val="22"/>
          <w:lang w:val="en-GB"/>
        </w:rPr>
        <w:t xml:space="preserve">identity, although it may be expected that the </w:t>
      </w:r>
      <w:r w:rsidR="00444A19" w:rsidRPr="004E053C">
        <w:rPr>
          <w:rFonts w:eastAsia="Times New Roman" w:cstheme="majorHAnsi"/>
          <w:sz w:val="22"/>
          <w:szCs w:val="22"/>
          <w:lang w:val="en-GB"/>
        </w:rPr>
        <w:t>perma</w:t>
      </w:r>
      <w:r w:rsidR="003A758D" w:rsidRPr="004E053C">
        <w:rPr>
          <w:rFonts w:eastAsia="Times New Roman" w:cstheme="majorHAnsi"/>
          <w:sz w:val="22"/>
          <w:szCs w:val="22"/>
          <w:lang w:val="en-GB"/>
        </w:rPr>
        <w:t>nent</w:t>
      </w:r>
      <w:r w:rsidRPr="004E053C">
        <w:rPr>
          <w:rFonts w:eastAsia="Times New Roman" w:cstheme="majorHAnsi"/>
          <w:sz w:val="22"/>
          <w:szCs w:val="22"/>
          <w:lang w:val="en-GB"/>
        </w:rPr>
        <w:t xml:space="preserve"> miners will feel this </w:t>
      </w:r>
      <w:r w:rsidRPr="004E053C">
        <w:rPr>
          <w:rFonts w:eastAsia="Times New Roman" w:cstheme="majorHAnsi"/>
          <w:sz w:val="22"/>
          <w:szCs w:val="22"/>
          <w:lang w:val="en-GB"/>
        </w:rPr>
        <w:lastRenderedPageBreak/>
        <w:t xml:space="preserve">threat the greatest as they have fewer alternative options. Furthermore, for the </w:t>
      </w:r>
      <w:r w:rsidR="003A758D" w:rsidRPr="004E053C">
        <w:rPr>
          <w:rFonts w:eastAsia="Times New Roman" w:cstheme="majorHAnsi"/>
          <w:sz w:val="22"/>
          <w:szCs w:val="22"/>
          <w:lang w:val="en-GB"/>
        </w:rPr>
        <w:t>permanent</w:t>
      </w:r>
      <w:r w:rsidRPr="004E053C">
        <w:rPr>
          <w:rFonts w:eastAsia="Times New Roman" w:cstheme="majorHAnsi"/>
          <w:sz w:val="22"/>
          <w:szCs w:val="22"/>
          <w:lang w:val="en-GB"/>
        </w:rPr>
        <w:t xml:space="preserve"> miners i</w:t>
      </w:r>
      <w:r w:rsidR="00C7396E" w:rsidRPr="004E053C">
        <w:rPr>
          <w:rFonts w:eastAsia="Times New Roman" w:cstheme="majorHAnsi"/>
          <w:sz w:val="22"/>
          <w:szCs w:val="22"/>
          <w:lang w:val="en-GB"/>
        </w:rPr>
        <w:t xml:space="preserve">n particular, Laberinto is </w:t>
      </w:r>
      <w:r w:rsidRPr="004E053C">
        <w:rPr>
          <w:rFonts w:eastAsia="Times New Roman" w:cstheme="majorHAnsi"/>
          <w:sz w:val="22"/>
          <w:szCs w:val="22"/>
          <w:lang w:val="en-GB"/>
        </w:rPr>
        <w:t xml:space="preserve">their home, meaning </w:t>
      </w:r>
      <w:r w:rsidR="003A758D" w:rsidRPr="004E053C">
        <w:rPr>
          <w:rFonts w:eastAsia="Times New Roman" w:cstheme="majorHAnsi"/>
          <w:sz w:val="22"/>
          <w:szCs w:val="22"/>
          <w:lang w:val="en-GB"/>
        </w:rPr>
        <w:t>that t</w:t>
      </w:r>
      <w:r w:rsidRPr="004E053C">
        <w:rPr>
          <w:rFonts w:eastAsia="Times New Roman" w:cstheme="majorHAnsi"/>
          <w:sz w:val="22"/>
          <w:szCs w:val="22"/>
          <w:lang w:val="en-GB"/>
        </w:rPr>
        <w:t xml:space="preserve">he threat posed to the local area is no longer simply a livelihoods issue. </w:t>
      </w:r>
      <w:r w:rsidR="00C7396E" w:rsidRPr="004E053C">
        <w:rPr>
          <w:rFonts w:eastAsia="Times New Roman" w:cstheme="majorHAnsi"/>
          <w:sz w:val="22"/>
          <w:szCs w:val="22"/>
          <w:lang w:val="en-GB"/>
        </w:rPr>
        <w:t xml:space="preserve">As </w:t>
      </w:r>
      <w:r w:rsidR="00EA7F80" w:rsidRPr="004E053C">
        <w:rPr>
          <w:rFonts w:eastAsia="Times New Roman" w:cstheme="majorHAnsi"/>
          <w:sz w:val="22"/>
          <w:szCs w:val="22"/>
          <w:lang w:val="en-GB"/>
        </w:rPr>
        <w:t>Andres</w:t>
      </w:r>
      <w:r w:rsidRPr="004E053C">
        <w:rPr>
          <w:rFonts w:eastAsia="Times New Roman" w:cstheme="majorHAnsi"/>
          <w:sz w:val="22"/>
          <w:szCs w:val="22"/>
          <w:lang w:val="en-GB"/>
        </w:rPr>
        <w:t xml:space="preserve"> and </w:t>
      </w:r>
      <w:r w:rsidR="00EA7F80" w:rsidRPr="004E053C">
        <w:rPr>
          <w:rFonts w:eastAsia="Times New Roman" w:cstheme="majorHAnsi"/>
          <w:sz w:val="22"/>
          <w:szCs w:val="22"/>
          <w:lang w:val="en-GB"/>
        </w:rPr>
        <w:t>Willan</w:t>
      </w:r>
      <w:r w:rsidRPr="004E053C">
        <w:rPr>
          <w:rFonts w:eastAsia="Times New Roman" w:cstheme="majorHAnsi"/>
          <w:sz w:val="22"/>
          <w:szCs w:val="22"/>
          <w:lang w:val="en-GB"/>
        </w:rPr>
        <w:t xml:space="preserve">’s quotes both show, the perceived threat is not merely to ASM, but to the entire area. While </w:t>
      </w:r>
      <w:r w:rsidR="00EA7F80" w:rsidRPr="004E053C">
        <w:rPr>
          <w:rFonts w:eastAsia="Times New Roman" w:cstheme="majorHAnsi"/>
          <w:sz w:val="22"/>
          <w:szCs w:val="22"/>
          <w:lang w:val="en-GB"/>
        </w:rPr>
        <w:t>Andres</w:t>
      </w:r>
      <w:r w:rsidRPr="004E053C">
        <w:rPr>
          <w:rFonts w:eastAsia="Times New Roman" w:cstheme="majorHAnsi"/>
          <w:sz w:val="22"/>
          <w:szCs w:val="22"/>
          <w:lang w:val="en-GB"/>
        </w:rPr>
        <w:t xml:space="preserve"> thinks they will be chased away, </w:t>
      </w:r>
      <w:r w:rsidR="00EA7F80" w:rsidRPr="004E053C">
        <w:rPr>
          <w:rFonts w:eastAsia="Times New Roman" w:cstheme="majorHAnsi"/>
          <w:sz w:val="22"/>
          <w:szCs w:val="22"/>
          <w:lang w:val="en-GB"/>
        </w:rPr>
        <w:t>Willan</w:t>
      </w:r>
      <w:r w:rsidRPr="004E053C">
        <w:rPr>
          <w:rFonts w:eastAsia="Times New Roman" w:cstheme="majorHAnsi"/>
          <w:sz w:val="22"/>
          <w:szCs w:val="22"/>
          <w:lang w:val="en-GB"/>
        </w:rPr>
        <w:t xml:space="preserve"> sees them shutting down all economic opportunities, not just ASM, which </w:t>
      </w:r>
      <w:r w:rsidR="00C7396E" w:rsidRPr="004E053C">
        <w:rPr>
          <w:rFonts w:eastAsia="Times New Roman" w:cstheme="majorHAnsi"/>
          <w:sz w:val="22"/>
          <w:szCs w:val="22"/>
          <w:lang w:val="en-GB"/>
        </w:rPr>
        <w:t>will still effectively mean the miners</w:t>
      </w:r>
      <w:r w:rsidRPr="004E053C">
        <w:rPr>
          <w:rFonts w:eastAsia="Times New Roman" w:cstheme="majorHAnsi"/>
          <w:sz w:val="22"/>
          <w:szCs w:val="22"/>
          <w:lang w:val="en-GB"/>
        </w:rPr>
        <w:t xml:space="preserve"> have to leave</w:t>
      </w:r>
      <w:r w:rsidR="00C7396E" w:rsidRPr="004E053C">
        <w:rPr>
          <w:rFonts w:eastAsia="Times New Roman" w:cstheme="majorHAnsi"/>
          <w:sz w:val="22"/>
          <w:szCs w:val="22"/>
          <w:lang w:val="en-GB"/>
        </w:rPr>
        <w:t xml:space="preserve"> to find work elsewhere</w:t>
      </w:r>
      <w:r w:rsidRPr="004E053C">
        <w:rPr>
          <w:rFonts w:eastAsia="Times New Roman" w:cstheme="majorHAnsi"/>
          <w:sz w:val="22"/>
          <w:szCs w:val="22"/>
          <w:lang w:val="en-GB"/>
        </w:rPr>
        <w:t>.</w:t>
      </w:r>
      <w:r w:rsidR="000C3F44" w:rsidRPr="004E053C">
        <w:rPr>
          <w:rFonts w:eastAsia="Times New Roman" w:cstheme="majorHAnsi"/>
          <w:sz w:val="22"/>
          <w:szCs w:val="22"/>
          <w:lang w:val="en-GB"/>
        </w:rPr>
        <w:t xml:space="preserve"> Due to the push for conservation, many alternative livelihood activities </w:t>
      </w:r>
      <w:r w:rsidR="00C7396E" w:rsidRPr="004E053C">
        <w:rPr>
          <w:rFonts w:eastAsia="Times New Roman" w:cstheme="majorHAnsi"/>
          <w:sz w:val="22"/>
          <w:szCs w:val="22"/>
          <w:lang w:val="en-GB"/>
        </w:rPr>
        <w:t xml:space="preserve">in Madre de Dios </w:t>
      </w:r>
      <w:r w:rsidR="000C3F44" w:rsidRPr="004E053C">
        <w:rPr>
          <w:rFonts w:eastAsia="Times New Roman" w:cstheme="majorHAnsi"/>
          <w:sz w:val="22"/>
          <w:szCs w:val="22"/>
          <w:lang w:val="en-GB"/>
        </w:rPr>
        <w:t>are also re</w:t>
      </w:r>
      <w:r w:rsidR="003A758D" w:rsidRPr="004E053C">
        <w:rPr>
          <w:rFonts w:eastAsia="Times New Roman" w:cstheme="majorHAnsi"/>
          <w:sz w:val="22"/>
          <w:szCs w:val="22"/>
          <w:lang w:val="en-GB"/>
        </w:rPr>
        <w:t xml:space="preserve">stricted, especially on a large </w:t>
      </w:r>
      <w:r w:rsidR="000C3F44" w:rsidRPr="004E053C">
        <w:rPr>
          <w:rFonts w:eastAsia="Times New Roman" w:cstheme="majorHAnsi"/>
          <w:sz w:val="22"/>
          <w:szCs w:val="22"/>
          <w:lang w:val="en-GB"/>
        </w:rPr>
        <w:t xml:space="preserve">scale. </w:t>
      </w:r>
    </w:p>
    <w:p w14:paraId="6F109285" w14:textId="77777777" w:rsidR="003E574E" w:rsidRPr="004E053C" w:rsidRDefault="003E574E" w:rsidP="004E053C">
      <w:pPr>
        <w:spacing w:line="360" w:lineRule="auto"/>
        <w:jc w:val="both"/>
        <w:rPr>
          <w:rFonts w:eastAsia="Times New Roman" w:cstheme="majorHAnsi"/>
          <w:b/>
          <w:bCs/>
          <w:sz w:val="22"/>
          <w:szCs w:val="22"/>
          <w:lang w:val="en-GB"/>
        </w:rPr>
      </w:pPr>
    </w:p>
    <w:p w14:paraId="69D1EDA7" w14:textId="768E74F6"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As outlined in the theoretical framework, the ability to claim control over a particularly place is central to the creation of a </w:t>
      </w:r>
      <w:r w:rsidR="003A758D" w:rsidRPr="004E053C">
        <w:rPr>
          <w:rFonts w:eastAsia="Times New Roman" w:cstheme="majorHAnsi"/>
          <w:sz w:val="22"/>
          <w:szCs w:val="22"/>
          <w:lang w:val="en-GB"/>
        </w:rPr>
        <w:t xml:space="preserve">collective </w:t>
      </w:r>
      <w:r w:rsidR="00444A19" w:rsidRPr="004E053C">
        <w:rPr>
          <w:rFonts w:eastAsia="Times New Roman" w:cstheme="majorHAnsi"/>
          <w:sz w:val="22"/>
          <w:szCs w:val="22"/>
          <w:lang w:val="en-GB"/>
        </w:rPr>
        <w:t>identity. T</w:t>
      </w:r>
      <w:r w:rsidR="003A758D" w:rsidRPr="004E053C">
        <w:rPr>
          <w:rFonts w:eastAsia="Times New Roman" w:cstheme="majorHAnsi"/>
          <w:sz w:val="22"/>
          <w:szCs w:val="22"/>
          <w:lang w:val="en-GB"/>
        </w:rPr>
        <w:t>his is further cemented when local people perceive</w:t>
      </w:r>
      <w:r w:rsidRPr="004E053C">
        <w:rPr>
          <w:rFonts w:eastAsia="Times New Roman" w:cstheme="majorHAnsi"/>
          <w:sz w:val="22"/>
          <w:szCs w:val="22"/>
          <w:lang w:val="en-GB"/>
        </w:rPr>
        <w:t xml:space="preserve"> </w:t>
      </w:r>
      <w:r w:rsidR="003A758D" w:rsidRPr="004E053C">
        <w:rPr>
          <w:rFonts w:eastAsia="Times New Roman" w:cstheme="majorHAnsi"/>
          <w:sz w:val="22"/>
          <w:szCs w:val="22"/>
          <w:lang w:val="en-GB"/>
        </w:rPr>
        <w:t xml:space="preserve">that they are </w:t>
      </w:r>
      <w:r w:rsidRPr="004E053C">
        <w:rPr>
          <w:rFonts w:eastAsia="Times New Roman" w:cstheme="majorHAnsi"/>
          <w:sz w:val="22"/>
          <w:szCs w:val="22"/>
          <w:lang w:val="en-GB"/>
        </w:rPr>
        <w:t xml:space="preserve">marginalised by the dominant society </w:t>
      </w:r>
      <w:r w:rsidR="003620F5"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2011)","manualFormatting":"(Cross &amp; Hernández, 2011)","plainTextFormattedCitation":"(J. C. Cross &amp; Hernández, 2011)","previouslyFormattedCitation":"(J. C. Cross &amp; Hernández, 2011)"},"properties":{"noteIndex":0},"schema":"https://github.com/citation-style-language/schema/raw/master/csl-citation.json"}</w:instrText>
      </w:r>
      <w:r w:rsidR="003620F5" w:rsidRPr="004E053C">
        <w:rPr>
          <w:rFonts w:eastAsia="Times New Roman" w:cstheme="majorHAnsi"/>
          <w:sz w:val="22"/>
          <w:szCs w:val="22"/>
          <w:lang w:val="en-GB"/>
        </w:rPr>
        <w:fldChar w:fldCharType="separate"/>
      </w:r>
      <w:r w:rsidR="00444A19" w:rsidRPr="004E053C">
        <w:rPr>
          <w:rFonts w:eastAsia="Times New Roman" w:cstheme="majorHAnsi"/>
          <w:noProof/>
          <w:sz w:val="22"/>
          <w:szCs w:val="22"/>
          <w:lang w:val="en-GB"/>
        </w:rPr>
        <w:t>(</w:t>
      </w:r>
      <w:r w:rsidR="00B06217" w:rsidRPr="004E053C">
        <w:rPr>
          <w:rFonts w:eastAsia="Times New Roman" w:cstheme="majorHAnsi"/>
          <w:noProof/>
          <w:sz w:val="22"/>
          <w:szCs w:val="22"/>
          <w:lang w:val="en-GB"/>
        </w:rPr>
        <w:t>Cross &amp; Hernández, 2011)</w:t>
      </w:r>
      <w:r w:rsidR="003620F5" w:rsidRPr="004E053C">
        <w:rPr>
          <w:rFonts w:eastAsia="Times New Roman" w:cstheme="majorHAnsi"/>
          <w:sz w:val="22"/>
          <w:szCs w:val="22"/>
          <w:lang w:val="en-GB"/>
        </w:rPr>
        <w:fldChar w:fldCharType="end"/>
      </w:r>
      <w:r w:rsidRPr="004E053C">
        <w:rPr>
          <w:rFonts w:eastAsia="Times New Roman" w:cstheme="majorHAnsi"/>
          <w:sz w:val="22"/>
          <w:szCs w:val="22"/>
          <w:lang w:val="en-GB"/>
        </w:rPr>
        <w:t>. The shared feeling of being persecuted and vilified effectively creates what may be th</w:t>
      </w:r>
      <w:r w:rsidR="003620F5" w:rsidRPr="004E053C">
        <w:rPr>
          <w:rFonts w:eastAsia="Times New Roman" w:cstheme="majorHAnsi"/>
          <w:sz w:val="22"/>
          <w:szCs w:val="22"/>
          <w:lang w:val="en-GB"/>
        </w:rPr>
        <w:t>ought of as a unifying ideolo</w:t>
      </w:r>
      <w:r w:rsidR="003766F8" w:rsidRPr="004E053C">
        <w:rPr>
          <w:rFonts w:eastAsia="Times New Roman" w:cstheme="majorHAnsi"/>
          <w:sz w:val="22"/>
          <w:szCs w:val="22"/>
          <w:lang w:val="en-GB"/>
        </w:rPr>
        <w:t>gy</w:t>
      </w:r>
      <w:r w:rsidR="00444A19" w:rsidRPr="004E053C">
        <w:rPr>
          <w:rFonts w:eastAsia="Times New Roman" w:cstheme="majorHAnsi"/>
          <w:sz w:val="22"/>
          <w:szCs w:val="22"/>
          <w:lang w:val="en-GB"/>
        </w:rPr>
        <w:t>. T</w:t>
      </w:r>
      <w:r w:rsidRPr="004E053C">
        <w:rPr>
          <w:rFonts w:eastAsia="Times New Roman" w:cstheme="majorHAnsi"/>
          <w:sz w:val="22"/>
          <w:szCs w:val="22"/>
          <w:lang w:val="en-GB"/>
        </w:rPr>
        <w:t>he threat to local livelihoods</w:t>
      </w:r>
      <w:r w:rsidR="003766F8" w:rsidRPr="004E053C">
        <w:rPr>
          <w:rFonts w:eastAsia="Times New Roman" w:cstheme="majorHAnsi"/>
          <w:sz w:val="22"/>
          <w:szCs w:val="22"/>
          <w:lang w:val="en-GB"/>
        </w:rPr>
        <w:t xml:space="preserve"> enables residents to create a </w:t>
      </w:r>
      <w:r w:rsidRPr="004E053C">
        <w:rPr>
          <w:rFonts w:eastAsia="Times New Roman" w:cstheme="majorHAnsi"/>
          <w:sz w:val="22"/>
          <w:szCs w:val="22"/>
          <w:lang w:val="en-GB"/>
        </w:rPr>
        <w:t>common percept</w:t>
      </w:r>
      <w:r w:rsidR="003766F8" w:rsidRPr="004E053C">
        <w:rPr>
          <w:rFonts w:eastAsia="Times New Roman" w:cstheme="majorHAnsi"/>
          <w:sz w:val="22"/>
          <w:szCs w:val="22"/>
          <w:lang w:val="en-GB"/>
        </w:rPr>
        <w:t>ion of their lives based on their everyday</w:t>
      </w:r>
      <w:r w:rsidRPr="004E053C">
        <w:rPr>
          <w:rFonts w:eastAsia="Times New Roman" w:cstheme="majorHAnsi"/>
          <w:sz w:val="22"/>
          <w:szCs w:val="22"/>
          <w:lang w:val="en-GB"/>
        </w:rPr>
        <w:t xml:space="preserve"> in</w:t>
      </w:r>
      <w:r w:rsidR="003766F8" w:rsidRPr="004E053C">
        <w:rPr>
          <w:rFonts w:eastAsia="Times New Roman" w:cstheme="majorHAnsi"/>
          <w:sz w:val="22"/>
          <w:szCs w:val="22"/>
          <w:lang w:val="en-GB"/>
        </w:rPr>
        <w:t>teractions</w:t>
      </w:r>
      <w:r w:rsidRPr="004E053C">
        <w:rPr>
          <w:rFonts w:eastAsia="Times New Roman" w:cstheme="majorHAnsi"/>
          <w:sz w:val="22"/>
          <w:szCs w:val="22"/>
          <w:lang w:val="en-GB"/>
        </w:rPr>
        <w:t xml:space="preserve"> </w:t>
      </w:r>
      <w:r w:rsidR="006A7145" w:rsidRPr="004E053C">
        <w:rPr>
          <w:rFonts w:eastAsia="Times New Roman" w:cstheme="majorHAnsi"/>
          <w:sz w:val="22"/>
          <w:szCs w:val="22"/>
          <w:lang w:val="en-GB"/>
        </w:rPr>
        <w:fldChar w:fldCharType="begin" w:fldLock="1"/>
      </w:r>
      <w:r w:rsidR="007A757C" w:rsidRPr="004E053C">
        <w:rPr>
          <w:rFonts w:eastAsia="Times New Roman"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id":"ITEM-2","itemData":{"author":[{"dropping-particle":"","family":"Cuba","given":"Lee","non-dropping-particle":"","parse-names":false,"suffix":""},{"dropping-particle":"","family":"Hummon","given":"David M","non-dropping-particle":"","parse-names":false,"suffix":""}],"container-title":"Sociological Quarterly","id":"ITEM-2","issue":"1","issued":{"date-parts":[["1993"]]},"page":"111-131","title":"A place to call home: identitication with dwelling, community and region","type":"article-journal","volume":"34"},"uris":["http://www.mendeley.com/documents/?uuid=5a6b16da-dfd1-4b24-b281-35ec3ebd03c5"]},{"id":"ITEM-3","itemData":{"author":[{"dropping-particle":"","family":"Gupta","given":"Akhil","non-dropping-particle":"","parse-names":false,"suffix":""},{"dropping-particle":"","family":"Ferguson","given":"James","non-dropping-particle":"","parse-names":false,"suffix":""}],"container-title":"Culture, Power, Place: Explorations in Critical Anthropology","editor":[{"dropping-particle":"","family":"Gupta","given":"Akhil","non-dropping-particle":"","parse-names":false,"suffix":""},{"dropping-particle":"","family":"Ferguson","given":"James","non-dropping-particle":"","parse-names":false,"suffix":""}],"id":"ITEM-3","issued":{"date-parts":[["1997"]]},"page":"31-51","publisher":"Duke University Press","publisher-place":"Durham, NC","title":"Beyond 'culture': space, identity and the politics of difference","type":"chapter"},"uris":["http://www.mendeley.com/documents/?uuid=3bc3d4cf-2c70-492d-a62e-0ebe1a08ceaa"]},{"id":"ITEM-4","itemData":{"author":[{"dropping-particle":"","family":"Hummon","given":"David","non-dropping-particle":"","parse-names":false,"suffix":""}],"container-title":"Place Attachment","editor":[{"dropping-particle":"","family":"Altman","given":"I","non-dropping-particle":"","parse-names":false,"suffix":""},{"dropping-particle":"","family":"Low","given":"S","non-dropping-particle":"","parse-names":false,"suffix":""}],"id":"ITEM-4","issued":{"date-parts":[["1992"]]},"page":"253-278","publisher":"Plenum","publisher-place":"New York, NY","title":"Community attachment: local sentiment and sense of place","type":"chapter"},"uris":["http://www.mendeley.com/documents/?uuid=e6863556-1adb-4c5a-ab09-add23463f141"]}],"mendeley":{"formattedCitation":"(J. C. Cross &amp; Hernández, 2011; Cuba &amp; Hummon, 1993; Gupta &amp; Ferguson, 1997; Hummon, 1992)","manualFormatting":"(Cross &amp; Hernández, 2011; Cuba &amp; Hummon, 1993; Gupta &amp; Ferguson, 1997; Hummon, 1992)","plainTextFormattedCitation":"(J. C. Cross &amp; Hernández, 2011; Cuba &amp; Hummon, 1993; Gupta &amp; Ferguson, 1997; Hummon, 1992)","previouslyFormattedCitation":"(J. C. Cross &amp; Hernández, 2011; Cuba &amp; Hummon, 1993; Gupta &amp; Ferguson, 1997; Hummon, 1992)"},"properties":{"noteIndex":0},"schema":"https://github.com/citation-style-language/schema/raw/master/csl-citation.json"}</w:instrText>
      </w:r>
      <w:r w:rsidR="006A7145" w:rsidRPr="004E053C">
        <w:rPr>
          <w:rFonts w:eastAsia="Times New Roman" w:cstheme="majorHAnsi"/>
          <w:sz w:val="22"/>
          <w:szCs w:val="22"/>
          <w:lang w:val="en-GB"/>
        </w:rPr>
        <w:fldChar w:fldCharType="separate"/>
      </w:r>
      <w:r w:rsidR="00444A19" w:rsidRPr="004E053C">
        <w:rPr>
          <w:rFonts w:eastAsia="Times New Roman" w:cstheme="majorHAnsi"/>
          <w:noProof/>
          <w:sz w:val="22"/>
          <w:szCs w:val="22"/>
          <w:lang w:val="en-GB"/>
        </w:rPr>
        <w:t>(</w:t>
      </w:r>
      <w:r w:rsidR="00B06217" w:rsidRPr="004E053C">
        <w:rPr>
          <w:rFonts w:eastAsia="Times New Roman" w:cstheme="majorHAnsi"/>
          <w:noProof/>
          <w:sz w:val="22"/>
          <w:szCs w:val="22"/>
          <w:lang w:val="en-GB"/>
        </w:rPr>
        <w:t>Cross &amp; Hernández, 2011; Cuba &amp; Hummon, 1993; Gupta &amp; Ferguson, 1997; Hummon, 1992)</w:t>
      </w:r>
      <w:r w:rsidR="006A7145"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The </w:t>
      </w:r>
      <w:r w:rsidR="003A758D" w:rsidRPr="004E053C">
        <w:rPr>
          <w:rFonts w:eastAsia="Times New Roman" w:cstheme="majorHAnsi"/>
          <w:sz w:val="22"/>
          <w:szCs w:val="22"/>
          <w:lang w:val="en-GB"/>
        </w:rPr>
        <w:t>residents of Laberinto</w:t>
      </w:r>
      <w:r w:rsidRPr="004E053C">
        <w:rPr>
          <w:rFonts w:eastAsia="Times New Roman" w:cstheme="majorHAnsi"/>
          <w:sz w:val="22"/>
          <w:szCs w:val="22"/>
          <w:lang w:val="en-GB"/>
        </w:rPr>
        <w:t xml:space="preserve"> are acutely aware that their </w:t>
      </w:r>
      <w:r w:rsidR="003A758D" w:rsidRPr="004E053C">
        <w:rPr>
          <w:rFonts w:eastAsia="Times New Roman" w:cstheme="majorHAnsi"/>
          <w:sz w:val="22"/>
          <w:szCs w:val="22"/>
          <w:lang w:val="en-GB"/>
        </w:rPr>
        <w:t>association with ASM</w:t>
      </w:r>
      <w:r w:rsidRPr="004E053C">
        <w:rPr>
          <w:rFonts w:eastAsia="Times New Roman" w:cstheme="majorHAnsi"/>
          <w:sz w:val="22"/>
          <w:szCs w:val="22"/>
          <w:lang w:val="en-GB"/>
        </w:rPr>
        <w:t xml:space="preserve"> renders them as deviant from the norms of the dominant society, but their shared experience allows them to create their own narratives which res</w:t>
      </w:r>
      <w:r w:rsidR="00444A19" w:rsidRPr="004E053C">
        <w:rPr>
          <w:rFonts w:eastAsia="Times New Roman" w:cstheme="majorHAnsi"/>
          <w:sz w:val="22"/>
          <w:szCs w:val="22"/>
          <w:lang w:val="en-GB"/>
        </w:rPr>
        <w:t>ist this labelling and, further</w:t>
      </w:r>
      <w:r w:rsidRPr="004E053C">
        <w:rPr>
          <w:rFonts w:eastAsia="Times New Roman" w:cstheme="majorHAnsi"/>
          <w:sz w:val="22"/>
          <w:szCs w:val="22"/>
          <w:lang w:val="en-GB"/>
        </w:rPr>
        <w:t xml:space="preserve"> to attempt to influence future ASM policy. This has become fundamental to local resistance and the continua</w:t>
      </w:r>
      <w:r w:rsidR="003A758D" w:rsidRPr="004E053C">
        <w:rPr>
          <w:rFonts w:eastAsia="Times New Roman" w:cstheme="majorHAnsi"/>
          <w:sz w:val="22"/>
          <w:szCs w:val="22"/>
          <w:lang w:val="en-GB"/>
        </w:rPr>
        <w:t>tion of livelihoods considered deviant</w:t>
      </w:r>
      <w:r w:rsidRPr="004E053C">
        <w:rPr>
          <w:rFonts w:eastAsia="Times New Roman" w:cstheme="majorHAnsi"/>
          <w:sz w:val="22"/>
          <w:szCs w:val="22"/>
          <w:lang w:val="en-GB"/>
        </w:rPr>
        <w:t xml:space="preserve"> by outsiders. </w:t>
      </w:r>
      <w:r w:rsidR="003A758D" w:rsidRPr="004E053C">
        <w:rPr>
          <w:rFonts w:eastAsia="Times New Roman" w:cstheme="majorHAnsi"/>
          <w:sz w:val="22"/>
          <w:szCs w:val="22"/>
          <w:lang w:val="en-GB"/>
        </w:rPr>
        <w:t xml:space="preserve">Crucially, the reliance of the town’s economy on ASM ensures the support of all permanent residents. </w:t>
      </w:r>
    </w:p>
    <w:p w14:paraId="35970AE4" w14:textId="77777777" w:rsidR="00BF0EFA" w:rsidRPr="004E053C" w:rsidRDefault="00BF0EFA" w:rsidP="004E053C">
      <w:pPr>
        <w:spacing w:line="360" w:lineRule="auto"/>
        <w:jc w:val="both"/>
        <w:rPr>
          <w:rFonts w:eastAsia="Times New Roman" w:cstheme="majorHAnsi"/>
          <w:sz w:val="22"/>
          <w:szCs w:val="22"/>
          <w:lang w:val="en-GB"/>
        </w:rPr>
      </w:pPr>
    </w:p>
    <w:p w14:paraId="7E89A3E4" w14:textId="444DB93D" w:rsidR="003E574E"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w:t>
      </w:r>
      <w:r w:rsidR="00444A19" w:rsidRPr="004E053C">
        <w:rPr>
          <w:rFonts w:asciiTheme="minorHAnsi" w:hAnsiTheme="minorHAnsi"/>
        </w:rPr>
        <w:t>4.3. Organis</w:t>
      </w:r>
      <w:r w:rsidR="004A3EF1" w:rsidRPr="004E053C">
        <w:rPr>
          <w:rFonts w:asciiTheme="minorHAnsi" w:hAnsiTheme="minorHAnsi"/>
        </w:rPr>
        <w:t>ational i</w:t>
      </w:r>
      <w:r w:rsidR="003E574E" w:rsidRPr="004E053C">
        <w:rPr>
          <w:rFonts w:asciiTheme="minorHAnsi" w:hAnsiTheme="minorHAnsi"/>
        </w:rPr>
        <w:t>ntegration – FEDAMIN</w:t>
      </w:r>
    </w:p>
    <w:p w14:paraId="01616495" w14:textId="77777777" w:rsidR="003E574E" w:rsidRPr="004E053C" w:rsidRDefault="003E574E" w:rsidP="004E053C">
      <w:pPr>
        <w:spacing w:line="360" w:lineRule="auto"/>
        <w:jc w:val="both"/>
        <w:rPr>
          <w:rFonts w:cstheme="majorHAnsi"/>
          <w:sz w:val="22"/>
          <w:szCs w:val="22"/>
          <w:lang w:val="en-GB"/>
        </w:rPr>
      </w:pPr>
    </w:p>
    <w:p w14:paraId="7CAB820A" w14:textId="16CA1518"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For place attachment to result in a </w:t>
      </w:r>
      <w:r w:rsidR="003A758D" w:rsidRPr="004E053C">
        <w:rPr>
          <w:rFonts w:cstheme="majorHAnsi"/>
          <w:sz w:val="22"/>
          <w:szCs w:val="22"/>
          <w:lang w:val="en-GB"/>
        </w:rPr>
        <w:t>collective</w:t>
      </w:r>
      <w:r w:rsidRPr="004E053C">
        <w:rPr>
          <w:rFonts w:cstheme="majorHAnsi"/>
          <w:sz w:val="22"/>
          <w:szCs w:val="22"/>
          <w:lang w:val="en-GB"/>
        </w:rPr>
        <w:t xml:space="preserve"> identity which is able to resist the deviant label attributed to it by the dominant society, t</w:t>
      </w:r>
      <w:r w:rsidR="00444A19" w:rsidRPr="004E053C">
        <w:rPr>
          <w:rFonts w:cstheme="majorHAnsi"/>
          <w:sz w:val="22"/>
          <w:szCs w:val="22"/>
          <w:lang w:val="en-GB"/>
        </w:rPr>
        <w:t>here must be a source of organis</w:t>
      </w:r>
      <w:r w:rsidRPr="004E053C">
        <w:rPr>
          <w:rFonts w:cstheme="majorHAnsi"/>
          <w:sz w:val="22"/>
          <w:szCs w:val="22"/>
          <w:lang w:val="en-GB"/>
        </w:rPr>
        <w:t>ation</w:t>
      </w:r>
      <w:r w:rsidR="00BF6FF8" w:rsidRPr="004E053C">
        <w:rPr>
          <w:rFonts w:cstheme="majorHAnsi"/>
          <w:sz w:val="22"/>
          <w:szCs w:val="22"/>
          <w:lang w:val="en-GB"/>
        </w:rPr>
        <w:t xml:space="preserve"> and leadership that turns a</w:t>
      </w:r>
      <w:r w:rsidRPr="004E053C">
        <w:rPr>
          <w:rFonts w:cstheme="majorHAnsi"/>
          <w:sz w:val="22"/>
          <w:szCs w:val="22"/>
          <w:lang w:val="en-GB"/>
        </w:rPr>
        <w:t xml:space="preserve"> common purpose into a strong ideology </w:t>
      </w:r>
      <w:r w:rsidR="006A7145"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2011)","manualFormatting":"(Cross &amp; Hernández, 2011)","plainTextFormattedCitation":"(J. C. Cross &amp; Hernández, 2011)","previouslyFormattedCitation":"(J. C. Cross &amp; Hernández, 2011)"},"properties":{"noteIndex":0},"schema":"https://github.com/citation-style-language/schema/raw/master/csl-citation.json"}</w:instrText>
      </w:r>
      <w:r w:rsidR="006A7145" w:rsidRPr="004E053C">
        <w:rPr>
          <w:rFonts w:cstheme="majorHAnsi"/>
          <w:sz w:val="22"/>
          <w:szCs w:val="22"/>
          <w:lang w:val="en-GB"/>
        </w:rPr>
        <w:fldChar w:fldCharType="separate"/>
      </w:r>
      <w:r w:rsidR="00444A19" w:rsidRPr="004E053C">
        <w:rPr>
          <w:rFonts w:cstheme="majorHAnsi"/>
          <w:noProof/>
          <w:sz w:val="22"/>
          <w:szCs w:val="22"/>
          <w:lang w:val="en-GB"/>
        </w:rPr>
        <w:t>(</w:t>
      </w:r>
      <w:r w:rsidR="00B06217" w:rsidRPr="004E053C">
        <w:rPr>
          <w:rFonts w:cstheme="majorHAnsi"/>
          <w:noProof/>
          <w:sz w:val="22"/>
          <w:szCs w:val="22"/>
          <w:lang w:val="en-GB"/>
        </w:rPr>
        <w:t>Cross &amp; Hernández, 2011)</w:t>
      </w:r>
      <w:r w:rsidR="006A7145" w:rsidRPr="004E053C">
        <w:rPr>
          <w:rFonts w:cstheme="majorHAnsi"/>
          <w:sz w:val="22"/>
          <w:szCs w:val="22"/>
          <w:lang w:val="en-GB"/>
        </w:rPr>
        <w:fldChar w:fldCharType="end"/>
      </w:r>
      <w:r w:rsidR="006A7145" w:rsidRPr="004E053C">
        <w:rPr>
          <w:rFonts w:cstheme="majorHAnsi"/>
          <w:sz w:val="22"/>
          <w:szCs w:val="22"/>
          <w:lang w:val="en-GB"/>
        </w:rPr>
        <w:t>.</w:t>
      </w:r>
      <w:r w:rsidRPr="004E053C">
        <w:rPr>
          <w:rFonts w:cstheme="majorHAnsi"/>
          <w:sz w:val="22"/>
          <w:szCs w:val="22"/>
          <w:lang w:val="en-GB"/>
        </w:rPr>
        <w:t xml:space="preserve"> In this context, the common purpose is the desire to </w:t>
      </w:r>
      <w:r w:rsidR="00195FDF" w:rsidRPr="004E053C">
        <w:rPr>
          <w:rFonts w:cstheme="majorHAnsi"/>
          <w:sz w:val="22"/>
          <w:szCs w:val="22"/>
          <w:lang w:val="en-GB"/>
        </w:rPr>
        <w:t xml:space="preserve">protect ASM livelihoods and the way of life in Laberinto. </w:t>
      </w:r>
      <w:r w:rsidR="003A758D" w:rsidRPr="004E053C">
        <w:rPr>
          <w:rFonts w:eastAsia="Times New Roman" w:cstheme="majorHAnsi"/>
          <w:sz w:val="22"/>
          <w:szCs w:val="22"/>
          <w:lang w:val="en-GB"/>
        </w:rPr>
        <w:t>Local people’s continuation of deviant</w:t>
      </w:r>
      <w:r w:rsidRPr="004E053C">
        <w:rPr>
          <w:rFonts w:eastAsia="Times New Roman" w:cstheme="majorHAnsi"/>
          <w:sz w:val="22"/>
          <w:szCs w:val="22"/>
          <w:lang w:val="en-GB"/>
        </w:rPr>
        <w:t xml:space="preserve"> livelihood act</w:t>
      </w:r>
      <w:r w:rsidR="00BF6FF8" w:rsidRPr="004E053C">
        <w:rPr>
          <w:rFonts w:eastAsia="Times New Roman" w:cstheme="majorHAnsi"/>
          <w:sz w:val="22"/>
          <w:szCs w:val="22"/>
          <w:lang w:val="en-GB"/>
        </w:rPr>
        <w:t xml:space="preserve">ivities can be viewed as </w:t>
      </w:r>
      <w:r w:rsidRPr="004E053C">
        <w:rPr>
          <w:rFonts w:eastAsia="Times New Roman" w:cstheme="majorHAnsi"/>
          <w:sz w:val="22"/>
          <w:szCs w:val="22"/>
          <w:lang w:val="en-GB"/>
        </w:rPr>
        <w:t xml:space="preserve">resistance towards what is perceived to be a repressive system </w:t>
      </w:r>
      <w:r w:rsidR="006A7145"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2011)","manualFormatting":"(Ibid.)","plainTextFormattedCitation":"(J. C. Cross &amp; Hernández, 2011)","previouslyFormattedCitation":"(J. C. Cross &amp; Hernández, 2011)"},"properties":{"noteIndex":0},"schema":"https://github.com/citation-style-language/schema/raw/master/csl-citation.json"}</w:instrText>
      </w:r>
      <w:r w:rsidR="006A7145" w:rsidRPr="004E053C">
        <w:rPr>
          <w:rFonts w:eastAsia="Times New Roman" w:cstheme="majorHAnsi"/>
          <w:sz w:val="22"/>
          <w:szCs w:val="22"/>
          <w:lang w:val="en-GB"/>
        </w:rPr>
        <w:fldChar w:fldCharType="separate"/>
      </w:r>
      <w:r w:rsidR="009628C7" w:rsidRPr="004E053C">
        <w:rPr>
          <w:rFonts w:eastAsia="Times New Roman" w:cstheme="majorHAnsi"/>
          <w:noProof/>
          <w:sz w:val="22"/>
          <w:szCs w:val="22"/>
          <w:lang w:val="en-GB"/>
        </w:rPr>
        <w:t>(Ibid</w:t>
      </w:r>
      <w:r w:rsidR="00EC4FAE" w:rsidRPr="004E053C">
        <w:rPr>
          <w:rFonts w:eastAsia="Times New Roman" w:cstheme="majorHAnsi"/>
          <w:noProof/>
          <w:sz w:val="22"/>
          <w:szCs w:val="22"/>
          <w:lang w:val="en-GB"/>
        </w:rPr>
        <w:t>.</w:t>
      </w:r>
      <w:r w:rsidR="006A7145" w:rsidRPr="004E053C">
        <w:rPr>
          <w:rFonts w:eastAsia="Times New Roman" w:cstheme="majorHAnsi"/>
          <w:noProof/>
          <w:sz w:val="22"/>
          <w:szCs w:val="22"/>
          <w:lang w:val="en-GB"/>
        </w:rPr>
        <w:t>)</w:t>
      </w:r>
      <w:r w:rsidR="006A7145" w:rsidRPr="004E053C">
        <w:rPr>
          <w:rFonts w:eastAsia="Times New Roman" w:cstheme="majorHAnsi"/>
          <w:sz w:val="22"/>
          <w:szCs w:val="22"/>
          <w:lang w:val="en-GB"/>
        </w:rPr>
        <w:fldChar w:fldCharType="end"/>
      </w:r>
      <w:r w:rsidR="006A7145" w:rsidRPr="004E053C">
        <w:rPr>
          <w:rFonts w:eastAsia="Times New Roman" w:cstheme="majorHAnsi"/>
          <w:sz w:val="22"/>
          <w:szCs w:val="22"/>
          <w:lang w:val="en-GB"/>
        </w:rPr>
        <w:t xml:space="preserve">. </w:t>
      </w:r>
      <w:r w:rsidRPr="004E053C">
        <w:rPr>
          <w:rFonts w:eastAsia="Times New Roman" w:cstheme="majorHAnsi"/>
          <w:sz w:val="22"/>
          <w:szCs w:val="22"/>
          <w:lang w:val="en-GB"/>
        </w:rPr>
        <w:t xml:space="preserve">During interviews it was clear that the </w:t>
      </w:r>
      <w:r w:rsidR="003A758D" w:rsidRPr="004E053C">
        <w:rPr>
          <w:rFonts w:eastAsia="Times New Roman" w:cstheme="majorHAnsi"/>
          <w:sz w:val="22"/>
          <w:szCs w:val="22"/>
          <w:lang w:val="en-GB"/>
        </w:rPr>
        <w:t>permanent residents of Laberinto</w:t>
      </w:r>
      <w:r w:rsidRPr="004E053C">
        <w:rPr>
          <w:rFonts w:eastAsia="Times New Roman" w:cstheme="majorHAnsi"/>
          <w:sz w:val="22"/>
          <w:szCs w:val="22"/>
          <w:lang w:val="en-GB"/>
        </w:rPr>
        <w:t xml:space="preserve"> were united in their desire to</w:t>
      </w:r>
      <w:r w:rsidR="00444A19" w:rsidRPr="004E053C">
        <w:rPr>
          <w:rFonts w:eastAsia="Times New Roman" w:cstheme="majorHAnsi"/>
          <w:sz w:val="22"/>
          <w:szCs w:val="22"/>
          <w:lang w:val="en-GB"/>
        </w:rPr>
        <w:t xml:space="preserve"> continue their mining activity</w:t>
      </w:r>
      <w:r w:rsidRPr="004E053C">
        <w:rPr>
          <w:rFonts w:eastAsia="Times New Roman" w:cstheme="majorHAnsi"/>
          <w:sz w:val="22"/>
          <w:szCs w:val="22"/>
          <w:lang w:val="en-GB"/>
        </w:rPr>
        <w:t xml:space="preserve"> </w:t>
      </w:r>
      <w:r w:rsidR="003A758D" w:rsidRPr="004E053C">
        <w:rPr>
          <w:rFonts w:eastAsia="Times New Roman" w:cstheme="majorHAnsi"/>
          <w:sz w:val="22"/>
          <w:szCs w:val="22"/>
          <w:lang w:val="en-GB"/>
        </w:rPr>
        <w:t>and</w:t>
      </w:r>
      <w:r w:rsidRPr="004E053C">
        <w:rPr>
          <w:rFonts w:eastAsia="Times New Roman" w:cstheme="majorHAnsi"/>
          <w:sz w:val="22"/>
          <w:szCs w:val="22"/>
          <w:lang w:val="en-GB"/>
        </w:rPr>
        <w:t xml:space="preserve"> had planned additional </w:t>
      </w:r>
      <w:r w:rsidR="003A758D" w:rsidRPr="004E053C">
        <w:rPr>
          <w:rFonts w:eastAsia="Times New Roman" w:cstheme="majorHAnsi"/>
          <w:sz w:val="22"/>
          <w:szCs w:val="22"/>
          <w:lang w:val="en-GB"/>
        </w:rPr>
        <w:t>strikes and protests to further their cause. This collective action was primarily aimed at protesting the</w:t>
      </w:r>
      <w:r w:rsidRPr="004E053C">
        <w:rPr>
          <w:rFonts w:eastAsia="Times New Roman" w:cstheme="majorHAnsi"/>
          <w:sz w:val="22"/>
          <w:szCs w:val="22"/>
          <w:lang w:val="en-GB"/>
        </w:rPr>
        <w:t xml:space="preserve"> Government int</w:t>
      </w:r>
      <w:r w:rsidR="003A758D" w:rsidRPr="004E053C">
        <w:rPr>
          <w:rFonts w:eastAsia="Times New Roman" w:cstheme="majorHAnsi"/>
          <w:sz w:val="22"/>
          <w:szCs w:val="22"/>
          <w:lang w:val="en-GB"/>
        </w:rPr>
        <w:t>erdictions, due to the threat posed to</w:t>
      </w:r>
      <w:r w:rsidRPr="004E053C">
        <w:rPr>
          <w:rFonts w:eastAsia="Times New Roman" w:cstheme="majorHAnsi"/>
          <w:sz w:val="22"/>
          <w:szCs w:val="22"/>
          <w:lang w:val="en-GB"/>
        </w:rPr>
        <w:t xml:space="preserve"> life and livelihoods and the lack of alternative economic opportunities. </w:t>
      </w:r>
    </w:p>
    <w:p w14:paraId="5AA8B62A" w14:textId="77777777" w:rsidR="003E574E" w:rsidRPr="004E053C" w:rsidRDefault="003E574E" w:rsidP="004E053C">
      <w:pPr>
        <w:spacing w:line="360" w:lineRule="auto"/>
        <w:jc w:val="both"/>
        <w:rPr>
          <w:rFonts w:eastAsia="Times New Roman" w:cstheme="majorHAnsi"/>
          <w:i/>
          <w:iCs/>
          <w:sz w:val="22"/>
          <w:szCs w:val="22"/>
          <w:lang w:val="en-GB"/>
        </w:rPr>
      </w:pPr>
    </w:p>
    <w:p w14:paraId="15613EE7" w14:textId="331D34C0"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lastRenderedPageBreak/>
        <w:t>‘</w:t>
      </w:r>
      <w:r w:rsidR="00444A19" w:rsidRPr="004E053C">
        <w:rPr>
          <w:rFonts w:eastAsia="Times New Roman" w:cstheme="majorHAnsi"/>
          <w:i/>
          <w:iCs/>
          <w:sz w:val="22"/>
          <w:szCs w:val="22"/>
          <w:lang w:val="en-GB"/>
        </w:rPr>
        <w:t>We are united against the G</w:t>
      </w:r>
      <w:r w:rsidR="003E574E" w:rsidRPr="004E053C">
        <w:rPr>
          <w:rFonts w:eastAsia="Times New Roman" w:cstheme="majorHAnsi"/>
          <w:i/>
          <w:iCs/>
          <w:sz w:val="22"/>
          <w:szCs w:val="22"/>
          <w:lang w:val="en-GB"/>
        </w:rPr>
        <w:t>overnment. They taught us that they will do whatever they want, and we need to respond</w:t>
      </w:r>
      <w:r w:rsidR="00444A19" w:rsidRPr="004E053C">
        <w:rPr>
          <w:rFonts w:eastAsia="Times New Roman" w:cstheme="majorHAnsi"/>
          <w:i/>
          <w:iCs/>
          <w:sz w:val="22"/>
          <w:szCs w:val="22"/>
          <w:lang w:val="en-GB"/>
        </w:rPr>
        <w:t>. We need to do it because the G</w:t>
      </w:r>
      <w:r w:rsidR="003E574E" w:rsidRPr="004E053C">
        <w:rPr>
          <w:rFonts w:eastAsia="Times New Roman" w:cstheme="majorHAnsi"/>
          <w:i/>
          <w:iCs/>
          <w:sz w:val="22"/>
          <w:szCs w:val="22"/>
          <w:lang w:val="en-GB"/>
        </w:rPr>
        <w:t>overnment is forcing us to. We have to take ourselves, and p</w:t>
      </w:r>
      <w:r w:rsidR="00444A19" w:rsidRPr="004E053C">
        <w:rPr>
          <w:rFonts w:eastAsia="Times New Roman" w:cstheme="majorHAnsi"/>
          <w:i/>
          <w:iCs/>
          <w:sz w:val="22"/>
          <w:szCs w:val="22"/>
          <w:lang w:val="en-GB"/>
        </w:rPr>
        <w:t>rotest and complain. It’s the G</w:t>
      </w:r>
      <w:r w:rsidR="003E574E" w:rsidRPr="004E053C">
        <w:rPr>
          <w:rFonts w:eastAsia="Times New Roman" w:cstheme="majorHAnsi"/>
          <w:i/>
          <w:iCs/>
          <w:sz w:val="22"/>
          <w:szCs w:val="22"/>
          <w:lang w:val="en-GB"/>
        </w:rPr>
        <w:t>overnment that’s forcing us; we want a quiet life</w:t>
      </w:r>
      <w:r w:rsidRPr="004E053C">
        <w:rPr>
          <w:rFonts w:eastAsia="Times New Roman" w:cstheme="majorHAnsi"/>
          <w:i/>
          <w:iCs/>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Roberto</w:t>
      </w:r>
      <w:r w:rsidR="003E574E" w:rsidRPr="004E053C">
        <w:rPr>
          <w:rFonts w:eastAsia="Times New Roman" w:cstheme="majorHAnsi"/>
          <w:sz w:val="22"/>
          <w:szCs w:val="22"/>
          <w:lang w:val="en-GB"/>
        </w:rPr>
        <w:t>, ex-miner, Laberinto).</w:t>
      </w:r>
    </w:p>
    <w:p w14:paraId="4EB6EEFF" w14:textId="77777777" w:rsidR="003E574E" w:rsidRPr="004E053C" w:rsidRDefault="003E574E" w:rsidP="004E053C">
      <w:pPr>
        <w:spacing w:line="360" w:lineRule="auto"/>
        <w:jc w:val="both"/>
        <w:rPr>
          <w:rFonts w:eastAsia="Times New Roman" w:cstheme="majorHAnsi"/>
          <w:sz w:val="22"/>
          <w:szCs w:val="22"/>
          <w:lang w:val="en-GB"/>
        </w:rPr>
      </w:pPr>
    </w:p>
    <w:p w14:paraId="5AFB86A0" w14:textId="0DE05FEB"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 above quote highlights not only that the </w:t>
      </w:r>
      <w:r w:rsidR="003A758D" w:rsidRPr="004E053C">
        <w:rPr>
          <w:rFonts w:eastAsia="Times New Roman" w:cstheme="majorHAnsi"/>
          <w:sz w:val="22"/>
          <w:szCs w:val="22"/>
          <w:lang w:val="en-GB"/>
        </w:rPr>
        <w:t>town’s residents</w:t>
      </w:r>
      <w:r w:rsidRPr="004E053C">
        <w:rPr>
          <w:rFonts w:eastAsia="Times New Roman" w:cstheme="majorHAnsi"/>
          <w:sz w:val="22"/>
          <w:szCs w:val="22"/>
          <w:lang w:val="en-GB"/>
        </w:rPr>
        <w:t xml:space="preserve"> feels that they have no other option</w:t>
      </w:r>
      <w:r w:rsidR="003A758D" w:rsidRPr="004E053C">
        <w:rPr>
          <w:rFonts w:eastAsia="Times New Roman" w:cstheme="majorHAnsi"/>
          <w:sz w:val="22"/>
          <w:szCs w:val="22"/>
          <w:lang w:val="en-GB"/>
        </w:rPr>
        <w:t xml:space="preserve">s but to organise around active </w:t>
      </w:r>
      <w:r w:rsidRPr="004E053C">
        <w:rPr>
          <w:rFonts w:eastAsia="Times New Roman" w:cstheme="majorHAnsi"/>
          <w:sz w:val="22"/>
          <w:szCs w:val="22"/>
          <w:lang w:val="en-GB"/>
        </w:rPr>
        <w:t xml:space="preserve">resistance, but also alludes to how at least part of this resistance must take the form of protests. </w:t>
      </w:r>
    </w:p>
    <w:p w14:paraId="7E6887BB" w14:textId="77777777" w:rsidR="003E574E" w:rsidRPr="004E053C" w:rsidRDefault="003E574E" w:rsidP="004E053C">
      <w:pPr>
        <w:spacing w:line="360" w:lineRule="auto"/>
        <w:jc w:val="both"/>
        <w:rPr>
          <w:rFonts w:eastAsia="Times New Roman" w:cstheme="majorHAnsi"/>
          <w:sz w:val="22"/>
          <w:szCs w:val="22"/>
          <w:lang w:val="en-GB"/>
        </w:rPr>
      </w:pPr>
    </w:p>
    <w:p w14:paraId="0B2C0873" w14:textId="13DD685B"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These protests were mentioned m</w:t>
      </w:r>
      <w:r w:rsidR="003A758D" w:rsidRPr="004E053C">
        <w:rPr>
          <w:rFonts w:eastAsia="Times New Roman" w:cstheme="majorHAnsi"/>
          <w:sz w:val="22"/>
          <w:szCs w:val="22"/>
          <w:lang w:val="en-GB"/>
        </w:rPr>
        <w:t>any times throughout fieldwork, and several r</w:t>
      </w:r>
      <w:r w:rsidR="00F51FE4" w:rsidRPr="004E053C">
        <w:rPr>
          <w:rFonts w:eastAsia="Times New Roman" w:cstheme="majorHAnsi"/>
          <w:sz w:val="22"/>
          <w:szCs w:val="22"/>
          <w:lang w:val="en-GB"/>
        </w:rPr>
        <w:t xml:space="preserve">espondents </w:t>
      </w:r>
      <w:r w:rsidRPr="004E053C">
        <w:rPr>
          <w:rFonts w:cstheme="majorHAnsi"/>
          <w:sz w:val="22"/>
          <w:szCs w:val="22"/>
          <w:lang w:val="en-GB"/>
        </w:rPr>
        <w:t xml:space="preserve">suggested that they were willing for protests to turn violent in order to preserve their livelihood. </w:t>
      </w:r>
      <w:r w:rsidR="003A758D" w:rsidRPr="004E053C">
        <w:rPr>
          <w:rFonts w:cstheme="majorHAnsi"/>
          <w:sz w:val="22"/>
          <w:szCs w:val="22"/>
          <w:lang w:val="en-GB"/>
        </w:rPr>
        <w:t>Numerous</w:t>
      </w:r>
      <w:r w:rsidRPr="004E053C">
        <w:rPr>
          <w:rFonts w:cstheme="majorHAnsi"/>
          <w:sz w:val="22"/>
          <w:szCs w:val="22"/>
          <w:lang w:val="en-GB"/>
        </w:rPr>
        <w:t xml:space="preserve"> refer</w:t>
      </w:r>
      <w:r w:rsidR="00BF6FF8" w:rsidRPr="004E053C">
        <w:rPr>
          <w:rFonts w:cstheme="majorHAnsi"/>
          <w:sz w:val="22"/>
          <w:szCs w:val="22"/>
          <w:lang w:val="en-GB"/>
        </w:rPr>
        <w:t>ences were made to the need to ‘fight’</w:t>
      </w:r>
      <w:r w:rsidR="00444A19" w:rsidRPr="004E053C">
        <w:rPr>
          <w:rFonts w:cstheme="majorHAnsi"/>
          <w:sz w:val="22"/>
          <w:szCs w:val="22"/>
          <w:lang w:val="en-GB"/>
        </w:rPr>
        <w:t xml:space="preserve"> the G</w:t>
      </w:r>
      <w:r w:rsidRPr="004E053C">
        <w:rPr>
          <w:rFonts w:cstheme="majorHAnsi"/>
          <w:sz w:val="22"/>
          <w:szCs w:val="22"/>
          <w:lang w:val="en-GB"/>
        </w:rPr>
        <w:t xml:space="preserve">overnment, as miners claimed they were prepared to engage in illegal action in the face of more crackdowns: </w:t>
      </w:r>
    </w:p>
    <w:p w14:paraId="334CCC77" w14:textId="77777777" w:rsidR="003E574E" w:rsidRPr="004E053C" w:rsidRDefault="003E574E" w:rsidP="004E053C">
      <w:pPr>
        <w:spacing w:line="360" w:lineRule="auto"/>
        <w:jc w:val="both"/>
        <w:rPr>
          <w:rFonts w:eastAsia="Times New Roman" w:cstheme="majorHAnsi"/>
          <w:sz w:val="22"/>
          <w:szCs w:val="22"/>
          <w:lang w:val="en-GB"/>
        </w:rPr>
      </w:pPr>
    </w:p>
    <w:p w14:paraId="244CBCE9" w14:textId="44014765" w:rsidR="003E574E" w:rsidRPr="004E053C" w:rsidRDefault="00BF6FF8"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It’</w:t>
      </w:r>
      <w:r w:rsidR="00444A19" w:rsidRPr="004E053C">
        <w:rPr>
          <w:rFonts w:eastAsia="Times New Roman" w:cstheme="majorHAnsi"/>
          <w:i/>
          <w:iCs/>
          <w:sz w:val="22"/>
          <w:szCs w:val="22"/>
          <w:lang w:val="en-GB"/>
        </w:rPr>
        <w:t>s not going to be easy for the Government. W</w:t>
      </w:r>
      <w:r w:rsidR="003E574E" w:rsidRPr="004E053C">
        <w:rPr>
          <w:rFonts w:eastAsia="Times New Roman" w:cstheme="majorHAnsi"/>
          <w:i/>
          <w:iCs/>
          <w:sz w:val="22"/>
          <w:szCs w:val="22"/>
          <w:lang w:val="en-GB"/>
        </w:rPr>
        <w:t>e’re going to fight. There must be dead people, bu</w:t>
      </w:r>
      <w:r w:rsidR="00444A19" w:rsidRPr="004E053C">
        <w:rPr>
          <w:rFonts w:eastAsia="Times New Roman" w:cstheme="majorHAnsi"/>
          <w:i/>
          <w:iCs/>
          <w:sz w:val="22"/>
          <w:szCs w:val="22"/>
          <w:lang w:val="en-GB"/>
        </w:rPr>
        <w:t>t we will have to fight…if the G</w:t>
      </w:r>
      <w:r w:rsidR="003E574E" w:rsidRPr="004E053C">
        <w:rPr>
          <w:rFonts w:eastAsia="Times New Roman" w:cstheme="majorHAnsi"/>
          <w:i/>
          <w:iCs/>
          <w:sz w:val="22"/>
          <w:szCs w:val="22"/>
          <w:lang w:val="en-GB"/>
        </w:rPr>
        <w:t>overnment doesn’t want to understand, we can do strikes, but the government will have to fight us to make us get out</w:t>
      </w:r>
      <w:r w:rsidRPr="004E053C">
        <w:rPr>
          <w:rFonts w:eastAsia="Times New Roman" w:cstheme="majorHAnsi"/>
          <w:sz w:val="22"/>
          <w:szCs w:val="22"/>
          <w:lang w:val="en-GB"/>
        </w:rPr>
        <w:t xml:space="preserve">’ </w:t>
      </w:r>
      <w:r w:rsidR="003E574E" w:rsidRPr="004E053C">
        <w:rPr>
          <w:rFonts w:eastAsia="Times New Roman" w:cstheme="majorHAnsi"/>
          <w:sz w:val="22"/>
          <w:szCs w:val="22"/>
          <w:lang w:val="en-GB"/>
        </w:rPr>
        <w:t>(</w:t>
      </w:r>
      <w:r w:rsidR="00EA7F80" w:rsidRPr="004E053C">
        <w:rPr>
          <w:rFonts w:eastAsia="Times New Roman" w:cstheme="majorHAnsi"/>
          <w:sz w:val="22"/>
          <w:szCs w:val="22"/>
          <w:lang w:val="en-GB"/>
        </w:rPr>
        <w:t>Andres</w:t>
      </w:r>
      <w:r w:rsidR="003E574E" w:rsidRPr="004E053C">
        <w:rPr>
          <w:rFonts w:eastAsia="Times New Roman" w:cstheme="majorHAnsi"/>
          <w:sz w:val="22"/>
          <w:szCs w:val="22"/>
          <w:lang w:val="en-GB"/>
        </w:rPr>
        <w:t>, ASM miner, Laberinto).</w:t>
      </w:r>
    </w:p>
    <w:p w14:paraId="2EF7FBA8" w14:textId="77777777" w:rsidR="003E574E" w:rsidRPr="004E053C" w:rsidRDefault="003E574E" w:rsidP="004E053C">
      <w:pPr>
        <w:jc w:val="both"/>
        <w:rPr>
          <w:rFonts w:eastAsia="Times New Roman" w:cstheme="majorHAnsi"/>
          <w:sz w:val="22"/>
          <w:szCs w:val="22"/>
          <w:lang w:val="en-GB"/>
        </w:rPr>
      </w:pPr>
    </w:p>
    <w:p w14:paraId="7A7E1AAB" w14:textId="7C695513" w:rsidR="003E574E" w:rsidRPr="004E053C" w:rsidRDefault="00BF6FF8"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(There will be) civil wa</w:t>
      </w:r>
      <w:r w:rsidRPr="004E053C">
        <w:rPr>
          <w:rFonts w:eastAsia="Times New Roman" w:cstheme="majorHAnsi"/>
          <w:i/>
          <w:iCs/>
          <w:sz w:val="22"/>
          <w:szCs w:val="22"/>
          <w:lang w:val="en-GB"/>
        </w:rPr>
        <w:t>r! W</w:t>
      </w:r>
      <w:r w:rsidR="003E574E" w:rsidRPr="004E053C">
        <w:rPr>
          <w:rFonts w:eastAsia="Times New Roman" w:cstheme="majorHAnsi"/>
          <w:i/>
          <w:iCs/>
          <w:sz w:val="22"/>
          <w:szCs w:val="22"/>
          <w:lang w:val="en-GB"/>
        </w:rPr>
        <w:t xml:space="preserve">e are going to fight for our rights. People here are not willing to move somewhere else they want to stay here, and it </w:t>
      </w:r>
      <w:r w:rsidR="00444A19" w:rsidRPr="004E053C">
        <w:rPr>
          <w:rFonts w:eastAsia="Times New Roman" w:cstheme="majorHAnsi"/>
          <w:i/>
          <w:iCs/>
          <w:sz w:val="22"/>
          <w:szCs w:val="22"/>
          <w:lang w:val="en-GB"/>
        </w:rPr>
        <w:t>is their land and we are organis</w:t>
      </w:r>
      <w:r w:rsidR="003E574E" w:rsidRPr="004E053C">
        <w:rPr>
          <w:rFonts w:eastAsia="Times New Roman" w:cstheme="majorHAnsi"/>
          <w:i/>
          <w:iCs/>
          <w:sz w:val="22"/>
          <w:szCs w:val="22"/>
          <w:lang w:val="en-GB"/>
        </w:rPr>
        <w:t xml:space="preserve">ed and </w:t>
      </w:r>
      <w:r w:rsidR="00444A19" w:rsidRPr="004E053C">
        <w:rPr>
          <w:rFonts w:eastAsia="Times New Roman" w:cstheme="majorHAnsi"/>
          <w:i/>
          <w:iCs/>
          <w:sz w:val="22"/>
          <w:szCs w:val="22"/>
          <w:lang w:val="en-GB"/>
        </w:rPr>
        <w:t>we are united, and we want the G</w:t>
      </w:r>
      <w:r w:rsidR="003E574E" w:rsidRPr="004E053C">
        <w:rPr>
          <w:rFonts w:eastAsia="Times New Roman" w:cstheme="majorHAnsi"/>
          <w:i/>
          <w:iCs/>
          <w:sz w:val="22"/>
          <w:szCs w:val="22"/>
          <w:lang w:val="en-GB"/>
        </w:rPr>
        <w:t>overnment to accept or we will fight. I don’t think it’s only us, I think it is most of the towns and communities</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(Leo, ASM miner, Laberinto).</w:t>
      </w:r>
    </w:p>
    <w:p w14:paraId="52D20CA1" w14:textId="77777777" w:rsidR="003E574E" w:rsidRPr="004E053C" w:rsidRDefault="003E574E" w:rsidP="004E053C">
      <w:pPr>
        <w:spacing w:line="360" w:lineRule="auto"/>
        <w:jc w:val="both"/>
        <w:rPr>
          <w:rFonts w:eastAsia="Times New Roman" w:cstheme="majorHAnsi"/>
          <w:sz w:val="22"/>
          <w:szCs w:val="22"/>
          <w:lang w:val="en-GB"/>
        </w:rPr>
      </w:pPr>
    </w:p>
    <w:p w14:paraId="5F3B55BA" w14:textId="6C5E8FB8"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What is clear from the </w:t>
      </w:r>
      <w:r w:rsidR="003A758D" w:rsidRPr="004E053C">
        <w:rPr>
          <w:rFonts w:eastAsia="Times New Roman" w:cstheme="majorHAnsi"/>
          <w:sz w:val="22"/>
          <w:szCs w:val="22"/>
          <w:lang w:val="en-GB"/>
        </w:rPr>
        <w:t xml:space="preserve">above quotes is that while the </w:t>
      </w:r>
      <w:r w:rsidRPr="004E053C">
        <w:rPr>
          <w:rFonts w:eastAsia="Times New Roman" w:cstheme="majorHAnsi"/>
          <w:sz w:val="22"/>
          <w:szCs w:val="22"/>
          <w:lang w:val="en-GB"/>
        </w:rPr>
        <w:t>need to fight is closely related to the desire to preserve ASM livelihoods, it is also very much linked to place. Leo clea</w:t>
      </w:r>
      <w:r w:rsidR="009C1116" w:rsidRPr="004E053C">
        <w:rPr>
          <w:rFonts w:eastAsia="Times New Roman" w:cstheme="majorHAnsi"/>
          <w:sz w:val="22"/>
          <w:szCs w:val="22"/>
          <w:lang w:val="en-GB"/>
        </w:rPr>
        <w:t>rly states that his</w:t>
      </w:r>
      <w:r w:rsidRPr="004E053C">
        <w:rPr>
          <w:rFonts w:eastAsia="Times New Roman" w:cstheme="majorHAnsi"/>
          <w:sz w:val="22"/>
          <w:szCs w:val="22"/>
          <w:lang w:val="en-GB"/>
        </w:rPr>
        <w:t xml:space="preserve"> primary motivation is to remain in Laberinto, </w:t>
      </w:r>
      <w:r w:rsidR="009C1116" w:rsidRPr="004E053C">
        <w:rPr>
          <w:rFonts w:eastAsia="Times New Roman" w:cstheme="majorHAnsi"/>
          <w:sz w:val="22"/>
          <w:szCs w:val="22"/>
          <w:lang w:val="en-GB"/>
        </w:rPr>
        <w:t xml:space="preserve">while </w:t>
      </w:r>
      <w:r w:rsidR="00EA7F80" w:rsidRPr="004E053C">
        <w:rPr>
          <w:rFonts w:eastAsia="Times New Roman" w:cstheme="majorHAnsi"/>
          <w:sz w:val="22"/>
          <w:szCs w:val="22"/>
          <w:lang w:val="en-GB"/>
        </w:rPr>
        <w:t>Andres</w:t>
      </w:r>
      <w:r w:rsidR="009C1116" w:rsidRPr="004E053C">
        <w:rPr>
          <w:rFonts w:eastAsia="Times New Roman" w:cstheme="majorHAnsi"/>
          <w:sz w:val="22"/>
          <w:szCs w:val="22"/>
          <w:lang w:val="en-GB"/>
        </w:rPr>
        <w:t xml:space="preserve"> </w:t>
      </w:r>
      <w:r w:rsidR="00444A19" w:rsidRPr="004E053C">
        <w:rPr>
          <w:rFonts w:eastAsia="Times New Roman" w:cstheme="majorHAnsi"/>
          <w:sz w:val="22"/>
          <w:szCs w:val="22"/>
          <w:lang w:val="en-GB"/>
        </w:rPr>
        <w:t>refers to how the G</w:t>
      </w:r>
      <w:r w:rsidRPr="004E053C">
        <w:rPr>
          <w:rFonts w:eastAsia="Times New Roman" w:cstheme="majorHAnsi"/>
          <w:sz w:val="22"/>
          <w:szCs w:val="22"/>
          <w:lang w:val="en-GB"/>
        </w:rPr>
        <w:t>overnment will ha</w:t>
      </w:r>
      <w:r w:rsidR="00BF6FF8" w:rsidRPr="004E053C">
        <w:rPr>
          <w:rFonts w:eastAsia="Times New Roman" w:cstheme="majorHAnsi"/>
          <w:sz w:val="22"/>
          <w:szCs w:val="22"/>
          <w:lang w:val="en-GB"/>
        </w:rPr>
        <w:t>ve to fight to make the miners ‘get out’</w:t>
      </w:r>
      <w:r w:rsidRPr="004E053C">
        <w:rPr>
          <w:rFonts w:eastAsia="Times New Roman" w:cstheme="majorHAnsi"/>
          <w:sz w:val="22"/>
          <w:szCs w:val="22"/>
          <w:lang w:val="en-GB"/>
        </w:rPr>
        <w:t xml:space="preserve"> of the town, rather than to make them just stop mining. This is both because, for the </w:t>
      </w:r>
      <w:r w:rsidR="00444A19" w:rsidRPr="004E053C">
        <w:rPr>
          <w:rFonts w:eastAsia="Times New Roman" w:cstheme="majorHAnsi"/>
          <w:sz w:val="22"/>
          <w:szCs w:val="22"/>
          <w:lang w:val="en-GB"/>
        </w:rPr>
        <w:t>perma</w:t>
      </w:r>
      <w:r w:rsidR="009C1116" w:rsidRPr="004E053C">
        <w:rPr>
          <w:rFonts w:eastAsia="Times New Roman" w:cstheme="majorHAnsi"/>
          <w:sz w:val="22"/>
          <w:szCs w:val="22"/>
          <w:lang w:val="en-GB"/>
        </w:rPr>
        <w:t>nent</w:t>
      </w:r>
      <w:r w:rsidRPr="004E053C">
        <w:rPr>
          <w:rFonts w:eastAsia="Times New Roman" w:cstheme="majorHAnsi"/>
          <w:sz w:val="22"/>
          <w:szCs w:val="22"/>
          <w:lang w:val="en-GB"/>
        </w:rPr>
        <w:t xml:space="preserve"> miners in particular, ASM livelihoods are so closely associated with place, but also because that place has come to be their home. </w:t>
      </w:r>
    </w:p>
    <w:p w14:paraId="0254A73A" w14:textId="77777777" w:rsidR="003E574E" w:rsidRPr="004E053C" w:rsidRDefault="003E574E" w:rsidP="004E053C">
      <w:pPr>
        <w:spacing w:line="360" w:lineRule="auto"/>
        <w:jc w:val="both"/>
        <w:rPr>
          <w:rFonts w:cstheme="majorHAnsi"/>
          <w:sz w:val="22"/>
          <w:szCs w:val="22"/>
          <w:lang w:val="en-GB"/>
        </w:rPr>
      </w:pPr>
    </w:p>
    <w:p w14:paraId="04A009B5" w14:textId="5DC88446" w:rsidR="003E574E" w:rsidRPr="004E053C" w:rsidRDefault="003E574E" w:rsidP="004E053C">
      <w:pPr>
        <w:spacing w:line="360" w:lineRule="auto"/>
        <w:jc w:val="both"/>
        <w:rPr>
          <w:rFonts w:eastAsia="Times New Roman" w:cstheme="majorHAnsi"/>
          <w:sz w:val="22"/>
          <w:szCs w:val="22"/>
          <w:lang w:val="en-GB"/>
        </w:rPr>
      </w:pPr>
      <w:r w:rsidRPr="004E053C">
        <w:rPr>
          <w:rFonts w:cstheme="majorHAnsi"/>
          <w:sz w:val="22"/>
          <w:szCs w:val="22"/>
          <w:lang w:val="en-GB"/>
        </w:rPr>
        <w:t>It i</w:t>
      </w:r>
      <w:r w:rsidR="00F6233C" w:rsidRPr="004E053C">
        <w:rPr>
          <w:rFonts w:cstheme="majorHAnsi"/>
          <w:sz w:val="22"/>
          <w:szCs w:val="22"/>
          <w:lang w:val="en-GB"/>
        </w:rPr>
        <w:t>s clear that the resistance against</w:t>
      </w:r>
      <w:r w:rsidRPr="004E053C">
        <w:rPr>
          <w:rFonts w:cstheme="majorHAnsi"/>
          <w:sz w:val="22"/>
          <w:szCs w:val="22"/>
          <w:lang w:val="en-GB"/>
        </w:rPr>
        <w:t xml:space="preserve"> the government is not only driven by a collective identity, but is als</w:t>
      </w:r>
      <w:r w:rsidR="00444A19" w:rsidRPr="004E053C">
        <w:rPr>
          <w:rFonts w:cstheme="majorHAnsi"/>
          <w:sz w:val="22"/>
          <w:szCs w:val="22"/>
          <w:lang w:val="en-GB"/>
        </w:rPr>
        <w:t xml:space="preserve">o further enhancing it. Drawing on work by </w:t>
      </w:r>
      <w:r w:rsidRPr="004E053C">
        <w:rPr>
          <w:rFonts w:cstheme="majorHAnsi"/>
          <w:sz w:val="22"/>
          <w:szCs w:val="22"/>
          <w:lang w:val="en-GB"/>
        </w:rPr>
        <w:t xml:space="preserve">Turner </w:t>
      </w:r>
      <w:r w:rsidR="00962605" w:rsidRPr="004E053C">
        <w:rPr>
          <w:rFonts w:cstheme="majorHAnsi"/>
          <w:sz w:val="22"/>
          <w:szCs w:val="22"/>
          <w:lang w:val="en-GB"/>
        </w:rPr>
        <w:fldChar w:fldCharType="begin" w:fldLock="1"/>
      </w:r>
      <w:r w:rsidR="0083356B" w:rsidRPr="004E053C">
        <w:rPr>
          <w:rFonts w:cstheme="majorHAnsi"/>
          <w:sz w:val="22"/>
          <w:szCs w:val="22"/>
          <w:lang w:val="en-GB"/>
        </w:rPr>
        <w:instrText>ADDIN CSL_CITATION {"citationItems":[{"id":"ITEM-1","itemData":{"author":[{"dropping-particle":"","family":"Turner","given":"Ralph H","non-dropping-particle":"","parse-names":false,"suffix":""}],"container-title":"Social Problems","id":"ITEM-1","issue":"3","issued":{"date-parts":[["1978"]]},"page":"308-321","title":"Deviance avowal as neutralization of commitment","type":"article-journal","volume":"19"},"uris":["http://www.mendeley.com/documents/?uuid=2d44d562-6919-4241-a8b8-54df26b39319"]}],"mendeley":{"formattedCitation":"(R. H. Turner, 1978)","manualFormatting":"(1978)","plainTextFormattedCitation":"(R. H. Turner, 1978)","previouslyFormattedCitation":"(R. H. Turner, 1978)"},"properties":{"noteIndex":0},"schema":"https://github.com/citation-style-language/schema/raw/master/csl-citation.json"}</w:instrText>
      </w:r>
      <w:r w:rsidR="00962605" w:rsidRPr="004E053C">
        <w:rPr>
          <w:rFonts w:cstheme="majorHAnsi"/>
          <w:sz w:val="22"/>
          <w:szCs w:val="22"/>
          <w:lang w:val="en-GB"/>
        </w:rPr>
        <w:fldChar w:fldCharType="separate"/>
      </w:r>
      <w:r w:rsidR="00126F72" w:rsidRPr="004E053C">
        <w:rPr>
          <w:rFonts w:cstheme="majorHAnsi"/>
          <w:noProof/>
          <w:sz w:val="22"/>
          <w:szCs w:val="22"/>
          <w:lang w:val="en-GB"/>
        </w:rPr>
        <w:t>(</w:t>
      </w:r>
      <w:r w:rsidR="00962605" w:rsidRPr="004E053C">
        <w:rPr>
          <w:rFonts w:cstheme="majorHAnsi"/>
          <w:noProof/>
          <w:sz w:val="22"/>
          <w:szCs w:val="22"/>
          <w:lang w:val="en-GB"/>
        </w:rPr>
        <w:t>1978)</w:t>
      </w:r>
      <w:r w:rsidR="00962605" w:rsidRPr="004E053C">
        <w:rPr>
          <w:rFonts w:cstheme="majorHAnsi"/>
          <w:sz w:val="22"/>
          <w:szCs w:val="22"/>
          <w:lang w:val="en-GB"/>
        </w:rPr>
        <w:fldChar w:fldCharType="end"/>
      </w:r>
      <w:r w:rsidRPr="004E053C">
        <w:rPr>
          <w:rFonts w:cstheme="majorHAnsi"/>
          <w:sz w:val="22"/>
          <w:szCs w:val="22"/>
          <w:lang w:val="en-GB"/>
        </w:rPr>
        <w:t>, Cross and Hernandez</w:t>
      </w:r>
      <w:r w:rsidR="00126F72" w:rsidRPr="004E053C">
        <w:rPr>
          <w:rFonts w:cstheme="majorHAnsi"/>
          <w:sz w:val="22"/>
          <w:szCs w:val="22"/>
          <w:lang w:val="en-GB"/>
        </w:rPr>
        <w:t xml:space="preserve"> </w:t>
      </w:r>
      <w:r w:rsidR="00126F72"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2011)","manualFormatting":"(2011)","plainTextFormattedCitation":"(J. C. Cross &amp; Hernández, 2011)","previouslyFormattedCitation":"(J. C. Cross &amp; Hernández, 2011)"},"properties":{"noteIndex":0},"schema":"https://github.com/citation-style-language/schema/raw/master/csl-citation.json"}</w:instrText>
      </w:r>
      <w:r w:rsidR="00126F72" w:rsidRPr="004E053C">
        <w:rPr>
          <w:rFonts w:cstheme="majorHAnsi"/>
          <w:sz w:val="22"/>
          <w:szCs w:val="22"/>
          <w:lang w:val="en-GB"/>
        </w:rPr>
        <w:fldChar w:fldCharType="separate"/>
      </w:r>
      <w:r w:rsidR="00126F72" w:rsidRPr="004E053C">
        <w:rPr>
          <w:rFonts w:cstheme="majorHAnsi"/>
          <w:noProof/>
          <w:sz w:val="22"/>
          <w:szCs w:val="22"/>
          <w:lang w:val="en-GB"/>
        </w:rPr>
        <w:t>(2011)</w:t>
      </w:r>
      <w:r w:rsidR="00126F72" w:rsidRPr="004E053C">
        <w:rPr>
          <w:rFonts w:cstheme="majorHAnsi"/>
          <w:sz w:val="22"/>
          <w:szCs w:val="22"/>
          <w:lang w:val="en-GB"/>
        </w:rPr>
        <w:fldChar w:fldCharType="end"/>
      </w:r>
      <w:r w:rsidRPr="004E053C">
        <w:rPr>
          <w:rFonts w:cstheme="majorHAnsi"/>
          <w:sz w:val="22"/>
          <w:szCs w:val="22"/>
          <w:lang w:val="en-GB"/>
        </w:rPr>
        <w:t xml:space="preserve"> </w:t>
      </w:r>
      <w:r w:rsidRPr="004E053C">
        <w:rPr>
          <w:rFonts w:eastAsia="Times New Roman" w:cstheme="majorHAnsi"/>
          <w:sz w:val="22"/>
          <w:szCs w:val="22"/>
          <w:lang w:val="en-GB"/>
        </w:rPr>
        <w:t xml:space="preserve">argue that </w:t>
      </w:r>
      <w:r w:rsidR="00BF6FF8" w:rsidRPr="004E053C">
        <w:rPr>
          <w:rFonts w:eastAsia="Times New Roman" w:cstheme="majorHAnsi"/>
          <w:sz w:val="22"/>
          <w:szCs w:val="22"/>
          <w:lang w:val="en-GB"/>
        </w:rPr>
        <w:t xml:space="preserve">local people </w:t>
      </w:r>
      <w:r w:rsidRPr="004E053C">
        <w:rPr>
          <w:rFonts w:eastAsia="Times New Roman" w:cstheme="majorHAnsi"/>
          <w:sz w:val="22"/>
          <w:szCs w:val="22"/>
          <w:lang w:val="en-GB"/>
        </w:rPr>
        <w:t>involved in illicit livelihoods can neutralise the negative psychological effects of labelling by glori</w:t>
      </w:r>
      <w:r w:rsidR="009C1116" w:rsidRPr="004E053C">
        <w:rPr>
          <w:rFonts w:eastAsia="Times New Roman" w:cstheme="majorHAnsi"/>
          <w:sz w:val="22"/>
          <w:szCs w:val="22"/>
          <w:lang w:val="en-GB"/>
        </w:rPr>
        <w:t>fying their role in the continuation of their illicit</w:t>
      </w:r>
      <w:r w:rsidRPr="004E053C">
        <w:rPr>
          <w:rFonts w:eastAsia="Times New Roman" w:cstheme="majorHAnsi"/>
          <w:sz w:val="22"/>
          <w:szCs w:val="22"/>
          <w:lang w:val="en-GB"/>
        </w:rPr>
        <w:t xml:space="preserve"> livelihood and avoiding arrest. While the miners in Laberi</w:t>
      </w:r>
      <w:r w:rsidR="009C1116" w:rsidRPr="004E053C">
        <w:rPr>
          <w:rFonts w:eastAsia="Times New Roman" w:cstheme="majorHAnsi"/>
          <w:sz w:val="22"/>
          <w:szCs w:val="22"/>
          <w:lang w:val="en-GB"/>
        </w:rPr>
        <w:t>nto do not take pride in being ‘deviant’</w:t>
      </w:r>
      <w:r w:rsidRPr="004E053C">
        <w:rPr>
          <w:rFonts w:eastAsia="Times New Roman" w:cstheme="majorHAnsi"/>
          <w:sz w:val="22"/>
          <w:szCs w:val="22"/>
          <w:lang w:val="en-GB"/>
        </w:rPr>
        <w:t xml:space="preserve">, and as has been illustrated, argue to the contrary, they do display pride in their ability to not give into repressive Government policy. There is evidence of the miners taking pride in the size of the protests </w:t>
      </w:r>
      <w:r w:rsidR="00444A19" w:rsidRPr="004E053C">
        <w:rPr>
          <w:rFonts w:eastAsia="Times New Roman" w:cstheme="majorHAnsi"/>
          <w:sz w:val="22"/>
          <w:szCs w:val="22"/>
          <w:lang w:val="en-GB"/>
        </w:rPr>
        <w:t>they have been able to organise</w:t>
      </w:r>
      <w:r w:rsidRPr="004E053C">
        <w:rPr>
          <w:rFonts w:eastAsia="Times New Roman" w:cstheme="majorHAnsi"/>
          <w:sz w:val="22"/>
          <w:szCs w:val="22"/>
          <w:lang w:val="en-GB"/>
        </w:rPr>
        <w:t xml:space="preserve"> and in their ability to recover their strength when they feel that all is lost:</w:t>
      </w:r>
    </w:p>
    <w:p w14:paraId="0AA109A0" w14:textId="77777777" w:rsidR="003E574E" w:rsidRPr="004E053C" w:rsidRDefault="003E574E" w:rsidP="004E053C">
      <w:pPr>
        <w:spacing w:line="360" w:lineRule="auto"/>
        <w:jc w:val="both"/>
        <w:rPr>
          <w:rFonts w:eastAsia="Times New Roman" w:cstheme="majorHAnsi"/>
          <w:i/>
          <w:iCs/>
          <w:sz w:val="22"/>
          <w:szCs w:val="22"/>
          <w:lang w:val="en-GB"/>
        </w:rPr>
      </w:pPr>
    </w:p>
    <w:p w14:paraId="5EFAF151" w14:textId="6E227A43"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Things won’t change, we’ll always be in the middle. They can’t stop us, but they will try to stop us. This solution will go on for a long time. There is corruption,</w:t>
      </w:r>
      <w:r w:rsidR="00444A19" w:rsidRPr="004E053C">
        <w:rPr>
          <w:rFonts w:eastAsia="Times New Roman" w:cstheme="majorHAnsi"/>
          <w:i/>
          <w:iCs/>
          <w:sz w:val="22"/>
          <w:szCs w:val="22"/>
          <w:lang w:val="en-GB"/>
        </w:rPr>
        <w:t xml:space="preserve"> and because of corruption the G</w:t>
      </w:r>
      <w:r w:rsidR="003E574E" w:rsidRPr="004E053C">
        <w:rPr>
          <w:rFonts w:eastAsia="Times New Roman" w:cstheme="majorHAnsi"/>
          <w:i/>
          <w:iCs/>
          <w:sz w:val="22"/>
          <w:szCs w:val="22"/>
          <w:lang w:val="en-GB"/>
        </w:rPr>
        <w:t>overnment will try and kick us out, but we will find other solutions</w:t>
      </w:r>
      <w:r w:rsidRPr="004E053C">
        <w:rPr>
          <w:rFonts w:eastAsia="Times New Roman" w:cstheme="majorHAnsi"/>
          <w:i/>
          <w:iCs/>
          <w:sz w:val="22"/>
          <w:szCs w:val="22"/>
          <w:lang w:val="en-GB"/>
        </w:rPr>
        <w:t xml:space="preserve">’ </w:t>
      </w:r>
      <w:r w:rsidR="003E574E" w:rsidRPr="004E053C">
        <w:rPr>
          <w:rFonts w:eastAsia="Times New Roman" w:cstheme="majorHAnsi"/>
          <w:sz w:val="22"/>
          <w:szCs w:val="22"/>
          <w:lang w:val="en-GB"/>
        </w:rPr>
        <w:t>(</w:t>
      </w:r>
      <w:r w:rsidR="00EA7F80" w:rsidRPr="004E053C">
        <w:rPr>
          <w:rFonts w:eastAsia="Times New Roman" w:cstheme="majorHAnsi"/>
          <w:sz w:val="22"/>
          <w:szCs w:val="22"/>
          <w:lang w:val="en-GB"/>
        </w:rPr>
        <w:t>Alejandro</w:t>
      </w:r>
      <w:r w:rsidR="003E574E" w:rsidRPr="004E053C">
        <w:rPr>
          <w:rFonts w:eastAsia="Times New Roman" w:cstheme="majorHAnsi"/>
          <w:sz w:val="22"/>
          <w:szCs w:val="22"/>
          <w:lang w:val="en-GB"/>
        </w:rPr>
        <w:t>, ASM miner, Laberinto).</w:t>
      </w:r>
    </w:p>
    <w:p w14:paraId="5C0895D5" w14:textId="77777777" w:rsidR="003E574E" w:rsidRPr="004E053C" w:rsidRDefault="003E574E" w:rsidP="004E053C">
      <w:pPr>
        <w:spacing w:line="360" w:lineRule="auto"/>
        <w:jc w:val="both"/>
        <w:rPr>
          <w:rFonts w:eastAsia="Times New Roman" w:cstheme="majorHAnsi"/>
          <w:sz w:val="22"/>
          <w:szCs w:val="22"/>
          <w:lang w:val="en-GB"/>
        </w:rPr>
      </w:pPr>
    </w:p>
    <w:p w14:paraId="5068E46B" w14:textId="4C5D4914"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In the above quote, </w:t>
      </w:r>
      <w:r w:rsidR="00EA7F80" w:rsidRPr="004E053C">
        <w:rPr>
          <w:rFonts w:eastAsia="Times New Roman" w:cstheme="majorHAnsi"/>
          <w:sz w:val="22"/>
          <w:szCs w:val="22"/>
          <w:lang w:val="en-GB"/>
        </w:rPr>
        <w:t>Alejandro</w:t>
      </w:r>
      <w:r w:rsidRPr="004E053C">
        <w:rPr>
          <w:rFonts w:eastAsia="Times New Roman" w:cstheme="majorHAnsi"/>
          <w:sz w:val="22"/>
          <w:szCs w:val="22"/>
          <w:lang w:val="en-GB"/>
        </w:rPr>
        <w:t xml:space="preserve"> not only references the commitment of the miners to defend their livelihood and </w:t>
      </w:r>
      <w:r w:rsidR="00A15A04" w:rsidRPr="004E053C">
        <w:rPr>
          <w:rFonts w:eastAsia="Times New Roman" w:cstheme="majorHAnsi"/>
          <w:sz w:val="22"/>
          <w:szCs w:val="22"/>
          <w:lang w:val="en-GB"/>
        </w:rPr>
        <w:t xml:space="preserve">local </w:t>
      </w:r>
      <w:r w:rsidRPr="004E053C">
        <w:rPr>
          <w:rFonts w:eastAsia="Times New Roman" w:cstheme="majorHAnsi"/>
          <w:sz w:val="22"/>
          <w:szCs w:val="22"/>
          <w:lang w:val="en-GB"/>
        </w:rPr>
        <w:t xml:space="preserve">community, but also says that he sees the situation going on for a long time. This suggests that </w:t>
      </w:r>
      <w:r w:rsidR="00F51FE4" w:rsidRPr="004E053C">
        <w:rPr>
          <w:rFonts w:eastAsia="Times New Roman" w:cstheme="majorHAnsi"/>
          <w:sz w:val="22"/>
          <w:szCs w:val="22"/>
          <w:lang w:val="en-GB"/>
        </w:rPr>
        <w:t xml:space="preserve">he </w:t>
      </w:r>
      <w:r w:rsidR="00444A19" w:rsidRPr="004E053C">
        <w:rPr>
          <w:rFonts w:eastAsia="Times New Roman" w:cstheme="majorHAnsi"/>
          <w:sz w:val="22"/>
          <w:szCs w:val="22"/>
          <w:lang w:val="en-GB"/>
        </w:rPr>
        <w:t>doesn’t think the G</w:t>
      </w:r>
      <w:r w:rsidRPr="004E053C">
        <w:rPr>
          <w:rFonts w:eastAsia="Times New Roman" w:cstheme="majorHAnsi"/>
          <w:sz w:val="22"/>
          <w:szCs w:val="22"/>
          <w:lang w:val="en-GB"/>
        </w:rPr>
        <w:t xml:space="preserve">overnment will ever change their policy, </w:t>
      </w:r>
      <w:r w:rsidR="00F51FE4" w:rsidRPr="004E053C">
        <w:rPr>
          <w:rFonts w:eastAsia="Times New Roman" w:cstheme="majorHAnsi"/>
          <w:sz w:val="22"/>
          <w:szCs w:val="22"/>
          <w:lang w:val="en-GB"/>
        </w:rPr>
        <w:t xml:space="preserve">but also that </w:t>
      </w:r>
      <w:r w:rsidRPr="004E053C">
        <w:rPr>
          <w:rFonts w:eastAsia="Times New Roman" w:cstheme="majorHAnsi"/>
          <w:sz w:val="22"/>
          <w:szCs w:val="22"/>
          <w:lang w:val="en-GB"/>
        </w:rPr>
        <w:t xml:space="preserve">he has confidence that the </w:t>
      </w:r>
      <w:r w:rsidR="00A15A04" w:rsidRPr="004E053C">
        <w:rPr>
          <w:rFonts w:eastAsia="Times New Roman" w:cstheme="majorHAnsi"/>
          <w:sz w:val="22"/>
          <w:szCs w:val="22"/>
          <w:lang w:val="en-GB"/>
        </w:rPr>
        <w:t xml:space="preserve">local people </w:t>
      </w:r>
      <w:r w:rsidRPr="004E053C">
        <w:rPr>
          <w:rFonts w:eastAsia="Times New Roman" w:cstheme="majorHAnsi"/>
          <w:sz w:val="22"/>
          <w:szCs w:val="22"/>
          <w:lang w:val="en-GB"/>
        </w:rPr>
        <w:t>can continue to resist these</w:t>
      </w:r>
      <w:r w:rsidR="00F51FE4" w:rsidRPr="004E053C">
        <w:rPr>
          <w:rFonts w:eastAsia="Times New Roman" w:cstheme="majorHAnsi"/>
          <w:sz w:val="22"/>
          <w:szCs w:val="22"/>
          <w:lang w:val="en-GB"/>
        </w:rPr>
        <w:t xml:space="preserve"> restrictions</w:t>
      </w:r>
      <w:r w:rsidRPr="004E053C">
        <w:rPr>
          <w:rFonts w:eastAsia="Times New Roman" w:cstheme="majorHAnsi"/>
          <w:sz w:val="22"/>
          <w:szCs w:val="22"/>
          <w:lang w:val="en-GB"/>
        </w:rPr>
        <w:t xml:space="preserve">. </w:t>
      </w:r>
    </w:p>
    <w:p w14:paraId="630FC71E" w14:textId="77777777" w:rsidR="003E574E" w:rsidRPr="004E053C" w:rsidRDefault="003E574E" w:rsidP="004E053C">
      <w:pPr>
        <w:spacing w:line="360" w:lineRule="auto"/>
        <w:jc w:val="both"/>
        <w:rPr>
          <w:rFonts w:eastAsia="Times New Roman" w:cstheme="majorHAnsi"/>
          <w:sz w:val="22"/>
          <w:szCs w:val="22"/>
          <w:lang w:val="en-GB"/>
        </w:rPr>
      </w:pPr>
    </w:p>
    <w:p w14:paraId="6F56B977" w14:textId="33EF92ED" w:rsidR="003E574E" w:rsidRPr="004E053C" w:rsidRDefault="00E5421F"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The protests and other forms of collective action</w:t>
      </w:r>
      <w:r w:rsidR="003E574E" w:rsidRPr="004E053C">
        <w:rPr>
          <w:rFonts w:eastAsia="Times New Roman" w:cstheme="majorHAnsi"/>
          <w:sz w:val="22"/>
          <w:szCs w:val="22"/>
          <w:lang w:val="en-GB"/>
        </w:rPr>
        <w:t xml:space="preserve"> that the miners refer to are all organised through FEDAMIN, who are the central point of the resistance against the Government. FEDAMIN distributes information to the smaller organisations of miners regar</w:t>
      </w:r>
      <w:r w:rsidR="009C1116" w:rsidRPr="004E053C">
        <w:rPr>
          <w:rFonts w:eastAsia="Times New Roman" w:cstheme="majorHAnsi"/>
          <w:sz w:val="22"/>
          <w:szCs w:val="22"/>
          <w:lang w:val="en-GB"/>
        </w:rPr>
        <w:t>ding mining techniques, formalis</w:t>
      </w:r>
      <w:r w:rsidR="003E574E" w:rsidRPr="004E053C">
        <w:rPr>
          <w:rFonts w:eastAsia="Times New Roman" w:cstheme="majorHAnsi"/>
          <w:sz w:val="22"/>
          <w:szCs w:val="22"/>
          <w:lang w:val="en-GB"/>
        </w:rPr>
        <w:t xml:space="preserve">ation criteria and changing government policy, which is usually done through meetings held centrally. The organisation has been extremely influential in the </w:t>
      </w:r>
      <w:r w:rsidR="00900A37" w:rsidRPr="004E053C">
        <w:rPr>
          <w:rFonts w:eastAsia="Times New Roman" w:cstheme="majorHAnsi"/>
          <w:sz w:val="22"/>
          <w:szCs w:val="22"/>
          <w:lang w:val="en-GB"/>
        </w:rPr>
        <w:t>on-going</w:t>
      </w:r>
      <w:r w:rsidR="00444A19" w:rsidRPr="004E053C">
        <w:rPr>
          <w:rFonts w:eastAsia="Times New Roman" w:cstheme="majorHAnsi"/>
          <w:sz w:val="22"/>
          <w:szCs w:val="22"/>
          <w:lang w:val="en-GB"/>
        </w:rPr>
        <w:t xml:space="preserve"> negotiations</w:t>
      </w:r>
      <w:r w:rsidR="003E574E" w:rsidRPr="004E053C">
        <w:rPr>
          <w:rFonts w:eastAsia="Times New Roman" w:cstheme="majorHAnsi"/>
          <w:sz w:val="22"/>
          <w:szCs w:val="22"/>
          <w:lang w:val="en-GB"/>
        </w:rPr>
        <w:t xml:space="preserve"> and is perhaps likely to bear some responsibility for the narratives and discourses that have emerged around the illegality of ASM. FEDAMIN have had a strong influenc</w:t>
      </w:r>
      <w:r w:rsidR="00444A19" w:rsidRPr="004E053C">
        <w:rPr>
          <w:rFonts w:eastAsia="Times New Roman" w:cstheme="majorHAnsi"/>
          <w:sz w:val="22"/>
          <w:szCs w:val="22"/>
          <w:lang w:val="en-GB"/>
        </w:rPr>
        <w:t>e in the local area politically</w:t>
      </w:r>
      <w:r w:rsidR="003E574E" w:rsidRPr="004E053C">
        <w:rPr>
          <w:rFonts w:eastAsia="Times New Roman" w:cstheme="majorHAnsi"/>
          <w:sz w:val="22"/>
          <w:szCs w:val="22"/>
          <w:lang w:val="en-GB"/>
        </w:rPr>
        <w:t xml:space="preserve"> and the leaders have got into positions of power at the local and regional level </w:t>
      </w:r>
      <w:r w:rsidR="00126F72" w:rsidRPr="004E053C">
        <w:rPr>
          <w:rFonts w:eastAsia="Times New Roman" w:cstheme="majorHAnsi"/>
          <w:sz w:val="22"/>
          <w:szCs w:val="22"/>
          <w:lang w:val="en-GB"/>
        </w:rPr>
        <w:fldChar w:fldCharType="begin" w:fldLock="1"/>
      </w:r>
      <w:r w:rsidR="007A757C" w:rsidRPr="004E053C">
        <w:rPr>
          <w:rFonts w:eastAsia="Times New Roman" w:cstheme="majorHAnsi"/>
          <w:sz w:val="22"/>
          <w:szCs w:val="22"/>
          <w:lang w:val="en-GB"/>
        </w:rPr>
        <w:instrText>ADDIN CSL_CITATION {"citationItems":[{"id":"ITEM-1","itemData":{"abstract":"The article analyzes the Peruvian government quest for small scale miners´ formalization in the Amazon as a political process that shows how state governance problems are reproduced in the realm of state margins. Why is the central State unable to regulate mining activities in Madre de Dios? And how have small- scale miners reacted to these state attempts to govern the region? It argues that small-scale mining in the Amazonian region of Madre de Dios in Peru has flourished in a social space where formal and informal institutions intertwine in a way barely 'legible' by the State, where miners through political agency have learned to contest, reinterpret and built alternatives to central State governance. From an Anthropological perspective, it shows the interplay between state policies, actions and violence, and local actor´s resistance, protests and collaboration in establishing hybrid institutions, rules and procedures, for achieving a non-centralized governance over the region in the realm of a chaotic mining expansion over fragile environments. Methodologically, this article draws on several sources of secondary data such as reports and audios and primary data collected using qualitative in particular ethnographic methods during several fieldwork visits to the region. This article contributes to the literature on state governance by showing central state governance problems and the importance of local people´s agency in achieving some control over unruly extractive expansion. It also shows how state problems on implementing specific policies such as mining formalization should be analyzed also as a governance problem in particular in regions where state apparatus are not well established as in the Amazonia.","author":[{"dropping-particle":"","family":"Damonte","given":"Gerardo","non-dropping-particle":"","parse-names":false,"suffix":""}],"container-title":"Development and Change","id":"ITEM-1","issue":"5","issued":{"date-parts":[["2018"]]},"page":"1314-1335","title":"Mining formalization at the margins of the state: small-scale miners and state governance in the Peruvian Amazon","type":"article-journal","volume":"49"},"uris":["http://www.mendeley.com/documents/?uuid=a40f3a30-0490-4f23-9ed0-7de3a0a19aeb"]},{"id":"ITEM-2","itemData":{"author":[{"dropping-particle":"","family":"Cortés-McPherson","given":"Dolores","non-dropping-particle":"","parse-names":false,"suffix":""}],"container-title":"The Extractive Industries and Society","id":"ITEM-2","issue":"2","issued":{"date-parts":[["2019"]]},"page":"382-389","title":"Expansion of small-scale gold mining in Madre de Dios: ‘capital interests’ and the emergence of a new elite of entrepreneurs in the Peruvian Amazon","type":"article-journal","volume":"6"},"uris":["http://www.mendeley.com/documents/?uuid=402f7023-8f80-4150-99dd-21c5e92f9a63"]}],"mendeley":{"formattedCitation":"(Cortés-McPherson, 2019; Damonte, 2018)","manualFormatting":"(Cortés-McPherson, 2019; Damonte, 2018)","plainTextFormattedCitation":"(Cortés-McPherson, 2019; Damonte, 2018)","previouslyFormattedCitation":"(Cortés-McPherson, 2019; Damonte, 2018)"},"properties":{"noteIndex":0},"schema":"https://github.com/citation-style-language/schema/raw/master/csl-citation.json"}</w:instrText>
      </w:r>
      <w:r w:rsidR="00126F72" w:rsidRPr="004E053C">
        <w:rPr>
          <w:rFonts w:eastAsia="Times New Roman" w:cstheme="majorHAnsi"/>
          <w:sz w:val="22"/>
          <w:szCs w:val="22"/>
          <w:lang w:val="en-GB"/>
        </w:rPr>
        <w:fldChar w:fldCharType="separate"/>
      </w:r>
      <w:r w:rsidR="00126F72" w:rsidRPr="004E053C">
        <w:rPr>
          <w:rFonts w:eastAsia="Times New Roman" w:cstheme="majorHAnsi"/>
          <w:noProof/>
          <w:sz w:val="22"/>
          <w:szCs w:val="22"/>
          <w:lang w:val="en-GB"/>
        </w:rPr>
        <w:t>(Cortés-McPherson, 2019; Damonte, 2018)</w:t>
      </w:r>
      <w:r w:rsidR="00126F72" w:rsidRPr="004E053C">
        <w:rPr>
          <w:rFonts w:eastAsia="Times New Roman" w:cstheme="majorHAnsi"/>
          <w:sz w:val="22"/>
          <w:szCs w:val="22"/>
          <w:lang w:val="en-GB"/>
        </w:rPr>
        <w:fldChar w:fldCharType="end"/>
      </w:r>
      <w:r w:rsidR="003E574E" w:rsidRPr="004E053C">
        <w:rPr>
          <w:rFonts w:eastAsia="Times New Roman" w:cstheme="majorHAnsi"/>
          <w:sz w:val="22"/>
          <w:szCs w:val="22"/>
          <w:lang w:val="en-GB"/>
        </w:rPr>
        <w:t xml:space="preserve">. </w:t>
      </w:r>
      <w:r w:rsidR="009C1116" w:rsidRPr="004E053C">
        <w:rPr>
          <w:rFonts w:eastAsia="Times New Roman" w:cstheme="majorHAnsi"/>
          <w:sz w:val="22"/>
          <w:szCs w:val="22"/>
          <w:lang w:val="en-GB"/>
        </w:rPr>
        <w:t>A couple of the interviewed miners boasted about putting their support behind certain pro-mining candidates in the municipal an</w:t>
      </w:r>
      <w:r w:rsidR="00444A19" w:rsidRPr="004E053C">
        <w:rPr>
          <w:rFonts w:eastAsia="Times New Roman" w:cstheme="majorHAnsi"/>
          <w:sz w:val="22"/>
          <w:szCs w:val="22"/>
          <w:lang w:val="en-GB"/>
        </w:rPr>
        <w:t>d regional government elections</w:t>
      </w:r>
      <w:r w:rsidR="009C1116" w:rsidRPr="004E053C">
        <w:rPr>
          <w:rFonts w:eastAsia="Times New Roman" w:cstheme="majorHAnsi"/>
          <w:sz w:val="22"/>
          <w:szCs w:val="22"/>
          <w:lang w:val="en-GB"/>
        </w:rPr>
        <w:t xml:space="preserve"> and these candidates were local miners who were previously involved with FEDAMIN. </w:t>
      </w:r>
      <w:r w:rsidR="003E574E" w:rsidRPr="004E053C">
        <w:rPr>
          <w:rFonts w:eastAsia="Times New Roman" w:cstheme="majorHAnsi"/>
          <w:sz w:val="22"/>
          <w:szCs w:val="22"/>
          <w:lang w:val="en-GB"/>
        </w:rPr>
        <w:t xml:space="preserve">It seems likely that the elite members of FEDAMIN have been able to use the support of the miners </w:t>
      </w:r>
      <w:r w:rsidRPr="004E053C">
        <w:rPr>
          <w:rFonts w:eastAsia="Times New Roman" w:cstheme="majorHAnsi"/>
          <w:sz w:val="22"/>
          <w:szCs w:val="22"/>
          <w:lang w:val="en-GB"/>
        </w:rPr>
        <w:t xml:space="preserve">and other residents </w:t>
      </w:r>
      <w:r w:rsidR="003E574E" w:rsidRPr="004E053C">
        <w:rPr>
          <w:rFonts w:eastAsia="Times New Roman" w:cstheme="majorHAnsi"/>
          <w:sz w:val="22"/>
          <w:szCs w:val="22"/>
          <w:lang w:val="en-GB"/>
        </w:rPr>
        <w:t xml:space="preserve">to shore up power locally, in some cases rallying the miners against the Government by exploiting the fears of </w:t>
      </w:r>
      <w:r w:rsidRPr="004E053C">
        <w:rPr>
          <w:rFonts w:eastAsia="Times New Roman" w:cstheme="majorHAnsi"/>
          <w:sz w:val="22"/>
          <w:szCs w:val="22"/>
          <w:lang w:val="en-GB"/>
        </w:rPr>
        <w:t>local people</w:t>
      </w:r>
      <w:r w:rsidR="003E574E" w:rsidRPr="004E053C">
        <w:rPr>
          <w:rFonts w:eastAsia="Times New Roman" w:cstheme="majorHAnsi"/>
          <w:sz w:val="22"/>
          <w:szCs w:val="22"/>
          <w:lang w:val="en-GB"/>
        </w:rPr>
        <w:t xml:space="preserve">. </w:t>
      </w:r>
      <w:r w:rsidR="00900A37" w:rsidRPr="004E053C">
        <w:rPr>
          <w:rFonts w:eastAsia="Times New Roman" w:cstheme="majorHAnsi"/>
          <w:sz w:val="22"/>
          <w:szCs w:val="22"/>
          <w:lang w:val="en-GB"/>
        </w:rPr>
        <w:t xml:space="preserve">An example here is that many of the miners believe that Tambopata has already been sold to large-scale extraction companies, despite there being no evidence for this, </w:t>
      </w:r>
      <w:r w:rsidR="009C1116" w:rsidRPr="004E053C">
        <w:rPr>
          <w:rFonts w:eastAsia="Times New Roman" w:cstheme="majorHAnsi"/>
          <w:sz w:val="22"/>
          <w:szCs w:val="22"/>
          <w:lang w:val="en-GB"/>
        </w:rPr>
        <w:t>which</w:t>
      </w:r>
      <w:r w:rsidR="00900A37" w:rsidRPr="004E053C">
        <w:rPr>
          <w:rFonts w:eastAsia="Times New Roman" w:cstheme="majorHAnsi"/>
          <w:sz w:val="22"/>
          <w:szCs w:val="22"/>
          <w:lang w:val="en-GB"/>
        </w:rPr>
        <w:t xml:space="preserve"> makes them more likely to lend their political support to candidates linked to FEDAMIN. </w:t>
      </w:r>
      <w:r w:rsidRPr="004E053C">
        <w:rPr>
          <w:rFonts w:eastAsia="Times New Roman" w:cstheme="majorHAnsi"/>
          <w:sz w:val="22"/>
          <w:szCs w:val="22"/>
          <w:lang w:val="en-GB"/>
        </w:rPr>
        <w:t xml:space="preserve">It is likely that these widely-held beliefs have been encouraged by FEDAMIN. </w:t>
      </w:r>
    </w:p>
    <w:p w14:paraId="6D15F5D3" w14:textId="77777777" w:rsidR="003E574E" w:rsidRPr="004E053C" w:rsidRDefault="003E574E" w:rsidP="004E053C">
      <w:pPr>
        <w:spacing w:line="360" w:lineRule="auto"/>
        <w:jc w:val="both"/>
        <w:rPr>
          <w:rFonts w:eastAsia="Times New Roman" w:cstheme="majorHAnsi"/>
          <w:sz w:val="22"/>
          <w:szCs w:val="22"/>
          <w:lang w:val="en-GB"/>
        </w:rPr>
      </w:pPr>
    </w:p>
    <w:p w14:paraId="7E84998F" w14:textId="67C2B822" w:rsidR="003E574E" w:rsidRPr="004E053C" w:rsidRDefault="00195FDF" w:rsidP="004E053C">
      <w:pPr>
        <w:spacing w:line="360" w:lineRule="auto"/>
        <w:contextualSpacing/>
        <w:jc w:val="both"/>
        <w:rPr>
          <w:rFonts w:cstheme="majorHAnsi"/>
          <w:color w:val="FF0000"/>
          <w:sz w:val="22"/>
          <w:szCs w:val="22"/>
          <w:lang w:val="en-GB"/>
        </w:rPr>
      </w:pPr>
      <w:r w:rsidRPr="004E053C">
        <w:rPr>
          <w:rFonts w:cstheme="majorHAnsi"/>
          <w:sz w:val="22"/>
          <w:szCs w:val="22"/>
          <w:lang w:val="en-GB"/>
        </w:rPr>
        <w:t xml:space="preserve">Bourdieu saw associational life as inherently conflictual and contradictory, as the social capital it generated represented an instrument of power and domination which could lead to the creation of inequality and domination within the social field </w:t>
      </w:r>
      <w:r w:rsidR="00A95CF9"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{"citationItems":[{"id":"ITEM-1","itemData":{"author":[{"dropping-particle":"","family":"Bourdieu","given":"Pierre","non-dropping-particle":"","parse-names":false,"suffix":""}],"id":"ITEM-1","issued":{"date-parts":[["1977"]]},"publisher":"Cambridge University Press","publisher-place":"Cambridge","title":"Outline of a Theory of Practice","type":"book"},"uris":["http://www.mendeley.com/documents/?uuid=8266da53-3861-3711-81ba-d99179335688"]},{"id":"ITEM-2","itemData":{"author":[{"dropping-particle":"","family":"Harriss","given":"John","non-dropping-particle":"","parse-names":false,"suffix":""}],"container-title":"The New Development Economics: After the Washington Consensus","editor":[{"dropping-particle":"","family":"Jomo","given":"K.S","non-dropping-particle":"","parse-names":false,"suffix":""},{"dropping-particle":"","family":"Fine","given":"Ben","non-dropping-particle":"","parse-names":false,"suffix":""}],"id":"ITEM-2","issued":{"date-parts":[["2006"]]},"publisher":"Zed Books","publisher-place":"London, UK","title":"Social Capital","type":"chapter"},"uris":["http://www.mendeley.com/documents/?uuid=a833618a-9ec0-42e3-add1-a96ce74ca1ef"]},{"id":"ITEM-3","itemData":{"author":[{"dropping-particle":"","family":"Thieme","given":"S","non-dropping-particle":"","parse-names":false,"suffix":""},{"dropping-particle":"","family":"Siegmann","given":"K.A","non-dropping-particle":"","parse-names":false,"suffix":""}],"container-title":"Current Sociology","id":"ITEM-3","issue":"5","issued":{"date-parts":[["2010"]]},"page":"715-737","title":"Coping on Women’s Backs Social Capital–Vulnerability Links through a Gender Lens","type":"article-journal","volume":"58"},"uris":["http://www.mendeley.com/documents/?uuid=947f544f-86c6-39f2-a6b9-f3aca119bb66"]}],"mendeley":{"formattedCitation":"(Bourdieu, 1977; Harriss, 2006; S Thieme &amp; Siegmann, 2010)","manualFormatting":"(Bourdieu, 1977; Harriss, 2006; Thieme &amp; Siegmann, 2010)","plainTextFormattedCitation":"(Bourdieu, 1977; Harriss, 2006; S Thieme &amp; Siegmann, 2010)","previouslyFormattedCitation":"(Bourdieu, 1977; Harriss, 2006; S Thieme &amp; Siegmann, 2010)"},"properties":{"noteIndex":0},"schema":"https://github.com/citation-style-language/schema/raw/master/csl-citation.json"}</w:instrText>
      </w:r>
      <w:r w:rsidR="00A95CF9" w:rsidRPr="004E053C">
        <w:rPr>
          <w:rFonts w:cstheme="majorHAnsi"/>
          <w:sz w:val="22"/>
          <w:szCs w:val="22"/>
          <w:lang w:val="en-GB"/>
        </w:rPr>
        <w:fldChar w:fldCharType="separate"/>
      </w:r>
      <w:r w:rsidR="00C61A2C" w:rsidRPr="004E053C">
        <w:rPr>
          <w:rFonts w:cstheme="majorHAnsi"/>
          <w:noProof/>
          <w:sz w:val="22"/>
          <w:szCs w:val="22"/>
          <w:lang w:val="en-GB"/>
        </w:rPr>
        <w:t>(B</w:t>
      </w:r>
      <w:r w:rsidR="009628C7" w:rsidRPr="004E053C">
        <w:rPr>
          <w:rFonts w:cstheme="majorHAnsi"/>
          <w:noProof/>
          <w:sz w:val="22"/>
          <w:szCs w:val="22"/>
          <w:lang w:val="en-GB"/>
        </w:rPr>
        <w:t xml:space="preserve">ourdieu, 1977; Harriss, 2006; </w:t>
      </w:r>
      <w:r w:rsidR="00C61A2C" w:rsidRPr="004E053C">
        <w:rPr>
          <w:rFonts w:cstheme="majorHAnsi"/>
          <w:noProof/>
          <w:sz w:val="22"/>
          <w:szCs w:val="22"/>
          <w:lang w:val="en-GB"/>
        </w:rPr>
        <w:t>Thieme &amp; Siegmann, 2010)</w:t>
      </w:r>
      <w:r w:rsidR="00A95CF9" w:rsidRPr="004E053C">
        <w:rPr>
          <w:rFonts w:cstheme="majorHAnsi"/>
          <w:sz w:val="22"/>
          <w:szCs w:val="22"/>
          <w:lang w:val="en-GB"/>
        </w:rPr>
        <w:fldChar w:fldCharType="end"/>
      </w:r>
      <w:r w:rsidRPr="004E053C">
        <w:rPr>
          <w:rFonts w:cstheme="majorHAnsi"/>
          <w:sz w:val="22"/>
          <w:szCs w:val="22"/>
          <w:lang w:val="en-GB"/>
        </w:rPr>
        <w:t xml:space="preserve">. </w:t>
      </w:r>
      <w:r w:rsidR="00900A37" w:rsidRPr="004E053C">
        <w:rPr>
          <w:rFonts w:cstheme="majorHAnsi"/>
          <w:sz w:val="22"/>
          <w:szCs w:val="22"/>
          <w:lang w:val="en-GB"/>
        </w:rPr>
        <w:t>This analysis is highly relevant to FEDAMIN, as while the organisation</w:t>
      </w:r>
      <w:r w:rsidR="00900A37" w:rsidRPr="004E053C">
        <w:rPr>
          <w:rFonts w:eastAsia="Times New Roman" w:cstheme="majorHAnsi"/>
          <w:sz w:val="22"/>
          <w:szCs w:val="22"/>
          <w:lang w:val="en-GB"/>
        </w:rPr>
        <w:t xml:space="preserve"> is undoubtedly a driving force behind the collective identity in Laberinto, their vested interests have not gone unnoticed by some of the permanent miners. </w:t>
      </w:r>
      <w:r w:rsidR="003E574E" w:rsidRPr="004E053C">
        <w:rPr>
          <w:rFonts w:eastAsia="Times New Roman" w:cstheme="majorHAnsi"/>
          <w:sz w:val="22"/>
          <w:szCs w:val="22"/>
          <w:lang w:val="en-GB"/>
        </w:rPr>
        <w:t xml:space="preserve">For example, one miner claimed that the </w:t>
      </w:r>
      <w:r w:rsidR="003E574E" w:rsidRPr="004E053C">
        <w:rPr>
          <w:rFonts w:eastAsia="Times New Roman" w:cstheme="majorHAnsi"/>
          <w:sz w:val="22"/>
          <w:szCs w:val="22"/>
          <w:lang w:val="en-GB"/>
        </w:rPr>
        <w:lastRenderedPageBreak/>
        <w:t xml:space="preserve">organisation only survived by getting rich from the money donated to them by </w:t>
      </w:r>
      <w:r w:rsidR="003E574E" w:rsidRPr="004E053C">
        <w:rPr>
          <w:rFonts w:eastAsia="Times New Roman" w:cstheme="majorHAnsi"/>
          <w:i/>
          <w:iCs/>
          <w:sz w:val="22"/>
          <w:szCs w:val="22"/>
          <w:lang w:val="en-GB"/>
        </w:rPr>
        <w:t xml:space="preserve">concessionarios, </w:t>
      </w:r>
      <w:r w:rsidR="003E574E" w:rsidRPr="004E053C">
        <w:rPr>
          <w:rFonts w:eastAsia="Times New Roman" w:cstheme="majorHAnsi"/>
          <w:sz w:val="22"/>
          <w:szCs w:val="22"/>
          <w:lang w:val="en-GB"/>
        </w:rPr>
        <w:t>while others hinted that those in charge are only interested in political gain:</w:t>
      </w:r>
    </w:p>
    <w:p w14:paraId="4003F12B" w14:textId="77777777"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ab/>
      </w:r>
    </w:p>
    <w:p w14:paraId="7247DFF3" w14:textId="595FBD39"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FEDAMIN don’t work well, and they don’t really help anyone at all. They don’t do anything for the mining. They have political interests, and the people who work there want to be something higher, but they don’t really want to help the people</w:t>
      </w:r>
      <w:r w:rsidRPr="004E053C">
        <w:rPr>
          <w:rFonts w:eastAsia="Times New Roman" w:cstheme="majorHAnsi"/>
          <w:i/>
          <w:iCs/>
          <w:sz w:val="22"/>
          <w:szCs w:val="22"/>
          <w:lang w:val="en-GB"/>
        </w:rPr>
        <w:t>’</w:t>
      </w:r>
      <w:r w:rsidR="003E574E" w:rsidRPr="004E053C">
        <w:rPr>
          <w:rFonts w:eastAsia="Times New Roman" w:cstheme="majorHAnsi"/>
          <w:sz w:val="22"/>
          <w:szCs w:val="22"/>
          <w:lang w:val="en-GB"/>
        </w:rPr>
        <w:t xml:space="preserve"> (</w:t>
      </w:r>
      <w:r w:rsidR="000E13B9" w:rsidRPr="004E053C">
        <w:rPr>
          <w:rFonts w:eastAsia="Times New Roman" w:cstheme="majorHAnsi"/>
          <w:sz w:val="22"/>
          <w:szCs w:val="22"/>
          <w:lang w:val="en-GB"/>
        </w:rPr>
        <w:t>Willbert</w:t>
      </w:r>
      <w:r w:rsidR="003E574E" w:rsidRPr="004E053C">
        <w:rPr>
          <w:rFonts w:eastAsia="Times New Roman" w:cstheme="majorHAnsi"/>
          <w:sz w:val="22"/>
          <w:szCs w:val="22"/>
          <w:lang w:val="en-GB"/>
        </w:rPr>
        <w:t>, ASM miner, Laberinto).</w:t>
      </w:r>
    </w:p>
    <w:p w14:paraId="4A676B9B" w14:textId="77777777" w:rsidR="003E574E" w:rsidRPr="004E053C" w:rsidRDefault="003E574E" w:rsidP="004E053C">
      <w:pPr>
        <w:jc w:val="both"/>
        <w:rPr>
          <w:rFonts w:eastAsia="Times New Roman" w:cstheme="majorHAnsi"/>
          <w:sz w:val="22"/>
          <w:szCs w:val="22"/>
          <w:lang w:val="en-GB"/>
        </w:rPr>
      </w:pPr>
    </w:p>
    <w:p w14:paraId="7C97FCBC" w14:textId="5BCC8327"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277027">
        <w:rPr>
          <w:rFonts w:eastAsia="Times New Roman" w:cstheme="majorHAnsi"/>
          <w:i/>
          <w:iCs/>
          <w:sz w:val="22"/>
          <w:szCs w:val="22"/>
          <w:lang w:val="en-GB"/>
        </w:rPr>
        <w:t>FEDAMIN is shit, the organis</w:t>
      </w:r>
      <w:r w:rsidR="003E574E" w:rsidRPr="004E053C">
        <w:rPr>
          <w:rFonts w:eastAsia="Times New Roman" w:cstheme="majorHAnsi"/>
          <w:i/>
          <w:iCs/>
          <w:sz w:val="22"/>
          <w:szCs w:val="22"/>
          <w:lang w:val="en-GB"/>
        </w:rPr>
        <w:t xml:space="preserve">ation is bad because most of the presidents have been cheating </w:t>
      </w:r>
      <w:r w:rsidR="00444A19" w:rsidRPr="004E053C">
        <w:rPr>
          <w:rFonts w:eastAsia="Times New Roman" w:cstheme="majorHAnsi"/>
          <w:i/>
          <w:iCs/>
          <w:sz w:val="22"/>
          <w:szCs w:val="22"/>
          <w:lang w:val="en-GB"/>
        </w:rPr>
        <w:t>on them, taking money from the G</w:t>
      </w:r>
      <w:r w:rsidR="003E574E" w:rsidRPr="004E053C">
        <w:rPr>
          <w:rFonts w:eastAsia="Times New Roman" w:cstheme="majorHAnsi"/>
          <w:i/>
          <w:iCs/>
          <w:sz w:val="22"/>
          <w:szCs w:val="22"/>
          <w:lang w:val="en-GB"/>
        </w:rPr>
        <w:t>overnment to try and change people’s minds. I don’t think FEDAMIN is good or helps anyone</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Willan</w:t>
      </w:r>
      <w:r w:rsidR="003E574E" w:rsidRPr="004E053C">
        <w:rPr>
          <w:rFonts w:eastAsia="Times New Roman" w:cstheme="majorHAnsi"/>
          <w:sz w:val="22"/>
          <w:szCs w:val="22"/>
          <w:lang w:val="en-GB"/>
        </w:rPr>
        <w:t>, ASM miner, Laberinto).</w:t>
      </w:r>
    </w:p>
    <w:p w14:paraId="6DC7B9EC" w14:textId="77777777" w:rsidR="003E574E" w:rsidRPr="004E053C" w:rsidRDefault="003E574E" w:rsidP="004E053C">
      <w:pPr>
        <w:spacing w:line="360" w:lineRule="auto"/>
        <w:jc w:val="both"/>
        <w:rPr>
          <w:rFonts w:eastAsia="Times New Roman" w:cstheme="majorHAnsi"/>
          <w:sz w:val="22"/>
          <w:szCs w:val="22"/>
          <w:lang w:val="en-GB"/>
        </w:rPr>
      </w:pPr>
    </w:p>
    <w:p w14:paraId="223475DE" w14:textId="665482C4" w:rsidR="003E574E" w:rsidRPr="004E053C" w:rsidRDefault="00EA7F80" w:rsidP="004E053C">
      <w:pPr>
        <w:widowControl w:val="0"/>
        <w:autoSpaceDE w:val="0"/>
        <w:autoSpaceDN w:val="0"/>
        <w:adjustRightInd w:val="0"/>
        <w:spacing w:line="360" w:lineRule="auto"/>
        <w:jc w:val="both"/>
        <w:rPr>
          <w:rFonts w:eastAsia="Times New Roman" w:cstheme="majorHAnsi"/>
          <w:sz w:val="22"/>
          <w:szCs w:val="22"/>
          <w:lang w:val="en-GB"/>
        </w:rPr>
      </w:pPr>
      <w:r w:rsidRPr="004E053C">
        <w:rPr>
          <w:rFonts w:eastAsia="Times New Roman" w:cstheme="majorHAnsi"/>
          <w:sz w:val="22"/>
          <w:szCs w:val="22"/>
          <w:lang w:val="en-GB"/>
        </w:rPr>
        <w:t>Willan</w:t>
      </w:r>
      <w:r w:rsidR="003E574E" w:rsidRPr="004E053C">
        <w:rPr>
          <w:rFonts w:eastAsia="Times New Roman" w:cstheme="majorHAnsi"/>
          <w:sz w:val="22"/>
          <w:szCs w:val="22"/>
          <w:lang w:val="en-GB"/>
        </w:rPr>
        <w:t xml:space="preserve">’s quote is particularly interesting, and reflects a belief that FEDAMIN’s presidents </w:t>
      </w:r>
      <w:r w:rsidR="005527DD" w:rsidRPr="004E053C">
        <w:rPr>
          <w:rFonts w:eastAsia="Times New Roman" w:cstheme="majorHAnsi"/>
          <w:sz w:val="22"/>
          <w:szCs w:val="22"/>
          <w:lang w:val="en-GB"/>
        </w:rPr>
        <w:t>are actually</w:t>
      </w:r>
      <w:r w:rsidR="003E574E" w:rsidRPr="004E053C">
        <w:rPr>
          <w:rFonts w:eastAsia="Times New Roman" w:cstheme="majorHAnsi"/>
          <w:sz w:val="22"/>
          <w:szCs w:val="22"/>
          <w:lang w:val="en-GB"/>
        </w:rPr>
        <w:t xml:space="preserve"> work</w:t>
      </w:r>
      <w:r w:rsidR="00444A19" w:rsidRPr="004E053C">
        <w:rPr>
          <w:rFonts w:eastAsia="Times New Roman" w:cstheme="majorHAnsi"/>
          <w:sz w:val="22"/>
          <w:szCs w:val="22"/>
          <w:lang w:val="en-GB"/>
        </w:rPr>
        <w:t>ing on behalf of the G</w:t>
      </w:r>
      <w:r w:rsidR="00AE5A2E" w:rsidRPr="004E053C">
        <w:rPr>
          <w:rFonts w:eastAsia="Times New Roman" w:cstheme="majorHAnsi"/>
          <w:sz w:val="22"/>
          <w:szCs w:val="22"/>
          <w:lang w:val="en-GB"/>
        </w:rPr>
        <w:t>overnment. However, another interpretation is that these leaders who have come to power do not want to be</w:t>
      </w:r>
      <w:r w:rsidR="00AE5A2E" w:rsidRPr="004E053C">
        <w:rPr>
          <w:rFonts w:cstheme="majorHAnsi"/>
          <w:sz w:val="22"/>
          <w:szCs w:val="22"/>
          <w:lang w:val="en-GB" w:eastAsia="zh-CN"/>
        </w:rPr>
        <w:t xml:space="preserve"> governed and </w:t>
      </w:r>
      <w:r w:rsidR="00091107" w:rsidRPr="004E053C">
        <w:rPr>
          <w:rFonts w:cstheme="majorHAnsi"/>
          <w:sz w:val="22"/>
          <w:szCs w:val="22"/>
          <w:lang w:val="en-GB" w:eastAsia="zh-CN"/>
        </w:rPr>
        <w:t>formalise</w:t>
      </w:r>
      <w:r w:rsidR="00AE5A2E" w:rsidRPr="004E053C">
        <w:rPr>
          <w:rFonts w:cstheme="majorHAnsi"/>
          <w:sz w:val="22"/>
          <w:szCs w:val="22"/>
          <w:lang w:val="en-GB" w:eastAsia="zh-CN"/>
        </w:rPr>
        <w:t xml:space="preserve">d, especially if it involves working within current ASM policy </w:t>
      </w:r>
      <w:r w:rsidR="00A95CF9" w:rsidRPr="004E053C">
        <w:rPr>
          <w:rFonts w:cstheme="majorHAnsi"/>
          <w:sz w:val="22"/>
          <w:szCs w:val="22"/>
          <w:lang w:val="en-GB" w:eastAsia="zh-CN"/>
        </w:rPr>
        <w:fldChar w:fldCharType="begin" w:fldLock="1"/>
      </w:r>
      <w:r w:rsidR="007A757C" w:rsidRPr="004E053C">
        <w:rPr>
          <w:rFonts w:cstheme="majorHAnsi"/>
          <w:sz w:val="22"/>
          <w:szCs w:val="22"/>
          <w:lang w:val="en-GB" w:eastAsia="zh-CN"/>
        </w:rPr>
        <w:instrText>ADDIN CSL_CITATION {"citationItems":[{"id":"ITEM-1","itemData":{"abstract":"The Peruvian government is attempting to implement a formalization plan to deal with the chaotic expansion of small-scale mining activities in the Amazon. How-ever, this plan has been contested, delayed and halted by local miners. Why exactly has it been so hard for the government to enforce a formalization plan in Madre de Dios? This article aims to answer this question by analysing both government efforts to establish control over the region and the challenges it faces in enforcing its formalization plan. It is argued that current resistance to and conflict over the formalization process in Madre de Dios reveals a state governance problem due to the region having been historically governed as a zone for exploitation rather than for social and economic development. Similarly, the analysis highlights the absence of major corporations through which the state can establish a basis for governance, as in other parts of the country. Resumen: El gobierno peruano ha intentado implementar un plan de formalización para lidiar con la expansión caótica de la minería a pequeña escala en la Amazonía. Sin embargo, dicho plan ha sido impugnado, obstaculizado y detenido por los propios mineros. ¿Por qué es tan difícil para el gobierno llevar adelante el plan de formalización en la región de Madre de Dios? El presente artículo busca responder a esta pregunta a partir del análisis de los esfuerzos del gobierno para establecer control político y los retos que afronta para implementar su plan de formalización. Se argumenta que la resistencia y los conflictos que genera el plan de formalización revelan problemas de gobernabilidad cuyas raíces se encuentran en el hecho de que la región ha sido históricamente gobernada como una zona de extracción de recursos antes que un espacio de potencial desarrollo social y económico. En este sentido, el análisis resalta la ausencia de corporaciones mineras por medio de las cuales, en otras partes del país, el estado ha establecido las ba-ses de un modelo de gobernabilidad mediada.","author":[{"dropping-particle":"","family":"Damonte","given":"Gerardo","non-dropping-particle":"","parse-names":false,"suffix":""}],"container-title":"Antipode","id":"ITEM-1","issue":"4","issued":{"date-parts":[["2016"]]},"page":"956-976","title":"The \"blind\" state: Government quest for formalization and conflict with small-scale miners in the Peruvian Amazon","type":"article-journal","volume":"48"},"uris":["http://www.mendeley.com/documents/?uuid=fc7d8531-86b5-35b7-a817-8d0034336ad3"]}],"mendeley":{"formattedCitation":"(Damonte, 2016)","manualFormatting":"(Damonte, 2016)","plainTextFormattedCitation":"(Damonte, 2016)","previouslyFormattedCitation":"(Damonte, 2016)"},"properties":{"noteIndex":0},"schema":"https://github.com/citation-style-language/schema/raw/master/csl-citation.json"}</w:instrText>
      </w:r>
      <w:r w:rsidR="00A95CF9" w:rsidRPr="004E053C">
        <w:rPr>
          <w:rFonts w:cstheme="majorHAnsi"/>
          <w:sz w:val="22"/>
          <w:szCs w:val="22"/>
          <w:lang w:val="en-GB" w:eastAsia="zh-CN"/>
        </w:rPr>
        <w:fldChar w:fldCharType="separate"/>
      </w:r>
      <w:r w:rsidR="00A95CF9" w:rsidRPr="004E053C">
        <w:rPr>
          <w:rFonts w:cstheme="majorHAnsi"/>
          <w:noProof/>
          <w:sz w:val="22"/>
          <w:szCs w:val="22"/>
          <w:lang w:val="en-GB" w:eastAsia="zh-CN"/>
        </w:rPr>
        <w:t>(Damonte, 2016)</w:t>
      </w:r>
      <w:r w:rsidR="00A95CF9" w:rsidRPr="004E053C">
        <w:rPr>
          <w:rFonts w:cstheme="majorHAnsi"/>
          <w:sz w:val="22"/>
          <w:szCs w:val="22"/>
          <w:lang w:val="en-GB" w:eastAsia="zh-CN"/>
        </w:rPr>
        <w:fldChar w:fldCharType="end"/>
      </w:r>
      <w:r w:rsidR="00AE5A2E" w:rsidRPr="004E053C">
        <w:rPr>
          <w:rFonts w:cstheme="majorHAnsi"/>
          <w:sz w:val="20"/>
          <w:szCs w:val="20"/>
          <w:lang w:val="en-GB" w:eastAsia="zh-CN"/>
        </w:rPr>
        <w:t xml:space="preserve">. </w:t>
      </w:r>
      <w:r w:rsidR="003E574E" w:rsidRPr="004E053C">
        <w:rPr>
          <w:rFonts w:eastAsia="Times New Roman" w:cstheme="majorHAnsi"/>
          <w:sz w:val="22"/>
          <w:szCs w:val="22"/>
          <w:lang w:val="en-GB"/>
        </w:rPr>
        <w:t xml:space="preserve">As Becker </w:t>
      </w:r>
      <w:r w:rsidR="00A95CF9" w:rsidRPr="004E053C">
        <w:rPr>
          <w:rFonts w:eastAsia="Times New Roman" w:cstheme="majorHAnsi"/>
          <w:sz w:val="22"/>
          <w:szCs w:val="22"/>
          <w:lang w:val="en-GB"/>
        </w:rPr>
        <w:fldChar w:fldCharType="begin" w:fldLock="1"/>
      </w:r>
      <w:r w:rsidR="00BD2031" w:rsidRPr="004E053C">
        <w:rPr>
          <w:rFonts w:eastAsia="Times New Roman" w:cstheme="majorHAnsi"/>
          <w:sz w:val="22"/>
          <w:szCs w:val="22"/>
          <w:lang w:val="en-GB"/>
        </w:rPr>
        <w:instrText>ADDIN CSL_CITATION {"citationItems":[{"id":"ITEM-1","itemData":{"author":[{"dropping-particle":"","family":"Becker","given":"Howard. S.","non-dropping-particle":"","parse-names":false,"suffix":""}],"id":"ITEM-1","issued":{"date-parts":[["1963"]]},"number-of-pages":"213","publisher":"The Free Press","publisher-place":"New York","title":"Outsiders: Studies in the Sociology of Deviance","type":"book"},"uris":["http://www.mendeley.com/documents/?uuid=a0af309e-d110-40cc-907a-12b4892a474b"]}],"mendeley":{"formattedCitation":"(H. S. Becker, 1963)","manualFormatting":"(1963)","plainTextFormattedCitation":"(H. S. Becker, 1963)","previouslyFormattedCitation":"(H. S. Becker, 1963)"},"properties":{"noteIndex":0},"schema":"https://github.com/citation-style-language/schema/raw/master/csl-citation.json"}</w:instrText>
      </w:r>
      <w:r w:rsidR="00A95CF9" w:rsidRPr="004E053C">
        <w:rPr>
          <w:rFonts w:eastAsia="Times New Roman" w:cstheme="majorHAnsi"/>
          <w:sz w:val="22"/>
          <w:szCs w:val="22"/>
          <w:lang w:val="en-GB"/>
        </w:rPr>
        <w:fldChar w:fldCharType="separate"/>
      </w:r>
      <w:r w:rsidR="00A95CF9" w:rsidRPr="004E053C">
        <w:rPr>
          <w:rFonts w:eastAsia="Times New Roman" w:cstheme="majorHAnsi"/>
          <w:noProof/>
          <w:sz w:val="22"/>
          <w:szCs w:val="22"/>
          <w:lang w:val="en-GB"/>
        </w:rPr>
        <w:t>(1963)</w:t>
      </w:r>
      <w:r w:rsidR="00A95CF9" w:rsidRPr="004E053C">
        <w:rPr>
          <w:rFonts w:eastAsia="Times New Roman" w:cstheme="majorHAnsi"/>
          <w:sz w:val="22"/>
          <w:szCs w:val="22"/>
          <w:lang w:val="en-GB"/>
        </w:rPr>
        <w:fldChar w:fldCharType="end"/>
      </w:r>
      <w:r w:rsidR="003E574E" w:rsidRPr="004E053C">
        <w:rPr>
          <w:rFonts w:eastAsia="Times New Roman" w:cstheme="majorHAnsi"/>
          <w:sz w:val="22"/>
          <w:szCs w:val="22"/>
          <w:lang w:val="en-GB"/>
        </w:rPr>
        <w:t xml:space="preserve"> n</w:t>
      </w:r>
      <w:r w:rsidR="00A95CF9" w:rsidRPr="004E053C">
        <w:rPr>
          <w:rFonts w:eastAsia="Times New Roman" w:cstheme="majorHAnsi"/>
          <w:sz w:val="22"/>
          <w:szCs w:val="22"/>
          <w:lang w:val="en-GB"/>
        </w:rPr>
        <w:t xml:space="preserve">otes, not all factions amongst delinquent </w:t>
      </w:r>
      <w:r w:rsidR="00444A19" w:rsidRPr="004E053C">
        <w:rPr>
          <w:rFonts w:eastAsia="Times New Roman" w:cstheme="majorHAnsi"/>
          <w:sz w:val="22"/>
          <w:szCs w:val="22"/>
          <w:lang w:val="en-GB"/>
        </w:rPr>
        <w:t>groups will agree and there is</w:t>
      </w:r>
      <w:r w:rsidR="00A95CF9" w:rsidRPr="004E053C">
        <w:rPr>
          <w:rFonts w:eastAsia="Times New Roman" w:cstheme="majorHAnsi"/>
          <w:sz w:val="22"/>
          <w:szCs w:val="22"/>
          <w:lang w:val="en-GB"/>
        </w:rPr>
        <w:t xml:space="preserve"> </w:t>
      </w:r>
      <w:r w:rsidR="003E574E" w:rsidRPr="004E053C">
        <w:rPr>
          <w:rFonts w:eastAsia="Times New Roman" w:cstheme="majorHAnsi"/>
          <w:sz w:val="22"/>
          <w:szCs w:val="22"/>
          <w:lang w:val="en-GB"/>
        </w:rPr>
        <w:t xml:space="preserve">usually </w:t>
      </w:r>
      <w:r w:rsidR="00A95CF9" w:rsidRPr="004E053C">
        <w:rPr>
          <w:rFonts w:eastAsia="Times New Roman" w:cstheme="majorHAnsi"/>
          <w:sz w:val="22"/>
          <w:szCs w:val="22"/>
          <w:lang w:val="en-GB"/>
        </w:rPr>
        <w:t>some</w:t>
      </w:r>
      <w:r w:rsidR="003E574E" w:rsidRPr="004E053C">
        <w:rPr>
          <w:rFonts w:eastAsia="Times New Roman" w:cstheme="majorHAnsi"/>
          <w:sz w:val="22"/>
          <w:szCs w:val="22"/>
          <w:lang w:val="en-GB"/>
        </w:rPr>
        <w:t xml:space="preserve"> internal confli</w:t>
      </w:r>
      <w:r w:rsidR="00A95CF9" w:rsidRPr="004E053C">
        <w:rPr>
          <w:rFonts w:eastAsia="Times New Roman" w:cstheme="majorHAnsi"/>
          <w:sz w:val="22"/>
          <w:szCs w:val="22"/>
          <w:lang w:val="en-GB"/>
        </w:rPr>
        <w:t xml:space="preserve">ct which ultimately </w:t>
      </w:r>
      <w:r w:rsidR="003E574E" w:rsidRPr="004E053C">
        <w:rPr>
          <w:rFonts w:eastAsia="Times New Roman" w:cstheme="majorHAnsi"/>
          <w:sz w:val="22"/>
          <w:szCs w:val="22"/>
          <w:lang w:val="en-GB"/>
        </w:rPr>
        <w:t>determine</w:t>
      </w:r>
      <w:r w:rsidR="00A95CF9" w:rsidRPr="004E053C">
        <w:rPr>
          <w:rFonts w:eastAsia="Times New Roman" w:cstheme="majorHAnsi"/>
          <w:sz w:val="22"/>
          <w:szCs w:val="22"/>
          <w:lang w:val="en-GB"/>
        </w:rPr>
        <w:t>s</w:t>
      </w:r>
      <w:r w:rsidR="003E574E" w:rsidRPr="004E053C">
        <w:rPr>
          <w:rFonts w:eastAsia="Times New Roman" w:cstheme="majorHAnsi"/>
          <w:sz w:val="22"/>
          <w:szCs w:val="22"/>
          <w:lang w:val="en-GB"/>
        </w:rPr>
        <w:t xml:space="preserve"> the</w:t>
      </w:r>
      <w:r w:rsidR="00A95CF9" w:rsidRPr="004E053C">
        <w:rPr>
          <w:rFonts w:eastAsia="Times New Roman" w:cstheme="majorHAnsi"/>
          <w:sz w:val="22"/>
          <w:szCs w:val="22"/>
          <w:lang w:val="en-GB"/>
        </w:rPr>
        <w:t>ir</w:t>
      </w:r>
      <w:r w:rsidR="003E574E" w:rsidRPr="004E053C">
        <w:rPr>
          <w:rFonts w:eastAsia="Times New Roman" w:cstheme="majorHAnsi"/>
          <w:sz w:val="22"/>
          <w:szCs w:val="22"/>
          <w:lang w:val="en-GB"/>
        </w:rPr>
        <w:t xml:space="preserve"> function. Interestingly, the quotes seem to reveal a tension between the more elite miners, those who have multiple concessions and </w:t>
      </w:r>
      <w:r w:rsidR="00444A19" w:rsidRPr="004E053C">
        <w:rPr>
          <w:rFonts w:eastAsia="Times New Roman" w:cstheme="majorHAnsi"/>
          <w:sz w:val="22"/>
          <w:szCs w:val="22"/>
          <w:lang w:val="en-GB"/>
        </w:rPr>
        <w:t xml:space="preserve">earn a lot from mining activity, and the poorer miners </w:t>
      </w:r>
      <w:r w:rsidR="003E574E" w:rsidRPr="004E053C">
        <w:rPr>
          <w:rFonts w:eastAsia="Times New Roman" w:cstheme="majorHAnsi"/>
          <w:sz w:val="22"/>
          <w:szCs w:val="22"/>
          <w:lang w:val="en-GB"/>
        </w:rPr>
        <w:t xml:space="preserve">who are struggling to survive. </w:t>
      </w:r>
      <w:r w:rsidR="005527DD" w:rsidRPr="004E053C">
        <w:rPr>
          <w:rFonts w:eastAsia="Times New Roman" w:cstheme="majorHAnsi"/>
          <w:sz w:val="22"/>
          <w:szCs w:val="22"/>
          <w:lang w:val="en-GB"/>
        </w:rPr>
        <w:t>This</w:t>
      </w:r>
      <w:r w:rsidR="003E574E" w:rsidRPr="004E053C">
        <w:rPr>
          <w:rFonts w:eastAsia="Times New Roman" w:cstheme="majorHAnsi"/>
          <w:sz w:val="22"/>
          <w:szCs w:val="22"/>
          <w:lang w:val="en-GB"/>
        </w:rPr>
        <w:t xml:space="preserve"> </w:t>
      </w:r>
      <w:r w:rsidR="00F51FE4" w:rsidRPr="004E053C">
        <w:rPr>
          <w:rFonts w:eastAsia="Times New Roman" w:cstheme="majorHAnsi"/>
          <w:sz w:val="22"/>
          <w:szCs w:val="22"/>
          <w:lang w:val="en-GB"/>
        </w:rPr>
        <w:t xml:space="preserve">is a </w:t>
      </w:r>
      <w:r w:rsidR="00444A19" w:rsidRPr="004E053C">
        <w:rPr>
          <w:rFonts w:eastAsia="Times New Roman" w:cstheme="majorHAnsi"/>
          <w:sz w:val="22"/>
          <w:szCs w:val="22"/>
          <w:lang w:val="en-GB"/>
        </w:rPr>
        <w:t>deeper distinction than</w:t>
      </w:r>
      <w:r w:rsidR="003E574E" w:rsidRPr="004E053C">
        <w:rPr>
          <w:rFonts w:eastAsia="Times New Roman" w:cstheme="majorHAnsi"/>
          <w:sz w:val="22"/>
          <w:szCs w:val="22"/>
          <w:lang w:val="en-GB"/>
        </w:rPr>
        <w:t xml:space="preserve"> simply </w:t>
      </w:r>
      <w:r w:rsidR="00F51FE4" w:rsidRPr="004E053C">
        <w:rPr>
          <w:rFonts w:eastAsia="Times New Roman" w:cstheme="majorHAnsi"/>
          <w:sz w:val="22"/>
          <w:szCs w:val="22"/>
          <w:lang w:val="en-GB"/>
        </w:rPr>
        <w:t>temporary/permanent</w:t>
      </w:r>
      <w:r w:rsidR="003E574E" w:rsidRPr="004E053C">
        <w:rPr>
          <w:rFonts w:eastAsia="Times New Roman" w:cstheme="majorHAnsi"/>
          <w:sz w:val="22"/>
          <w:szCs w:val="22"/>
          <w:lang w:val="en-GB"/>
        </w:rPr>
        <w:t xml:space="preserve">, or </w:t>
      </w:r>
      <w:r w:rsidR="003E574E" w:rsidRPr="004E053C">
        <w:rPr>
          <w:rFonts w:eastAsia="Times New Roman" w:cstheme="majorHAnsi"/>
          <w:iCs/>
          <w:sz w:val="22"/>
          <w:szCs w:val="22"/>
          <w:lang w:val="en-GB"/>
        </w:rPr>
        <w:t>obrero/dueno/concessionario</w:t>
      </w:r>
      <w:r w:rsidR="003E574E" w:rsidRPr="004E053C">
        <w:rPr>
          <w:rFonts w:eastAsia="Times New Roman" w:cstheme="majorHAnsi"/>
          <w:sz w:val="22"/>
          <w:szCs w:val="22"/>
          <w:lang w:val="en-GB"/>
        </w:rPr>
        <w:t xml:space="preserve">, as it reflects more of who has political power within the </w:t>
      </w:r>
      <w:r w:rsidR="00F51FE4" w:rsidRPr="004E053C">
        <w:rPr>
          <w:rFonts w:eastAsia="Times New Roman" w:cstheme="majorHAnsi"/>
          <w:sz w:val="22"/>
          <w:szCs w:val="22"/>
          <w:lang w:val="en-GB"/>
        </w:rPr>
        <w:t>social field</w:t>
      </w:r>
      <w:r w:rsidR="003E574E" w:rsidRPr="004E053C">
        <w:rPr>
          <w:rFonts w:eastAsia="Times New Roman" w:cstheme="majorHAnsi"/>
          <w:sz w:val="22"/>
          <w:szCs w:val="22"/>
          <w:lang w:val="en-GB"/>
        </w:rPr>
        <w:t>. While this is not something there is space to discuss in this thesis, it is important to highlight the broad links with the work of</w:t>
      </w:r>
      <w:r w:rsidR="00A95CF9" w:rsidRPr="004E053C">
        <w:rPr>
          <w:rFonts w:eastAsia="Times New Roman" w:cstheme="majorHAnsi"/>
          <w:sz w:val="22"/>
          <w:szCs w:val="22"/>
          <w:lang w:val="en-GB"/>
        </w:rPr>
        <w:t xml:space="preserve"> Verbrugge and Besmanos</w:t>
      </w:r>
      <w:r w:rsidR="003E574E" w:rsidRPr="004E053C">
        <w:rPr>
          <w:rFonts w:eastAsia="Times New Roman" w:cstheme="majorHAnsi"/>
          <w:sz w:val="22"/>
          <w:szCs w:val="22"/>
          <w:lang w:val="en-GB"/>
        </w:rPr>
        <w:t xml:space="preserve"> </w:t>
      </w:r>
      <w:r w:rsidR="00A95CF9" w:rsidRPr="004E053C">
        <w:rPr>
          <w:rFonts w:eastAsia="Times New Roman" w:cstheme="majorHAnsi"/>
          <w:sz w:val="22"/>
          <w:szCs w:val="22"/>
          <w:lang w:val="en-GB"/>
        </w:rPr>
        <w:fldChar w:fldCharType="begin" w:fldLock="1"/>
      </w:r>
      <w:r w:rsidR="00A95CF9" w:rsidRPr="004E053C">
        <w:rPr>
          <w:rFonts w:eastAsia="Times New Roman" w:cstheme="majorHAnsi"/>
          <w:sz w:val="22"/>
          <w:szCs w:val="22"/>
          <w:lang w:val="en-GB"/>
        </w:rPr>
        <w:instrText>ADDIN CSL_CITATION {"citationItems":[{"id":"ITEM-1","itemData":{"author":[{"dropping-particle":"","family":"Verbrugge","given":"Boris","non-dropping-particle":"","parse-names":false,"suffix":""},{"dropping-particle":"","family":"Besmanos","given":"Beverly","non-dropping-particle":"","parse-names":false,"suffix":""}],"container-title":"Resources Policy","id":"ITEM-1","issue":"3","issued":{"date-parts":[["2016"]]},"page":"134-141","title":"Formalizing artisanal and small-scale mining: Whither the workforce?","type":"article-journal","volume":"47"},"uris":["http://www.mendeley.com/documents/?uuid=cb64877f-e136-4fe5-9863-30ccb0c063b3"]}],"mendeley":{"formattedCitation":"(Verbrugge &amp; Besmanos, 2016)","manualFormatting":"(2016)","plainTextFormattedCitation":"(Verbrugge &amp; Besmanos, 2016)","previouslyFormattedCitation":"(Verbrugge &amp; Besmanos, 2016)"},"properties":{"noteIndex":0},"schema":"https://github.com/citation-style-language/schema/raw/master/csl-citation.json"}</w:instrText>
      </w:r>
      <w:r w:rsidR="00A95CF9" w:rsidRPr="004E053C">
        <w:rPr>
          <w:rFonts w:eastAsia="Times New Roman" w:cstheme="majorHAnsi"/>
          <w:sz w:val="22"/>
          <w:szCs w:val="22"/>
          <w:lang w:val="en-GB"/>
        </w:rPr>
        <w:fldChar w:fldCharType="separate"/>
      </w:r>
      <w:r w:rsidR="00A95CF9" w:rsidRPr="004E053C">
        <w:rPr>
          <w:rFonts w:eastAsia="Times New Roman" w:cstheme="majorHAnsi"/>
          <w:noProof/>
          <w:sz w:val="22"/>
          <w:szCs w:val="22"/>
          <w:lang w:val="en-GB"/>
        </w:rPr>
        <w:t>(2016)</w:t>
      </w:r>
      <w:r w:rsidR="00A95CF9" w:rsidRPr="004E053C">
        <w:rPr>
          <w:rFonts w:eastAsia="Times New Roman" w:cstheme="majorHAnsi"/>
          <w:sz w:val="22"/>
          <w:szCs w:val="22"/>
          <w:lang w:val="en-GB"/>
        </w:rPr>
        <w:fldChar w:fldCharType="end"/>
      </w:r>
      <w:r w:rsidR="003E574E" w:rsidRPr="004E053C">
        <w:rPr>
          <w:rFonts w:eastAsia="Times New Roman" w:cstheme="majorHAnsi"/>
          <w:sz w:val="22"/>
          <w:szCs w:val="22"/>
          <w:lang w:val="en-GB"/>
        </w:rPr>
        <w:t>, who have critiqued ASM formalisation frameworks for emphasising access to mineral tenure rights, and overlooking the lack of labour rights which leave the majority of the informal workforce at risk of exploitation.</w:t>
      </w:r>
    </w:p>
    <w:p w14:paraId="519A851D" w14:textId="77777777" w:rsidR="003E574E" w:rsidRPr="004E053C" w:rsidRDefault="003E574E" w:rsidP="004E053C">
      <w:pPr>
        <w:spacing w:line="360" w:lineRule="auto"/>
        <w:jc w:val="both"/>
        <w:rPr>
          <w:rFonts w:eastAsia="Times New Roman" w:cstheme="majorHAnsi"/>
          <w:b/>
          <w:bCs/>
          <w:sz w:val="22"/>
          <w:szCs w:val="22"/>
          <w:lang w:val="en-GB"/>
        </w:rPr>
      </w:pPr>
    </w:p>
    <w:p w14:paraId="2FF17D9B" w14:textId="7C828444" w:rsidR="003E574E"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w:t>
      </w:r>
      <w:r w:rsidR="004A3EF1" w:rsidRPr="004E053C">
        <w:rPr>
          <w:rFonts w:asciiTheme="minorHAnsi" w:hAnsiTheme="minorHAnsi"/>
        </w:rPr>
        <w:t>4.4. Translocality and place-i</w:t>
      </w:r>
      <w:r w:rsidR="003E574E" w:rsidRPr="004E053C">
        <w:rPr>
          <w:rFonts w:asciiTheme="minorHAnsi" w:hAnsiTheme="minorHAnsi"/>
        </w:rPr>
        <w:t>dentity</w:t>
      </w:r>
    </w:p>
    <w:p w14:paraId="5E6C7581" w14:textId="77777777" w:rsidR="003E574E" w:rsidRPr="004E053C" w:rsidRDefault="003E574E" w:rsidP="004E053C">
      <w:pPr>
        <w:spacing w:line="360" w:lineRule="auto"/>
        <w:jc w:val="both"/>
        <w:rPr>
          <w:rFonts w:eastAsia="Times New Roman" w:cstheme="majorHAnsi"/>
          <w:b/>
          <w:bCs/>
          <w:sz w:val="22"/>
          <w:szCs w:val="22"/>
          <w:lang w:val="en-GB"/>
        </w:rPr>
      </w:pPr>
    </w:p>
    <w:p w14:paraId="01E4B9AC" w14:textId="5528AA72"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 construction of place is as important to the collective identity of the </w:t>
      </w:r>
      <w:r w:rsidR="00444A19" w:rsidRPr="004E053C">
        <w:rPr>
          <w:rFonts w:eastAsia="Times New Roman" w:cstheme="majorHAnsi"/>
          <w:sz w:val="22"/>
          <w:szCs w:val="22"/>
          <w:lang w:val="en-GB"/>
        </w:rPr>
        <w:t>perma</w:t>
      </w:r>
      <w:r w:rsidR="00AE5A2E" w:rsidRPr="004E053C">
        <w:rPr>
          <w:rFonts w:eastAsia="Times New Roman" w:cstheme="majorHAnsi"/>
          <w:sz w:val="22"/>
          <w:szCs w:val="22"/>
          <w:lang w:val="en-GB"/>
        </w:rPr>
        <w:t>nent</w:t>
      </w:r>
      <w:r w:rsidRPr="004E053C">
        <w:rPr>
          <w:rFonts w:eastAsia="Times New Roman" w:cstheme="majorHAnsi"/>
          <w:sz w:val="22"/>
          <w:szCs w:val="22"/>
          <w:lang w:val="en-GB"/>
        </w:rPr>
        <w:t xml:space="preserve"> miners in Laberinto as is their livelihood. However, from the above, it can argued that translocality impac</w:t>
      </w:r>
      <w:r w:rsidR="004B27F3" w:rsidRPr="004E053C">
        <w:rPr>
          <w:rFonts w:eastAsia="Times New Roman" w:cstheme="majorHAnsi"/>
          <w:sz w:val="22"/>
          <w:szCs w:val="22"/>
          <w:lang w:val="en-GB"/>
        </w:rPr>
        <w:t>ts on place-identity in two key</w:t>
      </w:r>
      <w:r w:rsidRPr="004E053C">
        <w:rPr>
          <w:rFonts w:eastAsia="Times New Roman" w:cstheme="majorHAnsi"/>
          <w:sz w:val="22"/>
          <w:szCs w:val="22"/>
          <w:lang w:val="en-GB"/>
        </w:rPr>
        <w:t xml:space="preserve"> ways. Firstly, aspects of the translocality of ASM contribute to </w:t>
      </w:r>
      <w:r w:rsidR="00AE5A2E" w:rsidRPr="004E053C">
        <w:rPr>
          <w:rFonts w:eastAsia="Times New Roman" w:cstheme="majorHAnsi"/>
          <w:sz w:val="22"/>
          <w:szCs w:val="22"/>
          <w:lang w:val="en-GB"/>
        </w:rPr>
        <w:t xml:space="preserve">a </w:t>
      </w:r>
      <w:r w:rsidRPr="004E053C">
        <w:rPr>
          <w:rFonts w:eastAsia="Times New Roman" w:cstheme="majorHAnsi"/>
          <w:sz w:val="22"/>
          <w:szCs w:val="22"/>
          <w:lang w:val="en-GB"/>
        </w:rPr>
        <w:t xml:space="preserve">collective identity among the </w:t>
      </w:r>
      <w:r w:rsidR="00444A19" w:rsidRPr="004E053C">
        <w:rPr>
          <w:rFonts w:eastAsia="Times New Roman" w:cstheme="majorHAnsi"/>
          <w:sz w:val="22"/>
          <w:szCs w:val="22"/>
          <w:lang w:val="en-GB"/>
        </w:rPr>
        <w:t>perma</w:t>
      </w:r>
      <w:r w:rsidR="00AE5A2E" w:rsidRPr="004E053C">
        <w:rPr>
          <w:rFonts w:eastAsia="Times New Roman" w:cstheme="majorHAnsi"/>
          <w:sz w:val="22"/>
          <w:szCs w:val="22"/>
          <w:lang w:val="en-GB"/>
        </w:rPr>
        <w:t>nent</w:t>
      </w:r>
      <w:r w:rsidRPr="004E053C">
        <w:rPr>
          <w:rFonts w:eastAsia="Times New Roman" w:cstheme="majorHAnsi"/>
          <w:sz w:val="22"/>
          <w:szCs w:val="22"/>
          <w:lang w:val="en-GB"/>
        </w:rPr>
        <w:t xml:space="preserve"> residents of Laberinto through the threat </w:t>
      </w:r>
      <w:r w:rsidR="00AE5A2E" w:rsidRPr="004E053C">
        <w:rPr>
          <w:rFonts w:eastAsia="Times New Roman" w:cstheme="majorHAnsi"/>
          <w:sz w:val="22"/>
          <w:szCs w:val="22"/>
          <w:lang w:val="en-GB"/>
        </w:rPr>
        <w:t xml:space="preserve">that </w:t>
      </w:r>
      <w:r w:rsidRPr="004E053C">
        <w:rPr>
          <w:rFonts w:eastAsia="Times New Roman" w:cstheme="majorHAnsi"/>
          <w:sz w:val="22"/>
          <w:szCs w:val="22"/>
          <w:lang w:val="en-GB"/>
        </w:rPr>
        <w:t xml:space="preserve">recent migrants pose to land access. As some of the </w:t>
      </w:r>
      <w:r w:rsidRPr="004E053C">
        <w:rPr>
          <w:rFonts w:eastAsia="Times New Roman" w:cstheme="majorHAnsi"/>
          <w:i/>
          <w:iCs/>
          <w:sz w:val="22"/>
          <w:szCs w:val="22"/>
          <w:lang w:val="en-GB"/>
        </w:rPr>
        <w:t>concessionarios</w:t>
      </w:r>
      <w:r w:rsidRPr="004E053C">
        <w:rPr>
          <w:rFonts w:eastAsia="Times New Roman" w:cstheme="majorHAnsi"/>
          <w:sz w:val="22"/>
          <w:szCs w:val="22"/>
          <w:lang w:val="en-GB"/>
        </w:rPr>
        <w:t xml:space="preserve"> have lost their land due to an inability to pay taxes, this land is often used by newly arriv</w:t>
      </w:r>
      <w:r w:rsidR="00444A19" w:rsidRPr="004E053C">
        <w:rPr>
          <w:rFonts w:eastAsia="Times New Roman" w:cstheme="majorHAnsi"/>
          <w:sz w:val="22"/>
          <w:szCs w:val="22"/>
          <w:lang w:val="en-GB"/>
        </w:rPr>
        <w:t>ed miners while</w:t>
      </w:r>
      <w:r w:rsidRPr="004E053C">
        <w:rPr>
          <w:rFonts w:eastAsia="Times New Roman" w:cstheme="majorHAnsi"/>
          <w:sz w:val="22"/>
          <w:szCs w:val="22"/>
          <w:lang w:val="en-GB"/>
        </w:rPr>
        <w:t xml:space="preserve"> they are unable to do anything about it – </w:t>
      </w:r>
      <w:r w:rsidR="00AE5A2E" w:rsidRPr="004E053C">
        <w:rPr>
          <w:rFonts w:eastAsia="Times New Roman" w:cstheme="majorHAnsi"/>
          <w:sz w:val="22"/>
          <w:szCs w:val="22"/>
          <w:lang w:val="en-GB"/>
        </w:rPr>
        <w:t>‘</w:t>
      </w:r>
      <w:r w:rsidRPr="004E053C">
        <w:rPr>
          <w:rFonts w:eastAsia="Times New Roman" w:cstheme="majorHAnsi"/>
          <w:i/>
          <w:iCs/>
          <w:sz w:val="22"/>
          <w:szCs w:val="22"/>
          <w:lang w:val="en-GB"/>
        </w:rPr>
        <w:t>Although we lost it we were still working on it, it was ours before. It was our place</w:t>
      </w:r>
      <w:r w:rsidR="00AE5A2E"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Jorge</w:t>
      </w:r>
      <w:r w:rsidRPr="004E053C">
        <w:rPr>
          <w:rFonts w:eastAsia="Times New Roman" w:cstheme="majorHAnsi"/>
          <w:sz w:val="22"/>
          <w:szCs w:val="22"/>
          <w:lang w:val="en-GB"/>
        </w:rPr>
        <w:t>, ASM miner). Three other miners said they also felt they</w:t>
      </w:r>
      <w:r w:rsidR="00AE5A2E" w:rsidRPr="004E053C">
        <w:rPr>
          <w:rFonts w:eastAsia="Times New Roman" w:cstheme="majorHAnsi"/>
          <w:sz w:val="22"/>
          <w:szCs w:val="22"/>
          <w:lang w:val="en-GB"/>
        </w:rPr>
        <w:t xml:space="preserve"> were protecting the land from ‘invaders’</w:t>
      </w:r>
      <w:r w:rsidRPr="004E053C">
        <w:rPr>
          <w:rFonts w:eastAsia="Times New Roman" w:cstheme="majorHAnsi"/>
          <w:sz w:val="22"/>
          <w:szCs w:val="22"/>
          <w:lang w:val="en-GB"/>
        </w:rPr>
        <w:t xml:space="preserve"> and this spatial threat reinforces the importance of location to the development of a community identity. </w:t>
      </w:r>
      <w:r w:rsidRPr="004E053C">
        <w:rPr>
          <w:rFonts w:eastAsia="Times New Roman" w:cstheme="majorHAnsi"/>
          <w:sz w:val="22"/>
          <w:szCs w:val="22"/>
          <w:lang w:val="en-GB"/>
        </w:rPr>
        <w:lastRenderedPageBreak/>
        <w:t xml:space="preserve">The antagonisms that the </w:t>
      </w:r>
      <w:r w:rsidR="00444A19" w:rsidRPr="004E053C">
        <w:rPr>
          <w:rFonts w:eastAsia="Times New Roman" w:cstheme="majorHAnsi"/>
          <w:sz w:val="22"/>
          <w:szCs w:val="22"/>
          <w:lang w:val="en-GB"/>
        </w:rPr>
        <w:t>perma</w:t>
      </w:r>
      <w:r w:rsidR="00AE5A2E" w:rsidRPr="004E053C">
        <w:rPr>
          <w:rFonts w:eastAsia="Times New Roman" w:cstheme="majorHAnsi"/>
          <w:sz w:val="22"/>
          <w:szCs w:val="22"/>
          <w:lang w:val="en-GB"/>
        </w:rPr>
        <w:t>nent</w:t>
      </w:r>
      <w:r w:rsidRPr="004E053C">
        <w:rPr>
          <w:rFonts w:eastAsia="Times New Roman" w:cstheme="majorHAnsi"/>
          <w:sz w:val="22"/>
          <w:szCs w:val="22"/>
          <w:lang w:val="en-GB"/>
        </w:rPr>
        <w:t xml:space="preserve"> miner</w:t>
      </w:r>
      <w:r w:rsidR="00AE5A2E" w:rsidRPr="004E053C">
        <w:rPr>
          <w:rFonts w:eastAsia="Times New Roman" w:cstheme="majorHAnsi"/>
          <w:sz w:val="22"/>
          <w:szCs w:val="22"/>
          <w:lang w:val="en-GB"/>
        </w:rPr>
        <w:t>s</w:t>
      </w:r>
      <w:r w:rsidRPr="004E053C">
        <w:rPr>
          <w:rFonts w:eastAsia="Times New Roman" w:cstheme="majorHAnsi"/>
          <w:sz w:val="22"/>
          <w:szCs w:val="22"/>
          <w:lang w:val="en-GB"/>
        </w:rPr>
        <w:t xml:space="preserve"> in Laberinto have for these new migrants is refl</w:t>
      </w:r>
      <w:r w:rsidR="00AE5A2E" w:rsidRPr="004E053C">
        <w:rPr>
          <w:rFonts w:eastAsia="Times New Roman" w:cstheme="majorHAnsi"/>
          <w:sz w:val="22"/>
          <w:szCs w:val="22"/>
          <w:lang w:val="en-GB"/>
        </w:rPr>
        <w:t>ected in their use of the word ‘</w:t>
      </w:r>
      <w:r w:rsidRPr="004E053C">
        <w:rPr>
          <w:rFonts w:eastAsia="Times New Roman" w:cstheme="majorHAnsi"/>
          <w:sz w:val="22"/>
          <w:szCs w:val="22"/>
          <w:lang w:val="en-GB"/>
        </w:rPr>
        <w:t>invad</w:t>
      </w:r>
      <w:r w:rsidR="00AE5A2E" w:rsidRPr="004E053C">
        <w:rPr>
          <w:rFonts w:eastAsia="Times New Roman" w:cstheme="majorHAnsi"/>
          <w:sz w:val="22"/>
          <w:szCs w:val="22"/>
          <w:lang w:val="en-GB"/>
        </w:rPr>
        <w:t>ers’</w:t>
      </w:r>
      <w:r w:rsidRPr="004E053C">
        <w:rPr>
          <w:rFonts w:eastAsia="Times New Roman" w:cstheme="majorHAnsi"/>
          <w:sz w:val="22"/>
          <w:szCs w:val="22"/>
          <w:lang w:val="en-GB"/>
        </w:rPr>
        <w:t>, which highlights a temporal elemen</w:t>
      </w:r>
      <w:r w:rsidR="00444A19" w:rsidRPr="004E053C">
        <w:rPr>
          <w:rFonts w:eastAsia="Times New Roman" w:cstheme="majorHAnsi"/>
          <w:sz w:val="22"/>
          <w:szCs w:val="22"/>
          <w:lang w:val="en-GB"/>
        </w:rPr>
        <w:t>t to the notion of identity. This</w:t>
      </w:r>
      <w:r w:rsidRPr="004E053C">
        <w:rPr>
          <w:rFonts w:eastAsia="Times New Roman" w:cstheme="majorHAnsi"/>
          <w:sz w:val="22"/>
          <w:szCs w:val="22"/>
          <w:lang w:val="en-GB"/>
        </w:rPr>
        <w:t xml:space="preserve"> is similar to the way in which </w:t>
      </w:r>
      <w:r w:rsidR="00B21FFD" w:rsidRPr="004E053C">
        <w:rPr>
          <w:rFonts w:eastAsia="Times New Roman" w:cstheme="majorHAnsi"/>
          <w:sz w:val="22"/>
          <w:szCs w:val="22"/>
          <w:lang w:val="en-GB"/>
        </w:rPr>
        <w:t>Azucena</w:t>
      </w:r>
      <w:r w:rsidRPr="004E053C">
        <w:rPr>
          <w:rFonts w:eastAsia="Times New Roman" w:cstheme="majorHAnsi"/>
          <w:sz w:val="22"/>
          <w:szCs w:val="22"/>
          <w:lang w:val="en-GB"/>
        </w:rPr>
        <w:t xml:space="preserve"> frames the problem of illegality within ASM, as was discussed pr</w:t>
      </w:r>
      <w:r w:rsidR="00AE5A2E" w:rsidRPr="004E053C">
        <w:rPr>
          <w:rFonts w:eastAsia="Times New Roman" w:cstheme="majorHAnsi"/>
          <w:sz w:val="22"/>
          <w:szCs w:val="22"/>
          <w:lang w:val="en-GB"/>
        </w:rPr>
        <w:t>eviously. These ‘invaders’</w:t>
      </w:r>
      <w:r w:rsidR="004B27F3" w:rsidRPr="004E053C">
        <w:rPr>
          <w:rFonts w:eastAsia="Times New Roman" w:cstheme="majorHAnsi"/>
          <w:sz w:val="22"/>
          <w:szCs w:val="22"/>
          <w:lang w:val="en-GB"/>
        </w:rPr>
        <w:t xml:space="preserve"> that</w:t>
      </w:r>
      <w:r w:rsidRPr="004E053C">
        <w:rPr>
          <w:rFonts w:eastAsia="Times New Roman" w:cstheme="majorHAnsi"/>
          <w:sz w:val="22"/>
          <w:szCs w:val="22"/>
          <w:lang w:val="en-GB"/>
        </w:rPr>
        <w:t xml:space="preserve"> threaten the land are </w:t>
      </w:r>
      <w:r w:rsidR="004B27F3" w:rsidRPr="004E053C">
        <w:rPr>
          <w:rFonts w:eastAsia="Times New Roman" w:cstheme="majorHAnsi"/>
          <w:sz w:val="22"/>
          <w:szCs w:val="22"/>
          <w:lang w:val="en-GB"/>
        </w:rPr>
        <w:t>temporary</w:t>
      </w:r>
      <w:r w:rsidRPr="004E053C">
        <w:rPr>
          <w:rFonts w:eastAsia="Times New Roman" w:cstheme="majorHAnsi"/>
          <w:sz w:val="22"/>
          <w:szCs w:val="22"/>
          <w:lang w:val="en-GB"/>
        </w:rPr>
        <w:t xml:space="preserve"> or floating miners for whom accessing the land in ways that were against the procedures guided by local norms have limited or no consequence, which can at least partly be explained by a highly translocal livelihood which has limited need for local roots or connections. This temporal </w:t>
      </w:r>
      <w:r w:rsidR="005527DD" w:rsidRPr="004E053C">
        <w:rPr>
          <w:rFonts w:eastAsia="Times New Roman" w:cstheme="majorHAnsi"/>
          <w:sz w:val="22"/>
          <w:szCs w:val="22"/>
          <w:lang w:val="en-GB"/>
        </w:rPr>
        <w:t>difference</w:t>
      </w:r>
      <w:r w:rsidRPr="004E053C">
        <w:rPr>
          <w:rFonts w:eastAsia="Times New Roman" w:cstheme="majorHAnsi"/>
          <w:sz w:val="22"/>
          <w:szCs w:val="22"/>
          <w:lang w:val="en-GB"/>
        </w:rPr>
        <w:t xml:space="preserve"> between migrants </w:t>
      </w:r>
      <w:r w:rsidR="00E85BA7" w:rsidRPr="004E053C">
        <w:rPr>
          <w:rFonts w:eastAsia="Times New Roman" w:cstheme="majorHAnsi"/>
          <w:sz w:val="22"/>
          <w:szCs w:val="22"/>
          <w:lang w:val="en-GB"/>
        </w:rPr>
        <w:t xml:space="preserve">again </w:t>
      </w:r>
      <w:r w:rsidRPr="004E053C">
        <w:rPr>
          <w:rFonts w:eastAsia="Times New Roman" w:cstheme="majorHAnsi"/>
          <w:sz w:val="22"/>
          <w:szCs w:val="22"/>
          <w:lang w:val="en-GB"/>
        </w:rPr>
        <w:t xml:space="preserve">highlights </w:t>
      </w:r>
      <w:r w:rsidR="00E85BA7" w:rsidRPr="004E053C">
        <w:rPr>
          <w:rFonts w:eastAsia="Times New Roman" w:cstheme="majorHAnsi"/>
          <w:sz w:val="22"/>
          <w:szCs w:val="22"/>
          <w:lang w:val="en-GB"/>
        </w:rPr>
        <w:t xml:space="preserve">this </w:t>
      </w:r>
      <w:r w:rsidRPr="004E053C">
        <w:rPr>
          <w:rFonts w:eastAsia="Times New Roman" w:cstheme="majorHAnsi"/>
          <w:sz w:val="22"/>
          <w:szCs w:val="22"/>
          <w:lang w:val="en-GB"/>
        </w:rPr>
        <w:t>an</w:t>
      </w:r>
      <w:r w:rsidR="00E85BA7" w:rsidRPr="004E053C">
        <w:rPr>
          <w:rFonts w:eastAsia="Times New Roman" w:cstheme="majorHAnsi"/>
          <w:sz w:val="22"/>
          <w:szCs w:val="22"/>
          <w:lang w:val="en-GB"/>
        </w:rPr>
        <w:t xml:space="preserve"> important</w:t>
      </w:r>
      <w:r w:rsidRPr="004E053C">
        <w:rPr>
          <w:rFonts w:eastAsia="Times New Roman" w:cstheme="majorHAnsi"/>
          <w:sz w:val="22"/>
          <w:szCs w:val="22"/>
          <w:lang w:val="en-GB"/>
        </w:rPr>
        <w:t xml:space="preserve"> aspect of </w:t>
      </w:r>
      <w:r w:rsidR="005527DD" w:rsidRPr="004E053C">
        <w:rPr>
          <w:rFonts w:eastAsia="Times New Roman" w:cstheme="majorHAnsi"/>
          <w:sz w:val="22"/>
          <w:szCs w:val="22"/>
          <w:lang w:val="en-GB"/>
        </w:rPr>
        <w:t>translocality that</w:t>
      </w:r>
      <w:r w:rsidRPr="004E053C">
        <w:rPr>
          <w:rFonts w:eastAsia="Times New Roman" w:cstheme="majorHAnsi"/>
          <w:sz w:val="22"/>
          <w:szCs w:val="22"/>
          <w:lang w:val="en-GB"/>
        </w:rPr>
        <w:t xml:space="preserve"> has not been fully explored in the existing literature.</w:t>
      </w:r>
    </w:p>
    <w:p w14:paraId="3EB3ACDD" w14:textId="77777777" w:rsidR="003E574E" w:rsidRPr="004E053C" w:rsidRDefault="003E574E" w:rsidP="004E053C">
      <w:pPr>
        <w:spacing w:line="360" w:lineRule="auto"/>
        <w:jc w:val="both"/>
        <w:rPr>
          <w:rFonts w:eastAsia="Times New Roman" w:cstheme="majorHAnsi"/>
          <w:sz w:val="22"/>
          <w:szCs w:val="22"/>
          <w:lang w:val="en-GB"/>
        </w:rPr>
      </w:pPr>
    </w:p>
    <w:p w14:paraId="0DFB68AA" w14:textId="71A7C1D1"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Secondly, the more </w:t>
      </w:r>
      <w:r w:rsidR="004B27F3" w:rsidRPr="004E053C">
        <w:rPr>
          <w:rFonts w:eastAsia="Times New Roman" w:cstheme="majorHAnsi"/>
          <w:sz w:val="22"/>
          <w:szCs w:val="22"/>
          <w:lang w:val="en-GB"/>
        </w:rPr>
        <w:t>temporary</w:t>
      </w:r>
      <w:r w:rsidRPr="004E053C">
        <w:rPr>
          <w:rFonts w:eastAsia="Times New Roman" w:cstheme="majorHAnsi"/>
          <w:sz w:val="22"/>
          <w:szCs w:val="22"/>
          <w:lang w:val="en-GB"/>
        </w:rPr>
        <w:t xml:space="preserve"> </w:t>
      </w:r>
      <w:r w:rsidR="00D252ED" w:rsidRPr="004E053C">
        <w:rPr>
          <w:rFonts w:eastAsia="Times New Roman" w:cstheme="majorHAnsi"/>
          <w:sz w:val="22"/>
          <w:szCs w:val="22"/>
          <w:lang w:val="en-GB"/>
        </w:rPr>
        <w:t xml:space="preserve">and floating miners have a less </w:t>
      </w:r>
      <w:r w:rsidRPr="004E053C">
        <w:rPr>
          <w:rFonts w:eastAsia="Times New Roman" w:cstheme="majorHAnsi"/>
          <w:sz w:val="22"/>
          <w:szCs w:val="22"/>
          <w:lang w:val="en-GB"/>
        </w:rPr>
        <w:t xml:space="preserve">developed sense of place and thus do not share in the collective identity to the same degree. Not all residents of a given location consider their community to be </w:t>
      </w:r>
      <w:r w:rsidR="00FC52AD" w:rsidRPr="004E053C">
        <w:rPr>
          <w:rFonts w:eastAsia="Times New Roman" w:cstheme="majorHAnsi"/>
          <w:sz w:val="22"/>
          <w:szCs w:val="22"/>
          <w:lang w:val="en-GB"/>
        </w:rPr>
        <w:t xml:space="preserve">an important part of their </w:t>
      </w:r>
      <w:r w:rsidRPr="004E053C">
        <w:rPr>
          <w:rFonts w:eastAsia="Times New Roman" w:cstheme="majorHAnsi"/>
          <w:sz w:val="22"/>
          <w:szCs w:val="22"/>
          <w:lang w:val="en-GB"/>
        </w:rPr>
        <w:t>identity</w:t>
      </w:r>
      <w:r w:rsidR="00444A19" w:rsidRPr="004E053C">
        <w:rPr>
          <w:rFonts w:eastAsia="Times New Roman" w:cstheme="majorHAnsi"/>
          <w:sz w:val="22"/>
          <w:szCs w:val="22"/>
          <w:lang w:val="en-GB"/>
        </w:rPr>
        <w:t>. R</w:t>
      </w:r>
      <w:r w:rsidRPr="004E053C">
        <w:rPr>
          <w:rFonts w:eastAsia="Times New Roman" w:cstheme="majorHAnsi"/>
          <w:sz w:val="22"/>
          <w:szCs w:val="22"/>
          <w:lang w:val="en-GB"/>
        </w:rPr>
        <w:t>ecent migrants in particular may see the area whe</w:t>
      </w:r>
      <w:r w:rsidR="004B27F3" w:rsidRPr="004E053C">
        <w:rPr>
          <w:rFonts w:eastAsia="Times New Roman" w:cstheme="majorHAnsi"/>
          <w:sz w:val="22"/>
          <w:szCs w:val="22"/>
          <w:lang w:val="en-GB"/>
        </w:rPr>
        <w:t>re they live more as a matter of</w:t>
      </w:r>
      <w:r w:rsidRPr="004E053C">
        <w:rPr>
          <w:rFonts w:eastAsia="Times New Roman" w:cstheme="majorHAnsi"/>
          <w:sz w:val="22"/>
          <w:szCs w:val="22"/>
          <w:lang w:val="en-GB"/>
        </w:rPr>
        <w:t xml:space="preserve"> convenience </w:t>
      </w:r>
      <w:r w:rsidR="00A95CF9"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2011)","manualFormatting":"(Cross &amp; Hernández, 2011)","plainTextFormattedCitation":"(J. C. Cross &amp; Hernández, 2011)","previouslyFormattedCitation":"(J. C. Cross &amp; Hernández, 2011)"},"properties":{"noteIndex":0},"schema":"https://github.com/citation-style-language/schema/raw/master/csl-citation.json"}</w:instrText>
      </w:r>
      <w:r w:rsidR="00A95CF9" w:rsidRPr="004E053C">
        <w:rPr>
          <w:rFonts w:eastAsia="Times New Roman" w:cstheme="majorHAnsi"/>
          <w:sz w:val="22"/>
          <w:szCs w:val="22"/>
          <w:lang w:val="en-GB"/>
        </w:rPr>
        <w:fldChar w:fldCharType="separate"/>
      </w:r>
      <w:r w:rsidR="00444A19" w:rsidRPr="004E053C">
        <w:rPr>
          <w:rFonts w:eastAsia="Times New Roman" w:cstheme="majorHAnsi"/>
          <w:noProof/>
          <w:sz w:val="22"/>
          <w:szCs w:val="22"/>
          <w:lang w:val="en-GB"/>
        </w:rPr>
        <w:t>(</w:t>
      </w:r>
      <w:r w:rsidR="00B06217" w:rsidRPr="004E053C">
        <w:rPr>
          <w:rFonts w:eastAsia="Times New Roman" w:cstheme="majorHAnsi"/>
          <w:noProof/>
          <w:sz w:val="22"/>
          <w:szCs w:val="22"/>
          <w:lang w:val="en-GB"/>
        </w:rPr>
        <w:t>Cross &amp; Hernández, 2011)</w:t>
      </w:r>
      <w:r w:rsidR="00A95CF9"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This is </w:t>
      </w:r>
      <w:r w:rsidR="004B27F3" w:rsidRPr="004E053C">
        <w:rPr>
          <w:rFonts w:eastAsia="Times New Roman" w:cstheme="majorHAnsi"/>
          <w:sz w:val="22"/>
          <w:szCs w:val="22"/>
          <w:lang w:val="en-GB"/>
        </w:rPr>
        <w:t xml:space="preserve">evidenced by the </w:t>
      </w:r>
      <w:r w:rsidRPr="004E053C">
        <w:rPr>
          <w:rFonts w:eastAsia="Times New Roman" w:cstheme="majorHAnsi"/>
          <w:sz w:val="22"/>
          <w:szCs w:val="22"/>
          <w:lang w:val="en-GB"/>
        </w:rPr>
        <w:t xml:space="preserve">observations </w:t>
      </w:r>
      <w:r w:rsidR="004B27F3" w:rsidRPr="004E053C">
        <w:rPr>
          <w:rFonts w:eastAsia="Times New Roman" w:cstheme="majorHAnsi"/>
          <w:sz w:val="22"/>
          <w:szCs w:val="22"/>
          <w:lang w:val="en-GB"/>
        </w:rPr>
        <w:t xml:space="preserve">made </w:t>
      </w:r>
      <w:r w:rsidR="00565C53" w:rsidRPr="004E053C">
        <w:rPr>
          <w:rFonts w:eastAsia="Times New Roman" w:cstheme="majorHAnsi"/>
          <w:sz w:val="22"/>
          <w:szCs w:val="22"/>
          <w:lang w:val="en-GB"/>
        </w:rPr>
        <w:t>in chapter 8</w:t>
      </w:r>
      <w:r w:rsidR="004B27F3" w:rsidRPr="004E053C">
        <w:rPr>
          <w:rFonts w:eastAsia="Times New Roman" w:cstheme="majorHAnsi"/>
          <w:sz w:val="22"/>
          <w:szCs w:val="22"/>
          <w:lang w:val="en-GB"/>
        </w:rPr>
        <w:t>, that the permanent</w:t>
      </w:r>
      <w:r w:rsidRPr="004E053C">
        <w:rPr>
          <w:rFonts w:eastAsia="Times New Roman" w:cstheme="majorHAnsi"/>
          <w:sz w:val="22"/>
          <w:szCs w:val="22"/>
          <w:lang w:val="en-GB"/>
        </w:rPr>
        <w:t xml:space="preserve"> residents of Laberinto were more likely to</w:t>
      </w:r>
      <w:r w:rsidR="00444A19" w:rsidRPr="004E053C">
        <w:rPr>
          <w:rFonts w:eastAsia="Times New Roman" w:cstheme="majorHAnsi"/>
          <w:sz w:val="22"/>
          <w:szCs w:val="22"/>
          <w:lang w:val="en-GB"/>
        </w:rPr>
        <w:t xml:space="preserve"> engage in resistance with the G</w:t>
      </w:r>
      <w:r w:rsidRPr="004E053C">
        <w:rPr>
          <w:rFonts w:eastAsia="Times New Roman" w:cstheme="majorHAnsi"/>
          <w:sz w:val="22"/>
          <w:szCs w:val="22"/>
          <w:lang w:val="en-GB"/>
        </w:rPr>
        <w:t xml:space="preserve">overnment, even if they were not miners themselves, than the </w:t>
      </w:r>
      <w:r w:rsidR="004B27F3" w:rsidRPr="004E053C">
        <w:rPr>
          <w:rFonts w:eastAsia="Times New Roman" w:cstheme="majorHAnsi"/>
          <w:sz w:val="22"/>
          <w:szCs w:val="22"/>
          <w:lang w:val="en-GB"/>
        </w:rPr>
        <w:t>temporary</w:t>
      </w:r>
      <w:r w:rsidRPr="004E053C">
        <w:rPr>
          <w:rFonts w:eastAsia="Times New Roman" w:cstheme="majorHAnsi"/>
          <w:sz w:val="22"/>
          <w:szCs w:val="22"/>
          <w:lang w:val="en-GB"/>
        </w:rPr>
        <w:t xml:space="preserve"> miners were. In many cases this was because the </w:t>
      </w:r>
      <w:r w:rsidR="004B27F3" w:rsidRPr="004E053C">
        <w:rPr>
          <w:rFonts w:eastAsia="Times New Roman" w:cstheme="majorHAnsi"/>
          <w:sz w:val="22"/>
          <w:szCs w:val="22"/>
          <w:lang w:val="en-GB"/>
        </w:rPr>
        <w:t>temporary</w:t>
      </w:r>
      <w:r w:rsidRPr="004E053C">
        <w:rPr>
          <w:rFonts w:eastAsia="Times New Roman" w:cstheme="majorHAnsi"/>
          <w:sz w:val="22"/>
          <w:szCs w:val="22"/>
          <w:lang w:val="en-GB"/>
        </w:rPr>
        <w:t xml:space="preserve"> and highly translocal nature of their livelihood meant they were not deeply embedded in the host mining community. While the </w:t>
      </w:r>
      <w:r w:rsidR="004B27F3" w:rsidRPr="004E053C">
        <w:rPr>
          <w:rFonts w:eastAsia="Times New Roman" w:cstheme="majorHAnsi"/>
          <w:sz w:val="22"/>
          <w:szCs w:val="22"/>
          <w:lang w:val="en-GB"/>
        </w:rPr>
        <w:t>temporary</w:t>
      </w:r>
      <w:r w:rsidRPr="004E053C">
        <w:rPr>
          <w:rFonts w:eastAsia="Times New Roman" w:cstheme="majorHAnsi"/>
          <w:sz w:val="22"/>
          <w:szCs w:val="22"/>
          <w:lang w:val="en-GB"/>
        </w:rPr>
        <w:t xml:space="preserve"> miners are aware that the land they work on is threatened, often referring to the immediate problems of arrests, depleting gold and encroachment on land by new arrivals, they are far more accepting of these issues, on the understanding that if things become too difficult, they will just leave. While </w:t>
      </w:r>
      <w:r w:rsidR="004B27F3" w:rsidRPr="004E053C">
        <w:rPr>
          <w:rFonts w:eastAsia="Times New Roman" w:cstheme="majorHAnsi"/>
          <w:sz w:val="22"/>
          <w:szCs w:val="22"/>
          <w:lang w:val="en-GB"/>
        </w:rPr>
        <w:t>temporary</w:t>
      </w:r>
      <w:r w:rsidRPr="004E053C">
        <w:rPr>
          <w:rFonts w:eastAsia="Times New Roman" w:cstheme="majorHAnsi"/>
          <w:sz w:val="22"/>
          <w:szCs w:val="22"/>
          <w:lang w:val="en-GB"/>
        </w:rPr>
        <w:t xml:space="preserve"> miners may still find their work affected by invaders or </w:t>
      </w:r>
      <w:r w:rsidRPr="004E053C">
        <w:rPr>
          <w:rFonts w:eastAsia="Times New Roman" w:cstheme="majorHAnsi"/>
          <w:i/>
          <w:iCs/>
          <w:sz w:val="22"/>
          <w:szCs w:val="22"/>
          <w:lang w:val="en-GB"/>
        </w:rPr>
        <w:t>floatantes</w:t>
      </w:r>
      <w:r w:rsidRPr="004E053C">
        <w:rPr>
          <w:rFonts w:eastAsia="Times New Roman" w:cstheme="majorHAnsi"/>
          <w:sz w:val="22"/>
          <w:szCs w:val="22"/>
          <w:lang w:val="en-GB"/>
        </w:rPr>
        <w:t xml:space="preserve">, the long-term risks are much lower, due to their reduced emotional and financial investment in the area and a lack of meaningful place attachment. In many of the interviews with </w:t>
      </w:r>
      <w:r w:rsidR="004B27F3" w:rsidRPr="004E053C">
        <w:rPr>
          <w:rFonts w:eastAsia="Times New Roman" w:cstheme="majorHAnsi"/>
          <w:sz w:val="22"/>
          <w:szCs w:val="22"/>
          <w:lang w:val="en-GB"/>
        </w:rPr>
        <w:t>temporary</w:t>
      </w:r>
      <w:r w:rsidRPr="004E053C">
        <w:rPr>
          <w:rFonts w:eastAsia="Times New Roman" w:cstheme="majorHAnsi"/>
          <w:sz w:val="22"/>
          <w:szCs w:val="22"/>
          <w:lang w:val="en-GB"/>
        </w:rPr>
        <w:t xml:space="preserve"> miners, it was clear that they accepted that mining was illegal, and in some cases even</w:t>
      </w:r>
      <w:r w:rsidR="00444A19" w:rsidRPr="004E053C">
        <w:rPr>
          <w:rFonts w:eastAsia="Times New Roman" w:cstheme="majorHAnsi"/>
          <w:sz w:val="22"/>
          <w:szCs w:val="22"/>
          <w:lang w:val="en-GB"/>
        </w:rPr>
        <w:t xml:space="preserve"> played down the impact the G</w:t>
      </w:r>
      <w:r w:rsidRPr="004E053C">
        <w:rPr>
          <w:rFonts w:eastAsia="Times New Roman" w:cstheme="majorHAnsi"/>
          <w:sz w:val="22"/>
          <w:szCs w:val="22"/>
          <w:lang w:val="en-GB"/>
        </w:rPr>
        <w:t>overnment interdictions were having on the area:</w:t>
      </w:r>
    </w:p>
    <w:p w14:paraId="00EB0C17" w14:textId="77777777" w:rsidR="003E574E" w:rsidRPr="004E053C" w:rsidRDefault="003E574E" w:rsidP="004E053C">
      <w:pPr>
        <w:spacing w:line="360" w:lineRule="auto"/>
        <w:jc w:val="both"/>
        <w:rPr>
          <w:rFonts w:eastAsia="Times New Roman" w:cstheme="majorHAnsi"/>
          <w:sz w:val="22"/>
          <w:szCs w:val="22"/>
          <w:lang w:val="en-GB"/>
        </w:rPr>
      </w:pPr>
    </w:p>
    <w:p w14:paraId="543B8906" w14:textId="3BF379DB"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444A19" w:rsidRPr="004E053C">
        <w:rPr>
          <w:rFonts w:eastAsia="Times New Roman" w:cstheme="majorHAnsi"/>
          <w:i/>
          <w:iCs/>
          <w:sz w:val="22"/>
          <w:szCs w:val="22"/>
          <w:lang w:val="en-GB"/>
        </w:rPr>
        <w:t>The G</w:t>
      </w:r>
      <w:r w:rsidR="003E574E" w:rsidRPr="004E053C">
        <w:rPr>
          <w:rFonts w:eastAsia="Times New Roman" w:cstheme="majorHAnsi"/>
          <w:i/>
          <w:iCs/>
          <w:sz w:val="22"/>
          <w:szCs w:val="22"/>
          <w:lang w:val="en-GB"/>
        </w:rPr>
        <w:t>overnment treat here and La Pampa very different…</w:t>
      </w:r>
      <w:r w:rsidR="005527DD" w:rsidRPr="004E053C">
        <w:rPr>
          <w:rFonts w:eastAsia="Times New Roman" w:cstheme="majorHAnsi"/>
          <w:i/>
          <w:iCs/>
          <w:sz w:val="22"/>
          <w:szCs w:val="22"/>
          <w:lang w:val="en-GB"/>
        </w:rPr>
        <w:t>the</w:t>
      </w:r>
      <w:r w:rsidR="00F73C7F" w:rsidRPr="004E053C">
        <w:rPr>
          <w:rFonts w:eastAsia="Times New Roman" w:cstheme="majorHAnsi"/>
          <w:i/>
          <w:iCs/>
          <w:sz w:val="22"/>
          <w:szCs w:val="22"/>
          <w:lang w:val="en-GB"/>
        </w:rPr>
        <w:t xml:space="preserve"> G</w:t>
      </w:r>
      <w:r w:rsidR="003E574E" w:rsidRPr="004E053C">
        <w:rPr>
          <w:rFonts w:eastAsia="Times New Roman" w:cstheme="majorHAnsi"/>
          <w:i/>
          <w:iCs/>
          <w:sz w:val="22"/>
          <w:szCs w:val="22"/>
          <w:lang w:val="en-GB"/>
        </w:rPr>
        <w:t>overnment come here once in a while or so just to make a show for the media, but here in Laberinto the government don’t do anything be</w:t>
      </w:r>
      <w:r w:rsidR="00F73C7F" w:rsidRPr="004E053C">
        <w:rPr>
          <w:rFonts w:eastAsia="Times New Roman" w:cstheme="majorHAnsi"/>
          <w:i/>
          <w:iCs/>
          <w:sz w:val="22"/>
          <w:szCs w:val="22"/>
          <w:lang w:val="en-GB"/>
        </w:rPr>
        <w:t>cause it is a quiet place. The G</w:t>
      </w:r>
      <w:r w:rsidR="003E574E" w:rsidRPr="004E053C">
        <w:rPr>
          <w:rFonts w:eastAsia="Times New Roman" w:cstheme="majorHAnsi"/>
          <w:i/>
          <w:iCs/>
          <w:sz w:val="22"/>
          <w:szCs w:val="22"/>
          <w:lang w:val="en-GB"/>
        </w:rPr>
        <w:t>overnment focus on La Pampa and here there is no problem. Sometimes there are campaigns and they can explode some motors but it’s once every 1-2 years</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w:t>
      </w:r>
      <w:r w:rsidR="006F6757" w:rsidRPr="004E053C">
        <w:rPr>
          <w:rFonts w:eastAsia="Times New Roman" w:cstheme="majorHAnsi"/>
          <w:sz w:val="22"/>
          <w:szCs w:val="22"/>
          <w:lang w:val="en-GB"/>
        </w:rPr>
        <w:t>Xavier</w:t>
      </w:r>
      <w:r w:rsidR="003E574E" w:rsidRPr="004E053C">
        <w:rPr>
          <w:rFonts w:eastAsia="Times New Roman" w:cstheme="majorHAnsi"/>
          <w:sz w:val="22"/>
          <w:szCs w:val="22"/>
          <w:lang w:val="en-GB"/>
        </w:rPr>
        <w:t xml:space="preserve">, ASM miner, Laberinto). </w:t>
      </w:r>
    </w:p>
    <w:p w14:paraId="0B048DA4" w14:textId="77777777" w:rsidR="003E574E" w:rsidRPr="004E053C" w:rsidRDefault="003E574E" w:rsidP="004E053C">
      <w:pPr>
        <w:spacing w:line="360" w:lineRule="auto"/>
        <w:jc w:val="both"/>
        <w:rPr>
          <w:rFonts w:eastAsia="Times New Roman" w:cstheme="majorHAnsi"/>
          <w:color w:val="FF0000"/>
          <w:sz w:val="22"/>
          <w:szCs w:val="22"/>
          <w:lang w:val="en-GB"/>
        </w:rPr>
      </w:pPr>
    </w:p>
    <w:p w14:paraId="48BA7F14" w14:textId="26D74C9F" w:rsidR="003E574E" w:rsidRPr="004E053C" w:rsidRDefault="003E574E" w:rsidP="004E053C">
      <w:pPr>
        <w:pStyle w:val="CommentText"/>
        <w:spacing w:line="360" w:lineRule="auto"/>
        <w:jc w:val="both"/>
        <w:rPr>
          <w:rFonts w:eastAsia="Times New Roman" w:cstheme="majorHAnsi"/>
          <w:sz w:val="22"/>
          <w:szCs w:val="22"/>
          <w:lang w:val="en-GB"/>
        </w:rPr>
      </w:pPr>
      <w:r w:rsidRPr="004E053C">
        <w:rPr>
          <w:rFonts w:eastAsia="Times New Roman" w:cstheme="majorHAnsi"/>
          <w:sz w:val="22"/>
          <w:szCs w:val="22"/>
          <w:lang w:val="en-GB"/>
        </w:rPr>
        <w:t>This understan</w:t>
      </w:r>
      <w:r w:rsidR="00F73C7F" w:rsidRPr="004E053C">
        <w:rPr>
          <w:rFonts w:eastAsia="Times New Roman" w:cstheme="majorHAnsi"/>
          <w:sz w:val="22"/>
          <w:szCs w:val="22"/>
          <w:lang w:val="en-GB"/>
        </w:rPr>
        <w:t xml:space="preserve">ding that translocality and </w:t>
      </w:r>
      <w:r w:rsidRPr="004E053C">
        <w:rPr>
          <w:rFonts w:eastAsia="Times New Roman" w:cstheme="majorHAnsi"/>
          <w:sz w:val="22"/>
          <w:szCs w:val="22"/>
          <w:lang w:val="en-GB"/>
        </w:rPr>
        <w:t xml:space="preserve">relative embeddedness between locations occurs on a scale is similar to </w:t>
      </w:r>
      <w:r w:rsidRPr="004E053C">
        <w:rPr>
          <w:rStyle w:val="fontstyle21"/>
          <w:rFonts w:asciiTheme="minorHAnsi" w:hAnsiTheme="minorHAnsi" w:cstheme="majorHAnsi"/>
          <w:color w:val="auto"/>
          <w:sz w:val="22"/>
          <w:szCs w:val="22"/>
          <w:lang w:val="en-GB"/>
        </w:rPr>
        <w:t xml:space="preserve">Levitt and Glick Schiller’s </w:t>
      </w:r>
      <w:r w:rsidR="00A95CF9" w:rsidRPr="004E053C">
        <w:rPr>
          <w:rStyle w:val="fontstyle21"/>
          <w:rFonts w:asciiTheme="minorHAnsi" w:hAnsiTheme="minorHAnsi" w:cstheme="majorHAnsi"/>
          <w:color w:val="auto"/>
          <w:sz w:val="22"/>
          <w:szCs w:val="22"/>
          <w:lang w:val="en-GB"/>
        </w:rPr>
        <w:fldChar w:fldCharType="begin" w:fldLock="1"/>
      </w:r>
      <w:r w:rsidR="00A95CF9" w:rsidRPr="004E053C">
        <w:rPr>
          <w:rStyle w:val="fontstyle21"/>
          <w:rFonts w:asciiTheme="minorHAnsi" w:hAnsiTheme="minorHAnsi" w:cstheme="majorHAnsi"/>
          <w:color w:val="auto"/>
          <w:sz w:val="22"/>
          <w:szCs w:val="22"/>
          <w:lang w:val="en-GB"/>
        </w:rPr>
        <w:instrText>ADDIN CSL_CITATION {"citationItems":[{"id":"ITEM-1","itemData":{"author":[{"dropping-particle":"","family":"Levitt","given":"Peggy","non-dropping-particle":"","parse-names":false,"suffix":""},{"dropping-particle":"","family":"Glick Schiller","given":"Nina","non-dropping-particle":"","parse-names":false,"suffix":""}],"container-title":"International Migration Review","id":"ITEM-1","issue":"3","issued":{"date-parts":[["2004"]]},"page":"1002-1039","title":"Conceptualizing Simultaneity: A Transnational Social Field Perspective on Society","type":"article-journal","volume":"38"},"uris":["http://www.mendeley.com/documents/?uuid=0fba9d75-8d2a-4773-971d-1b23f9a6edea"]}],"mendeley":{"formattedCitation":"(Levitt &amp; Glick Schiller, 2004)","manualFormatting":"(2004)","plainTextFormattedCitation":"(Levitt &amp; Glick Schiller, 2004)","previouslyFormattedCitation":"(Levitt &amp; Glick Schiller, 2004)"},"properties":{"noteIndex":0},"schema":"https://github.com/citation-style-language/schema/raw/master/csl-citation.json"}</w:instrText>
      </w:r>
      <w:r w:rsidR="00A95CF9" w:rsidRPr="004E053C">
        <w:rPr>
          <w:rStyle w:val="fontstyle21"/>
          <w:rFonts w:asciiTheme="minorHAnsi" w:hAnsiTheme="minorHAnsi" w:cstheme="majorHAnsi"/>
          <w:color w:val="auto"/>
          <w:sz w:val="22"/>
          <w:szCs w:val="22"/>
          <w:lang w:val="en-GB"/>
        </w:rPr>
        <w:fldChar w:fldCharType="separate"/>
      </w:r>
      <w:r w:rsidR="00A95CF9" w:rsidRPr="004E053C">
        <w:rPr>
          <w:rStyle w:val="fontstyle21"/>
          <w:rFonts w:asciiTheme="minorHAnsi" w:hAnsiTheme="minorHAnsi" w:cstheme="majorHAnsi"/>
          <w:noProof/>
          <w:color w:val="auto"/>
          <w:sz w:val="22"/>
          <w:szCs w:val="22"/>
          <w:lang w:val="en-GB"/>
        </w:rPr>
        <w:t>(2004)</w:t>
      </w:r>
      <w:r w:rsidR="00A95CF9" w:rsidRPr="004E053C">
        <w:rPr>
          <w:rStyle w:val="fontstyle21"/>
          <w:rFonts w:asciiTheme="minorHAnsi" w:hAnsiTheme="minorHAnsi" w:cstheme="majorHAnsi"/>
          <w:color w:val="auto"/>
          <w:sz w:val="22"/>
          <w:szCs w:val="22"/>
          <w:lang w:val="en-GB"/>
        </w:rPr>
        <w:fldChar w:fldCharType="end"/>
      </w:r>
      <w:r w:rsidRPr="004E053C">
        <w:rPr>
          <w:rStyle w:val="fontstyle21"/>
          <w:rFonts w:asciiTheme="minorHAnsi" w:hAnsiTheme="minorHAnsi" w:cstheme="majorHAnsi"/>
          <w:color w:val="auto"/>
          <w:sz w:val="22"/>
          <w:szCs w:val="22"/>
          <w:lang w:val="en-GB"/>
        </w:rPr>
        <w:t xml:space="preserve"> description of the tendency for migrants to pivot between locations. What the</w:t>
      </w:r>
      <w:r w:rsidR="004B27F3" w:rsidRPr="004E053C">
        <w:rPr>
          <w:rStyle w:val="fontstyle21"/>
          <w:rFonts w:asciiTheme="minorHAnsi" w:hAnsiTheme="minorHAnsi" w:cstheme="majorHAnsi"/>
          <w:color w:val="auto"/>
          <w:sz w:val="22"/>
          <w:szCs w:val="22"/>
          <w:lang w:val="en-GB"/>
        </w:rPr>
        <w:t>y do not discuss however, is how these migrants</w:t>
      </w:r>
      <w:r w:rsidRPr="004E053C">
        <w:rPr>
          <w:rStyle w:val="fontstyle21"/>
          <w:rFonts w:asciiTheme="minorHAnsi" w:hAnsiTheme="minorHAnsi" w:cstheme="majorHAnsi"/>
          <w:color w:val="auto"/>
          <w:sz w:val="22"/>
          <w:szCs w:val="22"/>
          <w:lang w:val="en-GB"/>
        </w:rPr>
        <w:t xml:space="preserve"> relate to each other. It </w:t>
      </w:r>
      <w:r w:rsidRPr="004E053C">
        <w:rPr>
          <w:rStyle w:val="fontstyle21"/>
          <w:rFonts w:asciiTheme="minorHAnsi" w:hAnsiTheme="minorHAnsi" w:cstheme="majorHAnsi"/>
          <w:color w:val="auto"/>
          <w:sz w:val="22"/>
          <w:szCs w:val="22"/>
          <w:lang w:val="en-GB"/>
        </w:rPr>
        <w:lastRenderedPageBreak/>
        <w:t xml:space="preserve">seems clear that in a rural-rural/peri-urban migratory context, the reluctance of some migrants to embed themselves in destination communities has bigger implications for those that are more rooted. </w:t>
      </w:r>
      <w:r w:rsidR="00E85BA7" w:rsidRPr="004E053C">
        <w:rPr>
          <w:rStyle w:val="fontstyle21"/>
          <w:rFonts w:asciiTheme="minorHAnsi" w:hAnsiTheme="minorHAnsi" w:cstheme="majorHAnsi"/>
          <w:color w:val="auto"/>
          <w:sz w:val="22"/>
          <w:szCs w:val="22"/>
          <w:lang w:val="en-GB"/>
        </w:rPr>
        <w:t xml:space="preserve">This provides further evidence of the existence of temporal frictions within the social field of ASM. </w:t>
      </w:r>
    </w:p>
    <w:p w14:paraId="35AA0C71" w14:textId="77777777" w:rsidR="003E574E" w:rsidRPr="004E053C" w:rsidRDefault="003E574E" w:rsidP="004E053C">
      <w:pPr>
        <w:spacing w:line="360" w:lineRule="auto"/>
        <w:jc w:val="both"/>
        <w:rPr>
          <w:rFonts w:eastAsia="Times New Roman" w:cstheme="majorHAnsi"/>
          <w:sz w:val="22"/>
          <w:szCs w:val="22"/>
          <w:lang w:val="en-GB"/>
        </w:rPr>
      </w:pPr>
    </w:p>
    <w:p w14:paraId="57AC0D49" w14:textId="552B8E75"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Translocality also affects the exposure that miners get to FEDAMIN, </w:t>
      </w:r>
      <w:r w:rsidR="00F73C7F" w:rsidRPr="004E053C">
        <w:rPr>
          <w:rFonts w:eastAsia="Times New Roman" w:cstheme="majorHAnsi"/>
          <w:sz w:val="22"/>
          <w:szCs w:val="22"/>
          <w:lang w:val="en-GB"/>
        </w:rPr>
        <w:t xml:space="preserve">which </w:t>
      </w:r>
      <w:r w:rsidRPr="004E053C">
        <w:rPr>
          <w:rFonts w:eastAsia="Times New Roman" w:cstheme="majorHAnsi"/>
          <w:sz w:val="22"/>
          <w:szCs w:val="22"/>
          <w:lang w:val="en-GB"/>
        </w:rPr>
        <w:t xml:space="preserve">is a key </w:t>
      </w:r>
      <w:r w:rsidR="005527DD" w:rsidRPr="004E053C">
        <w:rPr>
          <w:rFonts w:eastAsia="Times New Roman" w:cstheme="majorHAnsi"/>
          <w:sz w:val="22"/>
          <w:szCs w:val="22"/>
          <w:lang w:val="en-GB"/>
        </w:rPr>
        <w:t>avenue</w:t>
      </w:r>
      <w:r w:rsidRPr="004E053C">
        <w:rPr>
          <w:rFonts w:eastAsia="Times New Roman" w:cstheme="majorHAnsi"/>
          <w:sz w:val="22"/>
          <w:szCs w:val="22"/>
          <w:lang w:val="en-GB"/>
        </w:rPr>
        <w:t xml:space="preserve"> through which</w:t>
      </w:r>
      <w:r w:rsidR="004B27F3" w:rsidRPr="004E053C">
        <w:rPr>
          <w:rFonts w:eastAsia="Times New Roman" w:cstheme="majorHAnsi"/>
          <w:sz w:val="22"/>
          <w:szCs w:val="22"/>
          <w:lang w:val="en-GB"/>
        </w:rPr>
        <w:t xml:space="preserve"> the temporary</w:t>
      </w:r>
      <w:r w:rsidRPr="004E053C">
        <w:rPr>
          <w:rFonts w:eastAsia="Times New Roman" w:cstheme="majorHAnsi"/>
          <w:sz w:val="22"/>
          <w:szCs w:val="22"/>
          <w:lang w:val="en-GB"/>
        </w:rPr>
        <w:t xml:space="preserve"> and floating miners integrate themselves in</w:t>
      </w:r>
      <w:r w:rsidR="004B27F3" w:rsidRPr="004E053C">
        <w:rPr>
          <w:rFonts w:eastAsia="Times New Roman" w:cstheme="majorHAnsi"/>
          <w:sz w:val="22"/>
          <w:szCs w:val="22"/>
          <w:lang w:val="en-GB"/>
        </w:rPr>
        <w:t>to protests. While the permanent</w:t>
      </w:r>
      <w:r w:rsidRPr="004E053C">
        <w:rPr>
          <w:rFonts w:eastAsia="Times New Roman" w:cstheme="majorHAnsi"/>
          <w:sz w:val="22"/>
          <w:szCs w:val="22"/>
          <w:lang w:val="en-GB"/>
        </w:rPr>
        <w:t xml:space="preserve"> residents are very focused on resistance, with or without FEDAMIN, the push for organisation is noticeably lower amongst the </w:t>
      </w:r>
      <w:r w:rsidR="004B27F3" w:rsidRPr="004E053C">
        <w:rPr>
          <w:rFonts w:eastAsia="Times New Roman" w:cstheme="majorHAnsi"/>
          <w:sz w:val="22"/>
          <w:szCs w:val="22"/>
          <w:lang w:val="en-GB"/>
        </w:rPr>
        <w:t>more short-term</w:t>
      </w:r>
      <w:r w:rsidRPr="004E053C">
        <w:rPr>
          <w:rFonts w:eastAsia="Times New Roman" w:cstheme="majorHAnsi"/>
          <w:sz w:val="22"/>
          <w:szCs w:val="22"/>
          <w:lang w:val="en-GB"/>
        </w:rPr>
        <w:t xml:space="preserve"> and transient miners. The previous chapter highlighted how the </w:t>
      </w:r>
      <w:r w:rsidR="004B27F3" w:rsidRPr="004E053C">
        <w:rPr>
          <w:rFonts w:eastAsia="Times New Roman" w:cstheme="majorHAnsi"/>
          <w:sz w:val="22"/>
          <w:szCs w:val="22"/>
          <w:lang w:val="en-GB"/>
        </w:rPr>
        <w:t>temporary</w:t>
      </w:r>
      <w:r w:rsidRPr="004E053C">
        <w:rPr>
          <w:rFonts w:eastAsia="Times New Roman" w:cstheme="majorHAnsi"/>
          <w:sz w:val="22"/>
          <w:szCs w:val="22"/>
          <w:lang w:val="en-GB"/>
        </w:rPr>
        <w:t xml:space="preserve"> miners often seemed unaw</w:t>
      </w:r>
      <w:r w:rsidR="00F73C7F" w:rsidRPr="004E053C">
        <w:rPr>
          <w:rFonts w:eastAsia="Times New Roman" w:cstheme="majorHAnsi"/>
          <w:sz w:val="22"/>
          <w:szCs w:val="22"/>
          <w:lang w:val="en-GB"/>
        </w:rPr>
        <w:t>are of the resistance with the G</w:t>
      </w:r>
      <w:r w:rsidRPr="004E053C">
        <w:rPr>
          <w:rFonts w:eastAsia="Times New Roman" w:cstheme="majorHAnsi"/>
          <w:sz w:val="22"/>
          <w:szCs w:val="22"/>
          <w:lang w:val="en-GB"/>
        </w:rPr>
        <w:t>overnment, whilst others just seemed unconvinced about the ability of the miners to influence ASM policy:</w:t>
      </w:r>
    </w:p>
    <w:p w14:paraId="7E86993C" w14:textId="77777777" w:rsidR="003E574E" w:rsidRPr="004E053C" w:rsidRDefault="003E574E" w:rsidP="004E053C">
      <w:pPr>
        <w:spacing w:line="360" w:lineRule="auto"/>
        <w:jc w:val="both"/>
        <w:rPr>
          <w:rFonts w:eastAsia="Times New Roman" w:cstheme="majorHAnsi"/>
          <w:sz w:val="22"/>
          <w:szCs w:val="22"/>
          <w:lang w:val="en-GB"/>
        </w:rPr>
      </w:pPr>
    </w:p>
    <w:p w14:paraId="0CB18C56" w14:textId="09E557E1"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If they continue to make it difficult, we will just go to Arequipa, because we work there before and we have connections there…The community is</w:t>
      </w:r>
      <w:r w:rsidR="00F73C7F" w:rsidRPr="004E053C">
        <w:rPr>
          <w:rFonts w:eastAsia="Times New Roman" w:cstheme="majorHAnsi"/>
          <w:i/>
          <w:iCs/>
          <w:sz w:val="22"/>
          <w:szCs w:val="22"/>
          <w:lang w:val="en-GB"/>
        </w:rPr>
        <w:t>n’t going to fight against the G</w:t>
      </w:r>
      <w:r w:rsidR="003E574E" w:rsidRPr="004E053C">
        <w:rPr>
          <w:rFonts w:eastAsia="Times New Roman" w:cstheme="majorHAnsi"/>
          <w:i/>
          <w:iCs/>
          <w:sz w:val="22"/>
          <w:szCs w:val="22"/>
          <w:lang w:val="en-GB"/>
        </w:rPr>
        <w:t>overnment</w:t>
      </w:r>
      <w:r w:rsidRPr="004E053C">
        <w:rPr>
          <w:rFonts w:eastAsia="Times New Roman" w:cstheme="majorHAnsi"/>
          <w:i/>
          <w:iCs/>
          <w:sz w:val="22"/>
          <w:szCs w:val="22"/>
          <w:lang w:val="en-GB"/>
        </w:rPr>
        <w:t>’</w:t>
      </w:r>
      <w:r w:rsidR="003E574E" w:rsidRPr="004E053C">
        <w:rPr>
          <w:rFonts w:eastAsia="Times New Roman" w:cstheme="majorHAnsi"/>
          <w:sz w:val="22"/>
          <w:szCs w:val="22"/>
          <w:lang w:val="en-GB"/>
        </w:rPr>
        <w:t xml:space="preserve"> (</w:t>
      </w:r>
      <w:r w:rsidR="001B115B" w:rsidRPr="004E053C">
        <w:rPr>
          <w:rFonts w:eastAsia="Times New Roman" w:cstheme="majorHAnsi"/>
          <w:sz w:val="22"/>
          <w:szCs w:val="22"/>
          <w:lang w:val="en-GB"/>
        </w:rPr>
        <w:t>Yara</w:t>
      </w:r>
      <w:r w:rsidR="00A95CF9" w:rsidRPr="004E053C">
        <w:rPr>
          <w:rFonts w:eastAsia="Times New Roman" w:cstheme="majorHAnsi"/>
          <w:sz w:val="22"/>
          <w:szCs w:val="22"/>
          <w:lang w:val="en-GB"/>
        </w:rPr>
        <w:t>, market stall worker and wife of miner, Laberinto</w:t>
      </w:r>
      <w:r w:rsidR="003E574E" w:rsidRPr="004E053C">
        <w:rPr>
          <w:rFonts w:eastAsia="Times New Roman" w:cstheme="majorHAnsi"/>
          <w:sz w:val="22"/>
          <w:szCs w:val="22"/>
          <w:lang w:val="en-GB"/>
        </w:rPr>
        <w:t>)</w:t>
      </w:r>
      <w:r w:rsidRPr="004E053C">
        <w:rPr>
          <w:rFonts w:eastAsia="Times New Roman" w:cstheme="majorHAnsi"/>
          <w:sz w:val="22"/>
          <w:szCs w:val="22"/>
          <w:lang w:val="en-GB"/>
        </w:rPr>
        <w:t>.</w:t>
      </w:r>
    </w:p>
    <w:p w14:paraId="12616456" w14:textId="77777777" w:rsidR="003E574E" w:rsidRPr="004E053C" w:rsidRDefault="003E574E" w:rsidP="004E053C">
      <w:pPr>
        <w:spacing w:line="360" w:lineRule="auto"/>
        <w:jc w:val="both"/>
        <w:rPr>
          <w:rFonts w:eastAsia="Times New Roman" w:cstheme="majorHAnsi"/>
          <w:sz w:val="22"/>
          <w:szCs w:val="22"/>
          <w:lang w:val="en-GB"/>
        </w:rPr>
      </w:pPr>
    </w:p>
    <w:p w14:paraId="3D52E759" w14:textId="08ADA5CF"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F73C7F" w:rsidRPr="004E053C">
        <w:rPr>
          <w:rFonts w:eastAsia="Times New Roman" w:cstheme="majorHAnsi"/>
          <w:i/>
          <w:iCs/>
          <w:sz w:val="22"/>
          <w:szCs w:val="22"/>
          <w:lang w:val="en-GB"/>
        </w:rPr>
        <w:t>I have hope that the G</w:t>
      </w:r>
      <w:r w:rsidR="003E574E" w:rsidRPr="004E053C">
        <w:rPr>
          <w:rFonts w:eastAsia="Times New Roman" w:cstheme="majorHAnsi"/>
          <w:i/>
          <w:iCs/>
          <w:sz w:val="22"/>
          <w:szCs w:val="22"/>
          <w:lang w:val="en-GB"/>
        </w:rPr>
        <w:t xml:space="preserve">overnment will make a law that will help us to be </w:t>
      </w:r>
      <w:r w:rsidR="00091107" w:rsidRPr="004E053C">
        <w:rPr>
          <w:rFonts w:eastAsia="Times New Roman" w:cstheme="majorHAnsi"/>
          <w:i/>
          <w:iCs/>
          <w:sz w:val="22"/>
          <w:szCs w:val="22"/>
          <w:lang w:val="en-GB"/>
        </w:rPr>
        <w:t>formalise</w:t>
      </w:r>
      <w:r w:rsidR="003E574E" w:rsidRPr="004E053C">
        <w:rPr>
          <w:rFonts w:eastAsia="Times New Roman" w:cstheme="majorHAnsi"/>
          <w:i/>
          <w:iCs/>
          <w:sz w:val="22"/>
          <w:szCs w:val="22"/>
          <w:lang w:val="en-GB"/>
        </w:rPr>
        <w:t xml:space="preserve"> and will enable us to continue working. We are going to continue working as we do now for as long as we are able to, but maybe the government will bomb us</w:t>
      </w:r>
      <w:r w:rsidRPr="004E053C">
        <w:rPr>
          <w:rFonts w:eastAsia="Times New Roman" w:cstheme="majorHAnsi"/>
          <w:i/>
          <w:iCs/>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Rodrigo</w:t>
      </w:r>
      <w:r w:rsidR="003E574E" w:rsidRPr="004E053C">
        <w:rPr>
          <w:rFonts w:eastAsia="Times New Roman" w:cstheme="majorHAnsi"/>
          <w:sz w:val="22"/>
          <w:szCs w:val="22"/>
          <w:lang w:val="en-GB"/>
        </w:rPr>
        <w:t>, ASM miner, Laberinto)</w:t>
      </w:r>
      <w:r w:rsidRPr="004E053C">
        <w:rPr>
          <w:rFonts w:eastAsia="Times New Roman" w:cstheme="majorHAnsi"/>
          <w:sz w:val="22"/>
          <w:szCs w:val="22"/>
          <w:lang w:val="en-GB"/>
        </w:rPr>
        <w:t>.</w:t>
      </w:r>
    </w:p>
    <w:p w14:paraId="30820C56" w14:textId="77777777" w:rsidR="003E574E" w:rsidRPr="004E053C" w:rsidRDefault="003E574E" w:rsidP="004E053C">
      <w:pPr>
        <w:spacing w:line="360" w:lineRule="auto"/>
        <w:jc w:val="both"/>
        <w:rPr>
          <w:rFonts w:cstheme="majorHAnsi"/>
          <w:sz w:val="22"/>
          <w:szCs w:val="22"/>
          <w:lang w:val="en-GB"/>
        </w:rPr>
      </w:pPr>
    </w:p>
    <w:p w14:paraId="08201244" w14:textId="12FA0596"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For the </w:t>
      </w:r>
      <w:r w:rsidR="004B27F3" w:rsidRPr="004E053C">
        <w:rPr>
          <w:rFonts w:cstheme="majorHAnsi"/>
          <w:sz w:val="22"/>
          <w:szCs w:val="22"/>
          <w:lang w:val="en-GB"/>
        </w:rPr>
        <w:t>temporary</w:t>
      </w:r>
      <w:r w:rsidRPr="004E053C">
        <w:rPr>
          <w:rFonts w:cstheme="majorHAnsi"/>
          <w:sz w:val="22"/>
          <w:szCs w:val="22"/>
          <w:lang w:val="en-GB"/>
        </w:rPr>
        <w:t xml:space="preserve"> and floating miners who spend their time based in camps around Laberinto, there is very little interest in becoming involved with FEDAMIN. For example, </w:t>
      </w:r>
      <w:r w:rsidR="00EA7F80" w:rsidRPr="004E053C">
        <w:rPr>
          <w:rFonts w:cstheme="majorHAnsi"/>
          <w:sz w:val="22"/>
          <w:szCs w:val="22"/>
          <w:lang w:val="en-GB"/>
        </w:rPr>
        <w:t>Rodrigo</w:t>
      </w:r>
      <w:r w:rsidRPr="004E053C">
        <w:rPr>
          <w:rFonts w:cstheme="majorHAnsi"/>
          <w:sz w:val="22"/>
          <w:szCs w:val="22"/>
          <w:lang w:val="en-GB"/>
        </w:rPr>
        <w:t xml:space="preserve"> noted that as the miner’s mobility was often guided by work opportunities, this was more important to them than being based somewhere close by so that the</w:t>
      </w:r>
      <w:r w:rsidR="00277027">
        <w:rPr>
          <w:rFonts w:cstheme="majorHAnsi"/>
          <w:sz w:val="22"/>
          <w:szCs w:val="22"/>
          <w:lang w:val="en-GB"/>
        </w:rPr>
        <w:t>y may be involved in the organis</w:t>
      </w:r>
      <w:r w:rsidRPr="004E053C">
        <w:rPr>
          <w:rFonts w:cstheme="majorHAnsi"/>
          <w:sz w:val="22"/>
          <w:szCs w:val="22"/>
          <w:lang w:val="en-GB"/>
        </w:rPr>
        <w:t>ation:</w:t>
      </w:r>
    </w:p>
    <w:p w14:paraId="51697812" w14:textId="77777777" w:rsidR="003E574E" w:rsidRPr="004E053C" w:rsidRDefault="003E574E" w:rsidP="004E053C">
      <w:pPr>
        <w:spacing w:line="360" w:lineRule="auto"/>
        <w:jc w:val="both"/>
        <w:rPr>
          <w:rFonts w:cstheme="majorHAnsi"/>
          <w:sz w:val="22"/>
          <w:szCs w:val="22"/>
          <w:lang w:val="en-GB"/>
        </w:rPr>
      </w:pPr>
    </w:p>
    <w:p w14:paraId="56301B50" w14:textId="0FB3EE4E" w:rsidR="003E574E" w:rsidRPr="004E053C" w:rsidRDefault="003B5DCB" w:rsidP="004E053C">
      <w:pPr>
        <w:ind w:left="720"/>
        <w:jc w:val="both"/>
        <w:rPr>
          <w:rFonts w:cstheme="majorHAnsi"/>
          <w:sz w:val="22"/>
          <w:szCs w:val="22"/>
          <w:lang w:val="en-GB"/>
        </w:rPr>
      </w:pPr>
      <w:r w:rsidRPr="004E053C">
        <w:rPr>
          <w:rFonts w:cstheme="majorHAnsi"/>
          <w:sz w:val="22"/>
          <w:szCs w:val="22"/>
          <w:lang w:val="en-GB"/>
        </w:rPr>
        <w:t>‘</w:t>
      </w:r>
      <w:r w:rsidR="003E574E" w:rsidRPr="004E053C">
        <w:rPr>
          <w:rFonts w:cstheme="majorHAnsi"/>
          <w:i/>
          <w:sz w:val="22"/>
          <w:szCs w:val="22"/>
          <w:lang w:val="en-GB"/>
        </w:rPr>
        <w:t>It’s so far – some of them come to the meetings, but not the majority. They want to find other work opportunities and this is more important t</w:t>
      </w:r>
      <w:r w:rsidR="00F73C7F" w:rsidRPr="004E053C">
        <w:rPr>
          <w:rFonts w:cstheme="majorHAnsi"/>
          <w:i/>
          <w:sz w:val="22"/>
          <w:szCs w:val="22"/>
          <w:lang w:val="en-GB"/>
        </w:rPr>
        <w:t>han being involved in an organis</w:t>
      </w:r>
      <w:r w:rsidR="003E574E" w:rsidRPr="004E053C">
        <w:rPr>
          <w:rFonts w:cstheme="majorHAnsi"/>
          <w:i/>
          <w:sz w:val="22"/>
          <w:szCs w:val="22"/>
          <w:lang w:val="en-GB"/>
        </w:rPr>
        <w:t>ation</w:t>
      </w:r>
      <w:r w:rsidRPr="004E053C">
        <w:rPr>
          <w:rFonts w:cstheme="majorHAnsi"/>
          <w:sz w:val="22"/>
          <w:szCs w:val="22"/>
          <w:lang w:val="en-GB"/>
        </w:rPr>
        <w:t>’</w:t>
      </w:r>
      <w:r w:rsidR="003E574E" w:rsidRPr="004E053C">
        <w:rPr>
          <w:rFonts w:cstheme="majorHAnsi"/>
          <w:sz w:val="22"/>
          <w:szCs w:val="22"/>
          <w:lang w:val="en-GB"/>
        </w:rPr>
        <w:t xml:space="preserve"> (</w:t>
      </w:r>
      <w:r w:rsidR="00EA7F80" w:rsidRPr="004E053C">
        <w:rPr>
          <w:rFonts w:cstheme="majorHAnsi"/>
          <w:sz w:val="22"/>
          <w:szCs w:val="22"/>
          <w:lang w:val="en-GB"/>
        </w:rPr>
        <w:t>Rodrigo</w:t>
      </w:r>
      <w:r w:rsidR="003E574E" w:rsidRPr="004E053C">
        <w:rPr>
          <w:rFonts w:cstheme="majorHAnsi"/>
          <w:sz w:val="22"/>
          <w:szCs w:val="22"/>
          <w:lang w:val="en-GB"/>
        </w:rPr>
        <w:t>, A</w:t>
      </w:r>
      <w:r w:rsidRPr="004E053C">
        <w:rPr>
          <w:rFonts w:cstheme="majorHAnsi"/>
          <w:sz w:val="22"/>
          <w:szCs w:val="22"/>
          <w:lang w:val="en-GB"/>
        </w:rPr>
        <w:t xml:space="preserve">SM miner, Laberinto). </w:t>
      </w:r>
    </w:p>
    <w:p w14:paraId="1ADC4076" w14:textId="77777777" w:rsidR="00014D90" w:rsidRPr="004E053C" w:rsidRDefault="00014D90" w:rsidP="004E053C">
      <w:pPr>
        <w:spacing w:line="360" w:lineRule="auto"/>
        <w:jc w:val="both"/>
        <w:rPr>
          <w:rFonts w:cstheme="majorHAnsi"/>
          <w:bCs/>
          <w:sz w:val="22"/>
          <w:szCs w:val="22"/>
          <w:lang w:val="en-GB"/>
        </w:rPr>
      </w:pPr>
    </w:p>
    <w:p w14:paraId="7693AD43" w14:textId="543A6FC5" w:rsidR="003E574E" w:rsidRPr="004E053C" w:rsidRDefault="003E574E" w:rsidP="004E053C">
      <w:pPr>
        <w:spacing w:line="360" w:lineRule="auto"/>
        <w:jc w:val="both"/>
        <w:rPr>
          <w:rFonts w:eastAsia="Times New Roman" w:cstheme="majorHAnsi"/>
          <w:bCs/>
          <w:sz w:val="22"/>
          <w:szCs w:val="22"/>
          <w:lang w:val="en-GB"/>
        </w:rPr>
      </w:pPr>
      <w:r w:rsidRPr="004E053C">
        <w:rPr>
          <w:rFonts w:cstheme="majorHAnsi"/>
          <w:sz w:val="22"/>
          <w:szCs w:val="22"/>
          <w:lang w:val="en-GB"/>
        </w:rPr>
        <w:t xml:space="preserve">In </w:t>
      </w:r>
      <w:r w:rsidRPr="004E053C">
        <w:rPr>
          <w:rFonts w:eastAsia="Times New Roman" w:cstheme="majorHAnsi"/>
          <w:sz w:val="22"/>
          <w:szCs w:val="22"/>
          <w:lang w:val="en-GB"/>
        </w:rPr>
        <w:t xml:space="preserve">La Pampa </w:t>
      </w:r>
      <w:r w:rsidR="00F6233C" w:rsidRPr="004E053C">
        <w:rPr>
          <w:rFonts w:eastAsia="Times New Roman" w:cstheme="majorHAnsi"/>
          <w:sz w:val="22"/>
          <w:szCs w:val="22"/>
          <w:lang w:val="en-GB"/>
        </w:rPr>
        <w:t xml:space="preserve">although the miners do actively </w:t>
      </w:r>
      <w:r w:rsidRPr="004E053C">
        <w:rPr>
          <w:rFonts w:eastAsia="Times New Roman" w:cstheme="majorHAnsi"/>
          <w:sz w:val="22"/>
          <w:szCs w:val="22"/>
          <w:lang w:val="en-GB"/>
        </w:rPr>
        <w:t xml:space="preserve">resist government interventions through the continued act of working in the area, they have no official engagement with the Government, as they are excluded both from FEDAMIN and the negotiation process. </w:t>
      </w:r>
      <w:r w:rsidRPr="004E053C">
        <w:rPr>
          <w:rFonts w:eastAsia="Times New Roman" w:cstheme="majorHAnsi"/>
          <w:bCs/>
          <w:sz w:val="22"/>
          <w:szCs w:val="22"/>
          <w:lang w:val="en-GB"/>
        </w:rPr>
        <w:t xml:space="preserve">There is however some evidence of the community working together, such </w:t>
      </w:r>
      <w:r w:rsidRPr="004E053C">
        <w:rPr>
          <w:rFonts w:eastAsia="Times New Roman" w:cstheme="majorHAnsi"/>
          <w:sz w:val="22"/>
          <w:szCs w:val="22"/>
          <w:lang w:val="en-GB"/>
        </w:rPr>
        <w:t xml:space="preserve">as to rebuild after government interdictions, but this seemed to be more on an immediate needs basis. </w:t>
      </w:r>
    </w:p>
    <w:p w14:paraId="1A6AD0F6" w14:textId="77777777" w:rsidR="003E574E" w:rsidRPr="004E053C" w:rsidRDefault="003E574E" w:rsidP="004E053C">
      <w:pPr>
        <w:spacing w:line="360" w:lineRule="auto"/>
        <w:jc w:val="both"/>
        <w:rPr>
          <w:rFonts w:eastAsia="Times New Roman" w:cstheme="majorHAnsi"/>
          <w:sz w:val="22"/>
          <w:szCs w:val="22"/>
          <w:lang w:val="en-GB"/>
        </w:rPr>
      </w:pPr>
    </w:p>
    <w:p w14:paraId="0EDF3D52" w14:textId="0E1E374D" w:rsidR="003E574E" w:rsidRPr="004E053C" w:rsidRDefault="003E574E" w:rsidP="004E053C">
      <w:pPr>
        <w:spacing w:line="360" w:lineRule="auto"/>
        <w:jc w:val="both"/>
        <w:rPr>
          <w:rFonts w:eastAsia="Times New Roman" w:cstheme="majorHAnsi"/>
          <w:sz w:val="22"/>
          <w:szCs w:val="22"/>
          <w:lang w:val="en-GB"/>
        </w:rPr>
      </w:pPr>
      <w:r w:rsidRPr="004E053C">
        <w:rPr>
          <w:rFonts w:cstheme="majorHAnsi"/>
          <w:sz w:val="22"/>
          <w:szCs w:val="22"/>
          <w:lang w:val="en-GB"/>
        </w:rPr>
        <w:lastRenderedPageBreak/>
        <w:t>This above suggests that translocal livelihoods can undermine the organisation o</w:t>
      </w:r>
      <w:r w:rsidR="00F73C7F" w:rsidRPr="004E053C">
        <w:rPr>
          <w:rFonts w:cstheme="majorHAnsi"/>
          <w:sz w:val="22"/>
          <w:szCs w:val="22"/>
          <w:lang w:val="en-GB"/>
        </w:rPr>
        <w:t>f miners around their marginalisation and ‘deviant’</w:t>
      </w:r>
      <w:r w:rsidRPr="004E053C">
        <w:rPr>
          <w:rFonts w:cstheme="majorHAnsi"/>
          <w:sz w:val="22"/>
          <w:szCs w:val="22"/>
          <w:lang w:val="en-GB"/>
        </w:rPr>
        <w:t xml:space="preserve"> labelling, as they are attached to neither the livelihood the community is built around nor the physical place it occupies.</w:t>
      </w:r>
      <w:r w:rsidRPr="004E053C">
        <w:rPr>
          <w:rFonts w:eastAsia="Times New Roman" w:cstheme="majorHAnsi"/>
          <w:sz w:val="22"/>
          <w:szCs w:val="22"/>
          <w:lang w:val="en-GB"/>
        </w:rPr>
        <w:t xml:space="preserve"> In general, the </w:t>
      </w:r>
      <w:r w:rsidR="00C21441" w:rsidRPr="004E053C">
        <w:rPr>
          <w:rFonts w:eastAsia="Times New Roman" w:cstheme="majorHAnsi"/>
          <w:sz w:val="22"/>
          <w:szCs w:val="22"/>
          <w:lang w:val="en-GB"/>
        </w:rPr>
        <w:t>temporary</w:t>
      </w:r>
      <w:r w:rsidRPr="004E053C">
        <w:rPr>
          <w:rFonts w:eastAsia="Times New Roman" w:cstheme="majorHAnsi"/>
          <w:sz w:val="22"/>
          <w:szCs w:val="22"/>
          <w:lang w:val="en-GB"/>
        </w:rPr>
        <w:t xml:space="preserve"> miners did not openly attempt t</w:t>
      </w:r>
      <w:r w:rsidR="00F73C7F" w:rsidRPr="004E053C">
        <w:rPr>
          <w:rFonts w:eastAsia="Times New Roman" w:cstheme="majorHAnsi"/>
          <w:sz w:val="22"/>
          <w:szCs w:val="22"/>
          <w:lang w:val="en-GB"/>
        </w:rPr>
        <w:t>o discredit the Government. I</w:t>
      </w:r>
      <w:r w:rsidRPr="004E053C">
        <w:rPr>
          <w:rFonts w:eastAsia="Times New Roman" w:cstheme="majorHAnsi"/>
          <w:sz w:val="22"/>
          <w:szCs w:val="22"/>
          <w:lang w:val="en-GB"/>
        </w:rPr>
        <w:t xml:space="preserve">n some cases </w:t>
      </w:r>
      <w:r w:rsidR="00F73C7F" w:rsidRPr="004E053C">
        <w:rPr>
          <w:rFonts w:eastAsia="Times New Roman" w:cstheme="majorHAnsi"/>
          <w:sz w:val="22"/>
          <w:szCs w:val="22"/>
          <w:lang w:val="en-GB"/>
        </w:rPr>
        <w:t xml:space="preserve">they </w:t>
      </w:r>
      <w:r w:rsidRPr="004E053C">
        <w:rPr>
          <w:rFonts w:eastAsia="Times New Roman" w:cstheme="majorHAnsi"/>
          <w:sz w:val="22"/>
          <w:szCs w:val="22"/>
          <w:lang w:val="en-GB"/>
        </w:rPr>
        <w:t xml:space="preserve">actually supported the Government’s stance on ASM, even though they were continuing to act against it. </w:t>
      </w:r>
    </w:p>
    <w:p w14:paraId="25401F00" w14:textId="77777777" w:rsidR="003E574E" w:rsidRPr="004E053C" w:rsidRDefault="003E574E" w:rsidP="004E053C">
      <w:pPr>
        <w:spacing w:line="360" w:lineRule="auto"/>
        <w:jc w:val="both"/>
        <w:rPr>
          <w:rFonts w:eastAsia="Times New Roman" w:cstheme="majorHAnsi"/>
          <w:sz w:val="22"/>
          <w:szCs w:val="22"/>
          <w:lang w:val="en-GB"/>
        </w:rPr>
      </w:pPr>
    </w:p>
    <w:p w14:paraId="6C341539" w14:textId="289B614C" w:rsidR="0026192C" w:rsidRPr="004E053C" w:rsidRDefault="00EA7F83" w:rsidP="004E053C">
      <w:pPr>
        <w:pStyle w:val="Heading2"/>
        <w:spacing w:before="0" w:line="360" w:lineRule="auto"/>
        <w:jc w:val="both"/>
        <w:rPr>
          <w:rFonts w:cstheme="majorHAnsi"/>
          <w:lang w:val="en-GB"/>
        </w:rPr>
      </w:pPr>
      <w:bookmarkStart w:id="106" w:name="_Toc33293132"/>
      <w:r w:rsidRPr="004E053C">
        <w:rPr>
          <w:rFonts w:cstheme="majorHAnsi"/>
          <w:lang w:val="en-GB"/>
        </w:rPr>
        <w:t>9</w:t>
      </w:r>
      <w:r w:rsidR="005252FE" w:rsidRPr="004E053C">
        <w:rPr>
          <w:rFonts w:cstheme="majorHAnsi"/>
          <w:lang w:val="en-GB"/>
        </w:rPr>
        <w:t>.5</w:t>
      </w:r>
      <w:r w:rsidR="0019375F" w:rsidRPr="004E053C">
        <w:rPr>
          <w:rFonts w:cstheme="majorHAnsi"/>
          <w:lang w:val="en-GB"/>
        </w:rPr>
        <w:t>. N</w:t>
      </w:r>
      <w:r w:rsidR="00F73C7F" w:rsidRPr="004E053C">
        <w:rPr>
          <w:rFonts w:cstheme="majorHAnsi"/>
          <w:lang w:val="en-GB"/>
        </w:rPr>
        <w:t>eutralis</w:t>
      </w:r>
      <w:r w:rsidR="003E574E" w:rsidRPr="004E053C">
        <w:rPr>
          <w:rFonts w:cstheme="majorHAnsi"/>
          <w:lang w:val="en-GB"/>
        </w:rPr>
        <w:t>ation</w:t>
      </w:r>
      <w:r w:rsidR="00562178" w:rsidRPr="004E053C">
        <w:rPr>
          <w:rFonts w:cstheme="majorHAnsi"/>
          <w:lang w:val="en-GB"/>
        </w:rPr>
        <w:t xml:space="preserve"> </w:t>
      </w:r>
      <w:r w:rsidR="004A3EF1" w:rsidRPr="004E053C">
        <w:rPr>
          <w:rFonts w:cstheme="majorHAnsi"/>
          <w:lang w:val="en-GB"/>
        </w:rPr>
        <w:t>through the creation of an o</w:t>
      </w:r>
      <w:r w:rsidR="0019375F" w:rsidRPr="004E053C">
        <w:rPr>
          <w:rFonts w:cstheme="majorHAnsi"/>
          <w:lang w:val="en-GB"/>
        </w:rPr>
        <w:t>ut-group</w:t>
      </w:r>
      <w:bookmarkEnd w:id="106"/>
    </w:p>
    <w:p w14:paraId="00730874" w14:textId="77777777" w:rsidR="00585600" w:rsidRPr="004E053C" w:rsidRDefault="00585600" w:rsidP="004E053C">
      <w:pPr>
        <w:spacing w:line="360" w:lineRule="auto"/>
        <w:jc w:val="both"/>
        <w:rPr>
          <w:rFonts w:eastAsia="Times New Roman" w:cstheme="majorHAnsi"/>
          <w:sz w:val="22"/>
          <w:szCs w:val="22"/>
          <w:lang w:val="en-GB"/>
        </w:rPr>
      </w:pPr>
    </w:p>
    <w:p w14:paraId="471F8220" w14:textId="231FFF4D" w:rsidR="00067554" w:rsidRPr="004E053C" w:rsidRDefault="003E574E" w:rsidP="004E053C">
      <w:pPr>
        <w:spacing w:line="360" w:lineRule="auto"/>
        <w:jc w:val="both"/>
        <w:rPr>
          <w:rFonts w:cstheme="majorHAnsi"/>
          <w:sz w:val="22"/>
          <w:szCs w:val="22"/>
          <w:lang w:val="en-GB"/>
        </w:rPr>
      </w:pPr>
      <w:r w:rsidRPr="004E053C">
        <w:rPr>
          <w:rFonts w:eastAsia="Times New Roman" w:cstheme="majorHAnsi"/>
          <w:sz w:val="22"/>
          <w:szCs w:val="22"/>
          <w:lang w:val="en-GB"/>
        </w:rPr>
        <w:t>During fieldwork, it was clear that a large number of miners had built nar</w:t>
      </w:r>
      <w:r w:rsidR="00F73C7F" w:rsidRPr="004E053C">
        <w:rPr>
          <w:rFonts w:eastAsia="Times New Roman" w:cstheme="majorHAnsi"/>
          <w:sz w:val="22"/>
          <w:szCs w:val="22"/>
          <w:lang w:val="en-GB"/>
        </w:rPr>
        <w:t>ratives around the concepts of ‘informal’ and ‘illegal’</w:t>
      </w:r>
      <w:r w:rsidRPr="004E053C">
        <w:rPr>
          <w:rFonts w:eastAsia="Times New Roman" w:cstheme="majorHAnsi"/>
          <w:sz w:val="22"/>
          <w:szCs w:val="22"/>
          <w:lang w:val="en-GB"/>
        </w:rPr>
        <w:t xml:space="preserve"> which allowed them to legitimise their own position. This can be viewed as an act of resistance against the norms of the dominant </w:t>
      </w:r>
      <w:r w:rsidR="005527DD" w:rsidRPr="004E053C">
        <w:rPr>
          <w:rFonts w:eastAsia="Times New Roman" w:cstheme="majorHAnsi"/>
          <w:sz w:val="22"/>
          <w:szCs w:val="22"/>
          <w:lang w:val="en-GB"/>
        </w:rPr>
        <w:t>society that</w:t>
      </w:r>
      <w:r w:rsidRPr="004E053C">
        <w:rPr>
          <w:rFonts w:eastAsia="Times New Roman" w:cstheme="majorHAnsi"/>
          <w:sz w:val="22"/>
          <w:szCs w:val="22"/>
          <w:lang w:val="en-GB"/>
        </w:rPr>
        <w:t xml:space="preserve"> have labelled the miners as deviant. The importance of being seen as </w:t>
      </w:r>
      <w:r w:rsidR="003B5DCB" w:rsidRPr="004E053C">
        <w:rPr>
          <w:rFonts w:eastAsia="Times New Roman" w:cstheme="majorHAnsi"/>
          <w:sz w:val="22"/>
          <w:szCs w:val="22"/>
          <w:lang w:val="en-GB"/>
        </w:rPr>
        <w:t>‘informal’</w:t>
      </w:r>
      <w:r w:rsidRPr="004E053C">
        <w:rPr>
          <w:rFonts w:eastAsia="Times New Roman" w:cstheme="majorHAnsi"/>
          <w:sz w:val="22"/>
          <w:szCs w:val="22"/>
          <w:lang w:val="en-GB"/>
        </w:rPr>
        <w:t xml:space="preserve"> rather than</w:t>
      </w:r>
      <w:r w:rsidR="003B5DCB" w:rsidRPr="004E053C">
        <w:rPr>
          <w:rFonts w:eastAsia="Times New Roman" w:cstheme="majorHAnsi"/>
          <w:sz w:val="22"/>
          <w:szCs w:val="22"/>
          <w:lang w:val="en-GB"/>
        </w:rPr>
        <w:t xml:space="preserve"> ‘illegal’</w:t>
      </w:r>
      <w:r w:rsidRPr="004E053C">
        <w:rPr>
          <w:rFonts w:eastAsia="Times New Roman" w:cstheme="majorHAnsi"/>
          <w:sz w:val="22"/>
          <w:szCs w:val="22"/>
          <w:lang w:val="en-GB"/>
        </w:rPr>
        <w:t xml:space="preserve"> is linked to their feelings of persecution, but also allows them to </w:t>
      </w:r>
      <w:r w:rsidR="003B5DCB" w:rsidRPr="004E053C">
        <w:rPr>
          <w:rFonts w:eastAsia="Times New Roman" w:cstheme="majorHAnsi"/>
          <w:sz w:val="22"/>
          <w:szCs w:val="22"/>
          <w:lang w:val="en-GB"/>
        </w:rPr>
        <w:t>position themselves against an ‘other’</w:t>
      </w:r>
      <w:r w:rsidRPr="004E053C">
        <w:rPr>
          <w:rFonts w:eastAsia="Times New Roman" w:cstheme="majorHAnsi"/>
          <w:sz w:val="22"/>
          <w:szCs w:val="22"/>
          <w:lang w:val="en-GB"/>
        </w:rPr>
        <w:t xml:space="preserve">, whose behaviour they seek to delegitimise in order to legitimise their own. While Becker </w:t>
      </w:r>
      <w:r w:rsidR="000979BD" w:rsidRPr="004E053C">
        <w:rPr>
          <w:rFonts w:eastAsia="Times New Roman" w:cstheme="majorHAnsi"/>
          <w:sz w:val="22"/>
          <w:szCs w:val="22"/>
          <w:lang w:val="en-GB"/>
        </w:rPr>
        <w:fldChar w:fldCharType="begin" w:fldLock="1"/>
      </w:r>
      <w:r w:rsidR="00BD2031" w:rsidRPr="004E053C">
        <w:rPr>
          <w:rFonts w:eastAsia="Times New Roman" w:cstheme="majorHAnsi"/>
          <w:sz w:val="22"/>
          <w:szCs w:val="22"/>
          <w:lang w:val="en-GB"/>
        </w:rPr>
        <w:instrText>ADDIN CSL_CITATION {"citationItems":[{"id":"ITEM-1","itemData":{"author":[{"dropping-particle":"","family":"Becker","given":"Howard. S.","non-dropping-particle":"","parse-names":false,"suffix":""}],"id":"ITEM-1","issued":{"date-parts":[["1963"]]},"number-of-pages":"213","publisher":"The Free Press","publisher-place":"New York","title":"Outsiders: Studies in the Sociology of Deviance","type":"book"},"uris":["http://www.mendeley.com/documents/?uuid=a0af309e-d110-40cc-907a-12b4892a474b"]}],"mendeley":{"formattedCitation":"(H. S. Becker, 1963)","manualFormatting":"(1963)","plainTextFormattedCitation":"(H. S. Becker, 1963)","previouslyFormattedCitation":"(H. S. Becker, 1963)"},"properties":{"noteIndex":0},"schema":"https://github.com/citation-style-language/schema/raw/master/csl-citation.json"}</w:instrText>
      </w:r>
      <w:r w:rsidR="000979BD" w:rsidRPr="004E053C">
        <w:rPr>
          <w:rFonts w:eastAsia="Times New Roman" w:cstheme="majorHAnsi"/>
          <w:sz w:val="22"/>
          <w:szCs w:val="22"/>
          <w:lang w:val="en-GB"/>
        </w:rPr>
        <w:fldChar w:fldCharType="separate"/>
      </w:r>
      <w:r w:rsidR="000979BD" w:rsidRPr="004E053C">
        <w:rPr>
          <w:rFonts w:eastAsia="Times New Roman" w:cstheme="majorHAnsi"/>
          <w:noProof/>
          <w:sz w:val="22"/>
          <w:szCs w:val="22"/>
          <w:lang w:val="en-GB"/>
        </w:rPr>
        <w:t>(1963)</w:t>
      </w:r>
      <w:r w:rsidR="000979BD"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noted that not all deviants regard judgements about their behaviour as unjust, the narratives provided by the </w:t>
      </w:r>
      <w:r w:rsidR="00C21441" w:rsidRPr="004E053C">
        <w:rPr>
          <w:rFonts w:eastAsia="Times New Roman" w:cstheme="majorHAnsi"/>
          <w:sz w:val="22"/>
          <w:szCs w:val="22"/>
          <w:lang w:val="en-GB"/>
        </w:rPr>
        <w:t>permanent</w:t>
      </w:r>
      <w:r w:rsidRPr="004E053C">
        <w:rPr>
          <w:rFonts w:eastAsia="Times New Roman" w:cstheme="majorHAnsi"/>
          <w:sz w:val="22"/>
          <w:szCs w:val="22"/>
          <w:lang w:val="en-GB"/>
        </w:rPr>
        <w:t xml:space="preserve"> miners are evidence of their development of strong ideological explanation of why they are right and those who disapprove of and punish them are wrong. </w:t>
      </w:r>
      <w:r w:rsidR="00562178" w:rsidRPr="004E053C">
        <w:rPr>
          <w:rFonts w:eastAsia="Times New Roman" w:cstheme="majorHAnsi"/>
          <w:sz w:val="22"/>
          <w:szCs w:val="22"/>
          <w:lang w:val="en-GB"/>
        </w:rPr>
        <w:t xml:space="preserve">Sykes and Matza </w:t>
      </w:r>
      <w:r w:rsidR="000979BD"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{"citationItems":[{"id":"ITEM-1","itemData":{"author":[{"dropping-particle":"","family":"Sykes","given":"Gresham M","non-dropping-particle":"","parse-names":false,"suffix":""},{"dropping-particle":"","family":"Matza","given":"David","non-dropping-particle":"","parse-names":false,"suffix":""}],"container-title":"American Sociological Review","id":"ITEM-1","issue":"6","issued":{"date-parts":[["1957"]]},"page":"664-670","title":"Techniques of neutralization: a theory of delinquency","type":"article-journal","volume":"22"},"uris":["http://www.mendeley.com/documents/?uuid=4564a176-a7ed-4562-a9a7-7e232d4c5ac5"]}],"mendeley":{"formattedCitation":"(Sykes &amp; Matza, 1957)","manualFormatting":"(1957)","plainTextFormattedCitation":"(Sykes &amp; Matza, 1957)","previouslyFormattedCitation":"(Sykes &amp; Matza, 1957)"},"properties":{"noteIndex":0},"schema":"https://github.com/citation-style-language/schema/raw/master/csl-citation.json"}</w:instrText>
      </w:r>
      <w:r w:rsidR="000979BD" w:rsidRPr="004E053C">
        <w:rPr>
          <w:rFonts w:eastAsia="Times New Roman" w:cstheme="majorHAnsi"/>
          <w:sz w:val="22"/>
          <w:szCs w:val="22"/>
          <w:lang w:val="en-GB"/>
        </w:rPr>
        <w:fldChar w:fldCharType="separate"/>
      </w:r>
      <w:r w:rsidR="000979BD" w:rsidRPr="004E053C">
        <w:rPr>
          <w:rFonts w:eastAsia="Times New Roman" w:cstheme="majorHAnsi"/>
          <w:noProof/>
          <w:sz w:val="22"/>
          <w:szCs w:val="22"/>
          <w:lang w:val="en-GB"/>
        </w:rPr>
        <w:t>(1957)</w:t>
      </w:r>
      <w:r w:rsidR="000979BD" w:rsidRPr="004E053C">
        <w:rPr>
          <w:rFonts w:eastAsia="Times New Roman" w:cstheme="majorHAnsi"/>
          <w:sz w:val="22"/>
          <w:szCs w:val="22"/>
          <w:lang w:val="en-GB"/>
        </w:rPr>
        <w:fldChar w:fldCharType="end"/>
      </w:r>
      <w:r w:rsidR="00562178" w:rsidRPr="004E053C">
        <w:rPr>
          <w:rFonts w:eastAsia="Times New Roman" w:cstheme="majorHAnsi"/>
          <w:sz w:val="22"/>
          <w:szCs w:val="22"/>
          <w:lang w:val="en-GB"/>
        </w:rPr>
        <w:t xml:space="preserve"> describe</w:t>
      </w:r>
      <w:r w:rsidR="00F73C7F" w:rsidRPr="004E053C">
        <w:rPr>
          <w:rFonts w:eastAsia="Times New Roman" w:cstheme="majorHAnsi"/>
          <w:sz w:val="22"/>
          <w:szCs w:val="22"/>
          <w:lang w:val="en-GB"/>
        </w:rPr>
        <w:t>d this as a process of neutralis</w:t>
      </w:r>
      <w:r w:rsidR="00562178" w:rsidRPr="004E053C">
        <w:rPr>
          <w:rFonts w:eastAsia="Times New Roman" w:cstheme="majorHAnsi"/>
          <w:sz w:val="22"/>
          <w:szCs w:val="22"/>
          <w:lang w:val="en-GB"/>
        </w:rPr>
        <w:t xml:space="preserve">ation, but Fleetwood </w:t>
      </w:r>
      <w:r w:rsidR="000979BD" w:rsidRPr="004E053C">
        <w:rPr>
          <w:rFonts w:eastAsia="Times New Roman" w:cstheme="majorHAnsi"/>
          <w:sz w:val="22"/>
          <w:szCs w:val="22"/>
          <w:lang w:val="en-GB"/>
        </w:rPr>
        <w:fldChar w:fldCharType="begin" w:fldLock="1"/>
      </w:r>
      <w:r w:rsidR="007A757C" w:rsidRPr="004E053C">
        <w:rPr>
          <w:rFonts w:eastAsia="Times New Roman" w:cstheme="majorHAnsi"/>
          <w:sz w:val="22"/>
          <w:szCs w:val="22"/>
          <w:lang w:val="en-GB"/>
        </w:rPr>
        <w:instrText>ADDIN CSL_CITATION {"citationItems":[{"id":"ITEM-1","itemData":{"author":[{"dropping-particle":"","family":"Fleetwood","given":"Jennifer","non-dropping-particle":"","parse-names":false,"suffix":""}],"container-title":"Crime, Media, Culture","id":"ITEM-1","issue":"2","issued":{"date-parts":[["2016"]]},"page":"173-192","title":"Narrative habitus: thinking through structure/agency in the narratives of offenders","type":"article-journal","volume":"12"},"uris":["http://www.mendeley.com/documents/?uuid=3db1ed2b-b7a1-4eaa-89c4-87d42343c878"]}],"mendeley":{"formattedCitation":"(Fleetwood, 2016)","manualFormatting":"(2016)","plainTextFormattedCitation":"(Fleetwood, 2016)","previouslyFormattedCitation":"(Fleetwood, 2016)"},"properties":{"noteIndex":0},"schema":"https://github.com/citation-style-language/schema/raw/master/csl-citation.json"}</w:instrText>
      </w:r>
      <w:r w:rsidR="000979BD" w:rsidRPr="004E053C">
        <w:rPr>
          <w:rFonts w:eastAsia="Times New Roman" w:cstheme="majorHAnsi"/>
          <w:sz w:val="22"/>
          <w:szCs w:val="22"/>
          <w:lang w:val="en-GB"/>
        </w:rPr>
        <w:fldChar w:fldCharType="separate"/>
      </w:r>
      <w:r w:rsidR="000979BD" w:rsidRPr="004E053C">
        <w:rPr>
          <w:rFonts w:eastAsia="Times New Roman" w:cstheme="majorHAnsi"/>
          <w:noProof/>
          <w:sz w:val="22"/>
          <w:szCs w:val="22"/>
          <w:lang w:val="en-GB"/>
        </w:rPr>
        <w:t>(2016)</w:t>
      </w:r>
      <w:r w:rsidR="000979BD" w:rsidRPr="004E053C">
        <w:rPr>
          <w:rFonts w:eastAsia="Times New Roman" w:cstheme="majorHAnsi"/>
          <w:sz w:val="22"/>
          <w:szCs w:val="22"/>
          <w:lang w:val="en-GB"/>
        </w:rPr>
        <w:fldChar w:fldCharType="end"/>
      </w:r>
      <w:r w:rsidR="00562178" w:rsidRPr="004E053C">
        <w:rPr>
          <w:rFonts w:eastAsia="Times New Roman" w:cstheme="majorHAnsi"/>
          <w:sz w:val="22"/>
          <w:szCs w:val="22"/>
          <w:lang w:val="en-GB"/>
        </w:rPr>
        <w:t xml:space="preserve"> has argued that such narratives go beyond excusing </w:t>
      </w:r>
      <w:r w:rsidR="00900A37" w:rsidRPr="004E053C">
        <w:rPr>
          <w:rFonts w:eastAsia="Times New Roman" w:cstheme="majorHAnsi"/>
          <w:sz w:val="22"/>
          <w:szCs w:val="22"/>
          <w:lang w:val="en-GB"/>
        </w:rPr>
        <w:t>deviance</w:t>
      </w:r>
      <w:r w:rsidR="00562178" w:rsidRPr="004E053C">
        <w:rPr>
          <w:rFonts w:eastAsia="Times New Roman" w:cstheme="majorHAnsi"/>
          <w:sz w:val="22"/>
          <w:szCs w:val="22"/>
          <w:lang w:val="en-GB"/>
        </w:rPr>
        <w:t xml:space="preserve"> and are closely linked to a deeper search for identity and one’s existence within a particular social field. </w:t>
      </w:r>
      <w:r w:rsidR="00562178" w:rsidRPr="004E053C">
        <w:rPr>
          <w:rFonts w:cstheme="majorHAnsi"/>
          <w:sz w:val="22"/>
          <w:szCs w:val="22"/>
          <w:lang w:val="en-GB"/>
        </w:rPr>
        <w:t xml:space="preserve">Thus, </w:t>
      </w:r>
      <w:r w:rsidR="00A05A14" w:rsidRPr="004E053C">
        <w:rPr>
          <w:rFonts w:cstheme="majorHAnsi"/>
          <w:sz w:val="22"/>
          <w:szCs w:val="22"/>
          <w:lang w:val="en-GB"/>
        </w:rPr>
        <w:t>as well</w:t>
      </w:r>
      <w:r w:rsidR="00562178" w:rsidRPr="004E053C">
        <w:rPr>
          <w:rFonts w:cstheme="majorHAnsi"/>
          <w:sz w:val="22"/>
          <w:szCs w:val="22"/>
          <w:lang w:val="en-GB"/>
        </w:rPr>
        <w:t xml:space="preserve"> as being a mode through which the field of power can attempt to exert control over marginalised groups, narratives within social fields have a crucial role in connecting the self and one’s group and setting clear boundaries with other groups </w:t>
      </w:r>
      <w:r w:rsidR="000979BD"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{"citationItems":[{"id":"ITEM-1","itemData":{"abstract":"The work of Bourdieu has increasingly gained interest in criminology. His theoretical framework is rich and arguably the most sophisticated approach to social inequality and difference in sociology. It has however, been criticized for bias towards the structural aspects of social life, and for leaving little space for the constitutive, and creative role of language. We argue for the inclusion of narrative for understanding street fields. Based on qualitative interviews with 40 incarcerated drug dealers in Norway, we describe the narrative repertoire of the street field, including stories of crime business, violence, drugs and the ‘hard life’. The narrative repertoire is constituted by street capital, but also upholds and produces this form of capital. Street talk is embedded in objective social and economic structures and displayed in the actors’ habitus. Narratives bind the street field together: producing social practices and social structure.","author":[{"dropping-particle":"","family":"Sandberg","given":"Sveinung","non-dropping-particle":"","parse-names":false,"suffix":""},{"dropping-particle":"","family":"Fleetwood","given":"Jennifer","non-dropping-particle":"","parse-names":false,"suffix":""}],"container-title":"Criminology &amp; Criminal Justice","id":"ITEM-1","issue":"4","issued":{"date-parts":[["2017"]]},"page":"365-381","title":"Street talk and Bourdieusian criminology: bringing narrative to field theory","type":"article-journal","volume":"17"},"uris":["http://www.mendeley.com/documents/?uuid=da2ac546-8ca1-4c74-a7fe-59d9ea2001e8"]}],"mendeley":{"formattedCitation":"(Sandberg &amp; Fleetwood, 2017)","plainTextFormattedCitation":"(Sandberg &amp; Fleetwood, 2017)","previouslyFormattedCitation":"(Sandberg &amp; Fleetwood, 2017)"},"properties":{"noteIndex":0},"schema":"https://github.com/citation-style-language/schema/raw/master/csl-citation.json"}</w:instrText>
      </w:r>
      <w:r w:rsidR="000979BD" w:rsidRPr="004E053C">
        <w:rPr>
          <w:rFonts w:cstheme="majorHAnsi"/>
          <w:sz w:val="22"/>
          <w:szCs w:val="22"/>
          <w:lang w:val="en-GB"/>
        </w:rPr>
        <w:fldChar w:fldCharType="separate"/>
      </w:r>
      <w:r w:rsidR="000979BD" w:rsidRPr="004E053C">
        <w:rPr>
          <w:rFonts w:cstheme="majorHAnsi"/>
          <w:noProof/>
          <w:sz w:val="22"/>
          <w:szCs w:val="22"/>
          <w:lang w:val="en-GB"/>
        </w:rPr>
        <w:t>(Sandberg &amp; Fleetwood, 2017)</w:t>
      </w:r>
      <w:r w:rsidR="000979BD" w:rsidRPr="004E053C">
        <w:rPr>
          <w:rFonts w:cstheme="majorHAnsi"/>
          <w:sz w:val="22"/>
          <w:szCs w:val="22"/>
          <w:lang w:val="en-GB"/>
        </w:rPr>
        <w:fldChar w:fldCharType="end"/>
      </w:r>
      <w:r w:rsidR="00562178" w:rsidRPr="004E053C">
        <w:rPr>
          <w:rFonts w:cstheme="majorHAnsi"/>
          <w:sz w:val="22"/>
          <w:szCs w:val="22"/>
          <w:lang w:val="en-GB"/>
        </w:rPr>
        <w:t xml:space="preserve">. </w:t>
      </w:r>
    </w:p>
    <w:p w14:paraId="5CA535E7" w14:textId="77777777" w:rsidR="003E574E" w:rsidRPr="004E053C" w:rsidRDefault="003E574E" w:rsidP="004E053C">
      <w:pPr>
        <w:spacing w:line="360" w:lineRule="auto"/>
        <w:jc w:val="both"/>
        <w:rPr>
          <w:rFonts w:cstheme="majorHAnsi"/>
          <w:color w:val="2F5496" w:themeColor="accent5" w:themeShade="BF"/>
          <w:sz w:val="22"/>
          <w:szCs w:val="22"/>
          <w:lang w:val="en-GB"/>
        </w:rPr>
      </w:pPr>
    </w:p>
    <w:p w14:paraId="6DC8113D" w14:textId="3F84FBC2" w:rsidR="0019375F"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In Laberinto, the miners position their own collective group against those who mine outside of the mining corridor, which creates a superior identity for </w:t>
      </w:r>
      <w:r w:rsidR="005527DD" w:rsidRPr="004E053C">
        <w:rPr>
          <w:rFonts w:cstheme="majorHAnsi"/>
          <w:sz w:val="22"/>
          <w:szCs w:val="22"/>
          <w:lang w:val="en-GB"/>
        </w:rPr>
        <w:t>themselves that</w:t>
      </w:r>
      <w:r w:rsidRPr="004E053C">
        <w:rPr>
          <w:rFonts w:cstheme="majorHAnsi"/>
          <w:sz w:val="22"/>
          <w:szCs w:val="22"/>
          <w:lang w:val="en-GB"/>
        </w:rPr>
        <w:t xml:space="preserve"> becomes tied to definitions of legality. The </w:t>
      </w:r>
      <w:r w:rsidR="001717DC" w:rsidRPr="004E053C">
        <w:rPr>
          <w:rFonts w:cstheme="majorHAnsi"/>
          <w:sz w:val="22"/>
          <w:szCs w:val="22"/>
          <w:lang w:val="en-GB"/>
        </w:rPr>
        <w:t>temporary</w:t>
      </w:r>
      <w:r w:rsidRPr="004E053C">
        <w:rPr>
          <w:rFonts w:cstheme="majorHAnsi"/>
          <w:sz w:val="22"/>
          <w:szCs w:val="22"/>
          <w:lang w:val="en-GB"/>
        </w:rPr>
        <w:t xml:space="preserve"> miners working in Laberinto and elsewhere within the mining corridor are not included in this </w:t>
      </w:r>
      <w:r w:rsidR="00091107" w:rsidRPr="004E053C">
        <w:rPr>
          <w:rFonts w:cstheme="majorHAnsi"/>
          <w:sz w:val="22"/>
          <w:szCs w:val="22"/>
          <w:lang w:val="en-GB"/>
        </w:rPr>
        <w:t>conceptualisation</w:t>
      </w:r>
      <w:r w:rsidRPr="004E053C">
        <w:rPr>
          <w:rFonts w:cstheme="majorHAnsi"/>
          <w:sz w:val="22"/>
          <w:szCs w:val="22"/>
          <w:lang w:val="en-GB"/>
        </w:rPr>
        <w:t xml:space="preserve"> of the </w:t>
      </w:r>
      <w:r w:rsidR="003B5DCB" w:rsidRPr="004E053C">
        <w:rPr>
          <w:rFonts w:cstheme="majorHAnsi"/>
          <w:sz w:val="22"/>
          <w:szCs w:val="22"/>
          <w:lang w:val="en-GB"/>
        </w:rPr>
        <w:t>‘other’</w:t>
      </w:r>
      <w:r w:rsidRPr="004E053C">
        <w:rPr>
          <w:rFonts w:cstheme="majorHAnsi"/>
          <w:sz w:val="22"/>
          <w:szCs w:val="22"/>
          <w:lang w:val="en-GB"/>
        </w:rPr>
        <w:t xml:space="preserve"> miner as they are still workin</w:t>
      </w:r>
      <w:r w:rsidR="00F73C7F" w:rsidRPr="004E053C">
        <w:rPr>
          <w:rFonts w:cstheme="majorHAnsi"/>
          <w:sz w:val="22"/>
          <w:szCs w:val="22"/>
          <w:lang w:val="en-GB"/>
        </w:rPr>
        <w:t>g on land designated for mining</w:t>
      </w:r>
      <w:r w:rsidRPr="004E053C">
        <w:rPr>
          <w:rFonts w:cstheme="majorHAnsi"/>
          <w:sz w:val="22"/>
          <w:szCs w:val="22"/>
          <w:lang w:val="en-GB"/>
        </w:rPr>
        <w:t xml:space="preserve"> and, for the most part, negotiate access to land with </w:t>
      </w:r>
      <w:r w:rsidRPr="004E053C">
        <w:rPr>
          <w:rFonts w:cstheme="majorHAnsi"/>
          <w:i/>
          <w:iCs/>
          <w:sz w:val="22"/>
          <w:szCs w:val="22"/>
          <w:lang w:val="en-GB"/>
        </w:rPr>
        <w:t>concessionarios</w:t>
      </w:r>
      <w:r w:rsidRPr="004E053C">
        <w:rPr>
          <w:rFonts w:cstheme="majorHAnsi"/>
          <w:sz w:val="22"/>
          <w:szCs w:val="22"/>
          <w:lang w:val="en-GB"/>
        </w:rPr>
        <w:t xml:space="preserve"> and </w:t>
      </w:r>
      <w:r w:rsidRPr="004E053C">
        <w:rPr>
          <w:rFonts w:cstheme="majorHAnsi"/>
          <w:i/>
          <w:iCs/>
          <w:sz w:val="22"/>
          <w:szCs w:val="22"/>
          <w:lang w:val="en-GB"/>
        </w:rPr>
        <w:t>duenos</w:t>
      </w:r>
      <w:r w:rsidRPr="004E053C">
        <w:rPr>
          <w:rFonts w:cstheme="majorHAnsi"/>
          <w:sz w:val="22"/>
          <w:szCs w:val="22"/>
          <w:lang w:val="en-GB"/>
        </w:rPr>
        <w:t xml:space="preserve">. While the </w:t>
      </w:r>
      <w:r w:rsidRPr="004E053C">
        <w:rPr>
          <w:rFonts w:cstheme="majorHAnsi"/>
          <w:i/>
          <w:iCs/>
          <w:sz w:val="22"/>
          <w:szCs w:val="22"/>
          <w:lang w:val="en-GB"/>
        </w:rPr>
        <w:t>invaders</w:t>
      </w:r>
      <w:r w:rsidRPr="004E053C">
        <w:rPr>
          <w:rFonts w:cstheme="majorHAnsi"/>
          <w:sz w:val="22"/>
          <w:szCs w:val="22"/>
          <w:lang w:val="en-GB"/>
        </w:rPr>
        <w:t xml:space="preserve"> who encroach on concessions without negotiating access are also regarded in negative terms by all the miners in Laberinto, they </w:t>
      </w:r>
      <w:r w:rsidR="001717DC" w:rsidRPr="004E053C">
        <w:rPr>
          <w:rFonts w:cstheme="majorHAnsi"/>
          <w:sz w:val="22"/>
          <w:szCs w:val="22"/>
          <w:lang w:val="en-GB"/>
        </w:rPr>
        <w:t xml:space="preserve">often </w:t>
      </w:r>
      <w:r w:rsidRPr="004E053C">
        <w:rPr>
          <w:rFonts w:cstheme="majorHAnsi"/>
          <w:sz w:val="22"/>
          <w:szCs w:val="22"/>
          <w:lang w:val="en-GB"/>
        </w:rPr>
        <w:t xml:space="preserve">do not </w:t>
      </w:r>
      <w:r w:rsidR="001717DC" w:rsidRPr="004E053C">
        <w:rPr>
          <w:rFonts w:cstheme="majorHAnsi"/>
          <w:sz w:val="22"/>
          <w:szCs w:val="22"/>
          <w:lang w:val="en-GB"/>
        </w:rPr>
        <w:t xml:space="preserve">explicitly </w:t>
      </w:r>
      <w:r w:rsidRPr="004E053C">
        <w:rPr>
          <w:rFonts w:cstheme="majorHAnsi"/>
          <w:sz w:val="22"/>
          <w:szCs w:val="22"/>
          <w:lang w:val="en-GB"/>
        </w:rPr>
        <w:t>form part o</w:t>
      </w:r>
      <w:r w:rsidR="001717DC" w:rsidRPr="004E053C">
        <w:rPr>
          <w:rFonts w:cstheme="majorHAnsi"/>
          <w:sz w:val="22"/>
          <w:szCs w:val="22"/>
          <w:lang w:val="en-GB"/>
        </w:rPr>
        <w:t xml:space="preserve">f this </w:t>
      </w:r>
      <w:r w:rsidRPr="004E053C">
        <w:rPr>
          <w:rFonts w:cstheme="majorHAnsi"/>
          <w:sz w:val="22"/>
          <w:szCs w:val="22"/>
          <w:lang w:val="en-GB"/>
        </w:rPr>
        <w:t>construct</w:t>
      </w:r>
      <w:r w:rsidR="003B5DCB" w:rsidRPr="004E053C">
        <w:rPr>
          <w:rFonts w:cstheme="majorHAnsi"/>
          <w:sz w:val="22"/>
          <w:szCs w:val="22"/>
          <w:lang w:val="en-GB"/>
        </w:rPr>
        <w:t>ion of the ‘other’</w:t>
      </w:r>
      <w:r w:rsidRPr="004E053C">
        <w:rPr>
          <w:rFonts w:cstheme="majorHAnsi"/>
          <w:sz w:val="22"/>
          <w:szCs w:val="22"/>
          <w:lang w:val="en-GB"/>
        </w:rPr>
        <w:t xml:space="preserve"> as it is based primarily on a spatial distinction.</w:t>
      </w:r>
      <w:r w:rsidR="00F73C7F" w:rsidRPr="004E053C">
        <w:rPr>
          <w:rFonts w:cstheme="majorHAnsi"/>
          <w:sz w:val="22"/>
          <w:szCs w:val="22"/>
          <w:lang w:val="en-GB"/>
        </w:rPr>
        <w:t xml:space="preserve"> </w:t>
      </w:r>
      <w:r w:rsidR="0019375F" w:rsidRPr="004E053C">
        <w:rPr>
          <w:rFonts w:cstheme="majorHAnsi"/>
          <w:sz w:val="22"/>
          <w:szCs w:val="22"/>
          <w:lang w:val="en-GB"/>
        </w:rPr>
        <w:t xml:space="preserve">This section will </w:t>
      </w:r>
      <w:r w:rsidR="00D3785B" w:rsidRPr="004E053C">
        <w:rPr>
          <w:rFonts w:cstheme="majorHAnsi"/>
          <w:sz w:val="22"/>
          <w:szCs w:val="22"/>
          <w:lang w:val="en-GB"/>
        </w:rPr>
        <w:t xml:space="preserve">show how the respondents </w:t>
      </w:r>
      <w:r w:rsidR="0019375F" w:rsidRPr="004E053C">
        <w:rPr>
          <w:rFonts w:cstheme="majorHAnsi"/>
          <w:sz w:val="22"/>
          <w:szCs w:val="22"/>
          <w:lang w:val="en-GB"/>
        </w:rPr>
        <w:t>position them</w:t>
      </w:r>
      <w:r w:rsidR="003B5DCB" w:rsidRPr="004E053C">
        <w:rPr>
          <w:rFonts w:cstheme="majorHAnsi"/>
          <w:sz w:val="22"/>
          <w:szCs w:val="22"/>
          <w:lang w:val="en-GB"/>
        </w:rPr>
        <w:t>selves against a more criminal ‘other’</w:t>
      </w:r>
      <w:r w:rsidR="0019375F" w:rsidRPr="004E053C">
        <w:rPr>
          <w:rFonts w:cstheme="majorHAnsi"/>
          <w:sz w:val="22"/>
          <w:szCs w:val="22"/>
          <w:lang w:val="en-GB"/>
        </w:rPr>
        <w:t xml:space="preserve"> in their</w:t>
      </w:r>
      <w:r w:rsidR="0019375F" w:rsidRPr="004E053C">
        <w:rPr>
          <w:rFonts w:eastAsia="Times New Roman" w:cstheme="majorHAnsi"/>
          <w:sz w:val="22"/>
          <w:szCs w:val="22"/>
          <w:lang w:val="en-GB"/>
        </w:rPr>
        <w:t xml:space="preserve"> discussions about</w:t>
      </w:r>
      <w:r w:rsidR="00F73C7F" w:rsidRPr="004E053C">
        <w:rPr>
          <w:rFonts w:eastAsia="Times New Roman" w:cstheme="majorHAnsi"/>
          <w:sz w:val="22"/>
          <w:szCs w:val="22"/>
          <w:lang w:val="en-GB"/>
        </w:rPr>
        <w:t xml:space="preserve"> </w:t>
      </w:r>
      <w:r w:rsidR="00F73C7F" w:rsidRPr="004E053C">
        <w:rPr>
          <w:rFonts w:eastAsia="Times New Roman" w:cstheme="majorHAnsi"/>
          <w:sz w:val="22"/>
          <w:szCs w:val="22"/>
          <w:lang w:val="en-GB"/>
        </w:rPr>
        <w:lastRenderedPageBreak/>
        <w:t>illegality</w:t>
      </w:r>
      <w:r w:rsidR="0019375F" w:rsidRPr="004E053C">
        <w:rPr>
          <w:rFonts w:eastAsia="Times New Roman" w:cstheme="majorHAnsi"/>
          <w:sz w:val="22"/>
          <w:szCs w:val="22"/>
          <w:lang w:val="en-GB"/>
        </w:rPr>
        <w:t xml:space="preserve"> and how the permanent miners in particular weave conservation and environmental issues into this narrative.</w:t>
      </w:r>
    </w:p>
    <w:p w14:paraId="0B7A4C26" w14:textId="77777777" w:rsidR="0019375F" w:rsidRPr="004E053C" w:rsidRDefault="0019375F" w:rsidP="004E053C">
      <w:pPr>
        <w:spacing w:line="360" w:lineRule="auto"/>
        <w:jc w:val="both"/>
        <w:rPr>
          <w:rFonts w:cstheme="majorHAnsi"/>
          <w:color w:val="2F5496" w:themeColor="accent5" w:themeShade="BF"/>
          <w:sz w:val="22"/>
          <w:szCs w:val="22"/>
          <w:lang w:val="en-GB"/>
        </w:rPr>
      </w:pPr>
    </w:p>
    <w:p w14:paraId="39BFF0FF" w14:textId="5B63D0FC" w:rsidR="00585600"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.5</w:t>
      </w:r>
      <w:r w:rsidR="0019375F" w:rsidRPr="004E053C">
        <w:rPr>
          <w:rFonts w:asciiTheme="minorHAnsi" w:hAnsiTheme="minorHAnsi"/>
        </w:rPr>
        <w:t>.1.</w:t>
      </w:r>
      <w:r w:rsidR="00F73C7F" w:rsidRPr="004E053C">
        <w:rPr>
          <w:rFonts w:asciiTheme="minorHAnsi" w:hAnsiTheme="minorHAnsi"/>
        </w:rPr>
        <w:t xml:space="preserve"> </w:t>
      </w:r>
      <w:r w:rsidR="00067554" w:rsidRPr="004E053C">
        <w:rPr>
          <w:rFonts w:asciiTheme="minorHAnsi" w:hAnsiTheme="minorHAnsi"/>
        </w:rPr>
        <w:t xml:space="preserve">Co-opting </w:t>
      </w:r>
      <w:r w:rsidR="00E85BA7" w:rsidRPr="004E053C">
        <w:rPr>
          <w:rFonts w:asciiTheme="minorHAnsi" w:hAnsiTheme="minorHAnsi"/>
        </w:rPr>
        <w:t>e</w:t>
      </w:r>
      <w:r w:rsidR="003E574E" w:rsidRPr="004E053C">
        <w:rPr>
          <w:rFonts w:asciiTheme="minorHAnsi" w:hAnsiTheme="minorHAnsi"/>
        </w:rPr>
        <w:t>nvironment</w:t>
      </w:r>
      <w:r w:rsidR="00E85BA7" w:rsidRPr="004E053C">
        <w:rPr>
          <w:rFonts w:asciiTheme="minorHAnsi" w:hAnsiTheme="minorHAnsi"/>
        </w:rPr>
        <w:t>al</w:t>
      </w:r>
      <w:r w:rsidR="003E574E" w:rsidRPr="004E053C">
        <w:rPr>
          <w:rFonts w:asciiTheme="minorHAnsi" w:hAnsiTheme="minorHAnsi"/>
        </w:rPr>
        <w:t xml:space="preserve"> </w:t>
      </w:r>
      <w:r w:rsidR="00E85BA7" w:rsidRPr="004E053C">
        <w:rPr>
          <w:rFonts w:asciiTheme="minorHAnsi" w:hAnsiTheme="minorHAnsi"/>
        </w:rPr>
        <w:t>r</w:t>
      </w:r>
      <w:r w:rsidR="00067554" w:rsidRPr="004E053C">
        <w:rPr>
          <w:rFonts w:asciiTheme="minorHAnsi" w:hAnsiTheme="minorHAnsi"/>
        </w:rPr>
        <w:t>hetoric</w:t>
      </w:r>
    </w:p>
    <w:p w14:paraId="383AEDF7" w14:textId="77777777" w:rsidR="0019375F" w:rsidRPr="004E053C" w:rsidRDefault="0019375F" w:rsidP="004E053C">
      <w:pPr>
        <w:spacing w:line="360" w:lineRule="auto"/>
        <w:jc w:val="both"/>
        <w:rPr>
          <w:rFonts w:cstheme="majorHAnsi"/>
          <w:lang w:val="en-GB"/>
        </w:rPr>
      </w:pPr>
    </w:p>
    <w:p w14:paraId="5ACCE9C3" w14:textId="31BF8043" w:rsidR="003E574E" w:rsidRPr="004E053C" w:rsidRDefault="00565C53" w:rsidP="004E053C">
      <w:pPr>
        <w:spacing w:line="360" w:lineRule="auto"/>
        <w:jc w:val="both"/>
        <w:rPr>
          <w:rFonts w:cstheme="majorHAnsi"/>
          <w:sz w:val="22"/>
          <w:szCs w:val="22"/>
          <w:lang w:val="en-GB"/>
        </w:rPr>
      </w:pPr>
      <w:r w:rsidRPr="004E053C">
        <w:rPr>
          <w:rFonts w:cstheme="majorHAnsi"/>
          <w:sz w:val="22"/>
          <w:szCs w:val="22"/>
          <w:lang w:val="en-GB"/>
        </w:rPr>
        <w:t>In Chapter 8</w:t>
      </w:r>
      <w:r w:rsidR="001717DC" w:rsidRPr="004E053C">
        <w:rPr>
          <w:rFonts w:cstheme="majorHAnsi"/>
          <w:sz w:val="22"/>
          <w:szCs w:val="22"/>
          <w:lang w:val="en-GB"/>
        </w:rPr>
        <w:t>, I highlighted how tensions were developing within the translocal community rela</w:t>
      </w:r>
      <w:r w:rsidR="00F73C7F" w:rsidRPr="004E053C">
        <w:rPr>
          <w:rFonts w:cstheme="majorHAnsi"/>
          <w:sz w:val="22"/>
          <w:szCs w:val="22"/>
          <w:lang w:val="en-GB"/>
        </w:rPr>
        <w:t>ted to the environment. T</w:t>
      </w:r>
      <w:r w:rsidR="001717DC" w:rsidRPr="004E053C">
        <w:rPr>
          <w:rFonts w:cstheme="majorHAnsi"/>
          <w:sz w:val="22"/>
          <w:szCs w:val="22"/>
          <w:lang w:val="en-GB"/>
        </w:rPr>
        <w:t xml:space="preserve">he miners and other residents of Laberinto played down the impact ASM activity </w:t>
      </w:r>
      <w:r w:rsidR="00585600" w:rsidRPr="004E053C">
        <w:rPr>
          <w:rFonts w:cstheme="majorHAnsi"/>
          <w:sz w:val="22"/>
          <w:szCs w:val="22"/>
          <w:lang w:val="en-GB"/>
        </w:rPr>
        <w:t xml:space="preserve">and mercury pollution </w:t>
      </w:r>
      <w:r w:rsidR="001717DC" w:rsidRPr="004E053C">
        <w:rPr>
          <w:rFonts w:cstheme="majorHAnsi"/>
          <w:sz w:val="22"/>
          <w:szCs w:val="22"/>
          <w:lang w:val="en-GB"/>
        </w:rPr>
        <w:t>was hav</w:t>
      </w:r>
      <w:r w:rsidR="00F73C7F" w:rsidRPr="004E053C">
        <w:rPr>
          <w:rFonts w:cstheme="majorHAnsi"/>
          <w:sz w:val="22"/>
          <w:szCs w:val="22"/>
          <w:lang w:val="en-GB"/>
        </w:rPr>
        <w:t xml:space="preserve">ing on the environment locally. However, </w:t>
      </w:r>
      <w:r w:rsidR="001717DC" w:rsidRPr="004E053C">
        <w:rPr>
          <w:rFonts w:cstheme="majorHAnsi"/>
          <w:sz w:val="22"/>
          <w:szCs w:val="22"/>
          <w:lang w:val="en-GB"/>
        </w:rPr>
        <w:t xml:space="preserve">they </w:t>
      </w:r>
      <w:r w:rsidR="00F73C7F" w:rsidRPr="004E053C">
        <w:rPr>
          <w:rFonts w:cstheme="majorHAnsi"/>
          <w:sz w:val="22"/>
          <w:szCs w:val="22"/>
          <w:lang w:val="en-GB"/>
        </w:rPr>
        <w:t xml:space="preserve">criticised </w:t>
      </w:r>
      <w:r w:rsidR="00585600" w:rsidRPr="004E053C">
        <w:rPr>
          <w:rFonts w:cstheme="majorHAnsi"/>
          <w:sz w:val="22"/>
          <w:szCs w:val="22"/>
          <w:lang w:val="en-GB"/>
        </w:rPr>
        <w:t>t</w:t>
      </w:r>
      <w:r w:rsidR="00F73C7F" w:rsidRPr="004E053C">
        <w:rPr>
          <w:rFonts w:cstheme="majorHAnsi"/>
          <w:sz w:val="22"/>
          <w:szCs w:val="22"/>
          <w:lang w:val="en-GB"/>
        </w:rPr>
        <w:t>he miners operating in La Pampa</w:t>
      </w:r>
      <w:r w:rsidR="00585600" w:rsidRPr="004E053C">
        <w:rPr>
          <w:rFonts w:cstheme="majorHAnsi"/>
          <w:sz w:val="22"/>
          <w:szCs w:val="22"/>
          <w:lang w:val="en-GB"/>
        </w:rPr>
        <w:t xml:space="preserve"> for higher levels of pollut</w:t>
      </w:r>
      <w:r w:rsidR="00F73C7F" w:rsidRPr="004E053C">
        <w:rPr>
          <w:rFonts w:cstheme="majorHAnsi"/>
          <w:sz w:val="22"/>
          <w:szCs w:val="22"/>
          <w:lang w:val="en-GB"/>
        </w:rPr>
        <w:t>ion and deforestation, and the Government</w:t>
      </w:r>
      <w:r w:rsidR="00585600" w:rsidRPr="004E053C">
        <w:rPr>
          <w:rFonts w:cstheme="majorHAnsi"/>
          <w:sz w:val="22"/>
          <w:szCs w:val="22"/>
          <w:lang w:val="en-GB"/>
        </w:rPr>
        <w:t xml:space="preserve"> for not doing enough to prevent this from happening. In general, it seems that the miners in Laberinto co-opt</w:t>
      </w:r>
      <w:r w:rsidR="003E574E" w:rsidRPr="004E053C">
        <w:rPr>
          <w:rFonts w:cstheme="majorHAnsi"/>
          <w:sz w:val="22"/>
          <w:szCs w:val="22"/>
          <w:lang w:val="en-GB"/>
        </w:rPr>
        <w:t xml:space="preserve"> environmental rhetoric </w:t>
      </w:r>
      <w:r w:rsidR="00585600" w:rsidRPr="004E053C">
        <w:rPr>
          <w:rFonts w:cstheme="majorHAnsi"/>
          <w:sz w:val="22"/>
          <w:szCs w:val="22"/>
          <w:lang w:val="en-GB"/>
        </w:rPr>
        <w:t xml:space="preserve">when it suits their purpose. Primarily, this is done </w:t>
      </w:r>
      <w:r w:rsidR="003E574E" w:rsidRPr="004E053C">
        <w:rPr>
          <w:rFonts w:cstheme="majorHAnsi"/>
          <w:sz w:val="22"/>
          <w:szCs w:val="22"/>
          <w:lang w:val="en-GB"/>
        </w:rPr>
        <w:t>to distance themselves from the illeg</w:t>
      </w:r>
      <w:r w:rsidR="00585600" w:rsidRPr="004E053C">
        <w:rPr>
          <w:rFonts w:cstheme="majorHAnsi"/>
          <w:sz w:val="22"/>
          <w:szCs w:val="22"/>
          <w:lang w:val="en-GB"/>
        </w:rPr>
        <w:t>al miners operating in La Pampa. As th</w:t>
      </w:r>
      <w:r w:rsidR="003E574E" w:rsidRPr="004E053C">
        <w:rPr>
          <w:rFonts w:cstheme="majorHAnsi"/>
          <w:sz w:val="22"/>
          <w:szCs w:val="22"/>
          <w:lang w:val="en-GB"/>
        </w:rPr>
        <w:t>e</w:t>
      </w:r>
      <w:r w:rsidR="003E574E" w:rsidRPr="004E053C">
        <w:rPr>
          <w:rFonts w:eastAsia="Times New Roman" w:cstheme="majorHAnsi"/>
          <w:sz w:val="22"/>
          <w:szCs w:val="22"/>
          <w:lang w:val="en-GB"/>
        </w:rPr>
        <w:t xml:space="preserve"> environment has taken on a central importance in relation to notions of </w:t>
      </w:r>
      <w:r w:rsidR="00585600" w:rsidRPr="004E053C">
        <w:rPr>
          <w:rFonts w:eastAsia="Times New Roman" w:cstheme="majorHAnsi"/>
          <w:sz w:val="22"/>
          <w:szCs w:val="22"/>
          <w:lang w:val="en-GB"/>
        </w:rPr>
        <w:t xml:space="preserve">criminality and illegality, </w:t>
      </w:r>
      <w:r w:rsidR="003E574E" w:rsidRPr="004E053C">
        <w:rPr>
          <w:rFonts w:eastAsia="Times New Roman" w:cstheme="majorHAnsi"/>
          <w:sz w:val="22"/>
          <w:szCs w:val="22"/>
          <w:lang w:val="en-GB"/>
        </w:rPr>
        <w:t xml:space="preserve">the miners focus on it when </w:t>
      </w:r>
      <w:r w:rsidR="003E574E" w:rsidRPr="004E053C">
        <w:rPr>
          <w:rFonts w:cstheme="majorHAnsi"/>
          <w:sz w:val="22"/>
          <w:szCs w:val="22"/>
          <w:lang w:val="en-GB"/>
        </w:rPr>
        <w:t>blaming La Pampa for the current politica</w:t>
      </w:r>
      <w:r w:rsidR="00585600" w:rsidRPr="004E053C">
        <w:rPr>
          <w:rFonts w:cstheme="majorHAnsi"/>
          <w:sz w:val="22"/>
          <w:szCs w:val="22"/>
          <w:lang w:val="en-GB"/>
        </w:rPr>
        <w:t>l situation, claiming that</w:t>
      </w:r>
      <w:r w:rsidR="003E574E" w:rsidRPr="004E053C">
        <w:rPr>
          <w:rFonts w:cstheme="majorHAnsi"/>
          <w:sz w:val="22"/>
          <w:szCs w:val="22"/>
          <w:lang w:val="en-GB"/>
        </w:rPr>
        <w:t xml:space="preserve"> they h</w:t>
      </w:r>
      <w:r w:rsidR="00F73C7F" w:rsidRPr="004E053C">
        <w:rPr>
          <w:rFonts w:cstheme="majorHAnsi"/>
          <w:sz w:val="22"/>
          <w:szCs w:val="22"/>
          <w:lang w:val="en-GB"/>
        </w:rPr>
        <w:t>ave drawn the attention of the G</w:t>
      </w:r>
      <w:r w:rsidR="003E574E" w:rsidRPr="004E053C">
        <w:rPr>
          <w:rFonts w:cstheme="majorHAnsi"/>
          <w:sz w:val="22"/>
          <w:szCs w:val="22"/>
          <w:lang w:val="en-GB"/>
        </w:rPr>
        <w:t>overnment and NGOs with their destructive livelihood. This is similar to observations made in other areas of the Amazon, where newly arrived migrants have employed env</w:t>
      </w:r>
      <w:r w:rsidR="00475547" w:rsidRPr="004E053C">
        <w:rPr>
          <w:rFonts w:cstheme="majorHAnsi"/>
          <w:sz w:val="22"/>
          <w:szCs w:val="22"/>
          <w:lang w:val="en-GB"/>
        </w:rPr>
        <w:t>ironmental concepts to legitimis</w:t>
      </w:r>
      <w:r w:rsidR="003E574E" w:rsidRPr="004E053C">
        <w:rPr>
          <w:rFonts w:cstheme="majorHAnsi"/>
          <w:sz w:val="22"/>
          <w:szCs w:val="22"/>
          <w:lang w:val="en-GB"/>
        </w:rPr>
        <w:t>e their o</w:t>
      </w:r>
      <w:r w:rsidR="00475547" w:rsidRPr="004E053C">
        <w:rPr>
          <w:rFonts w:cstheme="majorHAnsi"/>
          <w:sz w:val="22"/>
          <w:szCs w:val="22"/>
          <w:lang w:val="en-GB"/>
        </w:rPr>
        <w:t>wn livelihoods while delegitimis</w:t>
      </w:r>
      <w:r w:rsidR="003E574E" w:rsidRPr="004E053C">
        <w:rPr>
          <w:rFonts w:cstheme="majorHAnsi"/>
          <w:sz w:val="22"/>
          <w:szCs w:val="22"/>
          <w:lang w:val="en-GB"/>
        </w:rPr>
        <w:t xml:space="preserve">ing other actors </w:t>
      </w:r>
      <w:r w:rsidR="00B06217" w:rsidRPr="004E053C">
        <w:rPr>
          <w:rFonts w:cstheme="majorHAnsi"/>
          <w:sz w:val="22"/>
          <w:szCs w:val="22"/>
          <w:lang w:val="en-GB"/>
        </w:rPr>
        <w:fldChar w:fldCharType="begin" w:fldLock="1"/>
      </w:r>
      <w:r w:rsidR="00B06217" w:rsidRPr="004E053C">
        <w:rPr>
          <w:rFonts w:cstheme="majorHAnsi"/>
          <w:sz w:val="22"/>
          <w:szCs w:val="22"/>
          <w:lang w:val="en-GB"/>
        </w:rPr>
        <w:instrText>ADDIN CSL_CITATION {"citationItems":[{"id":"ITEM-1","itemData":{"author":[{"dropping-particle":"","family":"Campbell","given":"Jeremy M","non-dropping-particle":"","parse-names":false,"suffix":""}],"id":"ITEM-1","issued":{"date-parts":[["2015"]]},"number-of-pages":"231","publisher":"University of Washington Press","publisher-place":"Seattle, WA","title":"Conjuring Property: Speculation and Environmental Futures in the Brazilian Amazon","type":"book"},"uris":["http://www.mendeley.com/documents/?uuid=4a505b05-99c8-425c-a771-8e87362968d3"]}],"mendeley":{"formattedCitation":"(Campbell, 2015)","plainTextFormattedCitation":"(Campbell, 2015)","previouslyFormattedCitation":"(Campbell, 2015)"},"properties":{"noteIndex":0},"schema":"https://github.com/citation-style-language/schema/raw/master/csl-citation.json"}</w:instrText>
      </w:r>
      <w:r w:rsidR="00B06217" w:rsidRPr="004E053C">
        <w:rPr>
          <w:rFonts w:cstheme="majorHAnsi"/>
          <w:sz w:val="22"/>
          <w:szCs w:val="22"/>
          <w:lang w:val="en-GB"/>
        </w:rPr>
        <w:fldChar w:fldCharType="separate"/>
      </w:r>
      <w:r w:rsidR="00B06217" w:rsidRPr="004E053C">
        <w:rPr>
          <w:rFonts w:cstheme="majorHAnsi"/>
          <w:noProof/>
          <w:sz w:val="22"/>
          <w:szCs w:val="22"/>
          <w:lang w:val="en-GB"/>
        </w:rPr>
        <w:t>(Campbell, 2015)</w:t>
      </w:r>
      <w:r w:rsidR="00B06217" w:rsidRPr="004E053C">
        <w:rPr>
          <w:rFonts w:cstheme="majorHAnsi"/>
          <w:sz w:val="22"/>
          <w:szCs w:val="22"/>
          <w:lang w:val="en-GB"/>
        </w:rPr>
        <w:fldChar w:fldCharType="end"/>
      </w:r>
      <w:r w:rsidR="003E574E" w:rsidRPr="004E053C">
        <w:rPr>
          <w:rFonts w:cstheme="majorHAnsi"/>
          <w:sz w:val="22"/>
          <w:szCs w:val="22"/>
          <w:lang w:val="en-GB"/>
        </w:rPr>
        <w:t xml:space="preserve"> and can be thought of as a way of constructing an </w:t>
      </w:r>
      <w:r w:rsidR="003B5DCB" w:rsidRPr="004E053C">
        <w:rPr>
          <w:rFonts w:cstheme="majorHAnsi"/>
          <w:sz w:val="22"/>
          <w:szCs w:val="22"/>
          <w:lang w:val="en-GB"/>
        </w:rPr>
        <w:t>‘other’</w:t>
      </w:r>
      <w:r w:rsidR="003E574E" w:rsidRPr="004E053C">
        <w:rPr>
          <w:rFonts w:cstheme="majorHAnsi"/>
          <w:sz w:val="22"/>
          <w:szCs w:val="22"/>
          <w:lang w:val="en-GB"/>
        </w:rPr>
        <w:t xml:space="preserve"> in order to protect one’s own in-group identity </w:t>
      </w:r>
      <w:r w:rsidR="00B06217"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2011)","manualFormatting":"(Cross &amp; Hernández, 2011)","plainTextFormattedCitation":"(J. C. Cross &amp; Hernández, 2011)","previouslyFormattedCitation":"(J. C. Cross &amp; Hernández, 2011)"},"properties":{"noteIndex":0},"schema":"https://github.com/citation-style-language/schema/raw/master/csl-citation.json"}</w:instrText>
      </w:r>
      <w:r w:rsidR="00B06217" w:rsidRPr="004E053C">
        <w:rPr>
          <w:rFonts w:cstheme="majorHAnsi"/>
          <w:sz w:val="22"/>
          <w:szCs w:val="22"/>
          <w:lang w:val="en-GB"/>
        </w:rPr>
        <w:fldChar w:fldCharType="separate"/>
      </w:r>
      <w:r w:rsidR="00F73C7F" w:rsidRPr="004E053C">
        <w:rPr>
          <w:rFonts w:cstheme="majorHAnsi"/>
          <w:noProof/>
          <w:sz w:val="22"/>
          <w:szCs w:val="22"/>
          <w:lang w:val="en-GB"/>
        </w:rPr>
        <w:t>(</w:t>
      </w:r>
      <w:r w:rsidR="00B06217" w:rsidRPr="004E053C">
        <w:rPr>
          <w:rFonts w:cstheme="majorHAnsi"/>
          <w:noProof/>
          <w:sz w:val="22"/>
          <w:szCs w:val="22"/>
          <w:lang w:val="en-GB"/>
        </w:rPr>
        <w:t>Cross &amp; Hernández, 2011)</w:t>
      </w:r>
      <w:r w:rsidR="00B06217" w:rsidRPr="004E053C">
        <w:rPr>
          <w:rFonts w:cstheme="majorHAnsi"/>
          <w:sz w:val="22"/>
          <w:szCs w:val="22"/>
          <w:lang w:val="en-GB"/>
        </w:rPr>
        <w:fldChar w:fldCharType="end"/>
      </w:r>
      <w:r w:rsidR="003E574E" w:rsidRPr="004E053C">
        <w:rPr>
          <w:rFonts w:cstheme="majorHAnsi"/>
          <w:sz w:val="22"/>
          <w:szCs w:val="22"/>
          <w:lang w:val="en-GB"/>
        </w:rPr>
        <w:t xml:space="preserve">. </w:t>
      </w:r>
    </w:p>
    <w:p w14:paraId="0230CF23" w14:textId="77777777" w:rsidR="003E574E" w:rsidRPr="004E053C" w:rsidRDefault="003E574E" w:rsidP="004E053C">
      <w:pPr>
        <w:spacing w:line="360" w:lineRule="auto"/>
        <w:jc w:val="both"/>
        <w:rPr>
          <w:rFonts w:cstheme="majorHAnsi"/>
          <w:sz w:val="22"/>
          <w:szCs w:val="22"/>
          <w:lang w:val="en-GB"/>
        </w:rPr>
      </w:pPr>
    </w:p>
    <w:p w14:paraId="25871768" w14:textId="05FE9BD1" w:rsidR="003E574E" w:rsidRPr="004E053C" w:rsidRDefault="00565C53" w:rsidP="004E053C">
      <w:pPr>
        <w:spacing w:line="360" w:lineRule="auto"/>
        <w:jc w:val="both"/>
        <w:rPr>
          <w:rFonts w:eastAsia="Times New Roman" w:cstheme="majorHAnsi"/>
          <w:sz w:val="22"/>
          <w:szCs w:val="22"/>
          <w:lang w:val="en-GB"/>
        </w:rPr>
      </w:pPr>
      <w:r w:rsidRPr="004E053C">
        <w:rPr>
          <w:rFonts w:cstheme="majorHAnsi"/>
          <w:sz w:val="22"/>
          <w:szCs w:val="22"/>
          <w:lang w:val="en-GB"/>
        </w:rPr>
        <w:t>In chapter 8</w:t>
      </w:r>
      <w:r w:rsidR="003E574E" w:rsidRPr="004E053C">
        <w:rPr>
          <w:rFonts w:cstheme="majorHAnsi"/>
          <w:sz w:val="22"/>
          <w:szCs w:val="22"/>
          <w:lang w:val="en-GB"/>
        </w:rPr>
        <w:t xml:space="preserve"> it was shown that the mining in La Pampa is deemed to be more destructive than that in Laberinto</w:t>
      </w:r>
      <w:r w:rsidR="003E574E" w:rsidRPr="004E053C">
        <w:rPr>
          <w:rFonts w:eastAsia="Times New Roman" w:cstheme="majorHAnsi"/>
          <w:sz w:val="22"/>
          <w:szCs w:val="22"/>
          <w:lang w:val="en-GB"/>
        </w:rPr>
        <w:t>. This is not to say that ASM i</w:t>
      </w:r>
      <w:r w:rsidR="00F73C7F" w:rsidRPr="004E053C">
        <w:rPr>
          <w:rFonts w:eastAsia="Times New Roman" w:cstheme="majorHAnsi"/>
          <w:sz w:val="22"/>
          <w:szCs w:val="22"/>
          <w:lang w:val="en-GB"/>
        </w:rPr>
        <w:t>n Laberinto is not destructive. A</w:t>
      </w:r>
      <w:r w:rsidR="003E574E" w:rsidRPr="004E053C">
        <w:rPr>
          <w:rFonts w:eastAsia="Times New Roman" w:cstheme="majorHAnsi"/>
          <w:sz w:val="22"/>
          <w:szCs w:val="22"/>
          <w:lang w:val="en-GB"/>
        </w:rPr>
        <w:t xml:space="preserve"> representative from the </w:t>
      </w:r>
      <w:r w:rsidR="005B3CB8" w:rsidRPr="004E053C">
        <w:rPr>
          <w:rFonts w:eastAsia="Times New Roman" w:cstheme="majorHAnsi"/>
          <w:sz w:val="22"/>
          <w:szCs w:val="22"/>
          <w:lang w:val="en-GB"/>
        </w:rPr>
        <w:t>MINEM</w:t>
      </w:r>
      <w:r w:rsidR="00F73C7F" w:rsidRPr="004E053C">
        <w:rPr>
          <w:rFonts w:eastAsia="Times New Roman" w:cstheme="majorHAnsi"/>
          <w:sz w:val="22"/>
          <w:szCs w:val="22"/>
          <w:lang w:val="en-GB"/>
        </w:rPr>
        <w:t xml:space="preserve"> </w:t>
      </w:r>
      <w:r w:rsidR="003E574E" w:rsidRPr="004E053C">
        <w:rPr>
          <w:rFonts w:eastAsia="Times New Roman" w:cstheme="majorHAnsi"/>
          <w:sz w:val="22"/>
          <w:szCs w:val="22"/>
          <w:lang w:val="en-GB"/>
        </w:rPr>
        <w:t xml:space="preserve">clearly stated in interview that the miners in Laberinto had not wanted to adopt new, cleaner methods of cleaning gold due to its relative expense. Despite this, the relatively higher destruction in La Pampa </w:t>
      </w:r>
      <w:r w:rsidR="003E574E" w:rsidRPr="004E053C">
        <w:rPr>
          <w:rFonts w:cstheme="majorHAnsi"/>
          <w:sz w:val="22"/>
          <w:szCs w:val="22"/>
          <w:lang w:val="en-GB"/>
        </w:rPr>
        <w:t>translates into a general na</w:t>
      </w:r>
      <w:r w:rsidR="00C21441" w:rsidRPr="004E053C">
        <w:rPr>
          <w:rFonts w:cstheme="majorHAnsi"/>
          <w:sz w:val="22"/>
          <w:szCs w:val="22"/>
          <w:lang w:val="en-GB"/>
        </w:rPr>
        <w:t>rrative adopted by the permanent</w:t>
      </w:r>
      <w:r w:rsidR="003E574E" w:rsidRPr="004E053C">
        <w:rPr>
          <w:rFonts w:cstheme="majorHAnsi"/>
          <w:sz w:val="22"/>
          <w:szCs w:val="22"/>
          <w:lang w:val="en-GB"/>
        </w:rPr>
        <w:t xml:space="preserve"> miners</w:t>
      </w:r>
      <w:r w:rsidR="00F73C7F" w:rsidRPr="004E053C">
        <w:rPr>
          <w:rFonts w:cstheme="majorHAnsi"/>
          <w:sz w:val="22"/>
          <w:szCs w:val="22"/>
          <w:lang w:val="en-GB"/>
        </w:rPr>
        <w:t>,</w:t>
      </w:r>
      <w:r w:rsidR="003E574E" w:rsidRPr="004E053C">
        <w:rPr>
          <w:rFonts w:cstheme="majorHAnsi"/>
          <w:sz w:val="22"/>
          <w:szCs w:val="22"/>
          <w:lang w:val="en-GB"/>
        </w:rPr>
        <w:t xml:space="preserve"> in which they care more about the en</w:t>
      </w:r>
      <w:r w:rsidR="00F73C7F" w:rsidRPr="004E053C">
        <w:rPr>
          <w:rFonts w:cstheme="majorHAnsi"/>
          <w:sz w:val="22"/>
          <w:szCs w:val="22"/>
          <w:lang w:val="en-GB"/>
        </w:rPr>
        <w:t>vironment than the more recent ‘invaders’</w:t>
      </w:r>
      <w:r w:rsidR="003E574E" w:rsidRPr="004E053C">
        <w:rPr>
          <w:rFonts w:cstheme="majorHAnsi"/>
          <w:sz w:val="22"/>
          <w:szCs w:val="22"/>
          <w:lang w:val="en-GB"/>
        </w:rPr>
        <w:t xml:space="preserve"> in La Pampa, claiming they have no respect for the earth and didn’t care about contamination or defo</w:t>
      </w:r>
      <w:r w:rsidR="00114C03" w:rsidRPr="004E053C">
        <w:rPr>
          <w:rFonts w:cstheme="majorHAnsi"/>
          <w:sz w:val="22"/>
          <w:szCs w:val="22"/>
          <w:lang w:val="en-GB"/>
        </w:rPr>
        <w:t>restation. This is well summaris</w:t>
      </w:r>
      <w:r w:rsidR="003E574E" w:rsidRPr="004E053C">
        <w:rPr>
          <w:rFonts w:cstheme="majorHAnsi"/>
          <w:sz w:val="22"/>
          <w:szCs w:val="22"/>
          <w:lang w:val="en-GB"/>
        </w:rPr>
        <w:t xml:space="preserve">ed in the following quote from </w:t>
      </w:r>
      <w:r w:rsidR="00EA7F80" w:rsidRPr="004E053C">
        <w:rPr>
          <w:rFonts w:cstheme="majorHAnsi"/>
          <w:sz w:val="22"/>
          <w:szCs w:val="22"/>
          <w:lang w:val="en-GB"/>
        </w:rPr>
        <w:t>Benito</w:t>
      </w:r>
      <w:r w:rsidR="003E574E" w:rsidRPr="004E053C">
        <w:rPr>
          <w:rFonts w:cstheme="majorHAnsi"/>
          <w:sz w:val="22"/>
          <w:szCs w:val="22"/>
          <w:lang w:val="en-GB"/>
        </w:rPr>
        <w:t xml:space="preserve">, a </w:t>
      </w:r>
      <w:r w:rsidR="00C21441" w:rsidRPr="004E053C">
        <w:rPr>
          <w:rFonts w:cstheme="majorHAnsi"/>
          <w:sz w:val="22"/>
          <w:szCs w:val="22"/>
          <w:lang w:val="en-GB"/>
        </w:rPr>
        <w:t>permanent</w:t>
      </w:r>
      <w:r w:rsidR="003E574E" w:rsidRPr="004E053C">
        <w:rPr>
          <w:rFonts w:cstheme="majorHAnsi"/>
          <w:sz w:val="22"/>
          <w:szCs w:val="22"/>
          <w:lang w:val="en-GB"/>
        </w:rPr>
        <w:t xml:space="preserve"> miner in Laberinto:</w:t>
      </w:r>
    </w:p>
    <w:p w14:paraId="4A99B245" w14:textId="77777777" w:rsidR="003E574E" w:rsidRPr="004E053C" w:rsidRDefault="003E574E" w:rsidP="004E053C">
      <w:pPr>
        <w:spacing w:line="360" w:lineRule="auto"/>
        <w:jc w:val="both"/>
        <w:rPr>
          <w:rFonts w:cstheme="majorHAnsi"/>
          <w:sz w:val="22"/>
          <w:szCs w:val="22"/>
          <w:lang w:val="en-GB"/>
        </w:rPr>
      </w:pPr>
    </w:p>
    <w:p w14:paraId="0558E879" w14:textId="28D750F2" w:rsidR="003E574E" w:rsidRPr="004E053C" w:rsidRDefault="00F73C7F" w:rsidP="004E053C">
      <w:pPr>
        <w:ind w:left="720"/>
        <w:jc w:val="both"/>
        <w:rPr>
          <w:rFonts w:cstheme="majorHAnsi"/>
          <w:sz w:val="22"/>
          <w:szCs w:val="22"/>
          <w:lang w:val="en-GB"/>
        </w:rPr>
      </w:pPr>
      <w:r w:rsidRPr="004E053C">
        <w:rPr>
          <w:rFonts w:cstheme="majorHAnsi"/>
          <w:i/>
          <w:sz w:val="22"/>
          <w:szCs w:val="22"/>
          <w:lang w:val="en-GB"/>
        </w:rPr>
        <w:t>‘</w:t>
      </w:r>
      <w:r w:rsidR="003E574E" w:rsidRPr="004E053C">
        <w:rPr>
          <w:rFonts w:cstheme="majorHAnsi"/>
          <w:i/>
          <w:sz w:val="22"/>
          <w:szCs w:val="22"/>
          <w:lang w:val="en-GB"/>
        </w:rPr>
        <w:t>There’s a big di</w:t>
      </w:r>
      <w:r w:rsidR="00585600" w:rsidRPr="004E053C">
        <w:rPr>
          <w:rFonts w:cstheme="majorHAnsi"/>
          <w:i/>
          <w:sz w:val="22"/>
          <w:szCs w:val="22"/>
          <w:lang w:val="en-GB"/>
        </w:rPr>
        <w:t>fference</w:t>
      </w:r>
      <w:r w:rsidR="003E574E" w:rsidRPr="004E053C">
        <w:rPr>
          <w:rFonts w:cstheme="majorHAnsi"/>
          <w:i/>
          <w:sz w:val="22"/>
          <w:szCs w:val="22"/>
          <w:lang w:val="en-GB"/>
        </w:rPr>
        <w:t xml:space="preserve"> between the miners. We want to work with clean gold, but the other guys in La Pampa don’t care about it. They don’t care about the environment...From the road you don’t see anything but just inside the jungle you see all the garbage. They use the same water to drink, wash themselves, work, and this water is contaminated, so probably the owner gets a lot of money but the workers are getting money but also killing themselves (with mercury poisoning). We protect the environment and our land from invaders</w:t>
      </w:r>
      <w:r w:rsidRPr="004E053C">
        <w:rPr>
          <w:rFonts w:cstheme="majorHAnsi"/>
          <w:i/>
          <w:sz w:val="22"/>
          <w:szCs w:val="22"/>
          <w:lang w:val="en-GB"/>
        </w:rPr>
        <w:t xml:space="preserve">’ </w:t>
      </w:r>
      <w:r w:rsidR="003E574E" w:rsidRPr="004E053C">
        <w:rPr>
          <w:rFonts w:cstheme="majorHAnsi"/>
          <w:sz w:val="22"/>
          <w:szCs w:val="22"/>
          <w:lang w:val="en-GB"/>
        </w:rPr>
        <w:t>(</w:t>
      </w:r>
      <w:r w:rsidR="00EA7F80" w:rsidRPr="004E053C">
        <w:rPr>
          <w:rFonts w:cstheme="majorHAnsi"/>
          <w:sz w:val="22"/>
          <w:szCs w:val="22"/>
          <w:lang w:val="en-GB"/>
        </w:rPr>
        <w:t>Benito</w:t>
      </w:r>
      <w:r w:rsidR="003E574E" w:rsidRPr="004E053C">
        <w:rPr>
          <w:rFonts w:cstheme="majorHAnsi"/>
          <w:sz w:val="22"/>
          <w:szCs w:val="22"/>
          <w:lang w:val="en-GB"/>
        </w:rPr>
        <w:t>, ASM miner).</w:t>
      </w:r>
    </w:p>
    <w:p w14:paraId="3EDB108C" w14:textId="77777777" w:rsidR="003E574E" w:rsidRPr="004E053C" w:rsidRDefault="003E574E" w:rsidP="004E053C">
      <w:pPr>
        <w:spacing w:line="360" w:lineRule="auto"/>
        <w:jc w:val="both"/>
        <w:rPr>
          <w:rFonts w:cstheme="majorHAnsi"/>
          <w:i/>
          <w:sz w:val="22"/>
          <w:szCs w:val="22"/>
          <w:lang w:val="en-GB"/>
        </w:rPr>
      </w:pPr>
    </w:p>
    <w:p w14:paraId="7516933D" w14:textId="7A53BA7A" w:rsidR="003E574E" w:rsidRPr="004E053C" w:rsidRDefault="003E574E" w:rsidP="004E053C">
      <w:pPr>
        <w:spacing w:line="360" w:lineRule="auto"/>
        <w:jc w:val="both"/>
        <w:rPr>
          <w:rFonts w:cstheme="majorHAnsi"/>
          <w:iCs/>
          <w:sz w:val="22"/>
          <w:szCs w:val="22"/>
          <w:lang w:val="en-GB"/>
        </w:rPr>
      </w:pPr>
      <w:r w:rsidRPr="004E053C">
        <w:rPr>
          <w:rFonts w:cstheme="majorHAnsi"/>
          <w:iCs/>
          <w:sz w:val="22"/>
          <w:szCs w:val="22"/>
          <w:lang w:val="en-GB"/>
        </w:rPr>
        <w:lastRenderedPageBreak/>
        <w:t xml:space="preserve">The quote from </w:t>
      </w:r>
      <w:r w:rsidR="00EA7F80" w:rsidRPr="004E053C">
        <w:rPr>
          <w:rFonts w:cstheme="majorHAnsi"/>
          <w:iCs/>
          <w:sz w:val="22"/>
          <w:szCs w:val="22"/>
          <w:lang w:val="en-GB"/>
        </w:rPr>
        <w:t>Benito</w:t>
      </w:r>
      <w:r w:rsidRPr="004E053C">
        <w:rPr>
          <w:rFonts w:cstheme="majorHAnsi"/>
          <w:iCs/>
          <w:sz w:val="22"/>
          <w:szCs w:val="22"/>
          <w:lang w:val="en-GB"/>
        </w:rPr>
        <w:t xml:space="preserve"> is particularly alar</w:t>
      </w:r>
      <w:r w:rsidR="00114C03" w:rsidRPr="004E053C">
        <w:rPr>
          <w:rFonts w:cstheme="majorHAnsi"/>
          <w:iCs/>
          <w:sz w:val="22"/>
          <w:szCs w:val="22"/>
          <w:lang w:val="en-GB"/>
        </w:rPr>
        <w:t>ming because it almost dehumanis</w:t>
      </w:r>
      <w:r w:rsidRPr="004E053C">
        <w:rPr>
          <w:rFonts w:cstheme="majorHAnsi"/>
          <w:iCs/>
          <w:sz w:val="22"/>
          <w:szCs w:val="22"/>
          <w:lang w:val="en-GB"/>
        </w:rPr>
        <w:t>es the miners in La Pampa, suggesting that they don’t care about anything at all, having a</w:t>
      </w:r>
      <w:r w:rsidR="00585600" w:rsidRPr="004E053C">
        <w:rPr>
          <w:rFonts w:cstheme="majorHAnsi"/>
          <w:iCs/>
          <w:sz w:val="22"/>
          <w:szCs w:val="22"/>
          <w:lang w:val="en-GB"/>
        </w:rPr>
        <w:t>s</w:t>
      </w:r>
      <w:r w:rsidRPr="004E053C">
        <w:rPr>
          <w:rFonts w:cstheme="majorHAnsi"/>
          <w:iCs/>
          <w:sz w:val="22"/>
          <w:szCs w:val="22"/>
          <w:lang w:val="en-GB"/>
        </w:rPr>
        <w:t xml:space="preserve"> little regard for their own health as they do for the environment. This was </w:t>
      </w:r>
      <w:r w:rsidRPr="004E053C">
        <w:rPr>
          <w:rFonts w:cstheme="majorHAnsi"/>
          <w:sz w:val="22"/>
          <w:szCs w:val="22"/>
          <w:lang w:val="en-GB"/>
        </w:rPr>
        <w:t>very closely ec</w:t>
      </w:r>
      <w:r w:rsidR="00114C03" w:rsidRPr="004E053C">
        <w:rPr>
          <w:rFonts w:cstheme="majorHAnsi"/>
          <w:sz w:val="22"/>
          <w:szCs w:val="22"/>
          <w:lang w:val="en-GB"/>
        </w:rPr>
        <w:t>hoed by another permanent miner</w:t>
      </w:r>
      <w:r w:rsidRPr="004E053C">
        <w:rPr>
          <w:rFonts w:cstheme="majorHAnsi"/>
          <w:sz w:val="22"/>
          <w:szCs w:val="22"/>
          <w:lang w:val="en-GB"/>
        </w:rPr>
        <w:t xml:space="preserve">, who claimed that the miners in La Pampa only cared about money </w:t>
      </w:r>
      <w:r w:rsidR="003B5DCB" w:rsidRPr="004E053C">
        <w:rPr>
          <w:rFonts w:cstheme="majorHAnsi"/>
          <w:sz w:val="22"/>
          <w:szCs w:val="22"/>
          <w:lang w:val="en-GB"/>
        </w:rPr>
        <w:t>–</w:t>
      </w:r>
      <w:r w:rsidRPr="004E053C">
        <w:rPr>
          <w:rFonts w:cstheme="majorHAnsi"/>
          <w:sz w:val="22"/>
          <w:szCs w:val="22"/>
          <w:lang w:val="en-GB"/>
        </w:rPr>
        <w:t xml:space="preserve"> </w:t>
      </w:r>
      <w:r w:rsidR="003B5DCB" w:rsidRPr="004E053C">
        <w:rPr>
          <w:rFonts w:cstheme="majorHAnsi"/>
          <w:sz w:val="22"/>
          <w:szCs w:val="22"/>
          <w:lang w:val="en-GB"/>
        </w:rPr>
        <w:t>‘</w:t>
      </w:r>
      <w:r w:rsidRPr="004E053C">
        <w:rPr>
          <w:rFonts w:cstheme="majorHAnsi"/>
          <w:i/>
          <w:sz w:val="22"/>
          <w:szCs w:val="22"/>
          <w:lang w:val="en-GB"/>
        </w:rPr>
        <w:t>To them not even human life matters, only the money</w:t>
      </w:r>
      <w:r w:rsidR="003B5DCB" w:rsidRPr="004E053C">
        <w:rPr>
          <w:rFonts w:cstheme="majorHAnsi"/>
          <w:i/>
          <w:sz w:val="22"/>
          <w:szCs w:val="22"/>
          <w:lang w:val="en-GB"/>
        </w:rPr>
        <w:t>’</w:t>
      </w:r>
      <w:r w:rsidR="003B5DCB" w:rsidRPr="004E053C">
        <w:rPr>
          <w:rFonts w:cstheme="majorHAnsi"/>
          <w:sz w:val="22"/>
          <w:szCs w:val="22"/>
          <w:lang w:val="en-GB"/>
        </w:rPr>
        <w:t>’</w:t>
      </w:r>
      <w:r w:rsidRPr="004E053C">
        <w:rPr>
          <w:rFonts w:cstheme="majorHAnsi"/>
          <w:sz w:val="22"/>
          <w:szCs w:val="22"/>
          <w:lang w:val="en-GB"/>
        </w:rPr>
        <w:t xml:space="preserve">. </w:t>
      </w:r>
    </w:p>
    <w:p w14:paraId="7E1B76D4" w14:textId="77777777" w:rsidR="003E574E" w:rsidRPr="004E053C" w:rsidRDefault="003E574E" w:rsidP="004E053C">
      <w:pPr>
        <w:spacing w:line="360" w:lineRule="auto"/>
        <w:jc w:val="both"/>
        <w:rPr>
          <w:rFonts w:cstheme="majorHAnsi"/>
          <w:i/>
          <w:sz w:val="22"/>
          <w:szCs w:val="22"/>
          <w:lang w:val="en-GB"/>
        </w:rPr>
      </w:pPr>
    </w:p>
    <w:p w14:paraId="7EAAA3F7" w14:textId="648A3296" w:rsidR="003E574E" w:rsidRPr="004E053C" w:rsidRDefault="003E574E" w:rsidP="004E053C">
      <w:pPr>
        <w:spacing w:line="360" w:lineRule="auto"/>
        <w:jc w:val="both"/>
        <w:rPr>
          <w:rFonts w:cstheme="majorHAnsi"/>
          <w:iCs/>
          <w:sz w:val="22"/>
          <w:szCs w:val="22"/>
          <w:lang w:val="en-GB"/>
        </w:rPr>
      </w:pPr>
      <w:r w:rsidRPr="004E053C">
        <w:rPr>
          <w:rFonts w:cstheme="majorHAnsi"/>
          <w:iCs/>
          <w:sz w:val="22"/>
          <w:szCs w:val="22"/>
          <w:lang w:val="en-GB"/>
        </w:rPr>
        <w:t xml:space="preserve">One of the key aspects that is constantly discussed by the miners was the method of gold extraction in La Pampa, including the amount of mercury used, the rampant deforestation and the way the earth was cleared. They also claimed that the scale of mining activity was far larger in La Pampa, both in terms of the size and number of machines. There were several assertions that mercury use was also higher in La </w:t>
      </w:r>
      <w:r w:rsidR="00286545" w:rsidRPr="004E053C">
        <w:rPr>
          <w:rFonts w:cstheme="majorHAnsi"/>
          <w:iCs/>
          <w:sz w:val="22"/>
          <w:szCs w:val="22"/>
          <w:lang w:val="en-GB"/>
        </w:rPr>
        <w:t>Pampa, with no evidence</w:t>
      </w:r>
      <w:r w:rsidRPr="004E053C">
        <w:rPr>
          <w:rFonts w:cstheme="majorHAnsi"/>
          <w:iCs/>
          <w:sz w:val="22"/>
          <w:szCs w:val="22"/>
          <w:lang w:val="en-GB"/>
        </w:rPr>
        <w:t xml:space="preserve"> other than the claim that the miners in Laberinto used less mercury as they were more concerned with protecting the environment. </w:t>
      </w:r>
    </w:p>
    <w:p w14:paraId="73612BCB" w14:textId="77777777" w:rsidR="003E574E" w:rsidRPr="004E053C" w:rsidRDefault="003E574E" w:rsidP="004E053C">
      <w:pPr>
        <w:spacing w:line="360" w:lineRule="auto"/>
        <w:jc w:val="both"/>
        <w:rPr>
          <w:rFonts w:eastAsia="Times New Roman" w:cstheme="majorHAnsi"/>
          <w:i/>
          <w:iCs/>
          <w:sz w:val="22"/>
          <w:szCs w:val="22"/>
          <w:lang w:val="en-GB"/>
        </w:rPr>
      </w:pPr>
    </w:p>
    <w:p w14:paraId="71DA0EB1" w14:textId="6D80B6F3"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Oh La Pampa was a beautiful place when there were no people there. It was so beautiful, but if you see it now they have completely destroyed it. There are lots of kilometres without anything and the river is completely brown, and it didn’t use to be like that…Of course we contaminate a bit, but it’s not that big and at least it’s not as bad as La Pampa</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Jorge</w:t>
      </w:r>
      <w:r w:rsidR="003E574E" w:rsidRPr="004E053C">
        <w:rPr>
          <w:rFonts w:eastAsia="Times New Roman" w:cstheme="majorHAnsi"/>
          <w:sz w:val="22"/>
          <w:szCs w:val="22"/>
          <w:lang w:val="en-GB"/>
        </w:rPr>
        <w:t>, ASM miner, Laberinto).</w:t>
      </w:r>
    </w:p>
    <w:p w14:paraId="5572978F" w14:textId="77777777" w:rsidR="003E574E" w:rsidRPr="004E053C" w:rsidRDefault="003E574E" w:rsidP="004E053C">
      <w:pPr>
        <w:spacing w:line="360" w:lineRule="auto"/>
        <w:jc w:val="both"/>
        <w:rPr>
          <w:rFonts w:eastAsia="Times New Roman" w:cstheme="majorHAnsi"/>
          <w:sz w:val="22"/>
          <w:szCs w:val="22"/>
          <w:lang w:val="en-GB"/>
        </w:rPr>
      </w:pPr>
    </w:p>
    <w:p w14:paraId="282D1B26" w14:textId="70BDDEFD" w:rsidR="003E574E" w:rsidRPr="004E053C" w:rsidRDefault="00EA7F80"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Jorge</w:t>
      </w:r>
      <w:r w:rsidR="003E574E" w:rsidRPr="004E053C">
        <w:rPr>
          <w:rFonts w:eastAsia="Times New Roman" w:cstheme="majorHAnsi"/>
          <w:sz w:val="22"/>
          <w:szCs w:val="22"/>
          <w:lang w:val="en-GB"/>
        </w:rPr>
        <w:t>’s quote shows how the description of environment</w:t>
      </w:r>
      <w:r w:rsidR="00286545" w:rsidRPr="004E053C">
        <w:rPr>
          <w:rFonts w:eastAsia="Times New Roman" w:cstheme="majorHAnsi"/>
          <w:sz w:val="22"/>
          <w:szCs w:val="22"/>
          <w:lang w:val="en-GB"/>
        </w:rPr>
        <w:t>al tragedy in La Pampa is</w:t>
      </w:r>
      <w:r w:rsidR="003E574E" w:rsidRPr="004E053C">
        <w:rPr>
          <w:rFonts w:eastAsia="Times New Roman" w:cstheme="majorHAnsi"/>
          <w:sz w:val="22"/>
          <w:szCs w:val="22"/>
          <w:lang w:val="en-GB"/>
        </w:rPr>
        <w:t xml:space="preserve"> used as justification for other environmen</w:t>
      </w:r>
      <w:r w:rsidR="00114C03" w:rsidRPr="004E053C">
        <w:rPr>
          <w:rFonts w:eastAsia="Times New Roman" w:cstheme="majorHAnsi"/>
          <w:sz w:val="22"/>
          <w:szCs w:val="22"/>
          <w:lang w:val="en-GB"/>
        </w:rPr>
        <w:t>tally damaging practices and is</w:t>
      </w:r>
      <w:r w:rsidR="003E574E" w:rsidRPr="004E053C">
        <w:rPr>
          <w:rFonts w:eastAsia="Times New Roman" w:cstheme="majorHAnsi"/>
          <w:sz w:val="22"/>
          <w:szCs w:val="22"/>
          <w:lang w:val="en-GB"/>
        </w:rPr>
        <w:t xml:space="preserve"> a perfect example of normalising behaviour by comparing it to something which is socially accepted as being relatively more immoral </w:t>
      </w:r>
      <w:r w:rsidR="00B06217"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2011)","manualFormatting":"(Cross &amp; Hernández, 2011)","plainTextFormattedCitation":"(J. C. Cross &amp; Hernández, 2011)","previouslyFormattedCitation":"(J. C. Cross &amp; Hernández, 2011)"},"properties":{"noteIndex":0},"schema":"https://github.com/citation-style-language/schema/raw/master/csl-citation.json"}</w:instrText>
      </w:r>
      <w:r w:rsidR="00B06217" w:rsidRPr="004E053C">
        <w:rPr>
          <w:rFonts w:eastAsia="Times New Roman" w:cstheme="majorHAnsi"/>
          <w:sz w:val="22"/>
          <w:szCs w:val="22"/>
          <w:lang w:val="en-GB"/>
        </w:rPr>
        <w:fldChar w:fldCharType="separate"/>
      </w:r>
      <w:r w:rsidR="00114C03" w:rsidRPr="004E053C">
        <w:rPr>
          <w:rFonts w:eastAsia="Times New Roman" w:cstheme="majorHAnsi"/>
          <w:noProof/>
          <w:sz w:val="22"/>
          <w:szCs w:val="22"/>
          <w:lang w:val="en-GB"/>
        </w:rPr>
        <w:t>(</w:t>
      </w:r>
      <w:r w:rsidR="00B06217" w:rsidRPr="004E053C">
        <w:rPr>
          <w:rFonts w:eastAsia="Times New Roman" w:cstheme="majorHAnsi"/>
          <w:noProof/>
          <w:sz w:val="22"/>
          <w:szCs w:val="22"/>
          <w:lang w:val="en-GB"/>
        </w:rPr>
        <w:t>Cross &amp; Hernández, 2011)</w:t>
      </w:r>
      <w:r w:rsidR="00B06217" w:rsidRPr="004E053C">
        <w:rPr>
          <w:rFonts w:eastAsia="Times New Roman" w:cstheme="majorHAnsi"/>
          <w:sz w:val="22"/>
          <w:szCs w:val="22"/>
          <w:lang w:val="en-GB"/>
        </w:rPr>
        <w:fldChar w:fldCharType="end"/>
      </w:r>
      <w:r w:rsidR="00286545" w:rsidRPr="004E053C">
        <w:rPr>
          <w:rFonts w:eastAsia="Times New Roman" w:cstheme="majorHAnsi"/>
          <w:sz w:val="22"/>
          <w:szCs w:val="22"/>
          <w:lang w:val="en-GB"/>
        </w:rPr>
        <w:t xml:space="preserve">. </w:t>
      </w:r>
    </w:p>
    <w:p w14:paraId="65773E3E" w14:textId="77777777" w:rsidR="003E574E" w:rsidRPr="004E053C" w:rsidRDefault="003E574E" w:rsidP="004E053C">
      <w:pPr>
        <w:spacing w:line="360" w:lineRule="auto"/>
        <w:jc w:val="both"/>
        <w:rPr>
          <w:rFonts w:eastAsia="Times New Roman" w:cstheme="majorHAnsi"/>
          <w:sz w:val="22"/>
          <w:szCs w:val="22"/>
          <w:lang w:val="en-GB"/>
        </w:rPr>
      </w:pPr>
    </w:p>
    <w:p w14:paraId="2A9BCEA1" w14:textId="05FBCBF6" w:rsidR="003E574E" w:rsidRPr="004E053C" w:rsidRDefault="003E574E" w:rsidP="004E053C">
      <w:pPr>
        <w:spacing w:line="360" w:lineRule="auto"/>
        <w:jc w:val="both"/>
        <w:rPr>
          <w:rFonts w:cstheme="majorHAnsi"/>
          <w:iCs/>
          <w:sz w:val="22"/>
          <w:szCs w:val="22"/>
          <w:lang w:val="en-GB"/>
        </w:rPr>
      </w:pPr>
      <w:r w:rsidRPr="004E053C">
        <w:rPr>
          <w:rFonts w:eastAsia="Times New Roman" w:cstheme="majorHAnsi"/>
          <w:sz w:val="22"/>
          <w:szCs w:val="22"/>
          <w:lang w:val="en-GB"/>
        </w:rPr>
        <w:t xml:space="preserve">The adoption of environmental rhetoric to legitimise behaviour is perhaps even starker in the case of </w:t>
      </w:r>
      <w:r w:rsidR="00B21FFD" w:rsidRPr="004E053C">
        <w:rPr>
          <w:rFonts w:eastAsia="Times New Roman" w:cstheme="majorHAnsi"/>
          <w:sz w:val="22"/>
          <w:szCs w:val="22"/>
          <w:lang w:val="en-GB"/>
        </w:rPr>
        <w:t>Azucena</w:t>
      </w:r>
      <w:r w:rsidRPr="004E053C">
        <w:rPr>
          <w:rFonts w:eastAsia="Times New Roman" w:cstheme="majorHAnsi"/>
          <w:sz w:val="22"/>
          <w:szCs w:val="22"/>
          <w:lang w:val="en-GB"/>
        </w:rPr>
        <w:t xml:space="preserve">, who had been mining in the area that is now La Pampa since the 1970’s. During the interview she repeatedly insisted that the Government’s failure to support her in the face of the invaders had led to the extreme environmental degradation as her land had been taken over. </w:t>
      </w:r>
      <w:r w:rsidRPr="004E053C">
        <w:rPr>
          <w:rFonts w:cstheme="majorHAnsi"/>
          <w:iCs/>
          <w:sz w:val="22"/>
          <w:szCs w:val="22"/>
          <w:lang w:val="en-GB"/>
        </w:rPr>
        <w:t xml:space="preserve">Another miner, </w:t>
      </w:r>
      <w:r w:rsidR="00EA7F80" w:rsidRPr="004E053C">
        <w:rPr>
          <w:rFonts w:cstheme="majorHAnsi"/>
          <w:iCs/>
          <w:sz w:val="22"/>
          <w:szCs w:val="22"/>
          <w:lang w:val="en-GB"/>
        </w:rPr>
        <w:t>Mario</w:t>
      </w:r>
      <w:r w:rsidRPr="004E053C">
        <w:rPr>
          <w:rFonts w:cstheme="majorHAnsi"/>
          <w:iCs/>
          <w:sz w:val="22"/>
          <w:szCs w:val="22"/>
          <w:lang w:val="en-GB"/>
        </w:rPr>
        <w:t xml:space="preserve">, explained that according to government policy, while it was illegal for miners to work in the river, it was permitted to take the materials from the river as long as it was worked on whilst on land, as this does not contaminate the water. </w:t>
      </w:r>
      <w:r w:rsidR="00EA7F80" w:rsidRPr="004E053C">
        <w:rPr>
          <w:rFonts w:cstheme="majorHAnsi"/>
          <w:iCs/>
          <w:sz w:val="22"/>
          <w:szCs w:val="22"/>
          <w:lang w:val="en-GB"/>
        </w:rPr>
        <w:t>Mario</w:t>
      </w:r>
      <w:r w:rsidR="005527DD" w:rsidRPr="004E053C">
        <w:rPr>
          <w:rFonts w:cstheme="majorHAnsi"/>
          <w:iCs/>
          <w:sz w:val="22"/>
          <w:szCs w:val="22"/>
          <w:lang w:val="en-GB"/>
        </w:rPr>
        <w:t xml:space="preserve"> said the problem was when miners tried to</w:t>
      </w:r>
      <w:r w:rsidR="00114C03" w:rsidRPr="004E053C">
        <w:rPr>
          <w:rFonts w:cstheme="majorHAnsi"/>
          <w:iCs/>
          <w:sz w:val="22"/>
          <w:szCs w:val="22"/>
          <w:lang w:val="en-GB"/>
        </w:rPr>
        <w:t xml:space="preserve"> do things quickly</w:t>
      </w:r>
      <w:r w:rsidR="005527DD" w:rsidRPr="004E053C">
        <w:rPr>
          <w:rFonts w:cstheme="majorHAnsi"/>
          <w:iCs/>
          <w:sz w:val="22"/>
          <w:szCs w:val="22"/>
          <w:lang w:val="en-GB"/>
        </w:rPr>
        <w:t xml:space="preserve"> and cleaning the gold with mercury in the rivers. </w:t>
      </w:r>
      <w:r w:rsidRPr="004E053C">
        <w:rPr>
          <w:rFonts w:cstheme="majorHAnsi"/>
          <w:iCs/>
          <w:sz w:val="22"/>
          <w:szCs w:val="22"/>
          <w:lang w:val="en-GB"/>
        </w:rPr>
        <w:t>I had observed several miners working in the river between Laberinto and Bo</w:t>
      </w:r>
      <w:r w:rsidR="006572D1" w:rsidRPr="004E053C">
        <w:rPr>
          <w:rFonts w:cstheme="majorHAnsi"/>
          <w:iCs/>
          <w:sz w:val="22"/>
          <w:szCs w:val="22"/>
          <w:lang w:val="en-GB"/>
        </w:rPr>
        <w:t>c</w:t>
      </w:r>
      <w:r w:rsidR="00114C03" w:rsidRPr="004E053C">
        <w:rPr>
          <w:rFonts w:cstheme="majorHAnsi"/>
          <w:iCs/>
          <w:sz w:val="22"/>
          <w:szCs w:val="22"/>
          <w:lang w:val="en-GB"/>
        </w:rPr>
        <w:t xml:space="preserve">a Union on my trip. </w:t>
      </w:r>
      <w:r w:rsidR="00EA7F80" w:rsidRPr="004E053C">
        <w:rPr>
          <w:rFonts w:cstheme="majorHAnsi"/>
          <w:iCs/>
          <w:sz w:val="22"/>
          <w:szCs w:val="22"/>
          <w:lang w:val="en-GB"/>
        </w:rPr>
        <w:t>Mario</w:t>
      </w:r>
      <w:r w:rsidRPr="004E053C">
        <w:rPr>
          <w:rFonts w:cstheme="majorHAnsi"/>
          <w:iCs/>
          <w:sz w:val="22"/>
          <w:szCs w:val="22"/>
          <w:lang w:val="en-GB"/>
        </w:rPr>
        <w:t xml:space="preserve"> said these miners were being completely illegal by continuing to work in the river, but he insisted that it was the more transient miners who were likely to work in this way. </w:t>
      </w:r>
    </w:p>
    <w:p w14:paraId="7C2EA3D6" w14:textId="77777777" w:rsidR="0019375F" w:rsidRPr="004E053C" w:rsidRDefault="0019375F" w:rsidP="004E053C">
      <w:pPr>
        <w:spacing w:line="360" w:lineRule="auto"/>
        <w:jc w:val="both"/>
        <w:rPr>
          <w:rFonts w:eastAsia="Times New Roman" w:cstheme="majorHAnsi"/>
          <w:sz w:val="22"/>
          <w:szCs w:val="22"/>
          <w:lang w:val="en-GB"/>
        </w:rPr>
      </w:pPr>
    </w:p>
    <w:p w14:paraId="3652C4DD" w14:textId="1202EAA3" w:rsidR="003E574E" w:rsidRPr="004E053C" w:rsidRDefault="00EA7F83" w:rsidP="004E053C">
      <w:pPr>
        <w:pStyle w:val="Heading3"/>
        <w:rPr>
          <w:rFonts w:asciiTheme="minorHAnsi" w:hAnsiTheme="minorHAnsi"/>
        </w:rPr>
      </w:pPr>
      <w:r w:rsidRPr="004E053C">
        <w:rPr>
          <w:rFonts w:asciiTheme="minorHAnsi" w:hAnsiTheme="minorHAnsi"/>
        </w:rPr>
        <w:lastRenderedPageBreak/>
        <w:t>9</w:t>
      </w:r>
      <w:r w:rsidR="005252FE" w:rsidRPr="004E053C">
        <w:rPr>
          <w:rFonts w:asciiTheme="minorHAnsi" w:hAnsiTheme="minorHAnsi"/>
        </w:rPr>
        <w:t>.5</w:t>
      </w:r>
      <w:r w:rsidR="00E85BA7" w:rsidRPr="004E053C">
        <w:rPr>
          <w:rFonts w:asciiTheme="minorHAnsi" w:hAnsiTheme="minorHAnsi"/>
        </w:rPr>
        <w:t>.2. Highlighting levels of violence and c</w:t>
      </w:r>
      <w:r w:rsidR="003E574E" w:rsidRPr="004E053C">
        <w:rPr>
          <w:rFonts w:asciiTheme="minorHAnsi" w:hAnsiTheme="minorHAnsi"/>
        </w:rPr>
        <w:t>riminality</w:t>
      </w:r>
    </w:p>
    <w:p w14:paraId="245045CD" w14:textId="77777777" w:rsidR="0019375F" w:rsidRPr="004E053C" w:rsidRDefault="0019375F" w:rsidP="004E053C">
      <w:pPr>
        <w:spacing w:line="360" w:lineRule="auto"/>
        <w:jc w:val="both"/>
        <w:rPr>
          <w:rFonts w:cstheme="majorHAnsi"/>
          <w:lang w:val="en-GB"/>
        </w:rPr>
      </w:pPr>
    </w:p>
    <w:p w14:paraId="20572BFA" w14:textId="65CC4527"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 miners expand beyond the use of environmental rhetoric to create symbolic boundaries between themselves and the miners in La Pampa. There is a strong focus on the existence of other types of behaviour that constitute criminality, with many miners making references to prostitution, rape, murder, drug trafficking, theft and organised crime. A good example of this, which again reflects the use of almost dehumanising rhetoric, is highlighted in this quote from </w:t>
      </w:r>
      <w:r w:rsidR="000E13B9" w:rsidRPr="004E053C">
        <w:rPr>
          <w:rFonts w:eastAsia="Times New Roman" w:cstheme="majorHAnsi"/>
          <w:sz w:val="22"/>
          <w:szCs w:val="22"/>
          <w:lang w:val="en-GB"/>
        </w:rPr>
        <w:t>Stefano</w:t>
      </w:r>
      <w:r w:rsidRPr="004E053C">
        <w:rPr>
          <w:rFonts w:eastAsia="Times New Roman" w:cstheme="majorHAnsi"/>
          <w:sz w:val="22"/>
          <w:szCs w:val="22"/>
          <w:lang w:val="en-GB"/>
        </w:rPr>
        <w:t>:</w:t>
      </w:r>
    </w:p>
    <w:p w14:paraId="4B3ED98E" w14:textId="77777777" w:rsidR="003E574E" w:rsidRPr="004E053C" w:rsidRDefault="003E574E" w:rsidP="004E053C">
      <w:pPr>
        <w:spacing w:line="360" w:lineRule="auto"/>
        <w:jc w:val="both"/>
        <w:rPr>
          <w:rFonts w:eastAsia="Times New Roman" w:cstheme="majorHAnsi"/>
          <w:color w:val="FF0000"/>
          <w:sz w:val="22"/>
          <w:szCs w:val="22"/>
          <w:lang w:val="en-GB"/>
        </w:rPr>
      </w:pPr>
    </w:p>
    <w:p w14:paraId="452CFE38" w14:textId="0E7EA2B2"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sz w:val="22"/>
          <w:szCs w:val="22"/>
          <w:lang w:val="en-GB"/>
        </w:rPr>
        <w:t>‘</w:t>
      </w:r>
      <w:r w:rsidR="003E574E" w:rsidRPr="004E053C">
        <w:rPr>
          <w:rFonts w:eastAsia="Times New Roman" w:cstheme="majorHAnsi"/>
          <w:i/>
          <w:iCs/>
          <w:sz w:val="22"/>
          <w:szCs w:val="22"/>
          <w:lang w:val="en-GB"/>
        </w:rPr>
        <w:t>These illegal miners have no loyalties and no respect. They steal, rob, kill etc…</w:t>
      </w:r>
      <w:r w:rsidR="003E574E" w:rsidRPr="004E053C">
        <w:rPr>
          <w:rFonts w:eastAsia="Times New Roman" w:cstheme="majorHAnsi"/>
          <w:i/>
          <w:sz w:val="22"/>
          <w:szCs w:val="22"/>
          <w:lang w:val="en-GB"/>
        </w:rPr>
        <w:t xml:space="preserve">We don’t really know what happens there as we don’t like to go </w:t>
      </w:r>
      <w:r w:rsidR="004609AA" w:rsidRPr="004E053C">
        <w:rPr>
          <w:rFonts w:eastAsia="Times New Roman" w:cstheme="majorHAnsi"/>
          <w:i/>
          <w:sz w:val="22"/>
          <w:szCs w:val="22"/>
          <w:lang w:val="en-GB"/>
        </w:rPr>
        <w:t>there…they bury people alive. It’</w:t>
      </w:r>
      <w:r w:rsidR="003E574E" w:rsidRPr="004E053C">
        <w:rPr>
          <w:rFonts w:eastAsia="Times New Roman" w:cstheme="majorHAnsi"/>
          <w:i/>
          <w:sz w:val="22"/>
          <w:szCs w:val="22"/>
          <w:lang w:val="en-GB"/>
        </w:rPr>
        <w:t>s nobody’s land and</w:t>
      </w:r>
      <w:r w:rsidRPr="004E053C">
        <w:rPr>
          <w:rFonts w:eastAsia="Times New Roman" w:cstheme="majorHAnsi"/>
          <w:i/>
          <w:sz w:val="22"/>
          <w:szCs w:val="22"/>
          <w:lang w:val="en-GB"/>
        </w:rPr>
        <w:t xml:space="preserve"> they can do whatever they want’</w:t>
      </w:r>
      <w:r w:rsidR="003E574E" w:rsidRPr="004E053C">
        <w:rPr>
          <w:rFonts w:eastAsia="Times New Roman" w:cstheme="majorHAnsi"/>
          <w:i/>
          <w:sz w:val="22"/>
          <w:szCs w:val="22"/>
          <w:lang w:val="en-GB"/>
        </w:rPr>
        <w:t xml:space="preserve"> </w:t>
      </w:r>
      <w:r w:rsidR="003E574E" w:rsidRPr="004E053C">
        <w:rPr>
          <w:rFonts w:eastAsia="Times New Roman" w:cstheme="majorHAnsi"/>
          <w:sz w:val="22"/>
          <w:szCs w:val="22"/>
          <w:lang w:val="en-GB"/>
        </w:rPr>
        <w:t>(</w:t>
      </w:r>
      <w:r w:rsidR="000E13B9" w:rsidRPr="004E053C">
        <w:rPr>
          <w:rFonts w:eastAsia="Times New Roman" w:cstheme="majorHAnsi"/>
          <w:sz w:val="22"/>
          <w:szCs w:val="22"/>
          <w:lang w:val="en-GB"/>
        </w:rPr>
        <w:t>Stefano</w:t>
      </w:r>
      <w:r w:rsidR="003E574E" w:rsidRPr="004E053C">
        <w:rPr>
          <w:rFonts w:eastAsia="Times New Roman" w:cstheme="majorHAnsi"/>
          <w:sz w:val="22"/>
          <w:szCs w:val="22"/>
          <w:lang w:val="en-GB"/>
        </w:rPr>
        <w:t>, ASM miner, Laberinto).</w:t>
      </w:r>
    </w:p>
    <w:p w14:paraId="6A2177D1" w14:textId="77777777" w:rsidR="003E574E" w:rsidRPr="004E053C" w:rsidRDefault="003E574E" w:rsidP="004E053C">
      <w:pPr>
        <w:spacing w:line="360" w:lineRule="auto"/>
        <w:jc w:val="both"/>
        <w:rPr>
          <w:rFonts w:eastAsia="Times New Roman" w:cstheme="majorHAnsi"/>
          <w:color w:val="FF0000"/>
          <w:sz w:val="22"/>
          <w:szCs w:val="22"/>
          <w:lang w:val="en-GB"/>
        </w:rPr>
      </w:pPr>
    </w:p>
    <w:p w14:paraId="20FE8616" w14:textId="18469512" w:rsidR="003E574E" w:rsidRPr="004E053C" w:rsidRDefault="003E574E" w:rsidP="004E053C">
      <w:pPr>
        <w:spacing w:line="360" w:lineRule="auto"/>
        <w:jc w:val="both"/>
        <w:rPr>
          <w:rFonts w:eastAsia="Times New Roman" w:cstheme="majorHAnsi"/>
          <w:color w:val="FF0000"/>
          <w:sz w:val="22"/>
          <w:szCs w:val="22"/>
          <w:lang w:val="en-GB"/>
        </w:rPr>
      </w:pPr>
      <w:r w:rsidRPr="004E053C">
        <w:rPr>
          <w:rFonts w:eastAsia="Times New Roman" w:cstheme="majorHAnsi"/>
          <w:sz w:val="22"/>
          <w:szCs w:val="22"/>
          <w:lang w:val="en-GB"/>
        </w:rPr>
        <w:t xml:space="preserve">In some cases, the miners actually stressed the criminal nature of the individuals who had moved to La Pampa, suggesting that rather than the mining being the problem, it was the illegality of the </w:t>
      </w:r>
      <w:r w:rsidR="005527DD" w:rsidRPr="004E053C">
        <w:rPr>
          <w:rFonts w:eastAsia="Times New Roman" w:cstheme="majorHAnsi"/>
          <w:sz w:val="22"/>
          <w:szCs w:val="22"/>
          <w:lang w:val="en-GB"/>
        </w:rPr>
        <w:t>region that</w:t>
      </w:r>
      <w:r w:rsidRPr="004E053C">
        <w:rPr>
          <w:rFonts w:eastAsia="Times New Roman" w:cstheme="majorHAnsi"/>
          <w:sz w:val="22"/>
          <w:szCs w:val="22"/>
          <w:lang w:val="en-GB"/>
        </w:rPr>
        <w:t xml:space="preserve"> was attracting </w:t>
      </w:r>
      <w:r w:rsidR="003B5DCB" w:rsidRPr="004E053C">
        <w:rPr>
          <w:rFonts w:eastAsia="Times New Roman" w:cstheme="majorHAnsi"/>
          <w:sz w:val="22"/>
          <w:szCs w:val="22"/>
          <w:lang w:val="en-GB"/>
        </w:rPr>
        <w:t>‘criminals’</w:t>
      </w:r>
      <w:r w:rsidRPr="004E053C">
        <w:rPr>
          <w:rFonts w:eastAsia="Times New Roman" w:cstheme="majorHAnsi"/>
          <w:sz w:val="22"/>
          <w:szCs w:val="22"/>
          <w:lang w:val="en-GB"/>
        </w:rPr>
        <w:t xml:space="preserve"> from elsewhere in Peru. This links directly back to the translocality of the mining livelihood being portrayed as the problem, rather than the action of mining itself. </w:t>
      </w:r>
      <w:r w:rsidR="00EA7F80" w:rsidRPr="004E053C">
        <w:rPr>
          <w:rFonts w:eastAsia="Times New Roman" w:cstheme="majorHAnsi"/>
          <w:sz w:val="22"/>
          <w:szCs w:val="22"/>
          <w:lang w:val="en-GB"/>
        </w:rPr>
        <w:t>Mario</w:t>
      </w:r>
      <w:r w:rsidR="00A05A14" w:rsidRPr="004E053C">
        <w:rPr>
          <w:rFonts w:eastAsia="Times New Roman" w:cstheme="majorHAnsi"/>
          <w:sz w:val="22"/>
          <w:szCs w:val="22"/>
          <w:lang w:val="en-GB"/>
        </w:rPr>
        <w:t xml:space="preserve"> for example blamed the recent assault on Boca Union and the rise in car jackings on the road from Laberinto as being due to the migration of criminals for whom stealing is a business.</w:t>
      </w:r>
    </w:p>
    <w:p w14:paraId="5F6AC8D1" w14:textId="77777777" w:rsidR="003E574E" w:rsidRPr="004E053C" w:rsidRDefault="003E574E" w:rsidP="004E053C">
      <w:pPr>
        <w:spacing w:line="360" w:lineRule="auto"/>
        <w:jc w:val="both"/>
        <w:rPr>
          <w:rFonts w:eastAsia="Times New Roman" w:cstheme="majorHAnsi"/>
          <w:color w:val="FF0000"/>
          <w:sz w:val="22"/>
          <w:szCs w:val="22"/>
          <w:lang w:val="en-GB"/>
        </w:rPr>
      </w:pPr>
    </w:p>
    <w:p w14:paraId="1EA6D710" w14:textId="0777F54E" w:rsidR="003E574E" w:rsidRPr="004E053C" w:rsidRDefault="00114C03"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Similar processes of neutralis</w:t>
      </w:r>
      <w:r w:rsidR="003E574E" w:rsidRPr="004E053C">
        <w:rPr>
          <w:rFonts w:eastAsia="Times New Roman" w:cstheme="majorHAnsi"/>
          <w:sz w:val="22"/>
          <w:szCs w:val="22"/>
          <w:lang w:val="en-GB"/>
        </w:rPr>
        <w:t>ation have been observed in other empirical studies relating to illicit livelihoods, in which in a bid to defend themselves, people compare their own livelihood activities, such as selling pirated DVDs</w:t>
      </w:r>
      <w:r w:rsidR="00DE5D90" w:rsidRPr="004E053C">
        <w:rPr>
          <w:rFonts w:eastAsia="Times New Roman" w:cstheme="majorHAnsi"/>
          <w:sz w:val="22"/>
          <w:szCs w:val="22"/>
          <w:lang w:val="en-GB"/>
        </w:rPr>
        <w:t>, to something that is widely perceived to be</w:t>
      </w:r>
      <w:r w:rsidRPr="004E053C">
        <w:rPr>
          <w:rFonts w:eastAsia="Times New Roman" w:cstheme="majorHAnsi"/>
          <w:sz w:val="22"/>
          <w:szCs w:val="22"/>
          <w:lang w:val="en-GB"/>
        </w:rPr>
        <w:t xml:space="preserve"> more immoral, such as </w:t>
      </w:r>
      <w:r w:rsidR="003E574E" w:rsidRPr="004E053C">
        <w:rPr>
          <w:rFonts w:eastAsia="Times New Roman" w:cstheme="majorHAnsi"/>
          <w:sz w:val="22"/>
          <w:szCs w:val="22"/>
          <w:lang w:val="en-GB"/>
        </w:rPr>
        <w:t xml:space="preserve">selling drugs </w:t>
      </w:r>
      <w:r w:rsidR="00B06217" w:rsidRPr="004E053C">
        <w:rPr>
          <w:rFonts w:eastAsia="Times New Roman" w:cstheme="majorHAnsi"/>
          <w:sz w:val="22"/>
          <w:szCs w:val="22"/>
          <w:lang w:val="en-GB"/>
        </w:rPr>
        <w:fldChar w:fldCharType="begin" w:fldLock="1"/>
      </w:r>
      <w:r w:rsidR="005D0B08">
        <w:rPr>
          <w:rFonts w:eastAsia="Times New Roman" w:cstheme="majorHAnsi"/>
          <w:sz w:val="22"/>
          <w:szCs w:val="22"/>
          <w:lang w:val="en-GB"/>
        </w:rPr>
        <w:instrText>ADDIN CSL_CITATION {"citationItems":[{"id":"ITEM-1","itemData":{"author":[{"dropping-particle":"","family":"Cross","given":"John","non-dropping-particle":"","parse-names":false,"suffix":""}],"container-title":"Street Entrepreneurs: People, Place and Politics in Local and Global Perspectives","editor":[{"dropping-particle":"","family":"Cross","given":"J","non-dropping-particle":"","parse-names":false,"suffix":""},{"dropping-particle":"","family":"Morales","given":"N","non-dropping-particle":"","parse-names":false,"suffix":""}],"id":"ITEM-1","issued":{"date-parts":[["2007"]]},"page":"125-143","publisher":"Routledge","publisher-place":"London, UK","title":"Pirates on the high streets: The street as a site of local resistance to globalization","type":"chapter"},"uris":["http://www.mendeley.com/documents/?uuid=80e207d3-6086-45fd-a36c-5a773f3ddbac"]},{"id":"ITEM-2","itemData":{"abstract":"Cities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Behavior","id":"ITEM-2","issue":"6","issued":{"date-parts":[["2011"]]},"page":"503-537","title":"Place,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 John Cross, 2007)","manualFormatting":"(Cross, 2007; Cross &amp; Hernández, 2011)","plainTextFormattedCitation":"(J. C. Cross &amp; Hernández, 2011; John Cross, 2007)","previouslyFormattedCitation":"(J. C. Cross &amp; Hernández, 2011; John Cross, 2007)"},"properties":{"noteIndex":0},"schema":"https://github.com/citation-style-language/schema/raw/master/csl-citation.json"}</w:instrText>
      </w:r>
      <w:r w:rsidR="00B06217" w:rsidRPr="004E053C">
        <w:rPr>
          <w:rFonts w:eastAsia="Times New Roman" w:cstheme="majorHAnsi"/>
          <w:sz w:val="22"/>
          <w:szCs w:val="22"/>
          <w:lang w:val="en-GB"/>
        </w:rPr>
        <w:fldChar w:fldCharType="separate"/>
      </w:r>
      <w:r w:rsidR="00B06217" w:rsidRPr="004E053C">
        <w:rPr>
          <w:rFonts w:eastAsia="Times New Roman" w:cstheme="majorHAnsi"/>
          <w:noProof/>
          <w:sz w:val="22"/>
          <w:szCs w:val="22"/>
          <w:lang w:val="en-GB"/>
        </w:rPr>
        <w:t>(Cross, 2007; Cross &amp; Hernández, 2011)</w:t>
      </w:r>
      <w:r w:rsidR="00B06217" w:rsidRPr="004E053C">
        <w:rPr>
          <w:rFonts w:eastAsia="Times New Roman" w:cstheme="majorHAnsi"/>
          <w:sz w:val="22"/>
          <w:szCs w:val="22"/>
          <w:lang w:val="en-GB"/>
        </w:rPr>
        <w:fldChar w:fldCharType="end"/>
      </w:r>
      <w:r w:rsidR="003E574E" w:rsidRPr="004E053C">
        <w:rPr>
          <w:rFonts w:eastAsia="Times New Roman" w:cstheme="majorHAnsi"/>
          <w:sz w:val="22"/>
          <w:szCs w:val="22"/>
          <w:lang w:val="en-GB"/>
        </w:rPr>
        <w:t>. Th</w:t>
      </w:r>
      <w:r w:rsidRPr="004E053C">
        <w:rPr>
          <w:rFonts w:eastAsia="Times New Roman" w:cstheme="majorHAnsi"/>
          <w:sz w:val="22"/>
          <w:szCs w:val="22"/>
          <w:lang w:val="en-GB"/>
        </w:rPr>
        <w:t xml:space="preserve">is emphasis on another forms of </w:t>
      </w:r>
      <w:r w:rsidR="003E574E" w:rsidRPr="004E053C">
        <w:rPr>
          <w:rFonts w:eastAsia="Times New Roman" w:cstheme="majorHAnsi"/>
          <w:sz w:val="22"/>
          <w:szCs w:val="22"/>
          <w:lang w:val="en-GB"/>
        </w:rPr>
        <w:t>deviant behaviour allows t</w:t>
      </w:r>
      <w:r w:rsidRPr="004E053C">
        <w:rPr>
          <w:rFonts w:eastAsia="Times New Roman" w:cstheme="majorHAnsi"/>
          <w:sz w:val="22"/>
          <w:szCs w:val="22"/>
          <w:lang w:val="en-GB"/>
        </w:rPr>
        <w:t>he individual to frame the ‘other’</w:t>
      </w:r>
      <w:r w:rsidR="003E574E" w:rsidRPr="004E053C">
        <w:rPr>
          <w:rFonts w:eastAsia="Times New Roman" w:cstheme="majorHAnsi"/>
          <w:sz w:val="22"/>
          <w:szCs w:val="22"/>
          <w:lang w:val="en-GB"/>
        </w:rPr>
        <w:t>, in th</w:t>
      </w:r>
      <w:r w:rsidRPr="004E053C">
        <w:rPr>
          <w:rFonts w:eastAsia="Times New Roman" w:cstheme="majorHAnsi"/>
          <w:sz w:val="22"/>
          <w:szCs w:val="22"/>
          <w:lang w:val="en-GB"/>
        </w:rPr>
        <w:t>is case other miners, as being ‘criminal’</w:t>
      </w:r>
      <w:r w:rsidR="003E574E" w:rsidRPr="004E053C">
        <w:rPr>
          <w:rFonts w:eastAsia="Times New Roman" w:cstheme="majorHAnsi"/>
          <w:sz w:val="22"/>
          <w:szCs w:val="22"/>
          <w:lang w:val="en-GB"/>
        </w:rPr>
        <w:t xml:space="preserve"> and position their own community against it in a favourable light. For example, </w:t>
      </w:r>
      <w:r w:rsidR="00EA7F80" w:rsidRPr="004E053C">
        <w:rPr>
          <w:rFonts w:eastAsia="Times New Roman" w:cstheme="majorHAnsi"/>
          <w:sz w:val="22"/>
          <w:szCs w:val="22"/>
          <w:lang w:val="en-GB"/>
        </w:rPr>
        <w:t>Diego</w:t>
      </w:r>
      <w:r w:rsidRPr="004E053C">
        <w:rPr>
          <w:rFonts w:eastAsia="Times New Roman" w:cstheme="majorHAnsi"/>
          <w:sz w:val="22"/>
          <w:szCs w:val="22"/>
          <w:lang w:val="en-GB"/>
        </w:rPr>
        <w:t xml:space="preserve"> claimed that La Pampa is ‘not a controlled society’</w:t>
      </w:r>
      <w:r w:rsidR="003E574E" w:rsidRPr="004E053C">
        <w:rPr>
          <w:rFonts w:eastAsia="Times New Roman" w:cstheme="majorHAnsi"/>
          <w:sz w:val="22"/>
          <w:szCs w:val="22"/>
          <w:lang w:val="en-GB"/>
        </w:rPr>
        <w:t xml:space="preserve">, whilst indicating the ways in which Laberinto operated like any other town in Peru. Others pointed out that while their livelihoods were becoming more insecure due to the </w:t>
      </w:r>
      <w:r w:rsidR="00A05A14" w:rsidRPr="004E053C">
        <w:rPr>
          <w:rFonts w:eastAsia="Times New Roman" w:cstheme="majorHAnsi"/>
          <w:sz w:val="22"/>
          <w:szCs w:val="22"/>
          <w:lang w:val="en-GB"/>
        </w:rPr>
        <w:t>on-going</w:t>
      </w:r>
      <w:r w:rsidR="003E574E" w:rsidRPr="004E053C">
        <w:rPr>
          <w:rFonts w:eastAsia="Times New Roman" w:cstheme="majorHAnsi"/>
          <w:sz w:val="22"/>
          <w:szCs w:val="22"/>
          <w:lang w:val="en-GB"/>
        </w:rPr>
        <w:t xml:space="preserve"> conflict with the Government, they were not subjected to the same social ills as La Pampa. Some highl</w:t>
      </w:r>
      <w:r w:rsidR="00356E2C" w:rsidRPr="004E053C">
        <w:rPr>
          <w:rFonts w:eastAsia="Times New Roman" w:cstheme="majorHAnsi"/>
          <w:sz w:val="22"/>
          <w:szCs w:val="22"/>
          <w:lang w:val="en-GB"/>
        </w:rPr>
        <w:t>ighted the fact that La Pampa i</w:t>
      </w:r>
      <w:r w:rsidR="003E574E" w:rsidRPr="004E053C">
        <w:rPr>
          <w:rFonts w:eastAsia="Times New Roman" w:cstheme="majorHAnsi"/>
          <w:sz w:val="22"/>
          <w:szCs w:val="22"/>
          <w:lang w:val="en-GB"/>
        </w:rPr>
        <w:t>s so dangerous that the miners there have had to hire paramilitary s</w:t>
      </w:r>
      <w:r w:rsidR="00356E2C" w:rsidRPr="004E053C">
        <w:rPr>
          <w:rFonts w:eastAsia="Times New Roman" w:cstheme="majorHAnsi"/>
          <w:sz w:val="22"/>
          <w:szCs w:val="22"/>
          <w:lang w:val="en-GB"/>
        </w:rPr>
        <w:t xml:space="preserve">ecurity guards to protect them. </w:t>
      </w:r>
      <w:r w:rsidR="00A05A14" w:rsidRPr="004E053C">
        <w:rPr>
          <w:rFonts w:eastAsia="Times New Roman" w:cstheme="majorHAnsi"/>
          <w:sz w:val="22"/>
          <w:szCs w:val="22"/>
          <w:lang w:val="en-GB"/>
        </w:rPr>
        <w:t>Unfortunately</w:t>
      </w:r>
      <w:r w:rsidR="00356E2C" w:rsidRPr="004E053C">
        <w:rPr>
          <w:rFonts w:eastAsia="Times New Roman" w:cstheme="majorHAnsi"/>
          <w:sz w:val="22"/>
          <w:szCs w:val="22"/>
          <w:lang w:val="en-GB"/>
        </w:rPr>
        <w:t>, these paramilitaries have subsequently created</w:t>
      </w:r>
      <w:r w:rsidR="003E574E" w:rsidRPr="004E053C">
        <w:rPr>
          <w:rFonts w:eastAsia="Times New Roman" w:cstheme="majorHAnsi"/>
          <w:sz w:val="22"/>
          <w:szCs w:val="22"/>
          <w:lang w:val="en-GB"/>
        </w:rPr>
        <w:t xml:space="preserve"> a new level of insecurity as they do not respect anyone and often shoot miners. Three of the miners who had previously worked in La Pampa said that it was the violent nature of the area which h</w:t>
      </w:r>
      <w:r w:rsidR="00356E2C" w:rsidRPr="004E053C">
        <w:rPr>
          <w:rFonts w:eastAsia="Times New Roman" w:cstheme="majorHAnsi"/>
          <w:sz w:val="22"/>
          <w:szCs w:val="22"/>
          <w:lang w:val="en-GB"/>
        </w:rPr>
        <w:t>ad caused</w:t>
      </w:r>
      <w:r w:rsidR="003E574E" w:rsidRPr="004E053C">
        <w:rPr>
          <w:rFonts w:eastAsia="Times New Roman" w:cstheme="majorHAnsi"/>
          <w:sz w:val="22"/>
          <w:szCs w:val="22"/>
          <w:lang w:val="en-GB"/>
        </w:rPr>
        <w:t xml:space="preserve"> them return to Laberinto and settle there, despite the fact that </w:t>
      </w:r>
      <w:r w:rsidR="003E574E" w:rsidRPr="004E053C">
        <w:rPr>
          <w:rFonts w:eastAsia="Times New Roman" w:cstheme="majorHAnsi"/>
          <w:sz w:val="22"/>
          <w:szCs w:val="22"/>
          <w:lang w:val="en-GB"/>
        </w:rPr>
        <w:lastRenderedPageBreak/>
        <w:t xml:space="preserve">they made less money, while others claimed they would never even consider working there </w:t>
      </w:r>
      <w:r w:rsidR="00E34E72" w:rsidRPr="004E053C">
        <w:rPr>
          <w:rFonts w:eastAsia="Times New Roman" w:cstheme="majorHAnsi"/>
          <w:sz w:val="22"/>
          <w:szCs w:val="22"/>
          <w:lang w:val="en-GB"/>
        </w:rPr>
        <w:t>due to the constant insecurity.</w:t>
      </w:r>
    </w:p>
    <w:p w14:paraId="5F1A11F5" w14:textId="77777777" w:rsidR="00356E2C" w:rsidRPr="004E053C" w:rsidRDefault="00356E2C" w:rsidP="004E053C">
      <w:pPr>
        <w:spacing w:line="360" w:lineRule="auto"/>
        <w:jc w:val="both"/>
        <w:rPr>
          <w:rFonts w:eastAsia="Times New Roman" w:cstheme="majorHAnsi"/>
          <w:sz w:val="22"/>
          <w:szCs w:val="22"/>
          <w:lang w:val="en-GB"/>
        </w:rPr>
      </w:pPr>
    </w:p>
    <w:p w14:paraId="74CBA883" w14:textId="629597CC" w:rsidR="00356E2C" w:rsidRPr="004E053C" w:rsidRDefault="00356E2C"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For the temporary and floating miners in La Pampa, the discussion over </w:t>
      </w:r>
      <w:r w:rsidR="00114C03" w:rsidRPr="004E053C">
        <w:rPr>
          <w:rFonts w:eastAsia="Times New Roman" w:cstheme="majorHAnsi"/>
          <w:sz w:val="22"/>
          <w:szCs w:val="22"/>
          <w:lang w:val="en-GB"/>
        </w:rPr>
        <w:t>what constitutes ‘criminal’</w:t>
      </w:r>
      <w:r w:rsidRPr="004E053C">
        <w:rPr>
          <w:rFonts w:eastAsia="Times New Roman" w:cstheme="majorHAnsi"/>
          <w:sz w:val="22"/>
          <w:szCs w:val="22"/>
          <w:lang w:val="en-GB"/>
        </w:rPr>
        <w:t xml:space="preserve"> tends to focus on a more traditional definition of criminality encompassing thieves and murders. Several noted how criminals had been attracted to the area due to a desire to escape the law, which had fuelled the violence in the region. Although the community members in La Pampa see the Government’s treatment of them as unfair, they express this in terms of their lack of engagement in other illegal activities. </w:t>
      </w:r>
      <w:r w:rsidR="00B21FFD" w:rsidRPr="004E053C">
        <w:rPr>
          <w:rFonts w:eastAsia="Times New Roman" w:cstheme="majorHAnsi"/>
          <w:sz w:val="22"/>
          <w:szCs w:val="22"/>
          <w:lang w:val="en-GB"/>
        </w:rPr>
        <w:t>Rosaria</w:t>
      </w:r>
      <w:r w:rsidRPr="004E053C">
        <w:rPr>
          <w:rFonts w:eastAsia="Times New Roman" w:cstheme="majorHAnsi"/>
          <w:sz w:val="22"/>
          <w:szCs w:val="22"/>
          <w:lang w:val="en-GB"/>
        </w:rPr>
        <w:t xml:space="preserve"> wasn’t actually a miner herself but she still did not use a definition of criminality based around mining activity when discussing the problems she had faced whilst living in La Pampa:</w:t>
      </w:r>
    </w:p>
    <w:p w14:paraId="440C9A5B" w14:textId="77777777" w:rsidR="00356E2C" w:rsidRPr="004E053C" w:rsidRDefault="00356E2C" w:rsidP="004E053C">
      <w:pPr>
        <w:spacing w:line="360" w:lineRule="auto"/>
        <w:jc w:val="both"/>
        <w:rPr>
          <w:rFonts w:eastAsia="Times New Roman" w:cstheme="majorHAnsi"/>
          <w:i/>
          <w:iCs/>
          <w:sz w:val="22"/>
          <w:szCs w:val="22"/>
          <w:lang w:val="en-GB"/>
        </w:rPr>
      </w:pPr>
    </w:p>
    <w:p w14:paraId="4C4204AF" w14:textId="71A451F3" w:rsidR="00356E2C" w:rsidRPr="004E053C" w:rsidRDefault="00114C03"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56E2C" w:rsidRPr="004E053C">
        <w:rPr>
          <w:rFonts w:eastAsia="Times New Roman" w:cstheme="majorHAnsi"/>
          <w:i/>
          <w:iCs/>
          <w:sz w:val="22"/>
          <w:szCs w:val="22"/>
          <w:lang w:val="en-GB"/>
        </w:rPr>
        <w:t>A group of police, or maybe the army, they came in a helicopter and they told us to leave in five minutes and we would bomb everywhere. They treat us all like delinquents. We took a few of our things but as we had nowhere to go we ran into the jungle to be disguised</w:t>
      </w:r>
      <w:r w:rsidRPr="004E053C">
        <w:rPr>
          <w:rFonts w:eastAsia="Times New Roman" w:cstheme="majorHAnsi"/>
          <w:i/>
          <w:iCs/>
          <w:sz w:val="22"/>
          <w:szCs w:val="22"/>
          <w:lang w:val="en-GB"/>
        </w:rPr>
        <w:t>’</w:t>
      </w:r>
      <w:r w:rsidR="00356E2C" w:rsidRPr="004E053C">
        <w:rPr>
          <w:rFonts w:eastAsia="Times New Roman" w:cstheme="majorHAnsi"/>
          <w:sz w:val="22"/>
          <w:szCs w:val="22"/>
          <w:lang w:val="en-GB"/>
        </w:rPr>
        <w:t xml:space="preserve"> (</w:t>
      </w:r>
      <w:r w:rsidR="00B21FFD" w:rsidRPr="004E053C">
        <w:rPr>
          <w:rFonts w:eastAsia="Times New Roman" w:cstheme="majorHAnsi"/>
          <w:sz w:val="22"/>
          <w:szCs w:val="22"/>
          <w:lang w:val="en-GB"/>
        </w:rPr>
        <w:t>Rosaria</w:t>
      </w:r>
      <w:r w:rsidR="00356E2C" w:rsidRPr="004E053C">
        <w:rPr>
          <w:rFonts w:eastAsia="Times New Roman" w:cstheme="majorHAnsi"/>
          <w:sz w:val="22"/>
          <w:szCs w:val="22"/>
          <w:lang w:val="en-GB"/>
        </w:rPr>
        <w:t>, hotel worker, Puerto Maldonado)</w:t>
      </w:r>
      <w:r w:rsidR="00067554" w:rsidRPr="004E053C">
        <w:rPr>
          <w:rFonts w:eastAsia="Times New Roman" w:cstheme="majorHAnsi"/>
          <w:sz w:val="22"/>
          <w:szCs w:val="22"/>
          <w:lang w:val="en-GB"/>
        </w:rPr>
        <w:t>.</w:t>
      </w:r>
    </w:p>
    <w:p w14:paraId="740C841A" w14:textId="77777777" w:rsidR="00067554" w:rsidRPr="004E053C" w:rsidRDefault="00067554" w:rsidP="004E053C">
      <w:pPr>
        <w:spacing w:line="360" w:lineRule="auto"/>
        <w:jc w:val="both"/>
        <w:rPr>
          <w:rFonts w:eastAsia="Times New Roman" w:cstheme="majorHAnsi"/>
          <w:i/>
          <w:iCs/>
          <w:sz w:val="22"/>
          <w:szCs w:val="22"/>
          <w:lang w:val="en-GB"/>
        </w:rPr>
      </w:pPr>
    </w:p>
    <w:p w14:paraId="4A0D015C" w14:textId="270652DA" w:rsidR="00067554" w:rsidRPr="004E053C" w:rsidRDefault="00067554" w:rsidP="004E053C">
      <w:pPr>
        <w:spacing w:line="360" w:lineRule="auto"/>
        <w:jc w:val="both"/>
        <w:rPr>
          <w:rFonts w:eastAsia="Times New Roman" w:cstheme="majorHAnsi"/>
          <w:iCs/>
          <w:sz w:val="22"/>
          <w:szCs w:val="22"/>
          <w:lang w:val="en-GB"/>
        </w:rPr>
      </w:pPr>
      <w:r w:rsidRPr="004E053C">
        <w:rPr>
          <w:rFonts w:eastAsia="Times New Roman" w:cstheme="majorHAnsi"/>
          <w:iCs/>
          <w:sz w:val="22"/>
          <w:szCs w:val="22"/>
          <w:lang w:val="en-GB"/>
        </w:rPr>
        <w:t xml:space="preserve">For the residents of La Pampa, it is not possible to create a relatively more criminal </w:t>
      </w:r>
      <w:r w:rsidR="003B5DCB" w:rsidRPr="004E053C">
        <w:rPr>
          <w:rFonts w:eastAsia="Times New Roman" w:cstheme="majorHAnsi"/>
          <w:iCs/>
          <w:sz w:val="22"/>
          <w:szCs w:val="22"/>
          <w:lang w:val="en-GB"/>
        </w:rPr>
        <w:t>‘other’</w:t>
      </w:r>
      <w:r w:rsidRPr="004E053C">
        <w:rPr>
          <w:rFonts w:eastAsia="Times New Roman" w:cstheme="majorHAnsi"/>
          <w:iCs/>
          <w:sz w:val="22"/>
          <w:szCs w:val="22"/>
          <w:lang w:val="en-GB"/>
        </w:rPr>
        <w:t xml:space="preserve"> based on a spatial differentiation. Therefore, their definition of illegality changes again, away from a focus on ASM activity entirely.  </w:t>
      </w:r>
    </w:p>
    <w:p w14:paraId="36928318" w14:textId="77777777" w:rsidR="0019375F" w:rsidRPr="004E053C" w:rsidRDefault="0019375F" w:rsidP="004E053C">
      <w:pPr>
        <w:spacing w:line="360" w:lineRule="auto"/>
        <w:jc w:val="both"/>
        <w:rPr>
          <w:rFonts w:eastAsia="Times New Roman" w:cstheme="majorHAnsi"/>
          <w:sz w:val="22"/>
          <w:szCs w:val="22"/>
          <w:lang w:val="en-GB"/>
        </w:rPr>
      </w:pPr>
    </w:p>
    <w:p w14:paraId="01955230" w14:textId="36D22E09" w:rsidR="003E574E"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.5</w:t>
      </w:r>
      <w:r w:rsidR="00E85BA7" w:rsidRPr="004E053C">
        <w:rPr>
          <w:rFonts w:asciiTheme="minorHAnsi" w:hAnsiTheme="minorHAnsi"/>
        </w:rPr>
        <w:t>.3. The i</w:t>
      </w:r>
      <w:r w:rsidR="003E574E" w:rsidRPr="004E053C">
        <w:rPr>
          <w:rFonts w:asciiTheme="minorHAnsi" w:hAnsiTheme="minorHAnsi"/>
        </w:rPr>
        <w:t>m</w:t>
      </w:r>
      <w:r w:rsidR="00E85BA7" w:rsidRPr="004E053C">
        <w:rPr>
          <w:rFonts w:asciiTheme="minorHAnsi" w:hAnsiTheme="minorHAnsi"/>
        </w:rPr>
        <w:t>pact of t</w:t>
      </w:r>
      <w:r w:rsidR="003E574E" w:rsidRPr="004E053C">
        <w:rPr>
          <w:rFonts w:asciiTheme="minorHAnsi" w:hAnsiTheme="minorHAnsi"/>
        </w:rPr>
        <w:t>ranslocality</w:t>
      </w:r>
      <w:r w:rsidR="0019375F" w:rsidRPr="004E053C">
        <w:rPr>
          <w:rFonts w:asciiTheme="minorHAnsi" w:hAnsiTheme="minorHAnsi"/>
        </w:rPr>
        <w:t xml:space="preserve"> </w:t>
      </w:r>
      <w:r w:rsidR="00E85BA7" w:rsidRPr="004E053C">
        <w:rPr>
          <w:rFonts w:asciiTheme="minorHAnsi" w:hAnsiTheme="minorHAnsi"/>
        </w:rPr>
        <w:t>and i</w:t>
      </w:r>
      <w:r w:rsidR="00AA4FF7" w:rsidRPr="004E053C">
        <w:rPr>
          <w:rFonts w:asciiTheme="minorHAnsi" w:hAnsiTheme="minorHAnsi"/>
        </w:rPr>
        <w:t xml:space="preserve">dentity </w:t>
      </w:r>
      <w:r w:rsidR="00E85BA7" w:rsidRPr="004E053C">
        <w:rPr>
          <w:rFonts w:asciiTheme="minorHAnsi" w:hAnsiTheme="minorHAnsi"/>
        </w:rPr>
        <w:t>on narrative d</w:t>
      </w:r>
      <w:r w:rsidR="0019375F" w:rsidRPr="004E053C">
        <w:rPr>
          <w:rFonts w:asciiTheme="minorHAnsi" w:hAnsiTheme="minorHAnsi"/>
        </w:rPr>
        <w:t>evelopment</w:t>
      </w:r>
    </w:p>
    <w:p w14:paraId="2DBBFD59" w14:textId="77777777" w:rsidR="0019375F" w:rsidRPr="004E053C" w:rsidRDefault="0019375F" w:rsidP="004E053C">
      <w:pPr>
        <w:spacing w:line="360" w:lineRule="auto"/>
        <w:jc w:val="both"/>
        <w:rPr>
          <w:rFonts w:cstheme="majorHAnsi"/>
          <w:lang w:val="en-GB"/>
        </w:rPr>
      </w:pPr>
    </w:p>
    <w:p w14:paraId="587EB8F4" w14:textId="75B74B7C"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As noted in the above section, for miners who carry out their livelihood in a </w:t>
      </w:r>
      <w:r w:rsidR="00356E2C" w:rsidRPr="004E053C">
        <w:rPr>
          <w:rFonts w:cstheme="majorHAnsi"/>
          <w:sz w:val="22"/>
          <w:szCs w:val="22"/>
          <w:lang w:val="en-GB"/>
        </w:rPr>
        <w:t xml:space="preserve">highly translocal fashion, the sense </w:t>
      </w:r>
      <w:r w:rsidRPr="004E053C">
        <w:rPr>
          <w:rFonts w:cstheme="majorHAnsi"/>
          <w:sz w:val="22"/>
          <w:szCs w:val="22"/>
          <w:lang w:val="en-GB"/>
        </w:rPr>
        <w:t xml:space="preserve">of place attachment and identity within the host community is likely to be far less developed. It therefore follows that as these miners </w:t>
      </w:r>
      <w:r w:rsidR="00356E2C" w:rsidRPr="004E053C">
        <w:rPr>
          <w:rFonts w:cstheme="majorHAnsi"/>
          <w:sz w:val="22"/>
          <w:szCs w:val="22"/>
          <w:lang w:val="en-GB"/>
        </w:rPr>
        <w:t>have little long-term interest in the</w:t>
      </w:r>
      <w:r w:rsidRPr="004E053C">
        <w:rPr>
          <w:rFonts w:cstheme="majorHAnsi"/>
          <w:sz w:val="22"/>
          <w:szCs w:val="22"/>
          <w:lang w:val="en-GB"/>
        </w:rPr>
        <w:t xml:space="preserve"> town, they will be less inclined to develop narratives relating to what is considered to be an out-group. This is particularly true if the miners are inclined to move around and work in different places. Although the </w:t>
      </w:r>
      <w:r w:rsidR="00356E2C" w:rsidRPr="004E053C">
        <w:rPr>
          <w:rFonts w:cstheme="majorHAnsi"/>
          <w:sz w:val="22"/>
          <w:szCs w:val="22"/>
          <w:lang w:val="en-GB"/>
        </w:rPr>
        <w:t>temporary</w:t>
      </w:r>
      <w:r w:rsidRPr="004E053C">
        <w:rPr>
          <w:rFonts w:cstheme="majorHAnsi"/>
          <w:sz w:val="22"/>
          <w:szCs w:val="22"/>
          <w:lang w:val="en-GB"/>
        </w:rPr>
        <w:t xml:space="preserve"> miners in Laberinto acknowledge the fact that mining in La Pampa takes place on </w:t>
      </w:r>
      <w:r w:rsidR="005527DD" w:rsidRPr="004E053C">
        <w:rPr>
          <w:rFonts w:cstheme="majorHAnsi"/>
          <w:sz w:val="22"/>
          <w:szCs w:val="22"/>
          <w:lang w:val="en-GB"/>
        </w:rPr>
        <w:t>ground that</w:t>
      </w:r>
      <w:r w:rsidRPr="004E053C">
        <w:rPr>
          <w:rFonts w:cstheme="majorHAnsi"/>
          <w:sz w:val="22"/>
          <w:szCs w:val="22"/>
          <w:lang w:val="en-GB"/>
        </w:rPr>
        <w:t xml:space="preserve"> has never been designated for mining, they do not build a construct of the </w:t>
      </w:r>
      <w:r w:rsidR="003B5DCB" w:rsidRPr="004E053C">
        <w:rPr>
          <w:rFonts w:cstheme="majorHAnsi"/>
          <w:sz w:val="22"/>
          <w:szCs w:val="22"/>
          <w:lang w:val="en-GB"/>
        </w:rPr>
        <w:t>‘other’</w:t>
      </w:r>
      <w:r w:rsidRPr="004E053C">
        <w:rPr>
          <w:rFonts w:cstheme="majorHAnsi"/>
          <w:sz w:val="22"/>
          <w:szCs w:val="22"/>
          <w:lang w:val="en-GB"/>
        </w:rPr>
        <w:t xml:space="preserve"> in the same way as the </w:t>
      </w:r>
      <w:r w:rsidR="00356E2C" w:rsidRPr="004E053C">
        <w:rPr>
          <w:rFonts w:cstheme="majorHAnsi"/>
          <w:sz w:val="22"/>
          <w:szCs w:val="22"/>
          <w:lang w:val="en-GB"/>
        </w:rPr>
        <w:t>permanent</w:t>
      </w:r>
      <w:r w:rsidRPr="004E053C">
        <w:rPr>
          <w:rFonts w:cstheme="majorHAnsi"/>
          <w:sz w:val="22"/>
          <w:szCs w:val="22"/>
          <w:lang w:val="en-GB"/>
        </w:rPr>
        <w:t xml:space="preserve"> miners do. Furthermore, </w:t>
      </w:r>
      <w:r w:rsidRPr="004E053C">
        <w:rPr>
          <w:rFonts w:eastAsia="Times New Roman" w:cstheme="majorHAnsi"/>
          <w:sz w:val="22"/>
          <w:szCs w:val="22"/>
          <w:lang w:val="en-GB"/>
        </w:rPr>
        <w:t xml:space="preserve">while the </w:t>
      </w:r>
      <w:r w:rsidR="00356E2C" w:rsidRPr="004E053C">
        <w:rPr>
          <w:rFonts w:eastAsia="Times New Roman" w:cstheme="majorHAnsi"/>
          <w:sz w:val="22"/>
          <w:szCs w:val="22"/>
          <w:lang w:val="en-GB"/>
        </w:rPr>
        <w:t xml:space="preserve">temporary miners still sometimes blame environmental </w:t>
      </w:r>
      <w:r w:rsidR="00A05A14" w:rsidRPr="004E053C">
        <w:rPr>
          <w:rFonts w:eastAsia="Times New Roman" w:cstheme="majorHAnsi"/>
          <w:sz w:val="22"/>
          <w:szCs w:val="22"/>
          <w:lang w:val="en-GB"/>
        </w:rPr>
        <w:t>degradation</w:t>
      </w:r>
      <w:r w:rsidR="00356E2C" w:rsidRPr="004E053C">
        <w:rPr>
          <w:rFonts w:eastAsia="Times New Roman" w:cstheme="majorHAnsi"/>
          <w:sz w:val="22"/>
          <w:szCs w:val="22"/>
          <w:lang w:val="en-GB"/>
        </w:rPr>
        <w:t xml:space="preserve"> on</w:t>
      </w:r>
      <w:r w:rsidRPr="004E053C">
        <w:rPr>
          <w:rFonts w:eastAsia="Times New Roman" w:cstheme="majorHAnsi"/>
          <w:sz w:val="22"/>
          <w:szCs w:val="22"/>
          <w:lang w:val="en-GB"/>
        </w:rPr>
        <w:t xml:space="preserve"> high-levels of in-migration, they did not seek to create differentiated identities, claiming that everyone treated the land in the same way and </w:t>
      </w:r>
      <w:r w:rsidR="003B5DCB" w:rsidRPr="004E053C">
        <w:rPr>
          <w:rFonts w:eastAsia="Times New Roman" w:cstheme="majorHAnsi"/>
          <w:sz w:val="22"/>
          <w:szCs w:val="22"/>
          <w:lang w:val="en-GB"/>
        </w:rPr>
        <w:t>‘</w:t>
      </w:r>
      <w:r w:rsidRPr="004E053C">
        <w:rPr>
          <w:rFonts w:eastAsia="Times New Roman" w:cstheme="majorHAnsi"/>
          <w:i/>
          <w:iCs/>
          <w:sz w:val="22"/>
          <w:szCs w:val="22"/>
          <w:lang w:val="en-GB"/>
        </w:rPr>
        <w:t>didn’t think about deforestation</w:t>
      </w:r>
      <w:r w:rsidR="003B5DCB"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Christian</w:t>
      </w:r>
      <w:r w:rsidRPr="004E053C">
        <w:rPr>
          <w:rFonts w:eastAsia="Times New Roman" w:cstheme="majorHAnsi"/>
          <w:sz w:val="22"/>
          <w:szCs w:val="22"/>
          <w:lang w:val="en-GB"/>
        </w:rPr>
        <w:t xml:space="preserve">, </w:t>
      </w:r>
      <w:r w:rsidRPr="004E053C">
        <w:rPr>
          <w:rFonts w:eastAsia="Times New Roman" w:cstheme="majorHAnsi"/>
          <w:i/>
          <w:sz w:val="22"/>
          <w:szCs w:val="22"/>
          <w:lang w:val="en-GB"/>
        </w:rPr>
        <w:t>Obrero</w:t>
      </w:r>
      <w:r w:rsidRPr="004E053C">
        <w:rPr>
          <w:rFonts w:eastAsia="Times New Roman" w:cstheme="majorHAnsi"/>
          <w:sz w:val="22"/>
          <w:szCs w:val="22"/>
          <w:lang w:val="en-GB"/>
        </w:rPr>
        <w:t xml:space="preserve">, Laberinto). </w:t>
      </w:r>
    </w:p>
    <w:p w14:paraId="7E46B01F" w14:textId="77777777" w:rsidR="003E574E" w:rsidRPr="004E053C" w:rsidRDefault="003E574E" w:rsidP="004E053C">
      <w:pPr>
        <w:spacing w:line="360" w:lineRule="auto"/>
        <w:jc w:val="both"/>
        <w:rPr>
          <w:rFonts w:eastAsia="Times New Roman" w:cstheme="majorHAnsi"/>
          <w:sz w:val="22"/>
          <w:szCs w:val="22"/>
          <w:lang w:val="en-GB"/>
        </w:rPr>
      </w:pPr>
    </w:p>
    <w:p w14:paraId="4F8E4B5B" w14:textId="59E7F7C9" w:rsidR="00286545"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lastRenderedPageBreak/>
        <w:t>The mining families based in Ocongate, all of whom carried out their mining activity in La P</w:t>
      </w:r>
      <w:r w:rsidR="00114C03" w:rsidRPr="004E053C">
        <w:rPr>
          <w:rFonts w:cstheme="majorHAnsi"/>
          <w:sz w:val="22"/>
          <w:szCs w:val="22"/>
          <w:lang w:val="en-GB"/>
        </w:rPr>
        <w:t xml:space="preserve">ampa or the equally illegal </w:t>
      </w:r>
      <w:r w:rsidRPr="004E053C">
        <w:rPr>
          <w:rFonts w:cstheme="majorHAnsi"/>
          <w:sz w:val="22"/>
          <w:szCs w:val="22"/>
          <w:lang w:val="en-GB"/>
        </w:rPr>
        <w:t>Andean mining settlement of La Rinconada, did not distinguish between different levels of inf</w:t>
      </w:r>
      <w:r w:rsidR="00114C03" w:rsidRPr="004E053C">
        <w:rPr>
          <w:rFonts w:cstheme="majorHAnsi"/>
          <w:sz w:val="22"/>
          <w:szCs w:val="22"/>
          <w:lang w:val="en-GB"/>
        </w:rPr>
        <w:t>ormality and/or illegality. The</w:t>
      </w:r>
      <w:r w:rsidRPr="004E053C">
        <w:rPr>
          <w:rFonts w:cstheme="majorHAnsi"/>
          <w:sz w:val="22"/>
          <w:szCs w:val="22"/>
          <w:lang w:val="en-GB"/>
        </w:rPr>
        <w:t xml:space="preserve"> narratives they provided treated legal miners as anyone employed by a larg</w:t>
      </w:r>
      <w:r w:rsidR="00114C03" w:rsidRPr="004E053C">
        <w:rPr>
          <w:rFonts w:cstheme="majorHAnsi"/>
          <w:sz w:val="22"/>
          <w:szCs w:val="22"/>
          <w:lang w:val="en-GB"/>
        </w:rPr>
        <w:t>e multi-national mining company</w:t>
      </w:r>
      <w:r w:rsidRPr="004E053C">
        <w:rPr>
          <w:rFonts w:cstheme="majorHAnsi"/>
          <w:sz w:val="22"/>
          <w:szCs w:val="22"/>
          <w:lang w:val="en-GB"/>
        </w:rPr>
        <w:t xml:space="preserve"> and the rest to be working illegally. For the inhabitants of Ocongate, it was the lack of labour rights and medical insurance they were most worried about, rather than a need to defend the legitimacy of their livelihood. Although some of the respondents noted that the Government </w:t>
      </w:r>
      <w:r w:rsidR="005527DD" w:rsidRPr="004E053C">
        <w:rPr>
          <w:rFonts w:cstheme="majorHAnsi"/>
          <w:sz w:val="22"/>
          <w:szCs w:val="22"/>
          <w:lang w:val="en-GB"/>
        </w:rPr>
        <w:t>was</w:t>
      </w:r>
      <w:r w:rsidRPr="004E053C">
        <w:rPr>
          <w:rFonts w:cstheme="majorHAnsi"/>
          <w:sz w:val="22"/>
          <w:szCs w:val="22"/>
          <w:lang w:val="en-GB"/>
        </w:rPr>
        <w:t xml:space="preserve"> attempting to eliminate illegal mining, this comes with the acceptance that at some point working in the area may stop being viable. Although these households are engaging in translocal livelihoods, the majority have retained an active orientation towards home </w:t>
      </w:r>
      <w:r w:rsidR="00B06217" w:rsidRPr="004E053C">
        <w:rPr>
          <w:rFonts w:cstheme="majorHAnsi"/>
          <w:sz w:val="22"/>
          <w:szCs w:val="22"/>
          <w:lang w:val="en-GB"/>
        </w:rPr>
        <w:fldChar w:fldCharType="begin" w:fldLock="1"/>
      </w:r>
      <w:r w:rsidR="005D0B08">
        <w:rPr>
          <w:rFonts w:cstheme="majorHAnsi"/>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context","type":"article-journal","volume":"87"},"uris":["http://www.mendeley.com/documents/?uuid=7cce9b74-a4c7-4bac-9677-fb4af5167fab"]},{"id":"ITEM-2","itemData":{"abstract":"Based on qualitative fieldwork, this study analyses reasons and outcomes of fishers’ migration in Bangladesh. The results show that fishers’ livelihoods are characterised by a series of vulnerabilities and endemic poverty contributing to their migration decisions. However, fishers also migrate pro-actively to enhance their capacities and explore opportunities. The outcomes of migration are highly diverging: while for poorer fishers, migration is a way of coping with shocks, better resourced fishers can use it for asset accumulation. The importance of migration for their livelihoods and emerging networks across space generate forms of translocal households that coordinate their activities over long distances.","author":[{"dropping-particle":"","family":"Islam","given":"Mohammad Mahmudul","non-dropping-particle":"","parse-names":false,"suffix":""},{"dropping-particle":"","family":"Herbeck","given":"Johannes","non-dropping-particle":"","parse-names":false,"suffix":""}],"container-title":"The Journal of Development Studies","id":"ITEM-2","issue":"6","issued":{"date-parts":[["2013"]]},"page":"1-14","title":"Migration and translocal livelihoods of coastal small-scale fishers in Bangladesh","type":"article-journal","volume":"49"},"uris":["http://www.mendeley.com/documents/?uuid=2af1f3d3-bc4c-48dd-90fe-c5e4a832bdf9"]}],"mendeley":{"formattedCitation":"(Islam &amp; Herbeck, 2013; B Lohnert &amp; Steinbrink, 2005)","manualFormatting":"(Islam &amp; Herbeck, 2013; Lohnert &amp; Steinbrink, 2005)","plainTextFormattedCitation":"(Islam &amp; Herbeck, 2013; B Lohnert &amp; Steinbrink, 2005)","previouslyFormattedCitation":"(Islam &amp; Herbeck, 2013; B Lohnert &amp; Steinbrink, 2005)"},"properties":{"noteIndex":0},"schema":"https://github.com/citation-style-language/schema/raw/master/csl-citation.json"}</w:instrText>
      </w:r>
      <w:r w:rsidR="00B06217" w:rsidRPr="004E053C">
        <w:rPr>
          <w:rFonts w:cstheme="majorHAnsi"/>
          <w:sz w:val="22"/>
          <w:szCs w:val="22"/>
          <w:lang w:val="en-GB"/>
        </w:rPr>
        <w:fldChar w:fldCharType="separate"/>
      </w:r>
      <w:r w:rsidR="00061F17" w:rsidRPr="004E053C">
        <w:rPr>
          <w:rFonts w:cstheme="majorHAnsi"/>
          <w:noProof/>
          <w:sz w:val="22"/>
          <w:szCs w:val="22"/>
          <w:lang w:val="en-GB"/>
        </w:rPr>
        <w:t>(Islam &amp; Herbeck, 20</w:t>
      </w:r>
      <w:r w:rsidR="009628C7" w:rsidRPr="004E053C">
        <w:rPr>
          <w:rFonts w:cstheme="majorHAnsi"/>
          <w:noProof/>
          <w:sz w:val="22"/>
          <w:szCs w:val="22"/>
          <w:lang w:val="en-GB"/>
        </w:rPr>
        <w:t xml:space="preserve">13; </w:t>
      </w:r>
      <w:r w:rsidR="00061F17" w:rsidRPr="004E053C">
        <w:rPr>
          <w:rFonts w:cstheme="majorHAnsi"/>
          <w:noProof/>
          <w:sz w:val="22"/>
          <w:szCs w:val="22"/>
          <w:lang w:val="en-GB"/>
        </w:rPr>
        <w:t>Lohnert &amp; Steinbrink, 2005)</w:t>
      </w:r>
      <w:r w:rsidR="00B06217" w:rsidRPr="004E053C">
        <w:rPr>
          <w:rFonts w:cstheme="majorHAnsi"/>
          <w:sz w:val="22"/>
          <w:szCs w:val="22"/>
          <w:lang w:val="en-GB"/>
        </w:rPr>
        <w:fldChar w:fldCharType="end"/>
      </w:r>
      <w:r w:rsidRPr="004E053C">
        <w:rPr>
          <w:rFonts w:cstheme="majorHAnsi"/>
          <w:sz w:val="22"/>
          <w:szCs w:val="22"/>
          <w:lang w:val="en-GB"/>
        </w:rPr>
        <w:t xml:space="preserve">, which means the development of a community identity in the destination community had not been as well developed as it is for </w:t>
      </w:r>
      <w:r w:rsidR="00260195" w:rsidRPr="004E053C">
        <w:rPr>
          <w:rFonts w:cstheme="majorHAnsi"/>
          <w:sz w:val="22"/>
          <w:szCs w:val="22"/>
          <w:lang w:val="en-GB"/>
        </w:rPr>
        <w:t>the permanent</w:t>
      </w:r>
      <w:r w:rsidRPr="004E053C">
        <w:rPr>
          <w:rFonts w:cstheme="majorHAnsi"/>
          <w:sz w:val="22"/>
          <w:szCs w:val="22"/>
          <w:lang w:val="en-GB"/>
        </w:rPr>
        <w:t xml:space="preserve"> miners in Laberinto.</w:t>
      </w:r>
    </w:p>
    <w:p w14:paraId="08F650B0" w14:textId="77777777" w:rsidR="00260195" w:rsidRPr="004E053C" w:rsidRDefault="00260195" w:rsidP="004E053C">
      <w:pPr>
        <w:spacing w:line="360" w:lineRule="auto"/>
        <w:jc w:val="both"/>
        <w:rPr>
          <w:rFonts w:cstheme="majorHAnsi"/>
          <w:sz w:val="22"/>
          <w:szCs w:val="22"/>
          <w:lang w:val="en-GB"/>
        </w:rPr>
      </w:pPr>
    </w:p>
    <w:p w14:paraId="6C821C84" w14:textId="56CD8A81" w:rsidR="00260195" w:rsidRPr="004E053C" w:rsidRDefault="003637C9" w:rsidP="004E053C">
      <w:pPr>
        <w:spacing w:line="360" w:lineRule="auto"/>
        <w:jc w:val="both"/>
        <w:rPr>
          <w:rFonts w:eastAsia="Times New Roman" w:cstheme="majorHAnsi"/>
          <w:sz w:val="22"/>
          <w:szCs w:val="22"/>
          <w:lang w:val="en-GB"/>
        </w:rPr>
      </w:pPr>
      <w:r w:rsidRPr="004E053C">
        <w:rPr>
          <w:rFonts w:cstheme="majorHAnsi"/>
          <w:sz w:val="22"/>
          <w:szCs w:val="22"/>
          <w:lang w:val="en-GB"/>
        </w:rPr>
        <w:t>The examples provided in section 8.5</w:t>
      </w:r>
      <w:r w:rsidR="00260195" w:rsidRPr="004E053C">
        <w:rPr>
          <w:rFonts w:cstheme="majorHAnsi"/>
          <w:sz w:val="22"/>
          <w:szCs w:val="22"/>
          <w:lang w:val="en-GB"/>
        </w:rPr>
        <w:t xml:space="preserve"> have </w:t>
      </w:r>
      <w:r w:rsidR="003F3D19" w:rsidRPr="004E053C">
        <w:rPr>
          <w:rFonts w:cstheme="majorHAnsi"/>
          <w:sz w:val="22"/>
          <w:szCs w:val="22"/>
          <w:lang w:val="en-GB"/>
        </w:rPr>
        <w:t>illustrated how</w:t>
      </w:r>
      <w:r w:rsidRPr="004E053C">
        <w:rPr>
          <w:rFonts w:cstheme="majorHAnsi"/>
          <w:sz w:val="22"/>
          <w:szCs w:val="22"/>
          <w:lang w:val="en-GB"/>
        </w:rPr>
        <w:t xml:space="preserve"> narratives </w:t>
      </w:r>
      <w:r w:rsidR="00114C03" w:rsidRPr="004E053C">
        <w:rPr>
          <w:rFonts w:cstheme="majorHAnsi"/>
          <w:sz w:val="22"/>
          <w:szCs w:val="22"/>
          <w:lang w:val="en-GB"/>
        </w:rPr>
        <w:t>are used to legitimis</w:t>
      </w:r>
      <w:r w:rsidR="00260195" w:rsidRPr="004E053C">
        <w:rPr>
          <w:rFonts w:cstheme="majorHAnsi"/>
          <w:sz w:val="22"/>
          <w:szCs w:val="22"/>
          <w:lang w:val="en-GB"/>
        </w:rPr>
        <w:t xml:space="preserve">e behaviour, but </w:t>
      </w:r>
      <w:r w:rsidRPr="004E053C">
        <w:rPr>
          <w:rFonts w:cstheme="majorHAnsi"/>
          <w:sz w:val="22"/>
          <w:szCs w:val="22"/>
          <w:lang w:val="en-GB"/>
        </w:rPr>
        <w:t>they are also clearly</w:t>
      </w:r>
      <w:r w:rsidR="00260195" w:rsidRPr="004E053C">
        <w:rPr>
          <w:rFonts w:cstheme="majorHAnsi"/>
          <w:sz w:val="22"/>
          <w:szCs w:val="22"/>
          <w:lang w:val="en-GB"/>
        </w:rPr>
        <w:t xml:space="preserve"> linked to identity and existence within a social field </w:t>
      </w:r>
      <w:r w:rsidR="00463585"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{"citationItems":[{"id":"ITEM-1","itemData":{"author":[{"dropping-particle":"","family":"Fleetwood","given":"Jennifer","non-dropping-particle":"","parse-names":false,"suffix":""}],"container-title":"Crime, Media, Culture","id":"ITEM-1","issue":"2","issued":{"date-parts":[["2016"]]},"page":"173-192","title":"Narrative habitus: thinking through structure/agency in the narratives of offenders","type":"article-journal","volume":"12"},"uris":["http://www.mendeley.com/documents/?uuid=3db1ed2b-b7a1-4eaa-89c4-87d42343c878"]}],"mendeley":{"formattedCitation":"(Fleetwood, 2016)","plainTextFormattedCitation":"(Fleetwood, 2016)","previouslyFormattedCitation":"(Fleetwood, 2016)"},"properties":{"noteIndex":0},"schema":"https://github.com/citation-style-language/schema/raw/master/csl-citation.json"}</w:instrText>
      </w:r>
      <w:r w:rsidR="00463585" w:rsidRPr="004E053C">
        <w:rPr>
          <w:rFonts w:cstheme="majorHAnsi"/>
          <w:sz w:val="22"/>
          <w:szCs w:val="22"/>
          <w:lang w:val="en-GB"/>
        </w:rPr>
        <w:fldChar w:fldCharType="separate"/>
      </w:r>
      <w:r w:rsidR="00463585" w:rsidRPr="004E053C">
        <w:rPr>
          <w:rFonts w:cstheme="majorHAnsi"/>
          <w:noProof/>
          <w:sz w:val="22"/>
          <w:szCs w:val="22"/>
          <w:lang w:val="en-GB"/>
        </w:rPr>
        <w:t>(Fleetwood, 2016)</w:t>
      </w:r>
      <w:r w:rsidR="00463585" w:rsidRPr="004E053C">
        <w:rPr>
          <w:rFonts w:cstheme="majorHAnsi"/>
          <w:sz w:val="22"/>
          <w:szCs w:val="22"/>
          <w:lang w:val="en-GB"/>
        </w:rPr>
        <w:fldChar w:fldCharType="end"/>
      </w:r>
      <w:r w:rsidR="00260195" w:rsidRPr="004E053C">
        <w:rPr>
          <w:rFonts w:eastAsia="Times New Roman" w:cstheme="majorHAnsi"/>
          <w:sz w:val="22"/>
          <w:szCs w:val="22"/>
          <w:lang w:val="en-GB"/>
        </w:rPr>
        <w:t>. The interesting point to note is</w:t>
      </w:r>
      <w:r w:rsidRPr="004E053C">
        <w:rPr>
          <w:rFonts w:eastAsia="Times New Roman" w:cstheme="majorHAnsi"/>
          <w:sz w:val="22"/>
          <w:szCs w:val="22"/>
          <w:lang w:val="en-GB"/>
        </w:rPr>
        <w:t xml:space="preserve"> that this construction of the ‘other’ is aimed at other actors</w:t>
      </w:r>
      <w:r w:rsidR="00260195" w:rsidRPr="004E053C">
        <w:rPr>
          <w:rFonts w:eastAsia="Times New Roman" w:cstheme="majorHAnsi"/>
          <w:sz w:val="22"/>
          <w:szCs w:val="22"/>
          <w:lang w:val="en-GB"/>
        </w:rPr>
        <w:t xml:space="preserve"> </w:t>
      </w:r>
      <w:r w:rsidR="00260195" w:rsidRPr="004E053C">
        <w:rPr>
          <w:rFonts w:eastAsia="Times New Roman" w:cstheme="majorHAnsi"/>
          <w:i/>
          <w:sz w:val="22"/>
          <w:szCs w:val="22"/>
          <w:lang w:val="en-GB"/>
        </w:rPr>
        <w:t>within</w:t>
      </w:r>
      <w:r w:rsidR="00260195" w:rsidRPr="004E053C">
        <w:rPr>
          <w:rFonts w:eastAsia="Times New Roman" w:cstheme="majorHAnsi"/>
          <w:sz w:val="22"/>
          <w:szCs w:val="22"/>
          <w:lang w:val="en-GB"/>
        </w:rPr>
        <w:t xml:space="preserve"> the translocal social field, rather than external actors or groups. Although this may seem to detract from the idea that miners are all operating within the same social field, </w:t>
      </w:r>
      <w:r w:rsidRPr="004E053C">
        <w:rPr>
          <w:rFonts w:eastAsia="Times New Roman" w:cstheme="majorHAnsi"/>
          <w:sz w:val="22"/>
          <w:szCs w:val="22"/>
          <w:lang w:val="en-GB"/>
        </w:rPr>
        <w:t xml:space="preserve">we know that the agents within a social field occupy different positions and do not therefore exhibit identical behaviour </w:t>
      </w:r>
      <w:r w:rsidR="00463585" w:rsidRPr="004E053C">
        <w:rPr>
          <w:rFonts w:eastAsia="Times New Roman" w:cstheme="majorHAnsi"/>
          <w:sz w:val="22"/>
          <w:szCs w:val="22"/>
          <w:lang w:val="en-GB"/>
        </w:rPr>
        <w:fldChar w:fldCharType="begin" w:fldLock="1"/>
      </w:r>
      <w:r w:rsidR="0004146F" w:rsidRPr="004E053C">
        <w:rPr>
          <w:rFonts w:eastAsia="Times New Roman" w:cstheme="majorHAnsi"/>
          <w:sz w:val="22"/>
          <w:szCs w:val="22"/>
          <w:lang w:val="en-GB"/>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2016)","plainTextFormattedCitation":"(Shammus &amp; Sandberg, 2016)","previouslyFormattedCitation":"(Shammus &amp; Sandberg, 2016)"},"properties":{"noteIndex":0},"schema":"https://github.com/citation-style-language/schema/raw/master/csl-citation.json"}</w:instrText>
      </w:r>
      <w:r w:rsidR="00463585" w:rsidRPr="004E053C">
        <w:rPr>
          <w:rFonts w:eastAsia="Times New Roman" w:cstheme="majorHAnsi"/>
          <w:sz w:val="22"/>
          <w:szCs w:val="22"/>
          <w:lang w:val="en-GB"/>
        </w:rPr>
        <w:fldChar w:fldCharType="separate"/>
      </w:r>
      <w:r w:rsidR="00463585" w:rsidRPr="004E053C">
        <w:rPr>
          <w:rFonts w:eastAsia="Times New Roman" w:cstheme="majorHAnsi"/>
          <w:noProof/>
          <w:sz w:val="22"/>
          <w:szCs w:val="22"/>
          <w:lang w:val="en-GB"/>
        </w:rPr>
        <w:t>(Shammus &amp; Sandberg, 2016)</w:t>
      </w:r>
      <w:r w:rsidR="00463585"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w:t>
      </w:r>
      <w:r w:rsidR="00463585" w:rsidRPr="004E053C">
        <w:rPr>
          <w:rFonts w:eastAsia="Times New Roman" w:cstheme="majorHAnsi"/>
          <w:sz w:val="22"/>
          <w:szCs w:val="22"/>
          <w:lang w:val="en-GB"/>
        </w:rPr>
        <w:t>D</w:t>
      </w:r>
      <w:r w:rsidR="003C3E55" w:rsidRPr="004E053C">
        <w:rPr>
          <w:rFonts w:eastAsia="Times New Roman" w:cstheme="majorHAnsi"/>
          <w:sz w:val="22"/>
          <w:szCs w:val="22"/>
          <w:lang w:val="en-GB"/>
        </w:rPr>
        <w:t xml:space="preserve">e Boeck </w:t>
      </w:r>
      <w:r w:rsidR="00463585" w:rsidRPr="004E053C">
        <w:rPr>
          <w:rFonts w:eastAsia="Times New Roman" w:cstheme="majorHAnsi"/>
          <w:sz w:val="22"/>
          <w:szCs w:val="22"/>
          <w:lang w:val="en-GB"/>
        </w:rPr>
        <w:fldChar w:fldCharType="begin" w:fldLock="1"/>
      </w:r>
      <w:r w:rsidR="007A757C" w:rsidRPr="004E053C">
        <w:rPr>
          <w:rFonts w:eastAsia="Times New Roman" w:cstheme="majorHAnsi"/>
          <w:sz w:val="22"/>
          <w:szCs w:val="22"/>
          <w:lang w:val="en-GB"/>
        </w:rPr>
        <w:instrText>ADDIN CSL_CITATION {"citationItems":[{"id":"ITEM-1","itemData":{"author":[{"dropping-particle":"","family":"Boeck","given":"Filip","non-dropping-particle":"De","parse-names":false,"suffix":""}],"chapter-number":"8","container-title":"Globalization and Identity: Dialectics of Flow and Closure","id":"ITEM-1","issued":{"date-parts":[["1998"]]},"page":"177-210","publisher":"Blackwell Publishers","publisher-place":"Oxford","title":"Domesticating Diamonds and Dollars: Identity, Expenditure and Sharing in Southwestern Zaire (1984-1997)","type":"chapter"},"uris":["http://www.mendeley.com/documents/?uuid=a17c0819-d02e-34b6-8968-2c6b6f095216"]}],"mendeley":{"formattedCitation":"(De Boeck, 1998)","manualFormatting":"(1999)","plainTextFormattedCitation":"(De Boeck, 1998)","previouslyFormattedCitation":"(De Boeck, 1998)"},"properties":{"noteIndex":0},"schema":"https://github.com/citation-style-language/schema/raw/master/csl-citation.json"}</w:instrText>
      </w:r>
      <w:r w:rsidR="00463585" w:rsidRPr="004E053C">
        <w:rPr>
          <w:rFonts w:eastAsia="Times New Roman" w:cstheme="majorHAnsi"/>
          <w:sz w:val="22"/>
          <w:szCs w:val="22"/>
          <w:lang w:val="en-GB"/>
        </w:rPr>
        <w:fldChar w:fldCharType="separate"/>
      </w:r>
      <w:r w:rsidR="00463585" w:rsidRPr="004E053C">
        <w:rPr>
          <w:rFonts w:eastAsia="Times New Roman" w:cstheme="majorHAnsi"/>
          <w:noProof/>
          <w:sz w:val="22"/>
          <w:szCs w:val="22"/>
          <w:lang w:val="en-GB"/>
        </w:rPr>
        <w:t>(1999)</w:t>
      </w:r>
      <w:r w:rsidR="00463585" w:rsidRPr="004E053C">
        <w:rPr>
          <w:rFonts w:eastAsia="Times New Roman" w:cstheme="majorHAnsi"/>
          <w:sz w:val="22"/>
          <w:szCs w:val="22"/>
          <w:lang w:val="en-GB"/>
        </w:rPr>
        <w:fldChar w:fldCharType="end"/>
      </w:r>
      <w:r w:rsidR="003C3E55" w:rsidRPr="004E053C">
        <w:rPr>
          <w:rFonts w:eastAsia="Times New Roman" w:cstheme="majorHAnsi"/>
          <w:sz w:val="22"/>
          <w:szCs w:val="22"/>
          <w:lang w:val="en-GB"/>
        </w:rPr>
        <w:t xml:space="preserve"> and Fisher </w:t>
      </w:r>
      <w:r w:rsidR="00463585" w:rsidRPr="004E053C">
        <w:rPr>
          <w:rFonts w:eastAsia="Times New Roman" w:cstheme="majorHAnsi"/>
          <w:sz w:val="22"/>
          <w:szCs w:val="22"/>
          <w:lang w:val="en-GB"/>
        </w:rPr>
        <w:fldChar w:fldCharType="begin" w:fldLock="1"/>
      </w:r>
      <w:r w:rsidR="00463585" w:rsidRPr="004E053C">
        <w:rPr>
          <w:rFonts w:eastAsia="Times New Roman" w:cstheme="majorHAnsi"/>
          <w:sz w:val="22"/>
          <w:szCs w:val="22"/>
          <w:lang w:val="en-GB"/>
        </w:rPr>
        <w:instrText>ADDIN CSL_CITATION {"citationItems":[{"id":"ITEM-1","itemData":{"abstract":"This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Change","id":"ITEM-1","issue":"4","issued":{"date-parts":[["2007"]]},"page":"735-760","title":"Occupying the Margins: Labour Integration and Social Exclusion in Artisanal Mining in Tanzania","type":"article-journal","volume":"38"},"uris":["http://www.mendeley.com/documents/?uuid=ff3b0073-6334-3642-aaf4-12090b595d93"]}],"mendeley":{"formattedCitation":"(Fisher, 2007)","manualFormatting":"(2007)","plainTextFormattedCitation":"(Fisher, 2007)","previouslyFormattedCitation":"(Fisher, 2007)"},"properties":{"noteIndex":0},"schema":"https://github.com/citation-style-language/schema/raw/master/csl-citation.json"}</w:instrText>
      </w:r>
      <w:r w:rsidR="00463585" w:rsidRPr="004E053C">
        <w:rPr>
          <w:rFonts w:eastAsia="Times New Roman" w:cstheme="majorHAnsi"/>
          <w:sz w:val="22"/>
          <w:szCs w:val="22"/>
          <w:lang w:val="en-GB"/>
        </w:rPr>
        <w:fldChar w:fldCharType="separate"/>
      </w:r>
      <w:r w:rsidR="00463585" w:rsidRPr="004E053C">
        <w:rPr>
          <w:rFonts w:eastAsia="Times New Roman" w:cstheme="majorHAnsi"/>
          <w:noProof/>
          <w:sz w:val="22"/>
          <w:szCs w:val="22"/>
          <w:lang w:val="en-GB"/>
        </w:rPr>
        <w:t>(2007)</w:t>
      </w:r>
      <w:r w:rsidR="00463585" w:rsidRPr="004E053C">
        <w:rPr>
          <w:rFonts w:eastAsia="Times New Roman" w:cstheme="majorHAnsi"/>
          <w:sz w:val="22"/>
          <w:szCs w:val="22"/>
          <w:lang w:val="en-GB"/>
        </w:rPr>
        <w:fldChar w:fldCharType="end"/>
      </w:r>
      <w:r w:rsidR="00463585" w:rsidRPr="004E053C">
        <w:rPr>
          <w:rFonts w:eastAsia="Times New Roman" w:cstheme="majorHAnsi"/>
          <w:sz w:val="22"/>
          <w:szCs w:val="22"/>
          <w:lang w:val="en-GB"/>
        </w:rPr>
        <w:t xml:space="preserve"> </w:t>
      </w:r>
      <w:r w:rsidR="003C3E55" w:rsidRPr="004E053C">
        <w:rPr>
          <w:rFonts w:eastAsia="Times New Roman" w:cstheme="majorHAnsi"/>
          <w:sz w:val="22"/>
          <w:szCs w:val="22"/>
          <w:lang w:val="en-GB"/>
        </w:rPr>
        <w:t xml:space="preserve">have previously highlighted how marginality and going against the norms of dominant society can allow miners to accrue wealth, yet even within the social field there may be some agents who deviate from internal norms for the same ends.  </w:t>
      </w:r>
      <w:r w:rsidRPr="004E053C">
        <w:rPr>
          <w:rFonts w:eastAsia="Times New Roman" w:cstheme="majorHAnsi"/>
          <w:sz w:val="22"/>
          <w:szCs w:val="22"/>
          <w:lang w:val="en-GB"/>
        </w:rPr>
        <w:t>While all the miners</w:t>
      </w:r>
      <w:r w:rsidR="003F3D19" w:rsidRPr="004E053C">
        <w:rPr>
          <w:rFonts w:eastAsia="Times New Roman" w:cstheme="majorHAnsi"/>
          <w:sz w:val="22"/>
          <w:szCs w:val="22"/>
          <w:lang w:val="en-GB"/>
        </w:rPr>
        <w:t xml:space="preserve"> are marginalised, not all </w:t>
      </w:r>
      <w:r w:rsidR="003C3E55" w:rsidRPr="004E053C">
        <w:rPr>
          <w:rFonts w:eastAsia="Times New Roman" w:cstheme="majorHAnsi"/>
          <w:sz w:val="22"/>
          <w:szCs w:val="22"/>
          <w:lang w:val="en-GB"/>
        </w:rPr>
        <w:t>are willing to</w:t>
      </w:r>
      <w:r w:rsidRPr="004E053C">
        <w:rPr>
          <w:rFonts w:eastAsia="Times New Roman" w:cstheme="majorHAnsi"/>
          <w:sz w:val="22"/>
          <w:szCs w:val="22"/>
          <w:lang w:val="en-GB"/>
        </w:rPr>
        <w:t xml:space="preserve"> engage in ASM in La Pampa or break the other rules of the field by engaging in </w:t>
      </w:r>
      <w:r w:rsidR="003F3D19" w:rsidRPr="004E053C">
        <w:rPr>
          <w:rFonts w:eastAsia="Times New Roman" w:cstheme="majorHAnsi"/>
          <w:sz w:val="22"/>
          <w:szCs w:val="22"/>
          <w:lang w:val="en-GB"/>
        </w:rPr>
        <w:t>acts of viol</w:t>
      </w:r>
      <w:r w:rsidR="00114C03" w:rsidRPr="004E053C">
        <w:rPr>
          <w:rFonts w:eastAsia="Times New Roman" w:cstheme="majorHAnsi"/>
          <w:sz w:val="22"/>
          <w:szCs w:val="22"/>
          <w:lang w:val="en-GB"/>
        </w:rPr>
        <w:t xml:space="preserve">ence, theft or organised crime. They </w:t>
      </w:r>
      <w:r w:rsidR="003C3E55" w:rsidRPr="004E053C">
        <w:rPr>
          <w:rFonts w:eastAsia="Times New Roman" w:cstheme="majorHAnsi"/>
          <w:sz w:val="22"/>
          <w:szCs w:val="22"/>
          <w:lang w:val="en-GB"/>
        </w:rPr>
        <w:t xml:space="preserve">are likely to view those that do in much the same was as </w:t>
      </w:r>
      <w:r w:rsidR="00463585" w:rsidRPr="004E053C">
        <w:rPr>
          <w:rFonts w:eastAsia="Times New Roman" w:cstheme="majorHAnsi"/>
          <w:sz w:val="22"/>
          <w:szCs w:val="22"/>
          <w:lang w:val="en-GB"/>
        </w:rPr>
        <w:t xml:space="preserve">wider society viewed the diamond miners in </w:t>
      </w:r>
      <w:r w:rsidR="003C3E55" w:rsidRPr="004E053C">
        <w:rPr>
          <w:rFonts w:eastAsia="Times New Roman" w:cstheme="majorHAnsi"/>
          <w:sz w:val="22"/>
          <w:szCs w:val="22"/>
          <w:lang w:val="en-GB"/>
        </w:rPr>
        <w:t>de Boeck</w:t>
      </w:r>
      <w:r w:rsidR="00463585" w:rsidRPr="004E053C">
        <w:rPr>
          <w:rFonts w:eastAsia="Times New Roman" w:cstheme="majorHAnsi"/>
          <w:sz w:val="22"/>
          <w:szCs w:val="22"/>
          <w:lang w:val="en-GB"/>
        </w:rPr>
        <w:t xml:space="preserve">’s </w:t>
      </w:r>
      <w:r w:rsidR="00463585" w:rsidRPr="004E053C">
        <w:rPr>
          <w:rFonts w:eastAsia="Times New Roman" w:cstheme="majorHAnsi"/>
          <w:sz w:val="22"/>
          <w:szCs w:val="22"/>
          <w:lang w:val="en-GB"/>
        </w:rPr>
        <w:fldChar w:fldCharType="begin" w:fldLock="1"/>
      </w:r>
      <w:r w:rsidR="007A757C" w:rsidRPr="004E053C">
        <w:rPr>
          <w:rFonts w:eastAsia="Times New Roman" w:cstheme="majorHAnsi"/>
          <w:sz w:val="22"/>
          <w:szCs w:val="22"/>
          <w:lang w:val="en-GB"/>
        </w:rPr>
        <w:instrText>ADDIN CSL_CITATION {"citationItems":[{"id":"ITEM-1","itemData":{"author":[{"dropping-particle":"","family":"Boeck","given":"Filip","non-dropping-particle":"De","parse-names":false,"suffix":""}],"chapter-number":"8","container-title":"Globalization and Identity: Dialectics of Flow and Closure","id":"ITEM-1","issued":{"date-parts":[["1998"]]},"page":"177-210","publisher":"Blackwell Publishers","publisher-place":"Oxford","title":"Domesticating Diamonds and Dollars: Identity, Expenditure and Sharing in Southwestern Zaire (1984-1997)","type":"chapter"},"uris":["http://www.mendeley.com/documents/?uuid=a17c0819-d02e-34b6-8968-2c6b6f095216"]}],"mendeley":{"formattedCitation":"(De Boeck, 1998)","manualFormatting":"(1999)","plainTextFormattedCitation":"(De Boeck, 1998)","previouslyFormattedCitation":"(De Boeck, 1998)"},"properties":{"noteIndex":0},"schema":"https://github.com/citation-style-language/schema/raw/master/csl-citation.json"}</w:instrText>
      </w:r>
      <w:r w:rsidR="00463585" w:rsidRPr="004E053C">
        <w:rPr>
          <w:rFonts w:eastAsia="Times New Roman" w:cstheme="majorHAnsi"/>
          <w:sz w:val="22"/>
          <w:szCs w:val="22"/>
          <w:lang w:val="en-GB"/>
        </w:rPr>
        <w:fldChar w:fldCharType="separate"/>
      </w:r>
      <w:r w:rsidR="00463585" w:rsidRPr="004E053C">
        <w:rPr>
          <w:rFonts w:eastAsia="Times New Roman" w:cstheme="majorHAnsi"/>
          <w:noProof/>
          <w:sz w:val="22"/>
          <w:szCs w:val="22"/>
          <w:lang w:val="en-GB"/>
        </w:rPr>
        <w:t>(1999)</w:t>
      </w:r>
      <w:r w:rsidR="00463585" w:rsidRPr="004E053C">
        <w:rPr>
          <w:rFonts w:eastAsia="Times New Roman" w:cstheme="majorHAnsi"/>
          <w:sz w:val="22"/>
          <w:szCs w:val="22"/>
          <w:lang w:val="en-GB"/>
        </w:rPr>
        <w:fldChar w:fldCharType="end"/>
      </w:r>
      <w:r w:rsidR="00463585" w:rsidRPr="004E053C">
        <w:rPr>
          <w:rFonts w:eastAsia="Times New Roman" w:cstheme="majorHAnsi"/>
          <w:sz w:val="22"/>
          <w:szCs w:val="22"/>
          <w:lang w:val="en-GB"/>
        </w:rPr>
        <w:t xml:space="preserve"> study. </w:t>
      </w:r>
    </w:p>
    <w:p w14:paraId="32A41CEE" w14:textId="77777777" w:rsidR="003E574E" w:rsidRPr="004E053C" w:rsidRDefault="003E574E" w:rsidP="004E053C">
      <w:pPr>
        <w:spacing w:line="360" w:lineRule="auto"/>
        <w:jc w:val="both"/>
        <w:rPr>
          <w:rFonts w:eastAsia="Times New Roman" w:cstheme="majorHAnsi"/>
          <w:sz w:val="22"/>
          <w:szCs w:val="22"/>
          <w:lang w:val="en-GB"/>
        </w:rPr>
      </w:pPr>
    </w:p>
    <w:p w14:paraId="5CF69FF7" w14:textId="34230B38" w:rsidR="003E574E" w:rsidRPr="004E053C" w:rsidRDefault="00EA7F83" w:rsidP="004E053C">
      <w:pPr>
        <w:pStyle w:val="Heading2"/>
        <w:spacing w:before="0" w:line="360" w:lineRule="auto"/>
        <w:jc w:val="both"/>
        <w:rPr>
          <w:rFonts w:cstheme="majorHAnsi"/>
          <w:lang w:val="en-GB"/>
        </w:rPr>
      </w:pPr>
      <w:bookmarkStart w:id="107" w:name="_Toc33293133"/>
      <w:r w:rsidRPr="004E053C">
        <w:rPr>
          <w:rFonts w:cstheme="majorHAnsi"/>
          <w:lang w:val="en-GB"/>
        </w:rPr>
        <w:t>9</w:t>
      </w:r>
      <w:r w:rsidR="005252FE" w:rsidRPr="004E053C">
        <w:rPr>
          <w:rFonts w:cstheme="majorHAnsi"/>
          <w:lang w:val="en-GB"/>
        </w:rPr>
        <w:t>.</w:t>
      </w:r>
      <w:r w:rsidR="00114C03" w:rsidRPr="004E053C">
        <w:rPr>
          <w:rFonts w:cstheme="majorHAnsi"/>
          <w:lang w:val="en-GB"/>
        </w:rPr>
        <w:t>6. Neutralis</w:t>
      </w:r>
      <w:r w:rsidR="0019375F" w:rsidRPr="004E053C">
        <w:rPr>
          <w:rFonts w:cstheme="majorHAnsi"/>
          <w:lang w:val="en-GB"/>
        </w:rPr>
        <w:t xml:space="preserve">ation through </w:t>
      </w:r>
      <w:r w:rsidR="004A3EF1" w:rsidRPr="004E053C">
        <w:rPr>
          <w:rFonts w:cstheme="majorHAnsi"/>
          <w:lang w:val="en-GB"/>
        </w:rPr>
        <w:t>d</w:t>
      </w:r>
      <w:r w:rsidR="00475547" w:rsidRPr="004E053C">
        <w:rPr>
          <w:rFonts w:cstheme="majorHAnsi"/>
          <w:lang w:val="en-GB"/>
        </w:rPr>
        <w:t>elegitimis</w:t>
      </w:r>
      <w:r w:rsidR="003E574E" w:rsidRPr="004E053C">
        <w:rPr>
          <w:rFonts w:cstheme="majorHAnsi"/>
          <w:lang w:val="en-GB"/>
        </w:rPr>
        <w:t xml:space="preserve">ing the </w:t>
      </w:r>
      <w:r w:rsidR="004A3EF1" w:rsidRPr="004E053C">
        <w:rPr>
          <w:rFonts w:cstheme="majorHAnsi"/>
          <w:lang w:val="en-GB"/>
        </w:rPr>
        <w:t>field of p</w:t>
      </w:r>
      <w:r w:rsidR="0019375F" w:rsidRPr="004E053C">
        <w:rPr>
          <w:rFonts w:cstheme="majorHAnsi"/>
          <w:lang w:val="en-GB"/>
        </w:rPr>
        <w:t>ower</w:t>
      </w:r>
      <w:bookmarkEnd w:id="107"/>
    </w:p>
    <w:p w14:paraId="7C63A7D6" w14:textId="77777777" w:rsidR="003E574E" w:rsidRPr="004E053C" w:rsidRDefault="003E574E" w:rsidP="004E053C">
      <w:pPr>
        <w:spacing w:line="360" w:lineRule="auto"/>
        <w:jc w:val="both"/>
        <w:rPr>
          <w:rFonts w:eastAsia="Times New Roman" w:cstheme="majorHAnsi"/>
          <w:sz w:val="22"/>
          <w:szCs w:val="22"/>
          <w:lang w:val="en-GB"/>
        </w:rPr>
      </w:pPr>
    </w:p>
    <w:p w14:paraId="162AA62B" w14:textId="5BD3C3A4" w:rsidR="003E574E" w:rsidRPr="004E053C" w:rsidRDefault="003E574E" w:rsidP="004E053C">
      <w:pPr>
        <w:spacing w:line="360" w:lineRule="auto"/>
        <w:jc w:val="both"/>
        <w:rPr>
          <w:rFonts w:cstheme="majorHAnsi"/>
          <w:sz w:val="22"/>
          <w:szCs w:val="22"/>
          <w:lang w:val="en-GB"/>
        </w:rPr>
      </w:pPr>
      <w:r w:rsidRPr="004E053C">
        <w:rPr>
          <w:rFonts w:eastAsia="Times New Roman" w:cstheme="majorHAnsi"/>
          <w:sz w:val="22"/>
          <w:szCs w:val="22"/>
          <w:lang w:val="en-GB"/>
        </w:rPr>
        <w:t>Those who find their behaviour labelled as deviant often reject the rule by which they are bein</w:t>
      </w:r>
      <w:r w:rsidR="00114C03" w:rsidRPr="004E053C">
        <w:rPr>
          <w:rFonts w:eastAsia="Times New Roman" w:cstheme="majorHAnsi"/>
          <w:sz w:val="22"/>
          <w:szCs w:val="22"/>
          <w:lang w:val="en-GB"/>
        </w:rPr>
        <w:t>g judged</w:t>
      </w:r>
      <w:r w:rsidRPr="004E053C">
        <w:rPr>
          <w:rFonts w:eastAsia="Times New Roman" w:cstheme="majorHAnsi"/>
          <w:sz w:val="22"/>
          <w:szCs w:val="22"/>
          <w:lang w:val="en-GB"/>
        </w:rPr>
        <w:t xml:space="preserve"> and may even regard those who have made these judgements as either incompetent or not legitimately entitled to do so </w:t>
      </w:r>
      <w:r w:rsidR="00B43B3D" w:rsidRPr="004E053C">
        <w:rPr>
          <w:rFonts w:eastAsia="Times New Roman" w:cstheme="majorHAnsi"/>
          <w:sz w:val="22"/>
          <w:szCs w:val="22"/>
          <w:lang w:val="en-GB"/>
        </w:rPr>
        <w:fldChar w:fldCharType="begin" w:fldLock="1"/>
      </w:r>
      <w:r w:rsidR="00BD2031" w:rsidRPr="004E053C">
        <w:rPr>
          <w:rFonts w:eastAsia="Times New Roman" w:cstheme="majorHAnsi"/>
          <w:sz w:val="22"/>
          <w:szCs w:val="22"/>
          <w:lang w:val="en-GB"/>
        </w:rPr>
        <w:instrText>ADDIN CSL_CITATION {"citationItems":[{"id":"ITEM-1","itemData":{"author":[{"dropping-particle":"","family":"Becker","given":"Howard. S.","non-dropping-particle":"","parse-names":false,"suffix":""}],"id":"ITEM-1","issued":{"date-parts":[["1963"]]},"number-of-pages":"213","publisher":"The Free Press","publisher-place":"New York","title":"Outsiders: Studies in the Sociology of Deviance","type":"book"},"uris":["http://www.mendeley.com/documents/?uuid=a0af309e-d110-40cc-907a-12b4892a474b"]}],"mendeley":{"formattedCitation":"(H. S. Becker, 1963)","manualFormatting":"(Becker, 1963, p.1-2)","plainTextFormattedCitation":"(H. S. Becker, 1963)","previouslyFormattedCitation":"(H. S. Becker, 1963)"},"properties":{"noteIndex":0},"schema":"https://github.com/citation-style-language/schema/raw/master/csl-citation.json"}</w:instrText>
      </w:r>
      <w:r w:rsidR="00B43B3D" w:rsidRPr="004E053C">
        <w:rPr>
          <w:rFonts w:eastAsia="Times New Roman" w:cstheme="majorHAnsi"/>
          <w:sz w:val="22"/>
          <w:szCs w:val="22"/>
          <w:lang w:val="en-GB"/>
        </w:rPr>
        <w:fldChar w:fldCharType="separate"/>
      </w:r>
      <w:r w:rsidR="00B43B3D" w:rsidRPr="004E053C">
        <w:rPr>
          <w:rFonts w:eastAsia="Times New Roman" w:cstheme="majorHAnsi"/>
          <w:noProof/>
          <w:sz w:val="22"/>
          <w:szCs w:val="22"/>
          <w:lang w:val="en-GB"/>
        </w:rPr>
        <w:t>(Becker, 1963, p.1-2)</w:t>
      </w:r>
      <w:r w:rsidR="00B43B3D"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w:t>
      </w:r>
      <w:r w:rsidRPr="004E053C">
        <w:rPr>
          <w:rFonts w:cstheme="majorHAnsi"/>
          <w:sz w:val="22"/>
          <w:szCs w:val="22"/>
          <w:lang w:val="en-GB"/>
        </w:rPr>
        <w:t>This is evident in the narratives constructed by the miners in Laberinto, w</w:t>
      </w:r>
      <w:r w:rsidR="00114C03" w:rsidRPr="004E053C">
        <w:rPr>
          <w:rFonts w:cstheme="majorHAnsi"/>
          <w:sz w:val="22"/>
          <w:szCs w:val="22"/>
          <w:lang w:val="en-GB"/>
        </w:rPr>
        <w:t>hich are designed to delegitimis</w:t>
      </w:r>
      <w:r w:rsidRPr="004E053C">
        <w:rPr>
          <w:rFonts w:cstheme="majorHAnsi"/>
          <w:sz w:val="22"/>
          <w:szCs w:val="22"/>
          <w:lang w:val="en-GB"/>
        </w:rPr>
        <w:t xml:space="preserve">e the Peruvian state. This section will focus on how the miners do this by pointing to inconsistencies in government policy, highlighting evidence </w:t>
      </w:r>
      <w:r w:rsidRPr="004E053C">
        <w:rPr>
          <w:rFonts w:cstheme="majorHAnsi"/>
          <w:sz w:val="22"/>
          <w:szCs w:val="22"/>
          <w:lang w:val="en-GB"/>
        </w:rPr>
        <w:lastRenderedPageBreak/>
        <w:t xml:space="preserve">of corruption and co-opting environmental rhetoric in a bid to question the </w:t>
      </w:r>
      <w:r w:rsidR="00114C03" w:rsidRPr="004E053C">
        <w:rPr>
          <w:rFonts w:cstheme="majorHAnsi"/>
          <w:sz w:val="22"/>
          <w:szCs w:val="22"/>
          <w:lang w:val="en-GB"/>
        </w:rPr>
        <w:t>authority of the G</w:t>
      </w:r>
      <w:r w:rsidRPr="004E053C">
        <w:rPr>
          <w:rFonts w:cstheme="majorHAnsi"/>
          <w:sz w:val="22"/>
          <w:szCs w:val="22"/>
          <w:lang w:val="en-GB"/>
        </w:rPr>
        <w:t>overn</w:t>
      </w:r>
      <w:r w:rsidR="00E34E72" w:rsidRPr="004E053C">
        <w:rPr>
          <w:rFonts w:cstheme="majorHAnsi"/>
          <w:sz w:val="22"/>
          <w:szCs w:val="22"/>
          <w:lang w:val="en-GB"/>
        </w:rPr>
        <w:t>ment to label them as deviant</w:t>
      </w:r>
      <w:r w:rsidR="00AA4FF7" w:rsidRPr="004E053C">
        <w:rPr>
          <w:rFonts w:cstheme="majorHAnsi"/>
          <w:sz w:val="22"/>
          <w:szCs w:val="22"/>
          <w:lang w:val="en-GB"/>
        </w:rPr>
        <w:t xml:space="preserve"> and control the social field</w:t>
      </w:r>
      <w:r w:rsidR="00E34E72" w:rsidRPr="004E053C">
        <w:rPr>
          <w:rFonts w:cstheme="majorHAnsi"/>
          <w:sz w:val="22"/>
          <w:szCs w:val="22"/>
          <w:lang w:val="en-GB"/>
        </w:rPr>
        <w:t xml:space="preserve">. </w:t>
      </w:r>
      <w:r w:rsidR="00AA4FF7" w:rsidRPr="004E053C">
        <w:rPr>
          <w:rFonts w:cstheme="majorHAnsi"/>
          <w:sz w:val="22"/>
          <w:szCs w:val="22"/>
          <w:lang w:val="en-GB"/>
        </w:rPr>
        <w:t>The sect</w:t>
      </w:r>
      <w:r w:rsidR="00114C03" w:rsidRPr="004E053C">
        <w:rPr>
          <w:rFonts w:cstheme="majorHAnsi"/>
          <w:sz w:val="22"/>
          <w:szCs w:val="22"/>
          <w:lang w:val="en-GB"/>
        </w:rPr>
        <w:t>ion again draws on the neutralis</w:t>
      </w:r>
      <w:r w:rsidR="00AA4FF7" w:rsidRPr="004E053C">
        <w:rPr>
          <w:rFonts w:cstheme="majorHAnsi"/>
          <w:sz w:val="22"/>
          <w:szCs w:val="22"/>
          <w:lang w:val="en-GB"/>
        </w:rPr>
        <w:t>ation techniques identified by Sykes and Mat</w:t>
      </w:r>
      <w:r w:rsidR="00475547" w:rsidRPr="004E053C">
        <w:rPr>
          <w:rFonts w:cstheme="majorHAnsi"/>
          <w:sz w:val="22"/>
          <w:szCs w:val="22"/>
          <w:lang w:val="en-GB"/>
        </w:rPr>
        <w:t>z</w:t>
      </w:r>
      <w:r w:rsidR="00AA4FF7" w:rsidRPr="004E053C">
        <w:rPr>
          <w:rFonts w:cstheme="majorHAnsi"/>
          <w:sz w:val="22"/>
          <w:szCs w:val="22"/>
          <w:lang w:val="en-GB"/>
        </w:rPr>
        <w:t xml:space="preserve">a </w:t>
      </w:r>
      <w:r w:rsidR="00B43B3D"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{"citationItems":[{"id":"ITEM-1","itemData":{"author":[{"dropping-particle":"","family":"Sykes","given":"Gresham M","non-dropping-particle":"","parse-names":false,"suffix":""},{"dropping-particle":"","family":"Matza","given":"David","non-dropping-particle":"","parse-names":false,"suffix":""}],"container-title":"American Sociological Review","id":"ITEM-1","issue":"6","issued":{"date-parts":[["1957"]]},"page":"664-670","title":"Techniques of neutralization: a theory of delinquency","type":"article-journal","volume":"22"},"uris":["http://www.mendeley.com/documents/?uuid=4564a176-a7ed-4562-a9a7-7e232d4c5ac5"]}],"mendeley":{"formattedCitation":"(Sykes &amp; Matza, 1957)","manualFormatting":"(1957)","plainTextFormattedCitation":"(Sykes &amp; Matza, 1957)","previouslyFormattedCitation":"(Sykes &amp; Matza, 1957)"},"properties":{"noteIndex":0},"schema":"https://github.com/citation-style-language/schema/raw/master/csl-citation.json"}</w:instrText>
      </w:r>
      <w:r w:rsidR="00B43B3D" w:rsidRPr="004E053C">
        <w:rPr>
          <w:rFonts w:cstheme="majorHAnsi"/>
          <w:sz w:val="22"/>
          <w:szCs w:val="22"/>
          <w:lang w:val="en-GB"/>
        </w:rPr>
        <w:fldChar w:fldCharType="separate"/>
      </w:r>
      <w:r w:rsidR="00B43B3D" w:rsidRPr="004E053C">
        <w:rPr>
          <w:rFonts w:cstheme="majorHAnsi"/>
          <w:noProof/>
          <w:sz w:val="22"/>
          <w:szCs w:val="22"/>
          <w:lang w:val="en-GB"/>
        </w:rPr>
        <w:t>(1957)</w:t>
      </w:r>
      <w:r w:rsidR="00B43B3D" w:rsidRPr="004E053C">
        <w:rPr>
          <w:rFonts w:cstheme="majorHAnsi"/>
          <w:sz w:val="22"/>
          <w:szCs w:val="22"/>
          <w:lang w:val="en-GB"/>
        </w:rPr>
        <w:fldChar w:fldCharType="end"/>
      </w:r>
      <w:r w:rsidR="00AA4FF7" w:rsidRPr="004E053C">
        <w:rPr>
          <w:rFonts w:cstheme="majorHAnsi"/>
          <w:sz w:val="22"/>
          <w:szCs w:val="22"/>
          <w:lang w:val="en-GB"/>
        </w:rPr>
        <w:t xml:space="preserve">, but with the understanding that these narratives are tightly bound with habitus and may not therefore be as highly strategic as </w:t>
      </w:r>
      <w:r w:rsidR="006D2D42" w:rsidRPr="004E053C">
        <w:rPr>
          <w:rFonts w:cstheme="majorHAnsi"/>
          <w:sz w:val="22"/>
          <w:szCs w:val="22"/>
          <w:lang w:val="en-GB"/>
        </w:rPr>
        <w:t>they originally suggested</w:t>
      </w:r>
      <w:r w:rsidR="00AA4FF7" w:rsidRPr="004E053C">
        <w:rPr>
          <w:rFonts w:cstheme="majorHAnsi"/>
          <w:sz w:val="22"/>
          <w:szCs w:val="22"/>
          <w:lang w:val="en-GB"/>
        </w:rPr>
        <w:t xml:space="preserve"> </w:t>
      </w:r>
      <w:r w:rsidR="00B43B3D"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{"citationItems":[{"id":"ITEM-1","itemData":{"author":[{"dropping-particle":"","family":"Fleetwood","given":"Jennifer","non-dropping-particle":"","parse-names":false,"suffix":""}],"container-title":"Crime, Media, Culture","id":"ITEM-1","issue":"2","issued":{"date-parts":[["2016"]]},"page":"173-192","title":"Narrative habitus: thinking through structure/agency in the narratives of offenders","type":"article-journal","volume":"12"},"uris":["http://www.mendeley.com/documents/?uuid=3db1ed2b-b7a1-4eaa-89c4-87d42343c878"]}],"mendeley":{"formattedCitation":"(Fleetwood, 2016)","plainTextFormattedCitation":"(Fleetwood, 2016)","previouslyFormattedCitation":"(Fleetwood, 2016)"},"properties":{"noteIndex":0},"schema":"https://github.com/citation-style-language/schema/raw/master/csl-citation.json"}</w:instrText>
      </w:r>
      <w:r w:rsidR="00B43B3D" w:rsidRPr="004E053C">
        <w:rPr>
          <w:rFonts w:cstheme="majorHAnsi"/>
          <w:sz w:val="22"/>
          <w:szCs w:val="22"/>
          <w:lang w:val="en-GB"/>
        </w:rPr>
        <w:fldChar w:fldCharType="separate"/>
      </w:r>
      <w:r w:rsidR="00B43B3D" w:rsidRPr="004E053C">
        <w:rPr>
          <w:rFonts w:cstheme="majorHAnsi"/>
          <w:noProof/>
          <w:sz w:val="22"/>
          <w:szCs w:val="22"/>
          <w:lang w:val="en-GB"/>
        </w:rPr>
        <w:t>(Fleetwood, 2016)</w:t>
      </w:r>
      <w:r w:rsidR="00B43B3D" w:rsidRPr="004E053C">
        <w:rPr>
          <w:rFonts w:cstheme="majorHAnsi"/>
          <w:sz w:val="22"/>
          <w:szCs w:val="22"/>
          <w:lang w:val="en-GB"/>
        </w:rPr>
        <w:fldChar w:fldCharType="end"/>
      </w:r>
      <w:r w:rsidR="00AA4FF7" w:rsidRPr="004E053C">
        <w:rPr>
          <w:rFonts w:cstheme="majorHAnsi"/>
          <w:sz w:val="22"/>
          <w:szCs w:val="22"/>
          <w:lang w:val="en-GB"/>
        </w:rPr>
        <w:t>.</w:t>
      </w:r>
    </w:p>
    <w:p w14:paraId="50AE64B1" w14:textId="77777777" w:rsidR="0019375F" w:rsidRPr="004E053C" w:rsidRDefault="0019375F" w:rsidP="004E053C">
      <w:pPr>
        <w:spacing w:line="360" w:lineRule="auto"/>
        <w:jc w:val="both"/>
        <w:rPr>
          <w:rFonts w:cstheme="majorHAnsi"/>
          <w:sz w:val="22"/>
          <w:szCs w:val="22"/>
          <w:lang w:val="en-GB"/>
        </w:rPr>
      </w:pPr>
    </w:p>
    <w:p w14:paraId="7D3588F9" w14:textId="3C0E2943" w:rsidR="003E574E"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w:t>
      </w:r>
      <w:r w:rsidR="0019375F" w:rsidRPr="004E053C">
        <w:rPr>
          <w:rFonts w:asciiTheme="minorHAnsi" w:hAnsiTheme="minorHAnsi"/>
        </w:rPr>
        <w:t>6.</w:t>
      </w:r>
      <w:r w:rsidR="003E574E" w:rsidRPr="004E053C">
        <w:rPr>
          <w:rFonts w:asciiTheme="minorHAnsi" w:hAnsiTheme="minorHAnsi"/>
        </w:rPr>
        <w:t xml:space="preserve">1. </w:t>
      </w:r>
      <w:r w:rsidR="0019375F" w:rsidRPr="004E053C">
        <w:rPr>
          <w:rFonts w:asciiTheme="minorHAnsi" w:hAnsiTheme="minorHAnsi"/>
        </w:rPr>
        <w:t>Deflecting</w:t>
      </w:r>
      <w:r w:rsidR="00067554" w:rsidRPr="004E053C">
        <w:rPr>
          <w:rFonts w:asciiTheme="minorHAnsi" w:hAnsiTheme="minorHAnsi"/>
        </w:rPr>
        <w:t xml:space="preserve"> </w:t>
      </w:r>
      <w:r w:rsidR="004A3EF1" w:rsidRPr="004E053C">
        <w:rPr>
          <w:rFonts w:asciiTheme="minorHAnsi" w:hAnsiTheme="minorHAnsi"/>
        </w:rPr>
        <w:t>e</w:t>
      </w:r>
      <w:r w:rsidR="003E574E" w:rsidRPr="004E053C">
        <w:rPr>
          <w:rFonts w:asciiTheme="minorHAnsi" w:hAnsiTheme="minorHAnsi"/>
        </w:rPr>
        <w:t>nvironment</w:t>
      </w:r>
      <w:r w:rsidR="004A3EF1" w:rsidRPr="004E053C">
        <w:rPr>
          <w:rFonts w:asciiTheme="minorHAnsi" w:hAnsiTheme="minorHAnsi"/>
        </w:rPr>
        <w:t>al r</w:t>
      </w:r>
      <w:r w:rsidR="00067554" w:rsidRPr="004E053C">
        <w:rPr>
          <w:rFonts w:asciiTheme="minorHAnsi" w:hAnsiTheme="minorHAnsi"/>
        </w:rPr>
        <w:t>hetoric</w:t>
      </w:r>
      <w:r w:rsidR="004A3EF1" w:rsidRPr="004E053C">
        <w:rPr>
          <w:rFonts w:asciiTheme="minorHAnsi" w:hAnsiTheme="minorHAnsi"/>
        </w:rPr>
        <w:t xml:space="preserve"> back on policy m</w:t>
      </w:r>
      <w:r w:rsidR="0019375F" w:rsidRPr="004E053C">
        <w:rPr>
          <w:rFonts w:asciiTheme="minorHAnsi" w:hAnsiTheme="minorHAnsi"/>
        </w:rPr>
        <w:t>akers</w:t>
      </w:r>
    </w:p>
    <w:p w14:paraId="4D59AA79" w14:textId="77777777" w:rsidR="0019375F" w:rsidRPr="004E053C" w:rsidRDefault="0019375F" w:rsidP="004E053C">
      <w:pPr>
        <w:spacing w:line="360" w:lineRule="auto"/>
        <w:jc w:val="both"/>
        <w:rPr>
          <w:rFonts w:cstheme="majorHAnsi"/>
          <w:lang w:val="en-GB"/>
        </w:rPr>
      </w:pPr>
    </w:p>
    <w:p w14:paraId="09D4B1FF" w14:textId="1C7C947C" w:rsidR="003E574E" w:rsidRPr="004E053C" w:rsidRDefault="00F21F94" w:rsidP="004E053C">
      <w:pPr>
        <w:spacing w:line="360" w:lineRule="auto"/>
        <w:jc w:val="both"/>
        <w:rPr>
          <w:rFonts w:eastAsia="Times New Roman" w:cstheme="majorHAnsi"/>
          <w:sz w:val="22"/>
          <w:szCs w:val="22"/>
          <w:lang w:val="en-GB"/>
        </w:rPr>
      </w:pPr>
      <w:r w:rsidRPr="004E053C">
        <w:rPr>
          <w:rFonts w:cstheme="majorHAnsi"/>
          <w:sz w:val="22"/>
          <w:szCs w:val="22"/>
          <w:lang w:val="en-GB"/>
        </w:rPr>
        <w:t>As mentioned previously</w:t>
      </w:r>
      <w:r w:rsidR="003E574E" w:rsidRPr="004E053C">
        <w:rPr>
          <w:rFonts w:cstheme="majorHAnsi"/>
          <w:sz w:val="22"/>
          <w:szCs w:val="22"/>
          <w:lang w:val="en-GB"/>
        </w:rPr>
        <w:t>, ASM in Madre de Dios attracts international condemnation due to the damage it causes to the Amazo</w:t>
      </w:r>
      <w:r w:rsidR="00114C03" w:rsidRPr="004E053C">
        <w:rPr>
          <w:rFonts w:cstheme="majorHAnsi"/>
          <w:sz w:val="22"/>
          <w:szCs w:val="22"/>
          <w:lang w:val="en-GB"/>
        </w:rPr>
        <w:t>n. T</w:t>
      </w:r>
      <w:r w:rsidR="003E574E" w:rsidRPr="004E053C">
        <w:rPr>
          <w:rFonts w:cstheme="majorHAnsi"/>
          <w:sz w:val="22"/>
          <w:szCs w:val="22"/>
          <w:lang w:val="en-GB"/>
        </w:rPr>
        <w:t xml:space="preserve">his </w:t>
      </w:r>
      <w:r w:rsidR="00AA4FF7" w:rsidRPr="004E053C">
        <w:rPr>
          <w:rFonts w:cstheme="majorHAnsi"/>
          <w:sz w:val="22"/>
          <w:szCs w:val="22"/>
          <w:lang w:val="en-GB"/>
        </w:rPr>
        <w:t xml:space="preserve">is </w:t>
      </w:r>
      <w:r w:rsidR="003E574E" w:rsidRPr="004E053C">
        <w:rPr>
          <w:rFonts w:cstheme="majorHAnsi"/>
          <w:sz w:val="22"/>
          <w:szCs w:val="22"/>
          <w:lang w:val="en-GB"/>
        </w:rPr>
        <w:t>one of the key arguments used by the Government when attempting to eradicate ASM from the area. In an attempt to delegitimise the Government’s attacks on them, the miners co-opt</w:t>
      </w:r>
      <w:r w:rsidR="00AA4FF7" w:rsidRPr="004E053C">
        <w:rPr>
          <w:rFonts w:cstheme="majorHAnsi"/>
          <w:sz w:val="22"/>
          <w:szCs w:val="22"/>
          <w:lang w:val="en-GB"/>
        </w:rPr>
        <w:t xml:space="preserve"> the environmental rhetoric used </w:t>
      </w:r>
      <w:r w:rsidR="003E574E" w:rsidRPr="004E053C">
        <w:rPr>
          <w:rFonts w:cstheme="majorHAnsi"/>
          <w:sz w:val="22"/>
          <w:szCs w:val="22"/>
          <w:lang w:val="en-GB"/>
        </w:rPr>
        <w:t xml:space="preserve">in debates about ASM and the destruction of the Amazon and turn it back on the Government to question its commitment to conservation. </w:t>
      </w:r>
      <w:r w:rsidR="00AA4FF7" w:rsidRPr="004E053C">
        <w:rPr>
          <w:rFonts w:cstheme="majorHAnsi"/>
          <w:sz w:val="22"/>
          <w:szCs w:val="22"/>
          <w:lang w:val="en-GB"/>
        </w:rPr>
        <w:t>Firstly, miners and other residents</w:t>
      </w:r>
      <w:r w:rsidR="006D2D42" w:rsidRPr="004E053C">
        <w:rPr>
          <w:rFonts w:cstheme="majorHAnsi"/>
          <w:sz w:val="22"/>
          <w:szCs w:val="22"/>
          <w:lang w:val="en-GB"/>
        </w:rPr>
        <w:t xml:space="preserve"> question</w:t>
      </w:r>
      <w:r w:rsidR="003E574E" w:rsidRPr="004E053C">
        <w:rPr>
          <w:rFonts w:cstheme="majorHAnsi"/>
          <w:sz w:val="22"/>
          <w:szCs w:val="22"/>
          <w:lang w:val="en-GB"/>
        </w:rPr>
        <w:t xml:space="preserve"> the validity of scientific claims about </w:t>
      </w:r>
      <w:r w:rsidR="00114C03" w:rsidRPr="004E053C">
        <w:rPr>
          <w:rFonts w:cstheme="majorHAnsi"/>
          <w:sz w:val="22"/>
          <w:szCs w:val="22"/>
          <w:lang w:val="en-GB"/>
        </w:rPr>
        <w:t xml:space="preserve">the health implications of </w:t>
      </w:r>
      <w:r w:rsidR="003E574E" w:rsidRPr="004E053C">
        <w:rPr>
          <w:rFonts w:cstheme="majorHAnsi"/>
          <w:sz w:val="22"/>
          <w:szCs w:val="22"/>
          <w:lang w:val="en-GB"/>
        </w:rPr>
        <w:t>mercury, which can be see</w:t>
      </w:r>
      <w:r w:rsidR="00114C03" w:rsidRPr="004E053C">
        <w:rPr>
          <w:rFonts w:cstheme="majorHAnsi"/>
          <w:sz w:val="22"/>
          <w:szCs w:val="22"/>
          <w:lang w:val="en-GB"/>
        </w:rPr>
        <w:t>n as a neutralis</w:t>
      </w:r>
      <w:r w:rsidR="00AA4FF7" w:rsidRPr="004E053C">
        <w:rPr>
          <w:rFonts w:cstheme="majorHAnsi"/>
          <w:sz w:val="22"/>
          <w:szCs w:val="22"/>
          <w:lang w:val="en-GB"/>
        </w:rPr>
        <w:t xml:space="preserve">ation technique </w:t>
      </w:r>
      <w:r w:rsidR="00114C03" w:rsidRPr="004E053C">
        <w:rPr>
          <w:rFonts w:cstheme="majorHAnsi"/>
          <w:sz w:val="22"/>
          <w:szCs w:val="22"/>
          <w:lang w:val="en-GB"/>
        </w:rPr>
        <w:t>as it both questions</w:t>
      </w:r>
      <w:r w:rsidR="003E574E" w:rsidRPr="004E053C">
        <w:rPr>
          <w:rFonts w:cstheme="majorHAnsi"/>
          <w:sz w:val="22"/>
          <w:szCs w:val="22"/>
          <w:lang w:val="en-GB"/>
        </w:rPr>
        <w:t xml:space="preserve"> the judgements ma</w:t>
      </w:r>
      <w:r w:rsidR="00114C03" w:rsidRPr="004E053C">
        <w:rPr>
          <w:rFonts w:cstheme="majorHAnsi"/>
          <w:sz w:val="22"/>
          <w:szCs w:val="22"/>
          <w:lang w:val="en-GB"/>
        </w:rPr>
        <w:t xml:space="preserve">de by the dominant society, </w:t>
      </w:r>
      <w:r w:rsidR="003E574E" w:rsidRPr="004E053C">
        <w:rPr>
          <w:rFonts w:cstheme="majorHAnsi"/>
          <w:sz w:val="22"/>
          <w:szCs w:val="22"/>
          <w:lang w:val="en-GB"/>
        </w:rPr>
        <w:t>thereby condemning the condemner, and attempt</w:t>
      </w:r>
      <w:r w:rsidR="00114C03" w:rsidRPr="004E053C">
        <w:rPr>
          <w:rFonts w:cstheme="majorHAnsi"/>
          <w:sz w:val="22"/>
          <w:szCs w:val="22"/>
          <w:lang w:val="en-GB"/>
        </w:rPr>
        <w:t>s</w:t>
      </w:r>
      <w:r w:rsidR="003E574E" w:rsidRPr="004E053C">
        <w:rPr>
          <w:rFonts w:cstheme="majorHAnsi"/>
          <w:sz w:val="22"/>
          <w:szCs w:val="22"/>
          <w:lang w:val="en-GB"/>
        </w:rPr>
        <w:t xml:space="preserve"> to deny injury by down-playing the i</w:t>
      </w:r>
      <w:r w:rsidR="006D2D42" w:rsidRPr="004E053C">
        <w:rPr>
          <w:rFonts w:cstheme="majorHAnsi"/>
          <w:sz w:val="22"/>
          <w:szCs w:val="22"/>
          <w:lang w:val="en-GB"/>
        </w:rPr>
        <w:t>mpacts of mercury contamination.</w:t>
      </w:r>
      <w:r w:rsidR="00114C03" w:rsidRPr="004E053C">
        <w:rPr>
          <w:rFonts w:cstheme="majorHAnsi"/>
          <w:sz w:val="22"/>
          <w:szCs w:val="22"/>
          <w:lang w:val="en-GB"/>
        </w:rPr>
        <w:t xml:space="preserve"> </w:t>
      </w:r>
      <w:r w:rsidR="00AA4FF7" w:rsidRPr="004E053C">
        <w:rPr>
          <w:rFonts w:cstheme="majorHAnsi"/>
          <w:sz w:val="22"/>
          <w:szCs w:val="22"/>
          <w:lang w:val="en-GB"/>
        </w:rPr>
        <w:t>Secondl</w:t>
      </w:r>
      <w:r w:rsidR="006D2D42" w:rsidRPr="004E053C">
        <w:rPr>
          <w:rFonts w:cstheme="majorHAnsi"/>
          <w:sz w:val="22"/>
          <w:szCs w:val="22"/>
          <w:lang w:val="en-GB"/>
        </w:rPr>
        <w:t>y, they continuously highlight</w:t>
      </w:r>
      <w:r w:rsidR="00AA4FF7" w:rsidRPr="004E053C">
        <w:rPr>
          <w:rFonts w:cstheme="majorHAnsi"/>
          <w:sz w:val="22"/>
          <w:szCs w:val="22"/>
          <w:lang w:val="en-GB"/>
        </w:rPr>
        <w:t xml:space="preserve"> the fact that the</w:t>
      </w:r>
      <w:r w:rsidR="00114C03" w:rsidRPr="004E053C">
        <w:rPr>
          <w:rFonts w:eastAsia="Times New Roman" w:cstheme="majorHAnsi"/>
          <w:sz w:val="22"/>
          <w:szCs w:val="22"/>
          <w:lang w:val="en-GB"/>
        </w:rPr>
        <w:t xml:space="preserve"> G</w:t>
      </w:r>
      <w:r w:rsidR="00AA4FF7" w:rsidRPr="004E053C">
        <w:rPr>
          <w:rFonts w:eastAsia="Times New Roman" w:cstheme="majorHAnsi"/>
          <w:sz w:val="22"/>
          <w:szCs w:val="22"/>
          <w:lang w:val="en-GB"/>
        </w:rPr>
        <w:t xml:space="preserve">overnment </w:t>
      </w:r>
      <w:r w:rsidR="003E574E" w:rsidRPr="004E053C">
        <w:rPr>
          <w:rFonts w:eastAsia="Times New Roman" w:cstheme="majorHAnsi"/>
          <w:sz w:val="22"/>
          <w:szCs w:val="22"/>
          <w:lang w:val="en-GB"/>
        </w:rPr>
        <w:t>wanted to ban other livelihood options in the jungle for similar environmental concerns. As this eliminates the availability of alternative livelihood options, the miners claim</w:t>
      </w:r>
      <w:r w:rsidR="00AA4FF7" w:rsidRPr="004E053C">
        <w:rPr>
          <w:rFonts w:eastAsia="Times New Roman" w:cstheme="majorHAnsi"/>
          <w:sz w:val="22"/>
          <w:szCs w:val="22"/>
          <w:lang w:val="en-GB"/>
        </w:rPr>
        <w:t>ed</w:t>
      </w:r>
      <w:r w:rsidR="003E574E" w:rsidRPr="004E053C">
        <w:rPr>
          <w:rFonts w:eastAsia="Times New Roman" w:cstheme="majorHAnsi"/>
          <w:sz w:val="22"/>
          <w:szCs w:val="22"/>
          <w:lang w:val="en-GB"/>
        </w:rPr>
        <w:t xml:space="preserve"> that they had no other option </w:t>
      </w:r>
      <w:r w:rsidR="00AA4FF7" w:rsidRPr="004E053C">
        <w:rPr>
          <w:rFonts w:eastAsia="Times New Roman" w:cstheme="majorHAnsi"/>
          <w:sz w:val="22"/>
          <w:szCs w:val="22"/>
          <w:lang w:val="en-GB"/>
        </w:rPr>
        <w:t xml:space="preserve">but to continue mining, thus allowing them to </w:t>
      </w:r>
      <w:r w:rsidR="006D2D42" w:rsidRPr="004E053C">
        <w:rPr>
          <w:rFonts w:eastAsia="Times New Roman" w:cstheme="majorHAnsi"/>
          <w:sz w:val="22"/>
          <w:szCs w:val="22"/>
          <w:lang w:val="en-GB"/>
        </w:rPr>
        <w:t>deny</w:t>
      </w:r>
      <w:r w:rsidR="003E574E" w:rsidRPr="004E053C">
        <w:rPr>
          <w:rFonts w:eastAsia="Times New Roman" w:cstheme="majorHAnsi"/>
          <w:sz w:val="22"/>
          <w:szCs w:val="22"/>
          <w:lang w:val="en-GB"/>
        </w:rPr>
        <w:t xml:space="preserve"> responsibility</w:t>
      </w:r>
      <w:r w:rsidR="00AA4FF7" w:rsidRPr="004E053C">
        <w:rPr>
          <w:rFonts w:eastAsia="Times New Roman" w:cstheme="majorHAnsi"/>
          <w:sz w:val="22"/>
          <w:szCs w:val="22"/>
          <w:lang w:val="en-GB"/>
        </w:rPr>
        <w:t xml:space="preserve">. </w:t>
      </w:r>
    </w:p>
    <w:p w14:paraId="3FBD28BA" w14:textId="77777777" w:rsidR="003E574E" w:rsidRPr="004E053C" w:rsidRDefault="003E574E" w:rsidP="004E053C">
      <w:pPr>
        <w:spacing w:line="360" w:lineRule="auto"/>
        <w:jc w:val="both"/>
        <w:rPr>
          <w:rFonts w:cstheme="majorHAnsi"/>
          <w:sz w:val="22"/>
          <w:szCs w:val="22"/>
          <w:lang w:val="en-GB"/>
        </w:rPr>
      </w:pPr>
    </w:p>
    <w:p w14:paraId="56D03E09" w14:textId="3A1387B4" w:rsidR="003E574E" w:rsidRPr="004E053C" w:rsidRDefault="006D2D42" w:rsidP="004E053C">
      <w:pPr>
        <w:widowControl w:val="0"/>
        <w:autoSpaceDE w:val="0"/>
        <w:autoSpaceDN w:val="0"/>
        <w:adjustRightInd w:val="0"/>
        <w:spacing w:line="360" w:lineRule="auto"/>
        <w:jc w:val="both"/>
        <w:rPr>
          <w:rFonts w:cstheme="majorHAnsi"/>
          <w:sz w:val="22"/>
          <w:szCs w:val="22"/>
          <w:lang w:val="en-GB"/>
        </w:rPr>
      </w:pPr>
      <w:r w:rsidRPr="004E053C">
        <w:rPr>
          <w:rFonts w:cstheme="majorHAnsi"/>
          <w:sz w:val="22"/>
          <w:szCs w:val="22"/>
          <w:lang w:val="en-GB"/>
        </w:rPr>
        <w:t>The miners attempt</w:t>
      </w:r>
      <w:r w:rsidR="003E574E" w:rsidRPr="004E053C">
        <w:rPr>
          <w:rFonts w:cstheme="majorHAnsi"/>
          <w:sz w:val="22"/>
          <w:szCs w:val="22"/>
          <w:lang w:val="en-GB"/>
        </w:rPr>
        <w:t xml:space="preserve"> to question the legitimacy of ASM policy by pointing out the hypocrisy in these conservation nar</w:t>
      </w:r>
      <w:r w:rsidRPr="004E053C">
        <w:rPr>
          <w:rFonts w:cstheme="majorHAnsi"/>
          <w:sz w:val="22"/>
          <w:szCs w:val="22"/>
          <w:lang w:val="en-GB"/>
        </w:rPr>
        <w:t>ratives, the arguments for which are</w:t>
      </w:r>
      <w:r w:rsidR="003E574E" w:rsidRPr="004E053C">
        <w:rPr>
          <w:rFonts w:cstheme="majorHAnsi"/>
          <w:sz w:val="22"/>
          <w:szCs w:val="22"/>
          <w:lang w:val="en-GB"/>
        </w:rPr>
        <w:t xml:space="preserve"> thr</w:t>
      </w:r>
      <w:r w:rsidR="00114C03" w:rsidRPr="004E053C">
        <w:rPr>
          <w:rFonts w:cstheme="majorHAnsi"/>
          <w:sz w:val="22"/>
          <w:szCs w:val="22"/>
          <w:lang w:val="en-GB"/>
        </w:rPr>
        <w:t>ee-fold. Firstly, the national G</w:t>
      </w:r>
      <w:r w:rsidR="003E574E" w:rsidRPr="004E053C">
        <w:rPr>
          <w:rFonts w:cstheme="majorHAnsi"/>
          <w:sz w:val="22"/>
          <w:szCs w:val="22"/>
          <w:lang w:val="en-GB"/>
        </w:rPr>
        <w:t>overnment continues to actively encourage foreign investment by large-scale extraction companies and the associated environmental destruction and social unrest such invest</w:t>
      </w:r>
      <w:r w:rsidRPr="004E053C">
        <w:rPr>
          <w:rFonts w:cstheme="majorHAnsi"/>
          <w:sz w:val="22"/>
          <w:szCs w:val="22"/>
          <w:lang w:val="en-GB"/>
        </w:rPr>
        <w:t>ments create, which they claim is</w:t>
      </w:r>
      <w:r w:rsidR="003E574E" w:rsidRPr="004E053C">
        <w:rPr>
          <w:rFonts w:cstheme="majorHAnsi"/>
          <w:sz w:val="22"/>
          <w:szCs w:val="22"/>
          <w:lang w:val="en-GB"/>
        </w:rPr>
        <w:t xml:space="preserve"> far worse than ASM. </w:t>
      </w:r>
      <w:r w:rsidR="00F21F94" w:rsidRPr="004E053C">
        <w:rPr>
          <w:rFonts w:cstheme="majorHAnsi"/>
          <w:sz w:val="22"/>
          <w:szCs w:val="22"/>
          <w:lang w:val="en-GB"/>
        </w:rPr>
        <w:t>For example, the</w:t>
      </w:r>
      <w:r w:rsidR="00F21F94" w:rsidRPr="004E053C">
        <w:rPr>
          <w:rFonts w:eastAsia="Times New Roman" w:cstheme="majorHAnsi"/>
          <w:spacing w:val="2"/>
          <w:sz w:val="22"/>
          <w:szCs w:val="22"/>
          <w:shd w:val="clear" w:color="auto" w:fill="FCFCFC"/>
          <w:lang w:val="en-GB"/>
        </w:rPr>
        <w:t xml:space="preserve"> García</w:t>
      </w:r>
      <w:r w:rsidR="00457B79" w:rsidRPr="004E053C">
        <w:rPr>
          <w:rFonts w:eastAsia="Times New Roman" w:cstheme="majorHAnsi"/>
          <w:spacing w:val="2"/>
          <w:sz w:val="22"/>
          <w:szCs w:val="22"/>
          <w:shd w:val="clear" w:color="auto" w:fill="FCFCFC"/>
          <w:lang w:val="en-GB"/>
        </w:rPr>
        <w:t xml:space="preserve"> administration</w:t>
      </w:r>
      <w:r w:rsidR="00F21F94" w:rsidRPr="004E053C">
        <w:rPr>
          <w:rFonts w:eastAsia="Times New Roman" w:cstheme="majorHAnsi"/>
          <w:spacing w:val="2"/>
          <w:sz w:val="22"/>
          <w:szCs w:val="22"/>
          <w:shd w:val="clear" w:color="auto" w:fill="FCFCFC"/>
          <w:lang w:val="en-GB"/>
        </w:rPr>
        <w:t xml:space="preserve"> responded violently to indigenous protestors in the Amazon who were attempting to protect the rainforest from large-scale extractive development </w:t>
      </w:r>
      <w:r w:rsidR="00874562" w:rsidRPr="004E053C">
        <w:rPr>
          <w:rFonts w:eastAsia="Times New Roman" w:cstheme="majorHAnsi"/>
          <w:spacing w:val="2"/>
          <w:sz w:val="22"/>
          <w:szCs w:val="22"/>
          <w:shd w:val="clear" w:color="auto" w:fill="FCFCFC"/>
          <w:lang w:val="en-GB"/>
        </w:rPr>
        <w:fldChar w:fldCharType="begin" w:fldLock="1"/>
      </w:r>
      <w:r w:rsidR="00874562" w:rsidRPr="004E053C">
        <w:rPr>
          <w:rFonts w:eastAsia="Times New Roman" w:cstheme="majorHAnsi"/>
          <w:spacing w:val="2"/>
          <w:sz w:val="22"/>
          <w:szCs w:val="22"/>
          <w:shd w:val="clear" w:color="auto" w:fill="FCFCFC"/>
          <w:lang w:val="en-GB"/>
        </w:rPr>
        <w:instrText>ADDIN CSL_CITATION {"citationItems":[{"id":"ITEM-1","itemData":{"author":[{"dropping-particle":"","family":"Orihuela","given":"Jose Carlos","non-dropping-particle":"","parse-names":false,"suffix":""}],"container-title":"European Journal of Development Research","id":"ITEM-1","issue":"5","issued":{"date-parts":[["2012"]]},"page":"688-705","title":"The Making of Conflict-Prone Development: Trade and Horizontal Inequalities in Peru","type":"article-journal","volume":"24"},"uris":["http://www.mendeley.com/documents/?uuid=b97d35fe-8345-4424-af45-28422a9651b0"]}],"mendeley":{"formattedCitation":"(Orihuela, 2012)","plainTextFormattedCitation":"(Orihuela, 2012)","previouslyFormattedCitation":"(Orihuela, 2012)"},"properties":{"noteIndex":0},"schema":"https://github.com/citation-style-language/schema/raw/master/csl-citation.json"}</w:instrText>
      </w:r>
      <w:r w:rsidR="00874562" w:rsidRPr="004E053C">
        <w:rPr>
          <w:rFonts w:eastAsia="Times New Roman" w:cstheme="majorHAnsi"/>
          <w:spacing w:val="2"/>
          <w:sz w:val="22"/>
          <w:szCs w:val="22"/>
          <w:shd w:val="clear" w:color="auto" w:fill="FCFCFC"/>
          <w:lang w:val="en-GB"/>
        </w:rPr>
        <w:fldChar w:fldCharType="separate"/>
      </w:r>
      <w:r w:rsidR="00874562" w:rsidRPr="004E053C">
        <w:rPr>
          <w:rFonts w:eastAsia="Times New Roman" w:cstheme="majorHAnsi"/>
          <w:noProof/>
          <w:spacing w:val="2"/>
          <w:sz w:val="22"/>
          <w:szCs w:val="22"/>
          <w:shd w:val="clear" w:color="auto" w:fill="FCFCFC"/>
          <w:lang w:val="en-GB"/>
        </w:rPr>
        <w:t>(Orihuela, 2012)</w:t>
      </w:r>
      <w:r w:rsidR="00874562" w:rsidRPr="004E053C">
        <w:rPr>
          <w:rFonts w:eastAsia="Times New Roman" w:cstheme="majorHAnsi"/>
          <w:spacing w:val="2"/>
          <w:sz w:val="22"/>
          <w:szCs w:val="22"/>
          <w:shd w:val="clear" w:color="auto" w:fill="FCFCFC"/>
          <w:lang w:val="en-GB"/>
        </w:rPr>
        <w:fldChar w:fldCharType="end"/>
      </w:r>
      <w:r w:rsidR="00F21F94" w:rsidRPr="004E053C">
        <w:rPr>
          <w:rFonts w:eastAsia="Times New Roman" w:cstheme="majorHAnsi"/>
          <w:sz w:val="22"/>
          <w:szCs w:val="22"/>
          <w:lang w:val="en-GB"/>
        </w:rPr>
        <w:t xml:space="preserve">. </w:t>
      </w:r>
      <w:r w:rsidR="003E574E" w:rsidRPr="004E053C">
        <w:rPr>
          <w:rFonts w:cstheme="majorHAnsi"/>
          <w:sz w:val="22"/>
          <w:szCs w:val="22"/>
          <w:lang w:val="en-GB"/>
        </w:rPr>
        <w:t>Secondly, neither the nation</w:t>
      </w:r>
      <w:r w:rsidRPr="004E053C">
        <w:rPr>
          <w:rFonts w:cstheme="majorHAnsi"/>
          <w:sz w:val="22"/>
          <w:szCs w:val="22"/>
          <w:lang w:val="en-GB"/>
        </w:rPr>
        <w:t>al or regional government seem</w:t>
      </w:r>
      <w:r w:rsidR="003E574E" w:rsidRPr="004E053C">
        <w:rPr>
          <w:rFonts w:cstheme="majorHAnsi"/>
          <w:sz w:val="22"/>
          <w:szCs w:val="22"/>
          <w:lang w:val="en-GB"/>
        </w:rPr>
        <w:t xml:space="preserve"> interested in working with the miners to reduce the environmental impact of ASM. These two issues in particular were </w:t>
      </w:r>
      <w:r w:rsidRPr="004E053C">
        <w:rPr>
          <w:rFonts w:cstheme="majorHAnsi"/>
          <w:sz w:val="22"/>
          <w:szCs w:val="22"/>
          <w:lang w:val="en-GB"/>
        </w:rPr>
        <w:t>discussed by</w:t>
      </w:r>
      <w:r w:rsidR="003E574E" w:rsidRPr="004E053C">
        <w:rPr>
          <w:rFonts w:cstheme="majorHAnsi"/>
          <w:sz w:val="22"/>
          <w:szCs w:val="22"/>
          <w:lang w:val="en-GB"/>
        </w:rPr>
        <w:t xml:space="preserve"> one of the miners in his ra</w:t>
      </w:r>
      <w:r w:rsidR="00114C03" w:rsidRPr="004E053C">
        <w:rPr>
          <w:rFonts w:cstheme="majorHAnsi"/>
          <w:sz w:val="22"/>
          <w:szCs w:val="22"/>
          <w:lang w:val="en-GB"/>
        </w:rPr>
        <w:t>dio programmes, aimed at mobilis</w:t>
      </w:r>
      <w:r w:rsidR="003E574E" w:rsidRPr="004E053C">
        <w:rPr>
          <w:rFonts w:cstheme="majorHAnsi"/>
          <w:sz w:val="22"/>
          <w:szCs w:val="22"/>
          <w:lang w:val="en-GB"/>
        </w:rPr>
        <w:t xml:space="preserve">ing the community to work together to actively </w:t>
      </w:r>
      <w:r w:rsidR="00114C03" w:rsidRPr="004E053C">
        <w:rPr>
          <w:rFonts w:cstheme="majorHAnsi"/>
          <w:sz w:val="22"/>
          <w:szCs w:val="22"/>
          <w:lang w:val="en-GB"/>
        </w:rPr>
        <w:t>resist marginalis</w:t>
      </w:r>
      <w:r w:rsidR="003E574E" w:rsidRPr="004E053C">
        <w:rPr>
          <w:rFonts w:cstheme="majorHAnsi"/>
          <w:sz w:val="22"/>
          <w:szCs w:val="22"/>
          <w:lang w:val="en-GB"/>
        </w:rPr>
        <w:t xml:space="preserve">ation: </w:t>
      </w:r>
    </w:p>
    <w:p w14:paraId="0DE8D0A4" w14:textId="77777777" w:rsidR="003E574E" w:rsidRPr="004E053C" w:rsidRDefault="003E574E" w:rsidP="004E053C">
      <w:pPr>
        <w:spacing w:line="360" w:lineRule="auto"/>
        <w:jc w:val="both"/>
        <w:rPr>
          <w:rFonts w:cstheme="majorHAnsi"/>
          <w:sz w:val="22"/>
          <w:szCs w:val="22"/>
          <w:lang w:val="en-GB"/>
        </w:rPr>
      </w:pPr>
    </w:p>
    <w:p w14:paraId="3798D03C" w14:textId="788D48B2" w:rsidR="003E574E" w:rsidRPr="004E053C" w:rsidRDefault="00114C03" w:rsidP="004E053C">
      <w:pPr>
        <w:ind w:left="720"/>
        <w:jc w:val="both"/>
        <w:rPr>
          <w:rFonts w:eastAsia="Times New Roman" w:cstheme="majorHAnsi"/>
          <w:sz w:val="22"/>
          <w:szCs w:val="22"/>
          <w:lang w:val="en-GB"/>
        </w:rPr>
      </w:pPr>
      <w:r w:rsidRPr="004E053C">
        <w:rPr>
          <w:rFonts w:cstheme="majorHAnsi"/>
          <w:i/>
          <w:iCs/>
          <w:sz w:val="22"/>
          <w:szCs w:val="22"/>
          <w:lang w:val="en-GB"/>
        </w:rPr>
        <w:t>‘</w:t>
      </w:r>
      <w:r w:rsidR="003E574E" w:rsidRPr="004E053C">
        <w:rPr>
          <w:rFonts w:cstheme="majorHAnsi"/>
          <w:i/>
          <w:iCs/>
          <w:sz w:val="22"/>
          <w:szCs w:val="22"/>
          <w:lang w:val="en-GB"/>
        </w:rPr>
        <w:t xml:space="preserve">I </w:t>
      </w:r>
      <w:r w:rsidR="003E574E" w:rsidRPr="004E053C">
        <w:rPr>
          <w:rFonts w:eastAsia="Times New Roman" w:cstheme="majorHAnsi"/>
          <w:i/>
          <w:iCs/>
          <w:sz w:val="22"/>
          <w:szCs w:val="22"/>
          <w:lang w:val="en-GB"/>
        </w:rPr>
        <w:t>talk on radios and telev</w:t>
      </w:r>
      <w:r w:rsidRPr="004E053C">
        <w:rPr>
          <w:rFonts w:eastAsia="Times New Roman" w:cstheme="majorHAnsi"/>
          <w:i/>
          <w:iCs/>
          <w:sz w:val="22"/>
          <w:szCs w:val="22"/>
          <w:lang w:val="en-GB"/>
        </w:rPr>
        <w:t>ision that it’s crazy that the G</w:t>
      </w:r>
      <w:r w:rsidR="003E574E" w:rsidRPr="004E053C">
        <w:rPr>
          <w:rFonts w:eastAsia="Times New Roman" w:cstheme="majorHAnsi"/>
          <w:i/>
          <w:iCs/>
          <w:sz w:val="22"/>
          <w:szCs w:val="22"/>
          <w:lang w:val="en-GB"/>
        </w:rPr>
        <w:t xml:space="preserve">overnment are against the illegal mining and are investing money in bombing it because they want to save the environment, </w:t>
      </w:r>
      <w:r w:rsidR="003E574E" w:rsidRPr="004E053C">
        <w:rPr>
          <w:rFonts w:eastAsia="Times New Roman" w:cstheme="majorHAnsi"/>
          <w:i/>
          <w:iCs/>
          <w:sz w:val="22"/>
          <w:szCs w:val="22"/>
          <w:lang w:val="en-GB"/>
        </w:rPr>
        <w:lastRenderedPageBreak/>
        <w:t>but aren’t trying to help and invest and then sell loads of land off to foreign companies</w:t>
      </w:r>
      <w:r w:rsidRPr="004E053C">
        <w:rPr>
          <w:rFonts w:eastAsia="Times New Roman" w:cstheme="majorHAnsi"/>
          <w:i/>
          <w:iCs/>
          <w:sz w:val="22"/>
          <w:szCs w:val="22"/>
          <w:lang w:val="en-GB"/>
        </w:rPr>
        <w:t xml:space="preserve">’ </w:t>
      </w:r>
      <w:r w:rsidR="003E574E" w:rsidRPr="004E053C">
        <w:rPr>
          <w:rFonts w:eastAsia="Times New Roman" w:cstheme="majorHAnsi"/>
          <w:sz w:val="22"/>
          <w:szCs w:val="22"/>
          <w:lang w:val="en-GB"/>
        </w:rPr>
        <w:t>(</w:t>
      </w:r>
      <w:r w:rsidR="000E13B9" w:rsidRPr="004E053C">
        <w:rPr>
          <w:rFonts w:eastAsia="Times New Roman" w:cstheme="majorHAnsi"/>
          <w:sz w:val="22"/>
          <w:szCs w:val="22"/>
          <w:lang w:val="en-GB"/>
        </w:rPr>
        <w:t>Willbert</w:t>
      </w:r>
      <w:r w:rsidR="003E574E" w:rsidRPr="004E053C">
        <w:rPr>
          <w:rFonts w:eastAsia="Times New Roman" w:cstheme="majorHAnsi"/>
          <w:sz w:val="22"/>
          <w:szCs w:val="22"/>
          <w:lang w:val="en-GB"/>
        </w:rPr>
        <w:t>, Obrero, Laberinto).</w:t>
      </w:r>
    </w:p>
    <w:p w14:paraId="7C797186" w14:textId="77777777" w:rsidR="003E574E" w:rsidRPr="004E053C" w:rsidRDefault="003E574E" w:rsidP="004E053C">
      <w:pPr>
        <w:spacing w:line="360" w:lineRule="auto"/>
        <w:jc w:val="both"/>
        <w:rPr>
          <w:rFonts w:cstheme="majorHAnsi"/>
          <w:i/>
          <w:iCs/>
          <w:sz w:val="22"/>
          <w:szCs w:val="22"/>
          <w:lang w:val="en-GB"/>
        </w:rPr>
      </w:pPr>
    </w:p>
    <w:p w14:paraId="5A0518D0" w14:textId="48852D95" w:rsidR="003E574E" w:rsidRPr="004E053C" w:rsidRDefault="003E574E" w:rsidP="004E053C">
      <w:pPr>
        <w:widowControl w:val="0"/>
        <w:autoSpaceDE w:val="0"/>
        <w:autoSpaceDN w:val="0"/>
        <w:adjustRightInd w:val="0"/>
        <w:spacing w:line="360" w:lineRule="auto"/>
        <w:jc w:val="both"/>
        <w:rPr>
          <w:rFonts w:cstheme="majorHAnsi"/>
          <w:sz w:val="22"/>
          <w:szCs w:val="22"/>
          <w:lang w:val="en-GB"/>
        </w:rPr>
      </w:pPr>
      <w:r w:rsidRPr="004E053C">
        <w:rPr>
          <w:rFonts w:eastAsia="Times New Roman" w:cstheme="majorHAnsi"/>
          <w:sz w:val="22"/>
          <w:szCs w:val="22"/>
          <w:lang w:val="en-GB"/>
        </w:rPr>
        <w:t>Several of the miners pointed how the lack of general awareness about the environment was making it difficult for the miners to complete the formali</w:t>
      </w:r>
      <w:r w:rsidR="00114C03" w:rsidRPr="004E053C">
        <w:rPr>
          <w:rFonts w:eastAsia="Times New Roman" w:cstheme="majorHAnsi"/>
          <w:sz w:val="22"/>
          <w:szCs w:val="22"/>
          <w:lang w:val="en-GB"/>
        </w:rPr>
        <w:t>sation process, and blamed the G</w:t>
      </w:r>
      <w:r w:rsidRPr="004E053C">
        <w:rPr>
          <w:rFonts w:eastAsia="Times New Roman" w:cstheme="majorHAnsi"/>
          <w:sz w:val="22"/>
          <w:szCs w:val="22"/>
          <w:lang w:val="en-GB"/>
        </w:rPr>
        <w:t xml:space="preserve">overnment for not doing more to help them meet the requirements. </w:t>
      </w:r>
      <w:r w:rsidR="004D3AD9" w:rsidRPr="004E053C">
        <w:rPr>
          <w:rFonts w:cstheme="majorHAnsi"/>
          <w:sz w:val="22"/>
          <w:szCs w:val="22"/>
          <w:lang w:val="en-GB"/>
        </w:rPr>
        <w:t>The lack of knowledge and financial capacity of miners to invest in technological advances and the lack of support they re</w:t>
      </w:r>
      <w:r w:rsidR="00BD3A5D" w:rsidRPr="004E053C">
        <w:rPr>
          <w:rFonts w:cstheme="majorHAnsi"/>
          <w:sz w:val="22"/>
          <w:szCs w:val="22"/>
          <w:lang w:val="en-GB"/>
        </w:rPr>
        <w:t>ceive from state governments have</w:t>
      </w:r>
      <w:r w:rsidR="004D3AD9" w:rsidRPr="004E053C">
        <w:rPr>
          <w:rFonts w:cstheme="majorHAnsi"/>
          <w:sz w:val="22"/>
          <w:szCs w:val="22"/>
          <w:lang w:val="en-GB"/>
        </w:rPr>
        <w:t xml:space="preserve"> been pointed to elsewhere in the ASM literature </w:t>
      </w:r>
      <w:r w:rsidR="00874562"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{"citationItems":[{"id":"ITEM-1","itemData":{"abstract":"Despite violent protests across Latin America, policies to make mining more environmentally sound and socially acceptable remain elusive. This essay explores the factors that hinder progress in resolving mining conflicts. It describes the fiscal incentives that drive governments to promote mining, the environmental risks inherent in open pit mining, and the divisive property rights that contribute to conflict. While no mining is environmentally benign, more can be done to protect the health and livelihoods of local communities. Progress requires not only improving the technical capacity of institutions tasked with environmental monitoring but also resolving the deeply rooted social divisions in the region. Affirming the rights of local communities - nonindigenous as well as indigenous - to control zoning, water supplies and the financial benefits of mining would both better link governance to those most affected and, in many cases, reduce poverty.","author":[{"dropping-particle":"","family":"Helwege","given":"Ann","non-dropping-particle":"","parse-names":false,"suffix":""}],"container-title":"Extractive Industries and Society","id":"ITEM-1","issue":"1","issued":{"date-parts":[["2015"]]},"page":"73-84","publisher":"Elsevier Ltd","title":"Challenges with resolving mining conflicts in Latin America","type":"article-journal","volume":"2"},"uris":["http://www.mendeley.com/documents/?uuid=90d97209-2390-479c-8391-bd46dadc69ac"]},{"id":"ITEM-2","itemData":{"author":[{"dropping-particle":"","family":"Kuramoto","given":"Juana. R.","non-dropping-particle":"","parse-names":false,"suffix":""}],"id":"ITEM-2","issued":{"date-parts":[["2001"]]},"number-of-pages":"53","publisher-place":"Lima","title":"Artisanal and Informal Mining in Peru","type":"report"},"uris":["http://www.mendeley.com/documents/?uuid=489402d4-ec6a-45a8-a0bc-b72da8278da6"]},{"id":"ITEM-3","itemData":{"abstract":"This comment follows Hilson and McQuilken (2014), who express frustration with how \"ASM despite its economic importance occupies such a marginal position in the economic agenda sub-Saharan Africa\". Ten years ago when the author retired from the United Nations, the mood was upbeat: many ASM experts believed that policy makers had finally grasped the economic importance of the sector for rural poverty reduction. But in 2014, the world over, it is evident that ASM, despite having since expanded considerably, regrettably remains outside of the poverty reduction policy mainstream. There is a gap between the flurry of actions promoted by the international community and the laissez-faire status quo position of many developing country governments.This author is now pessimistic. Ultimately, ASM formalization will result not from direct assistance but on the contrary, from a government success in combating poverty in the non-mining rural communities. The improvement of the rural economy will reduce population pressure and lower the cost of living in ASM communities, enabling them to retain more earnings and invest in up-scaling or sector diversification. Only then will ASM become a viable agent of growth.","author":[{"dropping-particle":"","family":"Labonne","given":"Beatrice","non-dropping-particle":"","parse-names":false,"suffix":""}],"container-title":"Extractive Industries and Society","id":"ITEM-3","issue":"2","issued":{"date-parts":[["2014"]]},"page":"121-123","publisher":"Elsevier Ltd","title":"Who is afraid of artisanal and small-scale mining (ASM)?","type":"article-journal","volume":"1"},"uris":["http://www.mendeley.com/documents/?uuid=6f4cdc62-be1d-49c4-a0d6-f09927ed6241"]},{"id":"ITEM-4","itemData":{"abstract":"This article provides a counter-narrative to the dominant discourse of marginalization and criminalization of Ghana's illegal gold miners (galamsey) by focusing on the contested mercury debate. We first examine the complex and multifaceted policy problem that underlies the current conflictual aspects in the small-scale mining sector, arguing that mercury use and contamination are key elements in the antigalamsey rhetoric. Second, we describe an interdisciplinary pilot study on human and environmental health that involved health personnel and illegal miners from two sites. Through participatory ranking and mapping activities, we explored participants' understanding of mercury and other life hazards as well as causes and consequences of mercury contamination. We used chemical indicator strips to sample contaminated areas in collaboration with the miners. By drawing upon novel concepts from the environmental justice and ecohealth literature, we propose a political ecology of human and environmental health that advocates recognition of galamsey operators and their participation in learning opportunities as a first step out of the current impasse in the Ghanaian small-scale mining sector. © 2007 Elsevier Ltd. All rights reserved.","author":[{"dropping-particle":"","family":"Tschakert","given":"Petra","non-dropping-particle":"","parse-names":false,"suffix":""},{"dropping-particle":"","family":"Singha","given":"Kamini","non-dropping-particle":"","parse-names":false,"suffix":""}],"container-title":"Geoforum","id":"ITEM-4","issue":"6","issued":{"date-parts":[["2007"]]},"page":"1304-1321","title":"Contaminated identities: mercury and marginalization in Ghana's artisanal mining sector","type":"article-journal","volume":"38"},"uris":["http://www.mendeley.com/documents/?uuid=bb6c3eb8-5f3a-408f-89eb-506be52b9a46"]}],"mendeley":{"formattedCitation":"(Helwege, 2015; Kuramoto, 2001; Labonne, 2014; Tschakert &amp; Singha, 2007)","plainTextFormattedCitation":"(Helwege, 2015; Kuramoto, 2001; Labonne, 2014; Tschakert &amp; Singha, 2007)","previouslyFormattedCitation":"(Helwege, 2015; Kuramoto, 2001; Labonne, 2014; Tschakert &amp; Singha, 2007)"},"properties":{"noteIndex":0},"schema":"https://github.com/citation-style-language/schema/raw/master/csl-citation.json"}</w:instrText>
      </w:r>
      <w:r w:rsidR="00874562" w:rsidRPr="004E053C">
        <w:rPr>
          <w:rFonts w:cstheme="majorHAnsi"/>
          <w:sz w:val="22"/>
          <w:szCs w:val="22"/>
          <w:lang w:val="en-GB"/>
        </w:rPr>
        <w:fldChar w:fldCharType="separate"/>
      </w:r>
      <w:r w:rsidR="00874562" w:rsidRPr="004E053C">
        <w:rPr>
          <w:rFonts w:cstheme="majorHAnsi"/>
          <w:noProof/>
          <w:sz w:val="22"/>
          <w:szCs w:val="22"/>
          <w:lang w:val="en-GB"/>
        </w:rPr>
        <w:t>(Helwege, 2015; Kuramoto, 2001; Labonne</w:t>
      </w:r>
      <w:r w:rsidR="0017524B" w:rsidRPr="004E053C">
        <w:rPr>
          <w:rFonts w:cstheme="majorHAnsi"/>
          <w:noProof/>
          <w:sz w:val="22"/>
          <w:szCs w:val="22"/>
          <w:lang w:val="en-GB"/>
        </w:rPr>
        <w:t>, 2014; Tschakert &amp; Singha, 2007</w:t>
      </w:r>
      <w:r w:rsidR="00874562" w:rsidRPr="004E053C">
        <w:rPr>
          <w:rFonts w:cstheme="majorHAnsi"/>
          <w:noProof/>
          <w:sz w:val="22"/>
          <w:szCs w:val="22"/>
          <w:lang w:val="en-GB"/>
        </w:rPr>
        <w:t>)</w:t>
      </w:r>
      <w:r w:rsidR="00874562" w:rsidRPr="004E053C">
        <w:rPr>
          <w:rFonts w:cstheme="majorHAnsi"/>
          <w:sz w:val="22"/>
          <w:szCs w:val="22"/>
          <w:lang w:val="en-GB"/>
        </w:rPr>
        <w:fldChar w:fldCharType="end"/>
      </w:r>
      <w:r w:rsidR="004D3AD9" w:rsidRPr="004E053C">
        <w:rPr>
          <w:rFonts w:cstheme="majorHAnsi"/>
          <w:sz w:val="22"/>
          <w:szCs w:val="22"/>
          <w:lang w:val="en-GB"/>
        </w:rPr>
        <w:t xml:space="preserve">. </w:t>
      </w:r>
      <w:r w:rsidRPr="004E053C">
        <w:rPr>
          <w:rFonts w:cstheme="majorHAnsi"/>
          <w:sz w:val="22"/>
          <w:szCs w:val="22"/>
          <w:lang w:val="en-GB"/>
        </w:rPr>
        <w:t xml:space="preserve">Thirdly, </w:t>
      </w:r>
      <w:r w:rsidR="006D2D42" w:rsidRPr="004E053C">
        <w:rPr>
          <w:rFonts w:cstheme="majorHAnsi"/>
          <w:sz w:val="22"/>
          <w:szCs w:val="22"/>
          <w:lang w:val="en-GB"/>
        </w:rPr>
        <w:t>the</w:t>
      </w:r>
      <w:r w:rsidR="002B09A6" w:rsidRPr="004E053C">
        <w:rPr>
          <w:rFonts w:cstheme="majorHAnsi"/>
          <w:sz w:val="22"/>
          <w:szCs w:val="22"/>
          <w:lang w:val="en-GB"/>
        </w:rPr>
        <w:t xml:space="preserve"> national G</w:t>
      </w:r>
      <w:r w:rsidRPr="004E053C">
        <w:rPr>
          <w:rFonts w:cstheme="majorHAnsi"/>
          <w:sz w:val="22"/>
          <w:szCs w:val="22"/>
          <w:lang w:val="en-GB"/>
        </w:rPr>
        <w:t>overnment’s policy of violent inte</w:t>
      </w:r>
      <w:r w:rsidR="006D2D42" w:rsidRPr="004E053C">
        <w:rPr>
          <w:rFonts w:cstheme="majorHAnsi"/>
          <w:sz w:val="22"/>
          <w:szCs w:val="22"/>
          <w:lang w:val="en-GB"/>
        </w:rPr>
        <w:t>rdiction against the miners not only wasted funds that</w:t>
      </w:r>
      <w:r w:rsidRPr="004E053C">
        <w:rPr>
          <w:rFonts w:cstheme="majorHAnsi"/>
          <w:sz w:val="22"/>
          <w:szCs w:val="22"/>
          <w:lang w:val="en-GB"/>
        </w:rPr>
        <w:t xml:space="preserve"> could be used for investing in more environmentally friend</w:t>
      </w:r>
      <w:r w:rsidR="006D2D42" w:rsidRPr="004E053C">
        <w:rPr>
          <w:rFonts w:cstheme="majorHAnsi"/>
          <w:sz w:val="22"/>
          <w:szCs w:val="22"/>
          <w:lang w:val="en-GB"/>
        </w:rPr>
        <w:t>ly mining technologies, but</w:t>
      </w:r>
      <w:r w:rsidRPr="004E053C">
        <w:rPr>
          <w:rFonts w:cstheme="majorHAnsi"/>
          <w:sz w:val="22"/>
          <w:szCs w:val="22"/>
          <w:lang w:val="en-GB"/>
        </w:rPr>
        <w:t xml:space="preserve"> </w:t>
      </w:r>
      <w:r w:rsidR="006D2D42" w:rsidRPr="004E053C">
        <w:rPr>
          <w:rFonts w:cstheme="majorHAnsi"/>
          <w:sz w:val="22"/>
          <w:szCs w:val="22"/>
          <w:lang w:val="en-GB"/>
        </w:rPr>
        <w:t xml:space="preserve">is </w:t>
      </w:r>
      <w:r w:rsidRPr="004E053C">
        <w:rPr>
          <w:rFonts w:cstheme="majorHAnsi"/>
          <w:sz w:val="22"/>
          <w:szCs w:val="22"/>
          <w:lang w:val="en-GB"/>
        </w:rPr>
        <w:t>also bad for the environment, due to the use of dynamite and the petroleum ending up in th</w:t>
      </w:r>
      <w:r w:rsidR="002B09A6" w:rsidRPr="004E053C">
        <w:rPr>
          <w:rFonts w:cstheme="majorHAnsi"/>
          <w:sz w:val="22"/>
          <w:szCs w:val="22"/>
          <w:lang w:val="en-GB"/>
        </w:rPr>
        <w:t>e rivers. The hypocrisy of the G</w:t>
      </w:r>
      <w:r w:rsidRPr="004E053C">
        <w:rPr>
          <w:rFonts w:cstheme="majorHAnsi"/>
          <w:sz w:val="22"/>
          <w:szCs w:val="22"/>
          <w:lang w:val="en-GB"/>
        </w:rPr>
        <w:t xml:space="preserve">overnment can in part be explained by the conflicts of interest that exist between the </w:t>
      </w:r>
      <w:r w:rsidR="005B3CB8" w:rsidRPr="004E053C">
        <w:rPr>
          <w:rFonts w:cstheme="majorHAnsi"/>
          <w:sz w:val="22"/>
          <w:szCs w:val="22"/>
          <w:lang w:val="en-GB"/>
        </w:rPr>
        <w:t>MINEM</w:t>
      </w:r>
      <w:r w:rsidRPr="004E053C">
        <w:rPr>
          <w:rFonts w:cstheme="majorHAnsi"/>
          <w:sz w:val="22"/>
          <w:szCs w:val="22"/>
          <w:lang w:val="en-GB"/>
        </w:rPr>
        <w:t xml:space="preserve"> and the </w:t>
      </w:r>
      <w:r w:rsidR="005B3CB8" w:rsidRPr="004E053C">
        <w:rPr>
          <w:rFonts w:cstheme="majorHAnsi"/>
          <w:sz w:val="22"/>
          <w:szCs w:val="22"/>
          <w:lang w:val="en-GB"/>
        </w:rPr>
        <w:t>MINAM</w:t>
      </w:r>
      <w:r w:rsidR="00BD3A5D" w:rsidRPr="004E053C">
        <w:rPr>
          <w:rFonts w:cstheme="majorHAnsi"/>
          <w:sz w:val="22"/>
          <w:szCs w:val="22"/>
          <w:lang w:val="en-GB"/>
        </w:rPr>
        <w:t xml:space="preserve">, </w:t>
      </w:r>
      <w:r w:rsidR="002B09A6" w:rsidRPr="004E053C">
        <w:rPr>
          <w:rFonts w:cstheme="majorHAnsi"/>
          <w:sz w:val="22"/>
          <w:szCs w:val="22"/>
          <w:lang w:val="en-GB"/>
        </w:rPr>
        <w:t>as they both have divergent conc</w:t>
      </w:r>
      <w:r w:rsidR="00BD3A5D" w:rsidRPr="004E053C">
        <w:rPr>
          <w:rFonts w:cstheme="majorHAnsi"/>
          <w:sz w:val="22"/>
          <w:szCs w:val="22"/>
          <w:lang w:val="en-GB"/>
        </w:rPr>
        <w:t>eptualisations about the future of ASM and the conservation of the Amazon</w:t>
      </w:r>
      <w:r w:rsidRPr="004E053C">
        <w:rPr>
          <w:rFonts w:cstheme="majorHAnsi"/>
          <w:sz w:val="22"/>
          <w:szCs w:val="22"/>
          <w:lang w:val="en-GB"/>
        </w:rPr>
        <w:t xml:space="preserve">. </w:t>
      </w:r>
    </w:p>
    <w:p w14:paraId="7094576D" w14:textId="77777777" w:rsidR="003E574E" w:rsidRPr="004E053C" w:rsidRDefault="003E574E" w:rsidP="004E053C">
      <w:pPr>
        <w:spacing w:line="360" w:lineRule="auto"/>
        <w:jc w:val="both"/>
        <w:rPr>
          <w:rFonts w:eastAsia="Times New Roman" w:cstheme="majorHAnsi"/>
          <w:sz w:val="22"/>
          <w:szCs w:val="22"/>
          <w:lang w:val="en-GB"/>
        </w:rPr>
      </w:pPr>
    </w:p>
    <w:p w14:paraId="05EAE9C3" w14:textId="6C358328"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Despite the adoption of the environmental narratives to question the legitimacy of the Government’s concerns over conservation and its general policy towards ASM, the clear antagonisms between t</w:t>
      </w:r>
      <w:r w:rsidR="002B09A6" w:rsidRPr="004E053C">
        <w:rPr>
          <w:rFonts w:cstheme="majorHAnsi"/>
          <w:sz w:val="22"/>
          <w:szCs w:val="22"/>
          <w:lang w:val="en-GB"/>
        </w:rPr>
        <w:t>he Laberinto community and the G</w:t>
      </w:r>
      <w:r w:rsidRPr="004E053C">
        <w:rPr>
          <w:rFonts w:cstheme="majorHAnsi"/>
          <w:sz w:val="22"/>
          <w:szCs w:val="22"/>
          <w:lang w:val="en-GB"/>
        </w:rPr>
        <w:t xml:space="preserve">overnment appear to be reducing the commitment of the miners to find alternative solutions. It is possible to interpret the miners </w:t>
      </w:r>
      <w:r w:rsidR="00BD3A5D" w:rsidRPr="004E053C">
        <w:rPr>
          <w:rFonts w:cstheme="majorHAnsi"/>
          <w:sz w:val="22"/>
          <w:szCs w:val="22"/>
          <w:lang w:val="en-GB"/>
        </w:rPr>
        <w:t xml:space="preserve">as </w:t>
      </w:r>
      <w:r w:rsidRPr="004E053C">
        <w:rPr>
          <w:rFonts w:cstheme="majorHAnsi"/>
          <w:sz w:val="22"/>
          <w:szCs w:val="22"/>
          <w:lang w:val="en-GB"/>
        </w:rPr>
        <w:t xml:space="preserve">almost holding the environment to ransom in order to negotiate a </w:t>
      </w:r>
      <w:r w:rsidR="005527DD" w:rsidRPr="004E053C">
        <w:rPr>
          <w:rFonts w:cstheme="majorHAnsi"/>
          <w:sz w:val="22"/>
          <w:szCs w:val="22"/>
          <w:lang w:val="en-GB"/>
        </w:rPr>
        <w:t>policy that</w:t>
      </w:r>
      <w:r w:rsidRPr="004E053C">
        <w:rPr>
          <w:rFonts w:cstheme="majorHAnsi"/>
          <w:sz w:val="22"/>
          <w:szCs w:val="22"/>
          <w:lang w:val="en-GB"/>
        </w:rPr>
        <w:t xml:space="preserve"> enables them to continue their livelihood:</w:t>
      </w:r>
    </w:p>
    <w:p w14:paraId="20168661" w14:textId="77777777" w:rsidR="003E574E" w:rsidRPr="004E053C" w:rsidRDefault="003E574E" w:rsidP="004E053C">
      <w:pPr>
        <w:spacing w:line="360" w:lineRule="auto"/>
        <w:jc w:val="both"/>
        <w:rPr>
          <w:rFonts w:cstheme="majorHAnsi"/>
          <w:sz w:val="22"/>
          <w:szCs w:val="22"/>
          <w:lang w:val="en-GB"/>
        </w:rPr>
      </w:pPr>
    </w:p>
    <w:p w14:paraId="1B2DF4FB" w14:textId="20D31690" w:rsidR="003E574E" w:rsidRPr="004E053C" w:rsidRDefault="002B09A6" w:rsidP="004E053C">
      <w:pPr>
        <w:ind w:left="720"/>
        <w:jc w:val="both"/>
        <w:rPr>
          <w:rFonts w:cstheme="majorHAnsi"/>
          <w:sz w:val="22"/>
          <w:szCs w:val="22"/>
          <w:lang w:val="en-GB"/>
        </w:rPr>
      </w:pPr>
      <w:r w:rsidRPr="004E053C">
        <w:rPr>
          <w:rFonts w:cstheme="majorHAnsi"/>
          <w:sz w:val="22"/>
          <w:szCs w:val="22"/>
          <w:lang w:val="en-GB"/>
        </w:rPr>
        <w:t>‘</w:t>
      </w:r>
      <w:r w:rsidRPr="004E053C">
        <w:rPr>
          <w:rFonts w:cstheme="majorHAnsi"/>
          <w:i/>
          <w:sz w:val="22"/>
          <w:szCs w:val="22"/>
          <w:lang w:val="en-GB"/>
        </w:rPr>
        <w:t>The Government and the Minister of the E</w:t>
      </w:r>
      <w:r w:rsidR="003E574E" w:rsidRPr="004E053C">
        <w:rPr>
          <w:rFonts w:cstheme="majorHAnsi"/>
          <w:i/>
          <w:sz w:val="22"/>
          <w:szCs w:val="22"/>
          <w:lang w:val="en-GB"/>
        </w:rPr>
        <w:t>nvironment try to motivate people to protect the environment. We don’t have proble</w:t>
      </w:r>
      <w:r w:rsidRPr="004E053C">
        <w:rPr>
          <w:rFonts w:cstheme="majorHAnsi"/>
          <w:i/>
          <w:sz w:val="22"/>
          <w:szCs w:val="22"/>
          <w:lang w:val="en-GB"/>
        </w:rPr>
        <w:t>ms with doing this, but as the G</w:t>
      </w:r>
      <w:r w:rsidR="003E574E" w:rsidRPr="004E053C">
        <w:rPr>
          <w:rFonts w:cstheme="majorHAnsi"/>
          <w:i/>
          <w:sz w:val="22"/>
          <w:szCs w:val="22"/>
          <w:lang w:val="en-GB"/>
        </w:rPr>
        <w:t>overnment is against us, and there are no bonds between us and so first we want our protection and rights and then we will help them think about the environment</w:t>
      </w:r>
      <w:r w:rsidRPr="004E053C">
        <w:rPr>
          <w:rFonts w:cstheme="majorHAnsi"/>
          <w:sz w:val="22"/>
          <w:szCs w:val="22"/>
          <w:lang w:val="en-GB"/>
        </w:rPr>
        <w:t>’</w:t>
      </w:r>
      <w:r w:rsidR="003E574E" w:rsidRPr="004E053C">
        <w:rPr>
          <w:rFonts w:cstheme="majorHAnsi"/>
          <w:sz w:val="22"/>
          <w:szCs w:val="22"/>
          <w:lang w:val="en-GB"/>
        </w:rPr>
        <w:t xml:space="preserve"> (</w:t>
      </w:r>
      <w:r w:rsidR="00EA7F80" w:rsidRPr="004E053C">
        <w:rPr>
          <w:rFonts w:cstheme="majorHAnsi"/>
          <w:sz w:val="22"/>
          <w:szCs w:val="22"/>
          <w:lang w:val="en-GB"/>
        </w:rPr>
        <w:t>Esteban</w:t>
      </w:r>
      <w:r w:rsidR="003E574E" w:rsidRPr="004E053C">
        <w:rPr>
          <w:rFonts w:cstheme="majorHAnsi"/>
          <w:sz w:val="22"/>
          <w:szCs w:val="22"/>
          <w:lang w:val="en-GB"/>
        </w:rPr>
        <w:t>, ASM miner, Laberinto).</w:t>
      </w:r>
    </w:p>
    <w:p w14:paraId="4D1C0E6F" w14:textId="77777777" w:rsidR="003E574E" w:rsidRPr="004E053C" w:rsidRDefault="003E574E" w:rsidP="004E053C">
      <w:pPr>
        <w:jc w:val="both"/>
        <w:rPr>
          <w:rFonts w:cstheme="majorHAnsi"/>
          <w:sz w:val="22"/>
          <w:szCs w:val="22"/>
          <w:lang w:val="en-GB"/>
        </w:rPr>
      </w:pPr>
    </w:p>
    <w:p w14:paraId="48629C94" w14:textId="0A3AAEB5"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 xml:space="preserve">In the future, as the laws are new, Laberinto will become worse than La Pampa…There will be less concessions, and less people wanting to be </w:t>
      </w:r>
      <w:r w:rsidR="00091107" w:rsidRPr="004E053C">
        <w:rPr>
          <w:rFonts w:eastAsia="Times New Roman" w:cstheme="majorHAnsi"/>
          <w:i/>
          <w:iCs/>
          <w:sz w:val="22"/>
          <w:szCs w:val="22"/>
          <w:lang w:val="en-GB"/>
        </w:rPr>
        <w:t>formalise</w:t>
      </w:r>
      <w:r w:rsidR="003E574E" w:rsidRPr="004E053C">
        <w:rPr>
          <w:rFonts w:eastAsia="Times New Roman" w:cstheme="majorHAnsi"/>
          <w:i/>
          <w:iCs/>
          <w:sz w:val="22"/>
          <w:szCs w:val="22"/>
          <w:lang w:val="en-GB"/>
        </w:rPr>
        <w:t>d, and they will look for gold in more illegal places when it gets depleted. We feel bad about this, and we know we could be better but we can’t</w:t>
      </w:r>
      <w:r w:rsidR="002B09A6" w:rsidRPr="004E053C">
        <w:rPr>
          <w:rFonts w:eastAsia="Times New Roman" w:cstheme="majorHAnsi"/>
          <w:i/>
          <w:iCs/>
          <w:sz w:val="22"/>
          <w:szCs w:val="22"/>
          <w:lang w:val="en-GB"/>
        </w:rPr>
        <w:t xml:space="preserve"> due to the situation with the G</w:t>
      </w:r>
      <w:r w:rsidR="003E574E" w:rsidRPr="004E053C">
        <w:rPr>
          <w:rFonts w:eastAsia="Times New Roman" w:cstheme="majorHAnsi"/>
          <w:i/>
          <w:iCs/>
          <w:sz w:val="22"/>
          <w:szCs w:val="22"/>
          <w:lang w:val="en-GB"/>
        </w:rPr>
        <w:t>overnment</w:t>
      </w:r>
      <w:r w:rsidRPr="004E053C">
        <w:rPr>
          <w:rFonts w:eastAsia="Times New Roman" w:cstheme="majorHAnsi"/>
          <w:i/>
          <w:iCs/>
          <w:sz w:val="22"/>
          <w:szCs w:val="22"/>
          <w:lang w:val="en-GB"/>
        </w:rPr>
        <w:t>’</w:t>
      </w:r>
      <w:r w:rsidR="003E574E" w:rsidRPr="004E053C">
        <w:rPr>
          <w:rFonts w:eastAsia="Times New Roman" w:cstheme="majorHAnsi"/>
          <w:sz w:val="22"/>
          <w:szCs w:val="22"/>
          <w:lang w:val="en-GB"/>
        </w:rPr>
        <w:t xml:space="preserve"> (</w:t>
      </w:r>
      <w:r w:rsidR="000E13B9" w:rsidRPr="004E053C">
        <w:rPr>
          <w:rFonts w:eastAsia="Times New Roman" w:cstheme="majorHAnsi"/>
          <w:sz w:val="22"/>
          <w:szCs w:val="22"/>
          <w:lang w:val="en-GB"/>
        </w:rPr>
        <w:t>Willbert</w:t>
      </w:r>
      <w:r w:rsidR="003E574E" w:rsidRPr="004E053C">
        <w:rPr>
          <w:rFonts w:eastAsia="Times New Roman" w:cstheme="majorHAnsi"/>
          <w:sz w:val="22"/>
          <w:szCs w:val="22"/>
          <w:lang w:val="en-GB"/>
        </w:rPr>
        <w:t>, ASM miner, Laberinto)</w:t>
      </w:r>
      <w:r w:rsidRPr="004E053C">
        <w:rPr>
          <w:rFonts w:eastAsia="Times New Roman" w:cstheme="majorHAnsi"/>
          <w:sz w:val="22"/>
          <w:szCs w:val="22"/>
          <w:lang w:val="en-GB"/>
        </w:rPr>
        <w:t xml:space="preserve">. </w:t>
      </w:r>
    </w:p>
    <w:p w14:paraId="0A1DB4F5" w14:textId="77777777" w:rsidR="003E574E" w:rsidRPr="004E053C" w:rsidRDefault="003E574E" w:rsidP="004E053C">
      <w:pPr>
        <w:spacing w:line="360" w:lineRule="auto"/>
        <w:jc w:val="both"/>
        <w:rPr>
          <w:rFonts w:eastAsia="Times New Roman" w:cstheme="majorHAnsi"/>
          <w:sz w:val="22"/>
          <w:szCs w:val="22"/>
          <w:lang w:val="en-GB"/>
        </w:rPr>
      </w:pPr>
    </w:p>
    <w:p w14:paraId="7D7E557C" w14:textId="18FFD00F" w:rsidR="0019375F"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As the quotes above show, the miners are highlighting their understanding of the environmental costs of ASM, whilst emphasising that the government needed to work with them to address these issues. </w:t>
      </w:r>
      <w:r w:rsidR="006D2D42" w:rsidRPr="004E053C">
        <w:rPr>
          <w:rFonts w:eastAsia="Times New Roman" w:cstheme="majorHAnsi"/>
          <w:sz w:val="22"/>
          <w:szCs w:val="22"/>
          <w:lang w:val="en-GB"/>
        </w:rPr>
        <w:t xml:space="preserve">In particular, </w:t>
      </w:r>
      <w:r w:rsidR="00EA7F80" w:rsidRPr="004E053C">
        <w:rPr>
          <w:rFonts w:eastAsia="Times New Roman" w:cstheme="majorHAnsi"/>
          <w:sz w:val="22"/>
          <w:szCs w:val="22"/>
          <w:lang w:val="en-GB"/>
        </w:rPr>
        <w:t>Esteban</w:t>
      </w:r>
      <w:r w:rsidR="006D2D42" w:rsidRPr="004E053C">
        <w:rPr>
          <w:rFonts w:eastAsia="Times New Roman" w:cstheme="majorHAnsi"/>
          <w:sz w:val="22"/>
          <w:szCs w:val="22"/>
          <w:lang w:val="en-GB"/>
        </w:rPr>
        <w:t xml:space="preserve"> talked</w:t>
      </w:r>
      <w:r w:rsidRPr="004E053C">
        <w:rPr>
          <w:rFonts w:eastAsia="Times New Roman" w:cstheme="majorHAnsi"/>
          <w:sz w:val="22"/>
          <w:szCs w:val="22"/>
          <w:lang w:val="en-GB"/>
        </w:rPr>
        <w:t xml:space="preserve"> </w:t>
      </w:r>
      <w:r w:rsidR="006D2D42" w:rsidRPr="004E053C">
        <w:rPr>
          <w:rFonts w:eastAsia="Times New Roman" w:cstheme="majorHAnsi"/>
          <w:sz w:val="22"/>
          <w:szCs w:val="22"/>
          <w:lang w:val="en-GB"/>
        </w:rPr>
        <w:t xml:space="preserve">about </w:t>
      </w:r>
      <w:r w:rsidR="00BD3A5D" w:rsidRPr="004E053C">
        <w:rPr>
          <w:rFonts w:eastAsia="Times New Roman" w:cstheme="majorHAnsi"/>
          <w:sz w:val="22"/>
          <w:szCs w:val="22"/>
          <w:lang w:val="en-GB"/>
        </w:rPr>
        <w:t xml:space="preserve">the lack of trust </w:t>
      </w:r>
      <w:r w:rsidR="002B09A6" w:rsidRPr="004E053C">
        <w:rPr>
          <w:rFonts w:eastAsia="Times New Roman" w:cstheme="majorHAnsi"/>
          <w:sz w:val="22"/>
          <w:szCs w:val="22"/>
          <w:lang w:val="en-GB"/>
        </w:rPr>
        <w:t>between the miners and the G</w:t>
      </w:r>
      <w:r w:rsidR="006D2D42" w:rsidRPr="004E053C">
        <w:rPr>
          <w:rFonts w:eastAsia="Times New Roman" w:cstheme="majorHAnsi"/>
          <w:sz w:val="22"/>
          <w:szCs w:val="22"/>
          <w:lang w:val="en-GB"/>
        </w:rPr>
        <w:t xml:space="preserve">overnment </w:t>
      </w:r>
      <w:r w:rsidR="00BD3A5D" w:rsidRPr="004E053C">
        <w:rPr>
          <w:rFonts w:eastAsia="Times New Roman" w:cstheme="majorHAnsi"/>
          <w:sz w:val="22"/>
          <w:szCs w:val="22"/>
          <w:lang w:val="en-GB"/>
        </w:rPr>
        <w:t>that</w:t>
      </w:r>
      <w:r w:rsidRPr="004E053C">
        <w:rPr>
          <w:rFonts w:eastAsia="Times New Roman" w:cstheme="majorHAnsi"/>
          <w:sz w:val="22"/>
          <w:szCs w:val="22"/>
          <w:lang w:val="en-GB"/>
        </w:rPr>
        <w:t xml:space="preserve"> </w:t>
      </w:r>
      <w:r w:rsidR="006D2D42" w:rsidRPr="004E053C">
        <w:rPr>
          <w:rFonts w:eastAsia="Times New Roman" w:cstheme="majorHAnsi"/>
          <w:sz w:val="22"/>
          <w:szCs w:val="22"/>
          <w:lang w:val="en-GB"/>
        </w:rPr>
        <w:t>discourages the former from tackling</w:t>
      </w:r>
      <w:r w:rsidRPr="004E053C">
        <w:rPr>
          <w:rFonts w:eastAsia="Times New Roman" w:cstheme="majorHAnsi"/>
          <w:sz w:val="22"/>
          <w:szCs w:val="22"/>
          <w:lang w:val="en-GB"/>
        </w:rPr>
        <w:t xml:space="preserve"> environmental issues before their rights</w:t>
      </w:r>
      <w:r w:rsidR="006D2D42" w:rsidRPr="004E053C">
        <w:rPr>
          <w:rFonts w:eastAsia="Times New Roman" w:cstheme="majorHAnsi"/>
          <w:sz w:val="22"/>
          <w:szCs w:val="22"/>
          <w:lang w:val="en-GB"/>
        </w:rPr>
        <w:t xml:space="preserve"> have been secured</w:t>
      </w:r>
      <w:r w:rsidRPr="004E053C">
        <w:rPr>
          <w:rFonts w:eastAsia="Times New Roman" w:cstheme="majorHAnsi"/>
          <w:sz w:val="22"/>
          <w:szCs w:val="22"/>
          <w:lang w:val="en-GB"/>
        </w:rPr>
        <w:t xml:space="preserve">. A couple of the miners also complained that </w:t>
      </w:r>
      <w:r w:rsidR="005527DD" w:rsidRPr="004E053C">
        <w:rPr>
          <w:rFonts w:eastAsia="Times New Roman" w:cstheme="majorHAnsi"/>
          <w:sz w:val="22"/>
          <w:szCs w:val="22"/>
          <w:lang w:val="en-GB"/>
        </w:rPr>
        <w:t>environmentally friendly</w:t>
      </w:r>
      <w:r w:rsidRPr="004E053C">
        <w:rPr>
          <w:rFonts w:eastAsia="Times New Roman" w:cstheme="majorHAnsi"/>
          <w:sz w:val="22"/>
          <w:szCs w:val="22"/>
          <w:lang w:val="en-GB"/>
        </w:rPr>
        <w:t xml:space="preserve"> mining techniques </w:t>
      </w:r>
      <w:r w:rsidRPr="004E053C">
        <w:rPr>
          <w:rFonts w:eastAsia="Times New Roman" w:cstheme="majorHAnsi"/>
          <w:sz w:val="22"/>
          <w:szCs w:val="22"/>
          <w:lang w:val="en-GB"/>
        </w:rPr>
        <w:lastRenderedPageBreak/>
        <w:t>were ex</w:t>
      </w:r>
      <w:r w:rsidR="002B09A6" w:rsidRPr="004E053C">
        <w:rPr>
          <w:rFonts w:eastAsia="Times New Roman" w:cstheme="majorHAnsi"/>
          <w:sz w:val="22"/>
          <w:szCs w:val="22"/>
          <w:lang w:val="en-GB"/>
        </w:rPr>
        <w:t>pensive. They claimed that the G</w:t>
      </w:r>
      <w:r w:rsidRPr="004E053C">
        <w:rPr>
          <w:rFonts w:eastAsia="Times New Roman" w:cstheme="majorHAnsi"/>
          <w:sz w:val="22"/>
          <w:szCs w:val="22"/>
          <w:lang w:val="en-GB"/>
        </w:rPr>
        <w:t xml:space="preserve">overnment was causing </w:t>
      </w:r>
      <w:r w:rsidR="005527DD" w:rsidRPr="004E053C">
        <w:rPr>
          <w:rFonts w:eastAsia="Times New Roman" w:cstheme="majorHAnsi"/>
          <w:sz w:val="22"/>
          <w:szCs w:val="22"/>
          <w:lang w:val="en-GB"/>
        </w:rPr>
        <w:t>insecurity that</w:t>
      </w:r>
      <w:r w:rsidRPr="004E053C">
        <w:rPr>
          <w:rFonts w:eastAsia="Times New Roman" w:cstheme="majorHAnsi"/>
          <w:sz w:val="22"/>
          <w:szCs w:val="22"/>
          <w:lang w:val="en-GB"/>
        </w:rPr>
        <w:t xml:space="preserve"> meant it was not viable for them to invest in </w:t>
      </w:r>
      <w:r w:rsidR="005527DD" w:rsidRPr="004E053C">
        <w:rPr>
          <w:rFonts w:eastAsia="Times New Roman" w:cstheme="majorHAnsi"/>
          <w:sz w:val="22"/>
          <w:szCs w:val="22"/>
          <w:lang w:val="en-GB"/>
        </w:rPr>
        <w:t>machines that</w:t>
      </w:r>
      <w:r w:rsidRPr="004E053C">
        <w:rPr>
          <w:rFonts w:eastAsia="Times New Roman" w:cstheme="majorHAnsi"/>
          <w:sz w:val="22"/>
          <w:szCs w:val="22"/>
          <w:lang w:val="en-GB"/>
        </w:rPr>
        <w:t xml:space="preserve"> may subsequently be blo</w:t>
      </w:r>
      <w:r w:rsidR="00E34E72" w:rsidRPr="004E053C">
        <w:rPr>
          <w:rFonts w:eastAsia="Times New Roman" w:cstheme="majorHAnsi"/>
          <w:sz w:val="22"/>
          <w:szCs w:val="22"/>
          <w:lang w:val="en-GB"/>
        </w:rPr>
        <w:t>wn up by the government anyway.</w:t>
      </w:r>
    </w:p>
    <w:p w14:paraId="7F7F09C1" w14:textId="77777777" w:rsidR="0019375F" w:rsidRPr="004E053C" w:rsidRDefault="0019375F" w:rsidP="004E053C">
      <w:pPr>
        <w:spacing w:line="360" w:lineRule="auto"/>
        <w:jc w:val="both"/>
        <w:rPr>
          <w:rFonts w:eastAsia="Times New Roman" w:cstheme="majorHAnsi"/>
          <w:sz w:val="22"/>
          <w:szCs w:val="22"/>
          <w:lang w:val="en-GB"/>
        </w:rPr>
      </w:pPr>
    </w:p>
    <w:p w14:paraId="7D58729A" w14:textId="420C0635" w:rsidR="003E574E"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w:t>
      </w:r>
      <w:r w:rsidR="0019375F" w:rsidRPr="004E053C">
        <w:rPr>
          <w:rFonts w:asciiTheme="minorHAnsi" w:hAnsiTheme="minorHAnsi"/>
        </w:rPr>
        <w:t>6.</w:t>
      </w:r>
      <w:r w:rsidR="00067554" w:rsidRPr="004E053C">
        <w:rPr>
          <w:rFonts w:asciiTheme="minorHAnsi" w:hAnsiTheme="minorHAnsi"/>
        </w:rPr>
        <w:t xml:space="preserve">2. </w:t>
      </w:r>
      <w:r w:rsidR="00AA4FF7" w:rsidRPr="004E053C">
        <w:rPr>
          <w:rFonts w:asciiTheme="minorHAnsi" w:hAnsiTheme="minorHAnsi"/>
        </w:rPr>
        <w:t>Questioning</w:t>
      </w:r>
      <w:r w:rsidR="00067554" w:rsidRPr="004E053C">
        <w:rPr>
          <w:rFonts w:asciiTheme="minorHAnsi" w:hAnsiTheme="minorHAnsi"/>
        </w:rPr>
        <w:t xml:space="preserve"> </w:t>
      </w:r>
      <w:r w:rsidR="00AA4FF7" w:rsidRPr="004E053C">
        <w:rPr>
          <w:rFonts w:asciiTheme="minorHAnsi" w:hAnsiTheme="minorHAnsi"/>
        </w:rPr>
        <w:t xml:space="preserve">ASM </w:t>
      </w:r>
      <w:r w:rsidR="00067554" w:rsidRPr="004E053C">
        <w:rPr>
          <w:rFonts w:asciiTheme="minorHAnsi" w:hAnsiTheme="minorHAnsi"/>
        </w:rPr>
        <w:t>po</w:t>
      </w:r>
      <w:r w:rsidR="003E574E" w:rsidRPr="004E053C">
        <w:rPr>
          <w:rFonts w:asciiTheme="minorHAnsi" w:hAnsiTheme="minorHAnsi"/>
        </w:rPr>
        <w:t>licy</w:t>
      </w:r>
    </w:p>
    <w:p w14:paraId="3B453E25" w14:textId="77777777" w:rsidR="000614C3" w:rsidRPr="004E053C" w:rsidRDefault="000614C3" w:rsidP="004E053C">
      <w:pPr>
        <w:spacing w:line="360" w:lineRule="auto"/>
        <w:jc w:val="both"/>
        <w:rPr>
          <w:rFonts w:cstheme="majorHAnsi"/>
          <w:sz w:val="22"/>
          <w:szCs w:val="22"/>
          <w:lang w:val="en-GB"/>
        </w:rPr>
      </w:pPr>
    </w:p>
    <w:p w14:paraId="45317947" w14:textId="1AED86CC" w:rsidR="003E574E" w:rsidRPr="004E053C" w:rsidRDefault="00E34E72" w:rsidP="004E053C">
      <w:pPr>
        <w:spacing w:line="360" w:lineRule="auto"/>
        <w:jc w:val="both"/>
        <w:rPr>
          <w:rFonts w:cstheme="majorHAnsi"/>
          <w:sz w:val="22"/>
          <w:szCs w:val="22"/>
          <w:lang w:val="en-GB"/>
        </w:rPr>
      </w:pPr>
      <w:r w:rsidRPr="004E053C">
        <w:rPr>
          <w:rFonts w:cstheme="majorHAnsi"/>
          <w:sz w:val="22"/>
          <w:szCs w:val="22"/>
          <w:lang w:val="en-GB"/>
        </w:rPr>
        <w:t>T</w:t>
      </w:r>
      <w:r w:rsidR="003E574E" w:rsidRPr="004E053C">
        <w:rPr>
          <w:rFonts w:eastAsia="Times New Roman" w:cstheme="majorHAnsi"/>
          <w:sz w:val="22"/>
          <w:szCs w:val="22"/>
          <w:lang w:val="en-GB"/>
        </w:rPr>
        <w:t xml:space="preserve">he </w:t>
      </w:r>
      <w:r w:rsidR="00C21441" w:rsidRPr="004E053C">
        <w:rPr>
          <w:rFonts w:eastAsia="Times New Roman" w:cstheme="majorHAnsi"/>
          <w:sz w:val="22"/>
          <w:szCs w:val="22"/>
          <w:lang w:val="en-GB"/>
        </w:rPr>
        <w:t>permanent</w:t>
      </w:r>
      <w:r w:rsidR="003E574E" w:rsidRPr="004E053C">
        <w:rPr>
          <w:rFonts w:eastAsia="Times New Roman" w:cstheme="majorHAnsi"/>
          <w:sz w:val="22"/>
          <w:szCs w:val="22"/>
          <w:lang w:val="en-GB"/>
        </w:rPr>
        <w:t xml:space="preserve"> miners in Laberinto overwhelmingly blamed the incompetence and poor policy decisions of the state for the current situation. </w:t>
      </w:r>
      <w:r w:rsidR="003E574E" w:rsidRPr="004E053C">
        <w:rPr>
          <w:rFonts w:cstheme="majorHAnsi"/>
          <w:sz w:val="22"/>
          <w:szCs w:val="22"/>
          <w:lang w:val="en-GB"/>
        </w:rPr>
        <w:t xml:space="preserve">They believed it was up to the Government to find a solution </w:t>
      </w:r>
      <w:r w:rsidR="006D2D42" w:rsidRPr="004E053C">
        <w:rPr>
          <w:rFonts w:cstheme="majorHAnsi"/>
          <w:sz w:val="22"/>
          <w:szCs w:val="22"/>
          <w:lang w:val="en-GB"/>
        </w:rPr>
        <w:t xml:space="preserve">to the </w:t>
      </w:r>
      <w:r w:rsidR="00D3785B" w:rsidRPr="004E053C">
        <w:rPr>
          <w:rFonts w:cstheme="majorHAnsi"/>
          <w:sz w:val="22"/>
          <w:szCs w:val="22"/>
          <w:lang w:val="en-GB"/>
        </w:rPr>
        <w:t>on-going</w:t>
      </w:r>
      <w:r w:rsidR="006D2D42" w:rsidRPr="004E053C">
        <w:rPr>
          <w:rFonts w:cstheme="majorHAnsi"/>
          <w:sz w:val="22"/>
          <w:szCs w:val="22"/>
          <w:lang w:val="en-GB"/>
        </w:rPr>
        <w:t xml:space="preserve"> dispute, yet this has not</w:t>
      </w:r>
      <w:r w:rsidR="003E574E" w:rsidRPr="004E053C">
        <w:rPr>
          <w:rFonts w:cstheme="majorHAnsi"/>
          <w:sz w:val="22"/>
          <w:szCs w:val="22"/>
          <w:lang w:val="en-GB"/>
        </w:rPr>
        <w:t xml:space="preserve"> been forthcoming.</w:t>
      </w:r>
      <w:r w:rsidR="002B09A6" w:rsidRPr="004E053C">
        <w:rPr>
          <w:rFonts w:cstheme="majorHAnsi"/>
          <w:sz w:val="22"/>
          <w:szCs w:val="22"/>
          <w:lang w:val="en-GB"/>
        </w:rPr>
        <w:t xml:space="preserve"> This is perfectly summaris</w:t>
      </w:r>
      <w:r w:rsidR="00E7020E" w:rsidRPr="004E053C">
        <w:rPr>
          <w:rFonts w:cstheme="majorHAnsi"/>
          <w:sz w:val="22"/>
          <w:szCs w:val="22"/>
          <w:lang w:val="en-GB"/>
        </w:rPr>
        <w:t xml:space="preserve">ed in the quotes below from </w:t>
      </w:r>
      <w:r w:rsidR="00EA7F80" w:rsidRPr="004E053C">
        <w:rPr>
          <w:rFonts w:cstheme="majorHAnsi"/>
          <w:sz w:val="22"/>
          <w:szCs w:val="22"/>
          <w:lang w:val="en-GB"/>
        </w:rPr>
        <w:t>Mario</w:t>
      </w:r>
      <w:r w:rsidR="00E7020E" w:rsidRPr="004E053C">
        <w:rPr>
          <w:rFonts w:cstheme="majorHAnsi"/>
          <w:sz w:val="22"/>
          <w:szCs w:val="22"/>
          <w:lang w:val="en-GB"/>
        </w:rPr>
        <w:t xml:space="preserve"> and Leo, two permanent miners in Laberinto:</w:t>
      </w:r>
    </w:p>
    <w:p w14:paraId="0BD17B08" w14:textId="77777777" w:rsidR="00E7020E" w:rsidRPr="004E053C" w:rsidRDefault="00E7020E" w:rsidP="004E053C">
      <w:pPr>
        <w:spacing w:line="360" w:lineRule="auto"/>
        <w:jc w:val="both"/>
        <w:rPr>
          <w:rFonts w:cstheme="majorHAnsi"/>
          <w:sz w:val="22"/>
          <w:szCs w:val="22"/>
          <w:lang w:val="en-GB"/>
        </w:rPr>
      </w:pPr>
    </w:p>
    <w:p w14:paraId="7E69A869" w14:textId="5A21CAEB" w:rsidR="00E7020E" w:rsidRPr="004E053C" w:rsidRDefault="002B09A6"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E7020E" w:rsidRPr="004E053C">
        <w:rPr>
          <w:rFonts w:eastAsia="Times New Roman" w:cstheme="majorHAnsi"/>
          <w:i/>
          <w:iCs/>
          <w:sz w:val="22"/>
          <w:szCs w:val="22"/>
          <w:lang w:val="en-GB"/>
        </w:rPr>
        <w:t xml:space="preserve">The law should be stronger with the people that aren’t respecting the law. It should be respectful of those that are trying to </w:t>
      </w:r>
      <w:r w:rsidR="00091107" w:rsidRPr="004E053C">
        <w:rPr>
          <w:rFonts w:eastAsia="Times New Roman" w:cstheme="majorHAnsi"/>
          <w:i/>
          <w:iCs/>
          <w:sz w:val="22"/>
          <w:szCs w:val="22"/>
          <w:lang w:val="en-GB"/>
        </w:rPr>
        <w:t>formalise</w:t>
      </w:r>
      <w:r w:rsidR="00E7020E" w:rsidRPr="004E053C">
        <w:rPr>
          <w:rFonts w:eastAsia="Times New Roman" w:cstheme="majorHAnsi"/>
          <w:i/>
          <w:iCs/>
          <w:sz w:val="22"/>
          <w:szCs w:val="22"/>
          <w:lang w:val="en-GB"/>
        </w:rPr>
        <w:t>. The law is the only way to protect everything. If we change the law, the environment will be protected, the organisations will be fine, the police will be doing their job, and the miners will be working on the land</w:t>
      </w:r>
      <w:r w:rsidRPr="004E053C">
        <w:rPr>
          <w:rFonts w:eastAsia="Times New Roman" w:cstheme="majorHAnsi"/>
          <w:i/>
          <w:iCs/>
          <w:sz w:val="22"/>
          <w:szCs w:val="22"/>
          <w:lang w:val="en-GB"/>
        </w:rPr>
        <w:t>’</w:t>
      </w:r>
      <w:r w:rsidR="00E7020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Mario</w:t>
      </w:r>
      <w:r w:rsidR="00E7020E" w:rsidRPr="004E053C">
        <w:rPr>
          <w:rFonts w:eastAsia="Times New Roman" w:cstheme="majorHAnsi"/>
          <w:sz w:val="22"/>
          <w:szCs w:val="22"/>
          <w:lang w:val="en-GB"/>
        </w:rPr>
        <w:t>, ASM miner, Laberinto)</w:t>
      </w:r>
      <w:r w:rsidRPr="004E053C">
        <w:rPr>
          <w:rFonts w:eastAsia="Times New Roman" w:cstheme="majorHAnsi"/>
          <w:sz w:val="22"/>
          <w:szCs w:val="22"/>
          <w:lang w:val="en-GB"/>
        </w:rPr>
        <w:t>.</w:t>
      </w:r>
    </w:p>
    <w:p w14:paraId="16067209" w14:textId="77777777" w:rsidR="003E574E" w:rsidRPr="004E053C" w:rsidRDefault="003E574E" w:rsidP="004E053C">
      <w:pPr>
        <w:jc w:val="both"/>
        <w:rPr>
          <w:rFonts w:cstheme="majorHAnsi"/>
          <w:sz w:val="22"/>
          <w:szCs w:val="22"/>
          <w:lang w:val="en-GB"/>
        </w:rPr>
      </w:pPr>
    </w:p>
    <w:p w14:paraId="10518390" w14:textId="35E5FB1A" w:rsidR="003E574E" w:rsidRPr="004E053C" w:rsidRDefault="002B09A6"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‘The G</w:t>
      </w:r>
      <w:r w:rsidR="003E574E" w:rsidRPr="004E053C">
        <w:rPr>
          <w:rFonts w:eastAsia="Times New Roman" w:cstheme="majorHAnsi"/>
          <w:i/>
          <w:iCs/>
          <w:sz w:val="22"/>
          <w:szCs w:val="22"/>
          <w:lang w:val="en-GB"/>
        </w:rPr>
        <w:t>overnment is not the owner of the Peru and it is not possible that they treat us the way they are treating us now. It is possible that they give us many solutions to this problem, but they just don’t want to. It’s a government problem and they need to fix it</w:t>
      </w:r>
      <w:r w:rsidRPr="004E053C">
        <w:rPr>
          <w:rFonts w:eastAsia="Times New Roman" w:cstheme="majorHAnsi"/>
          <w:i/>
          <w:iCs/>
          <w:sz w:val="22"/>
          <w:szCs w:val="22"/>
          <w:lang w:val="en-GB"/>
        </w:rPr>
        <w:t xml:space="preserve">’ </w:t>
      </w:r>
      <w:r w:rsidR="003E574E" w:rsidRPr="004E053C">
        <w:rPr>
          <w:rFonts w:eastAsia="Times New Roman" w:cstheme="majorHAnsi"/>
          <w:sz w:val="22"/>
          <w:szCs w:val="22"/>
          <w:lang w:val="en-GB"/>
        </w:rPr>
        <w:t>(Leo, ASM miner, Laberinto)</w:t>
      </w:r>
      <w:r w:rsidRPr="004E053C">
        <w:rPr>
          <w:rFonts w:eastAsia="Times New Roman" w:cstheme="majorHAnsi"/>
          <w:sz w:val="22"/>
          <w:szCs w:val="22"/>
          <w:lang w:val="en-GB"/>
        </w:rPr>
        <w:t>.</w:t>
      </w:r>
    </w:p>
    <w:p w14:paraId="2230D8F2" w14:textId="77777777" w:rsidR="003E574E" w:rsidRPr="004E053C" w:rsidRDefault="003E574E" w:rsidP="004E053C">
      <w:pPr>
        <w:spacing w:line="360" w:lineRule="auto"/>
        <w:jc w:val="both"/>
        <w:rPr>
          <w:rFonts w:eastAsia="Times New Roman" w:cstheme="majorHAnsi"/>
          <w:sz w:val="22"/>
          <w:szCs w:val="22"/>
          <w:lang w:val="en-GB"/>
        </w:rPr>
      </w:pPr>
    </w:p>
    <w:p w14:paraId="46FF8724" w14:textId="502DE764"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In some cases the miners argue that the Government’s treatment of them all as illegal miners actually facilitates the situation in La Pampa, and </w:t>
      </w:r>
      <w:r w:rsidR="006D2D42" w:rsidRPr="004E053C">
        <w:rPr>
          <w:rFonts w:eastAsia="Times New Roman" w:cstheme="majorHAnsi"/>
          <w:sz w:val="22"/>
          <w:szCs w:val="22"/>
          <w:lang w:val="en-GB"/>
        </w:rPr>
        <w:t>risks violence and environmental</w:t>
      </w:r>
      <w:r w:rsidR="002B09A6" w:rsidRPr="004E053C">
        <w:rPr>
          <w:rFonts w:eastAsia="Times New Roman" w:cstheme="majorHAnsi"/>
          <w:sz w:val="22"/>
          <w:szCs w:val="22"/>
          <w:lang w:val="en-GB"/>
        </w:rPr>
        <w:t xml:space="preserve"> destruction</w:t>
      </w:r>
      <w:r w:rsidR="006D2D42" w:rsidRPr="004E053C">
        <w:rPr>
          <w:rFonts w:eastAsia="Times New Roman" w:cstheme="majorHAnsi"/>
          <w:sz w:val="22"/>
          <w:szCs w:val="22"/>
          <w:lang w:val="en-GB"/>
        </w:rPr>
        <w:t xml:space="preserve"> spreading further</w:t>
      </w:r>
      <w:r w:rsidR="002B09A6" w:rsidRPr="004E053C">
        <w:rPr>
          <w:rFonts w:eastAsia="Times New Roman" w:cstheme="majorHAnsi"/>
          <w:sz w:val="22"/>
          <w:szCs w:val="22"/>
          <w:lang w:val="en-GB"/>
        </w:rPr>
        <w:t>. While the G</w:t>
      </w:r>
      <w:r w:rsidRPr="004E053C">
        <w:rPr>
          <w:rFonts w:eastAsia="Times New Roman" w:cstheme="majorHAnsi"/>
          <w:sz w:val="22"/>
          <w:szCs w:val="22"/>
          <w:lang w:val="en-GB"/>
        </w:rPr>
        <w:t>overnment have claimed that everyone must formalise or be considered illegal, very little support is giv</w:t>
      </w:r>
      <w:r w:rsidR="002B09A6" w:rsidRPr="004E053C">
        <w:rPr>
          <w:rFonts w:eastAsia="Times New Roman" w:cstheme="majorHAnsi"/>
          <w:sz w:val="22"/>
          <w:szCs w:val="22"/>
          <w:lang w:val="en-GB"/>
        </w:rPr>
        <w:t>en to the miners to do this. S</w:t>
      </w:r>
      <w:r w:rsidRPr="004E053C">
        <w:rPr>
          <w:rFonts w:eastAsia="Times New Roman" w:cstheme="majorHAnsi"/>
          <w:sz w:val="22"/>
          <w:szCs w:val="22"/>
          <w:lang w:val="en-GB"/>
        </w:rPr>
        <w:t xml:space="preserve">ome of the restrictions mean that it is impossible for miners working in Laberinto to comply with the new rules, even those working on concessions. For example, one NGO representative said that the proximity of some of the concessions to the river meant that </w:t>
      </w:r>
      <w:r w:rsidR="00091107" w:rsidRPr="004E053C">
        <w:rPr>
          <w:rFonts w:eastAsia="Times New Roman" w:cstheme="majorHAnsi"/>
          <w:sz w:val="22"/>
          <w:szCs w:val="22"/>
          <w:lang w:val="en-GB"/>
        </w:rPr>
        <w:t>formalisation</w:t>
      </w:r>
      <w:r w:rsidRPr="004E053C">
        <w:rPr>
          <w:rFonts w:eastAsia="Times New Roman" w:cstheme="majorHAnsi"/>
          <w:sz w:val="22"/>
          <w:szCs w:val="22"/>
          <w:lang w:val="en-GB"/>
        </w:rPr>
        <w:t xml:space="preserve"> </w:t>
      </w:r>
      <w:r w:rsidR="006D2D42" w:rsidRPr="004E053C">
        <w:rPr>
          <w:rFonts w:eastAsia="Times New Roman" w:cstheme="majorHAnsi"/>
          <w:sz w:val="22"/>
          <w:szCs w:val="22"/>
          <w:lang w:val="en-GB"/>
        </w:rPr>
        <w:t xml:space="preserve">was not </w:t>
      </w:r>
      <w:r w:rsidRPr="004E053C">
        <w:rPr>
          <w:rFonts w:eastAsia="Times New Roman" w:cstheme="majorHAnsi"/>
          <w:sz w:val="22"/>
          <w:szCs w:val="22"/>
          <w:lang w:val="en-GB"/>
        </w:rPr>
        <w:t>a viable option for many miners. Several of the miners used these inconsistencies t</w:t>
      </w:r>
      <w:r w:rsidR="006D2D42" w:rsidRPr="004E053C">
        <w:rPr>
          <w:rFonts w:eastAsia="Times New Roman" w:cstheme="majorHAnsi"/>
          <w:sz w:val="22"/>
          <w:szCs w:val="22"/>
          <w:lang w:val="en-GB"/>
        </w:rPr>
        <w:t>o highlight how the policies have</w:t>
      </w:r>
      <w:r w:rsidRPr="004E053C">
        <w:rPr>
          <w:rFonts w:eastAsia="Times New Roman" w:cstheme="majorHAnsi"/>
          <w:sz w:val="22"/>
          <w:szCs w:val="22"/>
          <w:lang w:val="en-GB"/>
        </w:rPr>
        <w:t xml:space="preserve"> been poorly conceived:</w:t>
      </w:r>
    </w:p>
    <w:p w14:paraId="53F05801" w14:textId="77777777" w:rsidR="003E574E" w:rsidRPr="004E053C" w:rsidRDefault="003E574E" w:rsidP="004E053C">
      <w:pPr>
        <w:spacing w:line="360" w:lineRule="auto"/>
        <w:jc w:val="both"/>
        <w:rPr>
          <w:rFonts w:eastAsia="Times New Roman" w:cstheme="majorHAnsi"/>
          <w:sz w:val="22"/>
          <w:szCs w:val="22"/>
          <w:lang w:val="en-GB"/>
        </w:rPr>
      </w:pPr>
    </w:p>
    <w:p w14:paraId="466CF5BB" w14:textId="19A65E4E" w:rsidR="003E574E" w:rsidRPr="004E053C" w:rsidRDefault="002B09A6"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 xml:space="preserve">Garcia made the laws 1100, 1105 and this is where the </w:t>
      </w:r>
      <w:r w:rsidR="00091107" w:rsidRPr="004E053C">
        <w:rPr>
          <w:rFonts w:eastAsia="Times New Roman" w:cstheme="majorHAnsi"/>
          <w:i/>
          <w:iCs/>
          <w:sz w:val="22"/>
          <w:szCs w:val="22"/>
          <w:lang w:val="en-GB"/>
        </w:rPr>
        <w:t>formalisation</w:t>
      </w:r>
      <w:r w:rsidR="003E574E" w:rsidRPr="004E053C">
        <w:rPr>
          <w:rFonts w:eastAsia="Times New Roman" w:cstheme="majorHAnsi"/>
          <w:i/>
          <w:iCs/>
          <w:sz w:val="22"/>
          <w:szCs w:val="22"/>
          <w:lang w:val="en-GB"/>
        </w:rPr>
        <w:t xml:space="preserve"> started. B</w:t>
      </w:r>
      <w:r w:rsidRPr="004E053C">
        <w:rPr>
          <w:rFonts w:eastAsia="Times New Roman" w:cstheme="majorHAnsi"/>
          <w:i/>
          <w:iCs/>
          <w:sz w:val="22"/>
          <w:szCs w:val="22"/>
          <w:lang w:val="en-GB"/>
        </w:rPr>
        <w:t>ut where do you want the legalis</w:t>
      </w:r>
      <w:r w:rsidR="003E574E" w:rsidRPr="004E053C">
        <w:rPr>
          <w:rFonts w:eastAsia="Times New Roman" w:cstheme="majorHAnsi"/>
          <w:i/>
          <w:iCs/>
          <w:sz w:val="22"/>
          <w:szCs w:val="22"/>
          <w:lang w:val="en-GB"/>
        </w:rPr>
        <w:t>ation, here in the earth or the heaven. Because in the earth you are saying you don’t want mining in the rivers, as your saying you can’t work in the rivers, so where in the hell are we supposed to mine?</w:t>
      </w:r>
      <w:r w:rsidRPr="004E053C">
        <w:rPr>
          <w:rFonts w:eastAsia="Times New Roman" w:cstheme="majorHAnsi"/>
          <w:i/>
          <w:iCs/>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Benito</w:t>
      </w:r>
      <w:r w:rsidR="003E574E" w:rsidRPr="004E053C">
        <w:rPr>
          <w:rFonts w:eastAsia="Times New Roman" w:cstheme="majorHAnsi"/>
          <w:sz w:val="22"/>
          <w:szCs w:val="22"/>
          <w:lang w:val="en-GB"/>
        </w:rPr>
        <w:t>, ASM miner, Laberinto).</w:t>
      </w:r>
    </w:p>
    <w:p w14:paraId="5D1BD8D4" w14:textId="77777777" w:rsidR="003E574E" w:rsidRPr="004E053C" w:rsidRDefault="003E574E" w:rsidP="004E053C">
      <w:pPr>
        <w:spacing w:line="360" w:lineRule="auto"/>
        <w:jc w:val="both"/>
        <w:rPr>
          <w:rFonts w:eastAsia="Times New Roman" w:cstheme="majorHAnsi"/>
          <w:sz w:val="22"/>
          <w:szCs w:val="22"/>
          <w:lang w:val="en-GB"/>
        </w:rPr>
      </w:pPr>
    </w:p>
    <w:p w14:paraId="105A2B50" w14:textId="52FD6257" w:rsidR="003E574E" w:rsidRPr="004E053C" w:rsidRDefault="006D2D42"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If the miners are unable to be </w:t>
      </w:r>
      <w:r w:rsidR="00091107" w:rsidRPr="004E053C">
        <w:rPr>
          <w:rFonts w:eastAsia="Times New Roman" w:cstheme="majorHAnsi"/>
          <w:sz w:val="22"/>
          <w:szCs w:val="22"/>
          <w:lang w:val="en-GB"/>
        </w:rPr>
        <w:t>formalise</w:t>
      </w:r>
      <w:r w:rsidRPr="004E053C">
        <w:rPr>
          <w:rFonts w:eastAsia="Times New Roman" w:cstheme="majorHAnsi"/>
          <w:sz w:val="22"/>
          <w:szCs w:val="22"/>
          <w:lang w:val="en-GB"/>
        </w:rPr>
        <w:t>d under the current rules, then they c</w:t>
      </w:r>
      <w:r w:rsidR="009B49AE" w:rsidRPr="004E053C">
        <w:rPr>
          <w:rFonts w:eastAsia="Times New Roman" w:cstheme="majorHAnsi"/>
          <w:sz w:val="22"/>
          <w:szCs w:val="22"/>
          <w:lang w:val="en-GB"/>
        </w:rPr>
        <w:t>an never become ‘legal’</w:t>
      </w:r>
      <w:r w:rsidRPr="004E053C">
        <w:rPr>
          <w:rFonts w:eastAsia="Times New Roman" w:cstheme="majorHAnsi"/>
          <w:sz w:val="22"/>
          <w:szCs w:val="22"/>
          <w:lang w:val="en-GB"/>
        </w:rPr>
        <w:t xml:space="preserve"> in the eyes of the law. Several miners saw the prohibition of mining activity in the water as</w:t>
      </w:r>
      <w:r w:rsidR="009B49AE" w:rsidRPr="004E053C">
        <w:rPr>
          <w:rFonts w:eastAsia="Times New Roman" w:cstheme="majorHAnsi"/>
          <w:sz w:val="22"/>
          <w:szCs w:val="22"/>
          <w:lang w:val="en-GB"/>
        </w:rPr>
        <w:t xml:space="preserve"> evidence </w:t>
      </w:r>
      <w:r w:rsidR="009B49AE" w:rsidRPr="004E053C">
        <w:rPr>
          <w:rFonts w:eastAsia="Times New Roman" w:cstheme="majorHAnsi"/>
          <w:sz w:val="22"/>
          <w:szCs w:val="22"/>
          <w:lang w:val="en-GB"/>
        </w:rPr>
        <w:lastRenderedPageBreak/>
        <w:t>that the G</w:t>
      </w:r>
      <w:r w:rsidR="003E574E" w:rsidRPr="004E053C">
        <w:rPr>
          <w:rFonts w:eastAsia="Times New Roman" w:cstheme="majorHAnsi"/>
          <w:sz w:val="22"/>
          <w:szCs w:val="22"/>
          <w:lang w:val="en-GB"/>
        </w:rPr>
        <w:t xml:space="preserve">overnment </w:t>
      </w:r>
      <w:r w:rsidRPr="004E053C">
        <w:rPr>
          <w:rFonts w:eastAsia="Times New Roman" w:cstheme="majorHAnsi"/>
          <w:sz w:val="22"/>
          <w:szCs w:val="22"/>
          <w:lang w:val="en-GB"/>
        </w:rPr>
        <w:t>intended to remove them</w:t>
      </w:r>
      <w:r w:rsidR="003E574E" w:rsidRPr="004E053C">
        <w:rPr>
          <w:rFonts w:eastAsia="Times New Roman" w:cstheme="majorHAnsi"/>
          <w:sz w:val="22"/>
          <w:szCs w:val="22"/>
          <w:lang w:val="en-GB"/>
        </w:rPr>
        <w:t xml:space="preserve"> from the area, rather than </w:t>
      </w:r>
      <w:r w:rsidRPr="004E053C">
        <w:rPr>
          <w:rFonts w:eastAsia="Times New Roman" w:cstheme="majorHAnsi"/>
          <w:sz w:val="22"/>
          <w:szCs w:val="22"/>
          <w:lang w:val="en-GB"/>
        </w:rPr>
        <w:t>work with them</w:t>
      </w:r>
      <w:r w:rsidR="003E574E" w:rsidRPr="004E053C">
        <w:rPr>
          <w:rFonts w:eastAsia="Times New Roman" w:cstheme="majorHAnsi"/>
          <w:sz w:val="22"/>
          <w:szCs w:val="22"/>
          <w:lang w:val="en-GB"/>
        </w:rPr>
        <w:t xml:space="preserve"> to find a solution. The frustration was clear </w:t>
      </w:r>
      <w:r w:rsidR="009B49AE" w:rsidRPr="004E053C">
        <w:rPr>
          <w:rFonts w:eastAsia="Times New Roman" w:cstheme="majorHAnsi"/>
          <w:sz w:val="22"/>
          <w:szCs w:val="22"/>
          <w:lang w:val="en-GB"/>
        </w:rPr>
        <w:t>during interviews. M</w:t>
      </w:r>
      <w:r w:rsidRPr="004E053C">
        <w:rPr>
          <w:rFonts w:eastAsia="Times New Roman" w:cstheme="majorHAnsi"/>
          <w:sz w:val="22"/>
          <w:szCs w:val="22"/>
          <w:lang w:val="en-GB"/>
        </w:rPr>
        <w:t>any of the miners</w:t>
      </w:r>
      <w:r w:rsidR="003E574E" w:rsidRPr="004E053C">
        <w:rPr>
          <w:rFonts w:eastAsia="Times New Roman" w:cstheme="majorHAnsi"/>
          <w:sz w:val="22"/>
          <w:szCs w:val="22"/>
          <w:lang w:val="en-GB"/>
        </w:rPr>
        <w:t xml:space="preserve"> </w:t>
      </w:r>
      <w:r w:rsidRPr="004E053C">
        <w:rPr>
          <w:rFonts w:eastAsia="Times New Roman" w:cstheme="majorHAnsi"/>
          <w:sz w:val="22"/>
          <w:szCs w:val="22"/>
          <w:lang w:val="en-GB"/>
        </w:rPr>
        <w:t>complained</w:t>
      </w:r>
      <w:r w:rsidR="003E574E" w:rsidRPr="004E053C">
        <w:rPr>
          <w:rFonts w:eastAsia="Times New Roman" w:cstheme="majorHAnsi"/>
          <w:sz w:val="22"/>
          <w:szCs w:val="22"/>
          <w:lang w:val="en-GB"/>
        </w:rPr>
        <w:t xml:space="preserve"> that the government were doing nothing to support the formalisation process, despite bei</w:t>
      </w:r>
      <w:r w:rsidR="008724D3" w:rsidRPr="004E053C">
        <w:rPr>
          <w:rFonts w:eastAsia="Times New Roman" w:cstheme="majorHAnsi"/>
          <w:sz w:val="22"/>
          <w:szCs w:val="22"/>
          <w:lang w:val="en-GB"/>
        </w:rPr>
        <w:t>ng the ones to introduce it. They</w:t>
      </w:r>
      <w:r w:rsidR="003E574E" w:rsidRPr="004E053C">
        <w:rPr>
          <w:rFonts w:eastAsia="Times New Roman" w:cstheme="majorHAnsi"/>
          <w:sz w:val="22"/>
          <w:szCs w:val="22"/>
          <w:lang w:val="en-GB"/>
        </w:rPr>
        <w:t xml:space="preserve"> believed </w:t>
      </w:r>
      <w:r w:rsidR="008724D3" w:rsidRPr="004E053C">
        <w:rPr>
          <w:rFonts w:eastAsia="Times New Roman" w:cstheme="majorHAnsi"/>
          <w:sz w:val="22"/>
          <w:szCs w:val="22"/>
          <w:lang w:val="en-GB"/>
        </w:rPr>
        <w:t>the process had</w:t>
      </w:r>
      <w:r w:rsidR="003E574E" w:rsidRPr="004E053C">
        <w:rPr>
          <w:rFonts w:eastAsia="Times New Roman" w:cstheme="majorHAnsi"/>
          <w:sz w:val="22"/>
          <w:szCs w:val="22"/>
          <w:lang w:val="en-GB"/>
        </w:rPr>
        <w:t xml:space="preserve"> </w:t>
      </w:r>
      <w:r w:rsidR="008724D3" w:rsidRPr="004E053C">
        <w:rPr>
          <w:rFonts w:eastAsia="Times New Roman" w:cstheme="majorHAnsi"/>
          <w:sz w:val="22"/>
          <w:szCs w:val="22"/>
          <w:lang w:val="en-GB"/>
        </w:rPr>
        <w:t xml:space="preserve">been deliberately made </w:t>
      </w:r>
      <w:r w:rsidR="003E574E" w:rsidRPr="004E053C">
        <w:rPr>
          <w:rFonts w:eastAsia="Times New Roman" w:cstheme="majorHAnsi"/>
          <w:sz w:val="22"/>
          <w:szCs w:val="22"/>
          <w:lang w:val="en-GB"/>
        </w:rPr>
        <w:t xml:space="preserve">difficult </w:t>
      </w:r>
      <w:r w:rsidR="008724D3" w:rsidRPr="004E053C">
        <w:rPr>
          <w:rFonts w:eastAsia="Times New Roman" w:cstheme="majorHAnsi"/>
          <w:sz w:val="22"/>
          <w:szCs w:val="22"/>
          <w:lang w:val="en-GB"/>
        </w:rPr>
        <w:t xml:space="preserve">so that it was impossible to complete. </w:t>
      </w:r>
      <w:r w:rsidR="003E574E" w:rsidRPr="004E053C">
        <w:rPr>
          <w:rFonts w:cstheme="majorHAnsi"/>
          <w:sz w:val="22"/>
          <w:szCs w:val="22"/>
          <w:lang w:val="en-GB"/>
        </w:rPr>
        <w:t xml:space="preserve">Aside from </w:t>
      </w:r>
      <w:r w:rsidR="00091107" w:rsidRPr="004E053C">
        <w:rPr>
          <w:rFonts w:cstheme="majorHAnsi"/>
          <w:sz w:val="22"/>
          <w:szCs w:val="22"/>
          <w:lang w:val="en-GB"/>
        </w:rPr>
        <w:t>formalisation</w:t>
      </w:r>
      <w:r w:rsidR="003E574E" w:rsidRPr="004E053C">
        <w:rPr>
          <w:rFonts w:cstheme="majorHAnsi"/>
          <w:sz w:val="22"/>
          <w:szCs w:val="22"/>
          <w:lang w:val="en-GB"/>
        </w:rPr>
        <w:t xml:space="preserve"> policy, the miners also use the land conflicts to</w:t>
      </w:r>
      <w:r w:rsidR="009B49AE" w:rsidRPr="004E053C">
        <w:rPr>
          <w:rFonts w:cstheme="majorHAnsi"/>
          <w:sz w:val="22"/>
          <w:szCs w:val="22"/>
          <w:lang w:val="en-GB"/>
        </w:rPr>
        <w:t xml:space="preserve"> discredit the policies of the G</w:t>
      </w:r>
      <w:r w:rsidR="003E574E" w:rsidRPr="004E053C">
        <w:rPr>
          <w:rFonts w:cstheme="majorHAnsi"/>
          <w:sz w:val="22"/>
          <w:szCs w:val="22"/>
          <w:lang w:val="en-GB"/>
        </w:rPr>
        <w:t>overnment, claiming that overlapp</w:t>
      </w:r>
      <w:r w:rsidR="008724D3" w:rsidRPr="004E053C">
        <w:rPr>
          <w:rFonts w:cstheme="majorHAnsi"/>
          <w:sz w:val="22"/>
          <w:szCs w:val="22"/>
          <w:lang w:val="en-GB"/>
        </w:rPr>
        <w:t xml:space="preserve">ing concessions had been issued </w:t>
      </w:r>
      <w:r w:rsidR="003E574E" w:rsidRPr="004E053C">
        <w:rPr>
          <w:rFonts w:cstheme="majorHAnsi"/>
          <w:sz w:val="22"/>
          <w:szCs w:val="22"/>
          <w:lang w:val="en-GB"/>
        </w:rPr>
        <w:t xml:space="preserve">for competing livelihood activities in order to make people fight with each other. </w:t>
      </w:r>
      <w:r w:rsidR="00E34E72" w:rsidRPr="004E053C">
        <w:rPr>
          <w:rFonts w:eastAsia="Times New Roman" w:cstheme="majorHAnsi"/>
          <w:sz w:val="22"/>
          <w:szCs w:val="22"/>
          <w:lang w:val="en-GB"/>
        </w:rPr>
        <w:t xml:space="preserve"> </w:t>
      </w:r>
    </w:p>
    <w:p w14:paraId="58430EB5" w14:textId="77777777" w:rsidR="009628C7" w:rsidRPr="004E053C" w:rsidRDefault="009628C7" w:rsidP="004E053C">
      <w:pPr>
        <w:spacing w:line="360" w:lineRule="auto"/>
        <w:jc w:val="both"/>
        <w:rPr>
          <w:rFonts w:eastAsia="Times New Roman" w:cstheme="majorHAnsi"/>
          <w:sz w:val="22"/>
          <w:szCs w:val="22"/>
          <w:lang w:val="en-GB"/>
        </w:rPr>
      </w:pPr>
    </w:p>
    <w:p w14:paraId="47A62D45" w14:textId="77777777" w:rsidR="0019375F" w:rsidRPr="004E053C" w:rsidRDefault="0019375F" w:rsidP="004E053C">
      <w:pPr>
        <w:spacing w:line="360" w:lineRule="auto"/>
        <w:jc w:val="both"/>
        <w:rPr>
          <w:rFonts w:eastAsia="Times New Roman" w:cstheme="majorHAnsi"/>
          <w:sz w:val="22"/>
          <w:szCs w:val="22"/>
          <w:lang w:val="en-GB"/>
        </w:rPr>
      </w:pPr>
    </w:p>
    <w:p w14:paraId="6E3C5DEC" w14:textId="02CF4E23" w:rsidR="003E574E"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w:t>
      </w:r>
      <w:r w:rsidR="0019375F" w:rsidRPr="004E053C">
        <w:rPr>
          <w:rFonts w:asciiTheme="minorHAnsi" w:hAnsiTheme="minorHAnsi"/>
        </w:rPr>
        <w:t>6.</w:t>
      </w:r>
      <w:r w:rsidR="004A3EF1" w:rsidRPr="004E053C">
        <w:rPr>
          <w:rFonts w:asciiTheme="minorHAnsi" w:hAnsiTheme="minorHAnsi"/>
        </w:rPr>
        <w:t>3. Highlighting c</w:t>
      </w:r>
      <w:r w:rsidR="003E574E" w:rsidRPr="004E053C">
        <w:rPr>
          <w:rFonts w:asciiTheme="minorHAnsi" w:hAnsiTheme="minorHAnsi"/>
        </w:rPr>
        <w:t>orruption</w:t>
      </w:r>
      <w:r w:rsidR="004A3EF1" w:rsidRPr="004E053C">
        <w:rPr>
          <w:rFonts w:asciiTheme="minorHAnsi" w:hAnsiTheme="minorHAnsi"/>
        </w:rPr>
        <w:t xml:space="preserve"> at the regional and national l</w:t>
      </w:r>
      <w:r w:rsidR="00AA4FF7" w:rsidRPr="004E053C">
        <w:rPr>
          <w:rFonts w:asciiTheme="minorHAnsi" w:hAnsiTheme="minorHAnsi"/>
        </w:rPr>
        <w:t>evel</w:t>
      </w:r>
    </w:p>
    <w:p w14:paraId="59F314FF" w14:textId="77777777" w:rsidR="00E7020E" w:rsidRPr="004E053C" w:rsidRDefault="00E7020E" w:rsidP="004E053C">
      <w:pPr>
        <w:spacing w:line="360" w:lineRule="auto"/>
        <w:jc w:val="both"/>
        <w:rPr>
          <w:rFonts w:cstheme="majorHAnsi"/>
          <w:lang w:val="en-GB"/>
        </w:rPr>
      </w:pPr>
    </w:p>
    <w:p w14:paraId="1CEC19FA" w14:textId="7A093047"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Central to the miners</w:t>
      </w:r>
      <w:r w:rsidR="008724D3" w:rsidRPr="004E053C">
        <w:rPr>
          <w:rFonts w:cstheme="majorHAnsi"/>
          <w:sz w:val="22"/>
          <w:szCs w:val="22"/>
          <w:lang w:val="en-GB"/>
        </w:rPr>
        <w:t>’</w:t>
      </w:r>
      <w:r w:rsidRPr="004E053C">
        <w:rPr>
          <w:rFonts w:cstheme="majorHAnsi"/>
          <w:sz w:val="22"/>
          <w:szCs w:val="22"/>
          <w:lang w:val="en-GB"/>
        </w:rPr>
        <w:t xml:space="preserve"> narratives </w:t>
      </w:r>
      <w:r w:rsidR="008724D3" w:rsidRPr="004E053C">
        <w:rPr>
          <w:rFonts w:cstheme="majorHAnsi"/>
          <w:sz w:val="22"/>
          <w:szCs w:val="22"/>
          <w:lang w:val="en-GB"/>
        </w:rPr>
        <w:t>are</w:t>
      </w:r>
      <w:r w:rsidRPr="004E053C">
        <w:rPr>
          <w:rFonts w:cstheme="majorHAnsi"/>
          <w:sz w:val="22"/>
          <w:szCs w:val="22"/>
          <w:lang w:val="en-GB"/>
        </w:rPr>
        <w:t xml:space="preserve"> accusation</w:t>
      </w:r>
      <w:r w:rsidR="008724D3" w:rsidRPr="004E053C">
        <w:rPr>
          <w:rFonts w:cstheme="majorHAnsi"/>
          <w:sz w:val="22"/>
          <w:szCs w:val="22"/>
          <w:lang w:val="en-GB"/>
        </w:rPr>
        <w:t>s of corruption, but these claims were largely supported</w:t>
      </w:r>
      <w:r w:rsidRPr="004E053C">
        <w:rPr>
          <w:rFonts w:cstheme="majorHAnsi"/>
          <w:sz w:val="22"/>
          <w:szCs w:val="22"/>
          <w:lang w:val="en-GB"/>
        </w:rPr>
        <w:t xml:space="preserve"> during discussions with NGOs and </w:t>
      </w:r>
      <w:r w:rsidR="008724D3" w:rsidRPr="004E053C">
        <w:rPr>
          <w:rFonts w:cstheme="majorHAnsi"/>
          <w:sz w:val="22"/>
          <w:szCs w:val="22"/>
          <w:lang w:val="en-GB"/>
        </w:rPr>
        <w:t xml:space="preserve">LGA </w:t>
      </w:r>
      <w:r w:rsidRPr="004E053C">
        <w:rPr>
          <w:rFonts w:cstheme="majorHAnsi"/>
          <w:sz w:val="22"/>
          <w:szCs w:val="22"/>
          <w:lang w:val="en-GB"/>
        </w:rPr>
        <w:t>representatives. Corruption is a w</w:t>
      </w:r>
      <w:r w:rsidR="009B49AE" w:rsidRPr="004E053C">
        <w:rPr>
          <w:rFonts w:cstheme="majorHAnsi"/>
          <w:sz w:val="22"/>
          <w:szCs w:val="22"/>
          <w:lang w:val="en-GB"/>
        </w:rPr>
        <w:t>idespread problem in Peru. T</w:t>
      </w:r>
      <w:r w:rsidRPr="004E053C">
        <w:rPr>
          <w:rFonts w:cstheme="majorHAnsi"/>
          <w:sz w:val="22"/>
          <w:szCs w:val="22"/>
          <w:lang w:val="en-GB"/>
        </w:rPr>
        <w:t>here are plenty of allegations of politicians taking bribes from multi-national companies and colluding, or at least ben</w:t>
      </w:r>
      <w:r w:rsidR="009B49AE" w:rsidRPr="004E053C">
        <w:rPr>
          <w:rFonts w:cstheme="majorHAnsi"/>
          <w:sz w:val="22"/>
          <w:szCs w:val="22"/>
          <w:lang w:val="en-GB"/>
        </w:rPr>
        <w:t>efiting from, organis</w:t>
      </w:r>
      <w:r w:rsidR="00760F1B" w:rsidRPr="004E053C">
        <w:rPr>
          <w:rFonts w:cstheme="majorHAnsi"/>
          <w:sz w:val="22"/>
          <w:szCs w:val="22"/>
          <w:lang w:val="en-GB"/>
        </w:rPr>
        <w:t xml:space="preserve">ed crime </w:t>
      </w:r>
      <w:r w:rsidR="00874562" w:rsidRPr="004E053C">
        <w:rPr>
          <w:rFonts w:cstheme="majorHAnsi"/>
          <w:sz w:val="22"/>
          <w:szCs w:val="22"/>
          <w:lang w:val="en-GB"/>
        </w:rPr>
        <w:fldChar w:fldCharType="begin" w:fldLock="1"/>
      </w:r>
      <w:r w:rsidR="00874562" w:rsidRPr="004E053C">
        <w:rPr>
          <w:rFonts w:cstheme="majorHAnsi"/>
          <w:sz w:val="22"/>
          <w:szCs w:val="22"/>
          <w:lang w:val="en-GB"/>
        </w:rPr>
        <w:instrText>ADDIN CSL_CITATION {"citationItems":[{"id":"ITEM-1","itemData":{"author":[{"dropping-particle":"","family":"Buccella","given":"Alina","non-dropping-particle":"","parse-names":false,"suffix":""}],"container-title":"Yearbook of International Environmental Law","id":"ITEM-1","issue":"1","issued":{"date-parts":[["2014"]]},"page":"166-187","title":"Can the Minamata Convention on Mercury Solve Peru's Illegal Artisanal Gold Mining Problem?","type":"article-journal","volume":"24"},"uris":["http://www.mendeley.com/documents/?uuid=6d5df118-08ec-4835-a9f1-b5c9f4cfd53b"]}],"mendeley":{"formattedCitation":"(Buccella, 2014)","plainTextFormattedCitation":"(Buccella, 2014)","previouslyFormattedCitation":"(Buccella, 2014)"},"properties":{"noteIndex":0},"schema":"https://github.com/citation-style-language/schema/raw/master/csl-citation.json"}</w:instrText>
      </w:r>
      <w:r w:rsidR="00874562" w:rsidRPr="004E053C">
        <w:rPr>
          <w:rFonts w:cstheme="majorHAnsi"/>
          <w:sz w:val="22"/>
          <w:szCs w:val="22"/>
          <w:lang w:val="en-GB"/>
        </w:rPr>
        <w:fldChar w:fldCharType="separate"/>
      </w:r>
      <w:r w:rsidR="00874562" w:rsidRPr="004E053C">
        <w:rPr>
          <w:rFonts w:cstheme="majorHAnsi"/>
          <w:noProof/>
          <w:sz w:val="22"/>
          <w:szCs w:val="22"/>
          <w:lang w:val="en-GB"/>
        </w:rPr>
        <w:t>(Buccella, 2014)</w:t>
      </w:r>
      <w:r w:rsidR="00874562" w:rsidRPr="004E053C">
        <w:rPr>
          <w:rFonts w:cstheme="majorHAnsi"/>
          <w:sz w:val="22"/>
          <w:szCs w:val="22"/>
          <w:lang w:val="en-GB"/>
        </w:rPr>
        <w:fldChar w:fldCharType="end"/>
      </w:r>
      <w:r w:rsidRPr="004E053C">
        <w:rPr>
          <w:rFonts w:cstheme="majorHAnsi"/>
          <w:sz w:val="22"/>
          <w:szCs w:val="22"/>
          <w:lang w:val="en-GB"/>
        </w:rPr>
        <w:t xml:space="preserve">. The </w:t>
      </w:r>
      <w:r w:rsidR="00102CE6" w:rsidRPr="004E053C">
        <w:rPr>
          <w:rFonts w:cstheme="majorHAnsi"/>
          <w:sz w:val="22"/>
          <w:szCs w:val="22"/>
          <w:lang w:val="en-GB"/>
        </w:rPr>
        <w:t>permanent</w:t>
      </w:r>
      <w:r w:rsidRPr="004E053C">
        <w:rPr>
          <w:rFonts w:cstheme="majorHAnsi"/>
          <w:sz w:val="22"/>
          <w:szCs w:val="22"/>
          <w:lang w:val="en-GB"/>
        </w:rPr>
        <w:t xml:space="preserve"> miners in Laberinto tend to be supportive of the regional politicians, as they are sympathetic to the miners</w:t>
      </w:r>
      <w:r w:rsidR="00102CE6" w:rsidRPr="004E053C">
        <w:rPr>
          <w:rFonts w:cstheme="majorHAnsi"/>
          <w:sz w:val="22"/>
          <w:szCs w:val="22"/>
          <w:lang w:val="en-GB"/>
        </w:rPr>
        <w:t>’</w:t>
      </w:r>
      <w:r w:rsidRPr="004E053C">
        <w:rPr>
          <w:rFonts w:cstheme="majorHAnsi"/>
          <w:sz w:val="22"/>
          <w:szCs w:val="22"/>
          <w:lang w:val="en-GB"/>
        </w:rPr>
        <w:t xml:space="preserve"> agenda, but they use allegat</w:t>
      </w:r>
      <w:r w:rsidR="00DE5D90" w:rsidRPr="004E053C">
        <w:rPr>
          <w:rFonts w:cstheme="majorHAnsi"/>
          <w:sz w:val="22"/>
          <w:szCs w:val="22"/>
          <w:lang w:val="en-GB"/>
        </w:rPr>
        <w:t xml:space="preserve">ions of corruption at the state </w:t>
      </w:r>
      <w:r w:rsidRPr="004E053C">
        <w:rPr>
          <w:rFonts w:cstheme="majorHAnsi"/>
          <w:sz w:val="22"/>
          <w:szCs w:val="22"/>
          <w:lang w:val="en-GB"/>
        </w:rPr>
        <w:t>level to emphasise how criminality in the extractive industry sector is endemic and far worse than the illegal activity they are engaging in.</w:t>
      </w:r>
    </w:p>
    <w:p w14:paraId="28AD4D62" w14:textId="77777777" w:rsidR="003E574E" w:rsidRPr="004E053C" w:rsidRDefault="003E574E" w:rsidP="004E053C">
      <w:pPr>
        <w:spacing w:line="360" w:lineRule="auto"/>
        <w:jc w:val="both"/>
        <w:rPr>
          <w:rFonts w:cstheme="majorHAnsi"/>
          <w:sz w:val="22"/>
          <w:szCs w:val="22"/>
          <w:lang w:val="en-GB"/>
        </w:rPr>
      </w:pPr>
    </w:p>
    <w:p w14:paraId="3CFC80C6" w14:textId="323B3047"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As in other illicit livelihood contexts </w:t>
      </w:r>
      <w:r w:rsidR="00874562" w:rsidRPr="004E053C">
        <w:rPr>
          <w:rFonts w:eastAsia="Times New Roman" w:cstheme="majorHAnsi"/>
          <w:sz w:val="22"/>
          <w:szCs w:val="22"/>
          <w:lang w:val="en-GB"/>
        </w:rPr>
        <w:fldChar w:fldCharType="begin" w:fldLock="1"/>
      </w:r>
      <w:r w:rsidR="007F27D0" w:rsidRPr="004E053C">
        <w:rPr>
          <w:rFonts w:eastAsia="Times New Roman" w:cstheme="majorHAnsi"/>
          <w:sz w:val="22"/>
          <w:szCs w:val="22"/>
          <w:lang w:val="en-GB"/>
        </w:rPr>
        <w:instrText>ADDIN CSL_CITATION {"citationItems":[{"id":"ITEM-1","itemData":{"abstract":"Drug trade contributes to destabilization of countries along trade route in Africa, but drugs are cash crops that help farmers make money.","author":[{"dropping-particle":"","family":"Carrier","given":"Neil","non-dropping-particle":"","parse-names":false,"suffix":""},{"dropping-particle":"","family":"Klantschnig","given":"Gernot","non-dropping-particle":"","parse-names":false,"suffix":""}],"container-title":"Review of African Political Economy","id":"ITEM-1","issue":"148","issued":{"date-parts":[["2016"]]},"page":"174-189","publisher":"Taylor &amp; Francis","title":"Illicit livelihoods: drug crops and development in Africa","type":"article-journal","volume":"43"},"uris":["http://www.mendeley.com/documents/?uuid=5592372a-289d-4a6a-818c-bc2ee79eef38"]},{"id":"ITEM-2","itemData":{"author":[{"dropping-particle":"","family":"Andrade Filho","given":"L","non-dropping-particle":"De","parse-names":false,"suffix":""}],"container-title":"Journal of Financial Crime","id":"ITEM-2","issue":"91","issued":{"date-parts":[["2008"]]},"page":"49-59","title":"The dynamics of drug-related organized crime and corruption in Brazil from a development perspective","type":"article-journal","volume":"15"},"uris":["http://www.mendeley.com/documents/?uuid=a36be428-f8fb-482b-9f11-9f9eb9f88af7"]}],"mendeley":{"formattedCitation":"(Carrier &amp; Klantschnig, 2016; De Andrade Filho, 2008)","plainTextFormattedCitation":"(Carrier &amp; Klantschnig, 2016; De Andrade Filho, 2008)","previouslyFormattedCitation":"(Carrier &amp; Klantschnig, 2016; De Andrade Filho, 2008)"},"properties":{"noteIndex":0},"schema":"https://github.com/citation-style-language/schema/raw/master/csl-citation.json"}</w:instrText>
      </w:r>
      <w:r w:rsidR="00874562" w:rsidRPr="004E053C">
        <w:rPr>
          <w:rFonts w:eastAsia="Times New Roman" w:cstheme="majorHAnsi"/>
          <w:sz w:val="22"/>
          <w:szCs w:val="22"/>
          <w:lang w:val="en-GB"/>
        </w:rPr>
        <w:fldChar w:fldCharType="separate"/>
      </w:r>
      <w:r w:rsidR="00874562" w:rsidRPr="004E053C">
        <w:rPr>
          <w:rFonts w:eastAsia="Times New Roman" w:cstheme="majorHAnsi"/>
          <w:noProof/>
          <w:sz w:val="22"/>
          <w:szCs w:val="22"/>
          <w:lang w:val="en-GB"/>
        </w:rPr>
        <w:t>(Carrier &amp; Klantschnig, 2016; De Andrade Filho, 2008)</w:t>
      </w:r>
      <w:r w:rsidR="00874562" w:rsidRPr="004E053C">
        <w:rPr>
          <w:rFonts w:eastAsia="Times New Roman" w:cstheme="majorHAnsi"/>
          <w:sz w:val="22"/>
          <w:szCs w:val="22"/>
          <w:lang w:val="en-GB"/>
        </w:rPr>
        <w:fldChar w:fldCharType="end"/>
      </w:r>
      <w:r w:rsidRPr="004E053C">
        <w:rPr>
          <w:rFonts w:eastAsia="Times New Roman" w:cstheme="majorHAnsi"/>
          <w:sz w:val="22"/>
          <w:szCs w:val="22"/>
          <w:lang w:val="en-GB"/>
        </w:rPr>
        <w:t>, police are widely reported to take bri</w:t>
      </w:r>
      <w:r w:rsidR="00102CE6" w:rsidRPr="004E053C">
        <w:rPr>
          <w:rFonts w:eastAsia="Times New Roman" w:cstheme="majorHAnsi"/>
          <w:sz w:val="22"/>
          <w:szCs w:val="22"/>
          <w:lang w:val="en-GB"/>
        </w:rPr>
        <w:t>bes, either when the miners try</w:t>
      </w:r>
      <w:r w:rsidRPr="004E053C">
        <w:rPr>
          <w:rFonts w:eastAsia="Times New Roman" w:cstheme="majorHAnsi"/>
          <w:sz w:val="22"/>
          <w:szCs w:val="22"/>
          <w:lang w:val="en-GB"/>
        </w:rPr>
        <w:t xml:space="preserve"> to transport </w:t>
      </w:r>
      <w:r w:rsidR="00102CE6" w:rsidRPr="004E053C">
        <w:rPr>
          <w:rFonts w:eastAsia="Times New Roman" w:cstheme="majorHAnsi"/>
          <w:sz w:val="22"/>
          <w:szCs w:val="22"/>
          <w:lang w:val="en-GB"/>
        </w:rPr>
        <w:t>oil on the river or when they co</w:t>
      </w:r>
      <w:r w:rsidRPr="004E053C">
        <w:rPr>
          <w:rFonts w:eastAsia="Times New Roman" w:cstheme="majorHAnsi"/>
          <w:sz w:val="22"/>
          <w:szCs w:val="22"/>
          <w:lang w:val="en-GB"/>
        </w:rPr>
        <w:t xml:space="preserve">me to explode the motors and arrest people. Several of the miners also said that the miners were often warned in advance of when the raids would take place, although they didn’t know, or at least didn’t say, who these warnings came from. One miner explained that the abundance of natural resources in Tambopata and the possibility for </w:t>
      </w:r>
      <w:r w:rsidR="005527DD" w:rsidRPr="004E053C">
        <w:rPr>
          <w:rFonts w:eastAsia="Times New Roman" w:cstheme="majorHAnsi"/>
          <w:sz w:val="22"/>
          <w:szCs w:val="22"/>
          <w:lang w:val="en-GB"/>
        </w:rPr>
        <w:t>rent seeking</w:t>
      </w:r>
      <w:r w:rsidRPr="004E053C">
        <w:rPr>
          <w:rFonts w:eastAsia="Times New Roman" w:cstheme="majorHAnsi"/>
          <w:sz w:val="22"/>
          <w:szCs w:val="22"/>
          <w:lang w:val="en-GB"/>
        </w:rPr>
        <w:t xml:space="preserve"> meant that the more corrupt police were attracted to work in the area. The policy of interdiction can only be as successful as t</w:t>
      </w:r>
      <w:r w:rsidR="009B49AE" w:rsidRPr="004E053C">
        <w:rPr>
          <w:rFonts w:eastAsia="Times New Roman" w:cstheme="majorHAnsi"/>
          <w:sz w:val="22"/>
          <w:szCs w:val="22"/>
          <w:lang w:val="en-GB"/>
        </w:rPr>
        <w:t>he police implementing it. M</w:t>
      </w:r>
      <w:r w:rsidRPr="004E053C">
        <w:rPr>
          <w:rFonts w:eastAsia="Times New Roman" w:cstheme="majorHAnsi"/>
          <w:sz w:val="22"/>
          <w:szCs w:val="22"/>
          <w:lang w:val="en-GB"/>
        </w:rPr>
        <w:t xml:space="preserve">any of them are happy to take bribes to prevent arrests, thus calling into question the effectiveness of Government policy. </w:t>
      </w:r>
      <w:r w:rsidR="00B21FFD" w:rsidRPr="004E053C">
        <w:rPr>
          <w:rFonts w:cstheme="majorHAnsi"/>
          <w:sz w:val="22"/>
          <w:szCs w:val="22"/>
          <w:lang w:val="en-GB"/>
        </w:rPr>
        <w:t>Azucena</w:t>
      </w:r>
      <w:r w:rsidRPr="004E053C">
        <w:rPr>
          <w:rFonts w:cstheme="majorHAnsi"/>
          <w:sz w:val="22"/>
          <w:szCs w:val="22"/>
          <w:lang w:val="en-GB"/>
        </w:rPr>
        <w:t xml:space="preserve"> also </w:t>
      </w:r>
      <w:r w:rsidR="00E7020E" w:rsidRPr="004E053C">
        <w:rPr>
          <w:rFonts w:cstheme="majorHAnsi"/>
          <w:sz w:val="22"/>
          <w:szCs w:val="22"/>
          <w:lang w:val="en-GB"/>
        </w:rPr>
        <w:t xml:space="preserve">used an </w:t>
      </w:r>
      <w:r w:rsidRPr="004E053C">
        <w:rPr>
          <w:rFonts w:cstheme="majorHAnsi"/>
          <w:sz w:val="22"/>
          <w:szCs w:val="22"/>
          <w:lang w:val="en-GB"/>
        </w:rPr>
        <w:t xml:space="preserve">environmental narrative to question the </w:t>
      </w:r>
      <w:r w:rsidR="009B49AE" w:rsidRPr="004E053C">
        <w:rPr>
          <w:rFonts w:cstheme="majorHAnsi"/>
          <w:sz w:val="22"/>
          <w:szCs w:val="22"/>
          <w:lang w:val="en-GB"/>
        </w:rPr>
        <w:t>integrity of the G</w:t>
      </w:r>
      <w:r w:rsidR="00E7020E" w:rsidRPr="004E053C">
        <w:rPr>
          <w:rFonts w:cstheme="majorHAnsi"/>
          <w:sz w:val="22"/>
          <w:szCs w:val="22"/>
          <w:lang w:val="en-GB"/>
        </w:rPr>
        <w:t xml:space="preserve">overnment, claiming that the forestry concessions were all </w:t>
      </w:r>
      <w:r w:rsidRPr="004E053C">
        <w:rPr>
          <w:rFonts w:cstheme="majorHAnsi"/>
          <w:sz w:val="22"/>
          <w:szCs w:val="22"/>
          <w:lang w:val="en-GB"/>
        </w:rPr>
        <w:t xml:space="preserve">allocated to friends of government officials. She </w:t>
      </w:r>
      <w:r w:rsidR="00E7020E" w:rsidRPr="004E053C">
        <w:rPr>
          <w:rFonts w:cstheme="majorHAnsi"/>
          <w:sz w:val="22"/>
          <w:szCs w:val="22"/>
          <w:lang w:val="en-GB"/>
        </w:rPr>
        <w:t xml:space="preserve">said </w:t>
      </w:r>
      <w:r w:rsidR="000C4978" w:rsidRPr="004E053C">
        <w:rPr>
          <w:rFonts w:cstheme="majorHAnsi"/>
          <w:sz w:val="22"/>
          <w:szCs w:val="22"/>
          <w:lang w:val="en-GB"/>
        </w:rPr>
        <w:t>that</w:t>
      </w:r>
      <w:r w:rsidR="00E7020E" w:rsidRPr="004E053C">
        <w:rPr>
          <w:rFonts w:cstheme="majorHAnsi"/>
          <w:sz w:val="22"/>
          <w:szCs w:val="22"/>
          <w:lang w:val="en-GB"/>
        </w:rPr>
        <w:t xml:space="preserve"> </w:t>
      </w:r>
      <w:r w:rsidR="000C4978" w:rsidRPr="004E053C">
        <w:rPr>
          <w:rFonts w:cstheme="majorHAnsi"/>
          <w:sz w:val="22"/>
          <w:szCs w:val="22"/>
          <w:lang w:val="en-GB"/>
        </w:rPr>
        <w:t xml:space="preserve">as </w:t>
      </w:r>
      <w:r w:rsidR="00E7020E" w:rsidRPr="004E053C">
        <w:rPr>
          <w:rFonts w:cstheme="majorHAnsi"/>
          <w:sz w:val="22"/>
          <w:szCs w:val="22"/>
          <w:lang w:val="en-GB"/>
        </w:rPr>
        <w:t>the</w:t>
      </w:r>
      <w:r w:rsidR="000C4978" w:rsidRPr="004E053C">
        <w:rPr>
          <w:rFonts w:cstheme="majorHAnsi"/>
          <w:sz w:val="22"/>
          <w:szCs w:val="22"/>
          <w:lang w:val="en-GB"/>
        </w:rPr>
        <w:t xml:space="preserve"> Government knew </w:t>
      </w:r>
      <w:r w:rsidRPr="004E053C">
        <w:rPr>
          <w:rFonts w:cstheme="majorHAnsi"/>
          <w:sz w:val="22"/>
          <w:szCs w:val="22"/>
          <w:lang w:val="en-GB"/>
        </w:rPr>
        <w:t>she had go</w:t>
      </w:r>
      <w:r w:rsidR="00E7020E" w:rsidRPr="004E053C">
        <w:rPr>
          <w:rFonts w:cstheme="majorHAnsi"/>
          <w:sz w:val="22"/>
          <w:szCs w:val="22"/>
          <w:lang w:val="en-GB"/>
        </w:rPr>
        <w:t xml:space="preserve">od knowledge of the local area </w:t>
      </w:r>
      <w:r w:rsidR="000C4978" w:rsidRPr="004E053C">
        <w:rPr>
          <w:rFonts w:cstheme="majorHAnsi"/>
          <w:sz w:val="22"/>
          <w:szCs w:val="22"/>
          <w:lang w:val="en-GB"/>
        </w:rPr>
        <w:t>they</w:t>
      </w:r>
      <w:r w:rsidR="00E7020E" w:rsidRPr="004E053C">
        <w:rPr>
          <w:rFonts w:cstheme="majorHAnsi"/>
          <w:sz w:val="22"/>
          <w:szCs w:val="22"/>
          <w:lang w:val="en-GB"/>
        </w:rPr>
        <w:t xml:space="preserve"> alerted friends and family to whichever concessions she showed an interest in, meaning she was always outbid</w:t>
      </w:r>
      <w:r w:rsidRPr="004E053C">
        <w:rPr>
          <w:rFonts w:cstheme="majorHAnsi"/>
          <w:sz w:val="22"/>
          <w:szCs w:val="22"/>
          <w:lang w:val="en-GB"/>
        </w:rPr>
        <w:t xml:space="preserve">. </w:t>
      </w:r>
    </w:p>
    <w:p w14:paraId="3DE513B5" w14:textId="77777777" w:rsidR="003E574E" w:rsidRPr="004E053C" w:rsidRDefault="003E574E" w:rsidP="004E053C">
      <w:pPr>
        <w:spacing w:line="360" w:lineRule="auto"/>
        <w:jc w:val="both"/>
        <w:rPr>
          <w:rFonts w:cstheme="majorHAnsi"/>
          <w:sz w:val="22"/>
          <w:szCs w:val="22"/>
          <w:lang w:val="en-GB"/>
        </w:rPr>
      </w:pPr>
    </w:p>
    <w:p w14:paraId="1831D030" w14:textId="2C74AE94" w:rsidR="003E574E" w:rsidRPr="004E053C" w:rsidRDefault="003E574E" w:rsidP="004E053C">
      <w:pPr>
        <w:spacing w:line="360" w:lineRule="auto"/>
        <w:jc w:val="both"/>
        <w:rPr>
          <w:rFonts w:eastAsia="Times New Roman" w:cstheme="majorHAnsi"/>
          <w:sz w:val="22"/>
          <w:szCs w:val="22"/>
          <w:lang w:val="en-GB"/>
        </w:rPr>
      </w:pPr>
      <w:r w:rsidRPr="004E053C">
        <w:rPr>
          <w:rFonts w:cstheme="majorHAnsi"/>
          <w:sz w:val="22"/>
          <w:szCs w:val="22"/>
          <w:lang w:val="en-GB"/>
        </w:rPr>
        <w:lastRenderedPageBreak/>
        <w:t xml:space="preserve">The mining activity in La Pampa is thought to be owned by </w:t>
      </w:r>
      <w:r w:rsidR="003B5DCB" w:rsidRPr="004E053C">
        <w:rPr>
          <w:rFonts w:cstheme="majorHAnsi"/>
          <w:sz w:val="22"/>
          <w:szCs w:val="22"/>
          <w:lang w:val="en-GB"/>
        </w:rPr>
        <w:t>‘big guys’</w:t>
      </w:r>
      <w:r w:rsidR="009B49AE" w:rsidRPr="004E053C">
        <w:rPr>
          <w:rFonts w:cstheme="majorHAnsi"/>
          <w:sz w:val="22"/>
          <w:szCs w:val="22"/>
          <w:lang w:val="en-GB"/>
        </w:rPr>
        <w:t xml:space="preserve"> with links to organis</w:t>
      </w:r>
      <w:r w:rsidRPr="004E053C">
        <w:rPr>
          <w:rFonts w:cstheme="majorHAnsi"/>
          <w:sz w:val="22"/>
          <w:szCs w:val="22"/>
          <w:lang w:val="en-GB"/>
        </w:rPr>
        <w:t xml:space="preserve">ed crime </w:t>
      </w:r>
      <w:r w:rsidR="003B5DCB" w:rsidRPr="004E053C">
        <w:rPr>
          <w:rFonts w:cstheme="majorHAnsi"/>
          <w:sz w:val="22"/>
          <w:szCs w:val="22"/>
          <w:lang w:val="en-GB"/>
        </w:rPr>
        <w:t>– ‘</w:t>
      </w:r>
      <w:r w:rsidRPr="004E053C">
        <w:rPr>
          <w:rFonts w:eastAsia="Times New Roman" w:cstheme="majorHAnsi"/>
          <w:i/>
          <w:sz w:val="22"/>
          <w:szCs w:val="22"/>
          <w:lang w:val="en-GB"/>
        </w:rPr>
        <w:t>No one knows who owns the motors in La Pampa, there are big people who have the motors there, as the small people that want to have motors there are killed</w:t>
      </w:r>
      <w:r w:rsidR="003B5DCB" w:rsidRPr="004E053C">
        <w:rPr>
          <w:rFonts w:eastAsia="Times New Roman" w:cstheme="majorHAnsi"/>
          <w:sz w:val="22"/>
          <w:szCs w:val="22"/>
          <w:lang w:val="en-GB"/>
        </w:rPr>
        <w:t>’</w:t>
      </w:r>
      <w:r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Benito</w:t>
      </w:r>
      <w:r w:rsidR="000C4978" w:rsidRPr="004E053C">
        <w:rPr>
          <w:rFonts w:eastAsia="Times New Roman" w:cstheme="majorHAnsi"/>
          <w:sz w:val="22"/>
          <w:szCs w:val="22"/>
          <w:lang w:val="en-GB"/>
        </w:rPr>
        <w:t>, ASM miner, Laberinto</w:t>
      </w:r>
      <w:r w:rsidRPr="004E053C">
        <w:rPr>
          <w:rFonts w:eastAsia="Times New Roman" w:cstheme="majorHAnsi"/>
          <w:sz w:val="22"/>
          <w:szCs w:val="22"/>
          <w:lang w:val="en-GB"/>
        </w:rPr>
        <w:t xml:space="preserve">). </w:t>
      </w:r>
      <w:r w:rsidR="000C4978" w:rsidRPr="004E053C">
        <w:rPr>
          <w:rFonts w:cstheme="majorHAnsi"/>
          <w:sz w:val="22"/>
          <w:szCs w:val="22"/>
          <w:lang w:val="en-GB"/>
        </w:rPr>
        <w:t xml:space="preserve">A couple of </w:t>
      </w:r>
      <w:r w:rsidRPr="004E053C">
        <w:rPr>
          <w:rFonts w:cstheme="majorHAnsi"/>
          <w:sz w:val="22"/>
          <w:szCs w:val="22"/>
          <w:lang w:val="en-GB"/>
        </w:rPr>
        <w:t>miners claimed that either thes</w:t>
      </w:r>
      <w:r w:rsidR="009B49AE" w:rsidRPr="004E053C">
        <w:rPr>
          <w:rFonts w:cstheme="majorHAnsi"/>
          <w:sz w:val="22"/>
          <w:szCs w:val="22"/>
          <w:lang w:val="en-GB"/>
        </w:rPr>
        <w:t>e big guys were working in the G</w:t>
      </w:r>
      <w:r w:rsidRPr="004E053C">
        <w:rPr>
          <w:rFonts w:cstheme="majorHAnsi"/>
          <w:sz w:val="22"/>
          <w:szCs w:val="22"/>
          <w:lang w:val="en-GB"/>
        </w:rPr>
        <w:t>overnment or were at least paying the government and the police large amounts of money to be able to continue their activities. This explici</w:t>
      </w:r>
      <w:r w:rsidR="009B49AE" w:rsidRPr="004E053C">
        <w:rPr>
          <w:rFonts w:cstheme="majorHAnsi"/>
          <w:sz w:val="22"/>
          <w:szCs w:val="22"/>
          <w:lang w:val="en-GB"/>
        </w:rPr>
        <w:t>tly creates a link between the G</w:t>
      </w:r>
      <w:r w:rsidRPr="004E053C">
        <w:rPr>
          <w:rFonts w:cstheme="majorHAnsi"/>
          <w:sz w:val="22"/>
          <w:szCs w:val="22"/>
          <w:lang w:val="en-GB"/>
        </w:rPr>
        <w:t>overnment, who are openly accusing the miners in Laberinto of being criminals, with the miners in La Pampa, who have</w:t>
      </w:r>
      <w:r w:rsidR="003B5DCB" w:rsidRPr="004E053C">
        <w:rPr>
          <w:rFonts w:cstheme="majorHAnsi"/>
          <w:sz w:val="22"/>
          <w:szCs w:val="22"/>
          <w:lang w:val="en-GB"/>
        </w:rPr>
        <w:t xml:space="preserve"> already been distinguished as ‘other’</w:t>
      </w:r>
      <w:r w:rsidRPr="004E053C">
        <w:rPr>
          <w:rFonts w:cstheme="majorHAnsi"/>
          <w:sz w:val="22"/>
          <w:szCs w:val="22"/>
          <w:lang w:val="en-GB"/>
        </w:rPr>
        <w:t xml:space="preserve">, more violent and deviant miners. </w:t>
      </w:r>
      <w:r w:rsidR="000C4978" w:rsidRPr="004E053C">
        <w:rPr>
          <w:rFonts w:cstheme="majorHAnsi"/>
          <w:sz w:val="22"/>
          <w:szCs w:val="22"/>
          <w:lang w:val="en-GB"/>
        </w:rPr>
        <w:t>The miners therefore</w:t>
      </w:r>
      <w:r w:rsidRPr="004E053C">
        <w:rPr>
          <w:rFonts w:cstheme="majorHAnsi"/>
          <w:sz w:val="22"/>
          <w:szCs w:val="22"/>
          <w:lang w:val="en-GB"/>
        </w:rPr>
        <w:t xml:space="preserve"> argue</w:t>
      </w:r>
      <w:r w:rsidR="000C4978" w:rsidRPr="004E053C">
        <w:rPr>
          <w:rFonts w:cstheme="majorHAnsi"/>
          <w:sz w:val="22"/>
          <w:szCs w:val="22"/>
          <w:lang w:val="en-GB"/>
        </w:rPr>
        <w:t>d</w:t>
      </w:r>
      <w:r w:rsidRPr="004E053C">
        <w:rPr>
          <w:rFonts w:cstheme="majorHAnsi"/>
          <w:sz w:val="22"/>
          <w:szCs w:val="22"/>
          <w:lang w:val="en-GB"/>
        </w:rPr>
        <w:t xml:space="preserve"> that it was the Government’s action, this time in the form of corruption, which allowed the illegality of La Pampa to continue:</w:t>
      </w:r>
    </w:p>
    <w:p w14:paraId="4A0C7536" w14:textId="77777777" w:rsidR="003E574E" w:rsidRPr="004E053C" w:rsidRDefault="003E574E" w:rsidP="004E053C">
      <w:pPr>
        <w:spacing w:line="360" w:lineRule="auto"/>
        <w:jc w:val="both"/>
        <w:rPr>
          <w:rFonts w:cstheme="majorHAnsi"/>
          <w:sz w:val="22"/>
          <w:szCs w:val="22"/>
          <w:lang w:val="en-GB"/>
        </w:rPr>
      </w:pPr>
    </w:p>
    <w:p w14:paraId="5AF98629" w14:textId="5E994FB2" w:rsidR="003E574E" w:rsidRPr="004E053C" w:rsidRDefault="003B5DCB" w:rsidP="004E053C">
      <w:pPr>
        <w:ind w:left="720"/>
        <w:jc w:val="both"/>
        <w:rPr>
          <w:rFonts w:cstheme="majorHAnsi"/>
          <w:sz w:val="22"/>
          <w:szCs w:val="22"/>
          <w:lang w:val="en-GB"/>
        </w:rPr>
      </w:pPr>
      <w:r w:rsidRPr="004E053C">
        <w:rPr>
          <w:rFonts w:cstheme="majorHAnsi"/>
          <w:i/>
          <w:sz w:val="22"/>
          <w:szCs w:val="22"/>
          <w:lang w:val="en-GB"/>
        </w:rPr>
        <w:t>‘</w:t>
      </w:r>
      <w:r w:rsidR="00DE5D90" w:rsidRPr="004E053C">
        <w:rPr>
          <w:rFonts w:cstheme="majorHAnsi"/>
          <w:i/>
          <w:sz w:val="22"/>
          <w:szCs w:val="22"/>
          <w:lang w:val="en-GB"/>
        </w:rPr>
        <w:t>La P</w:t>
      </w:r>
      <w:r w:rsidR="003E574E" w:rsidRPr="004E053C">
        <w:rPr>
          <w:rFonts w:cstheme="majorHAnsi"/>
          <w:i/>
          <w:sz w:val="22"/>
          <w:szCs w:val="22"/>
          <w:lang w:val="en-GB"/>
        </w:rPr>
        <w:t>ampa is still alive because of the corruption, because they can pay the police and</w:t>
      </w:r>
      <w:r w:rsidR="00A14CC9" w:rsidRPr="004E053C">
        <w:rPr>
          <w:rFonts w:cstheme="majorHAnsi"/>
          <w:i/>
          <w:sz w:val="22"/>
          <w:szCs w:val="22"/>
          <w:lang w:val="en-GB"/>
        </w:rPr>
        <w:t xml:space="preserve"> the bad gu</w:t>
      </w:r>
      <w:r w:rsidR="009B49AE" w:rsidRPr="004E053C">
        <w:rPr>
          <w:rFonts w:cstheme="majorHAnsi"/>
          <w:i/>
          <w:sz w:val="22"/>
          <w:szCs w:val="22"/>
          <w:lang w:val="en-GB"/>
        </w:rPr>
        <w:t>ys in the G</w:t>
      </w:r>
      <w:r w:rsidR="00A14CC9" w:rsidRPr="004E053C">
        <w:rPr>
          <w:rFonts w:cstheme="majorHAnsi"/>
          <w:i/>
          <w:sz w:val="22"/>
          <w:szCs w:val="22"/>
          <w:lang w:val="en-GB"/>
        </w:rPr>
        <w:t xml:space="preserve">overnment… </w:t>
      </w:r>
      <w:r w:rsidR="003E574E" w:rsidRPr="004E053C">
        <w:rPr>
          <w:rFonts w:cstheme="majorHAnsi"/>
          <w:i/>
          <w:sz w:val="22"/>
          <w:szCs w:val="22"/>
          <w:lang w:val="en-GB"/>
        </w:rPr>
        <w:t>While it still exists they will come here as well, and they will confuse us with</w:t>
      </w:r>
      <w:r w:rsidR="00A14CC9" w:rsidRPr="004E053C">
        <w:rPr>
          <w:rFonts w:cstheme="majorHAnsi"/>
          <w:i/>
          <w:sz w:val="22"/>
          <w:szCs w:val="22"/>
          <w:lang w:val="en-GB"/>
        </w:rPr>
        <w:t xml:space="preserve"> them and think we are the same…</w:t>
      </w:r>
      <w:r w:rsidR="003E574E" w:rsidRPr="004E053C">
        <w:rPr>
          <w:rFonts w:cstheme="majorHAnsi"/>
          <w:i/>
          <w:sz w:val="22"/>
          <w:szCs w:val="22"/>
          <w:lang w:val="en-GB"/>
        </w:rPr>
        <w:t>That is the problem, the corruption is part of La Pampa, but it makes it hard for everybody if La Pampa still exists</w:t>
      </w:r>
      <w:r w:rsidRPr="004E053C">
        <w:rPr>
          <w:rFonts w:cstheme="majorHAnsi"/>
          <w:i/>
          <w:sz w:val="22"/>
          <w:szCs w:val="22"/>
          <w:lang w:val="en-GB"/>
        </w:rPr>
        <w:t>’</w:t>
      </w:r>
      <w:r w:rsidR="003E574E" w:rsidRPr="004E053C">
        <w:rPr>
          <w:rFonts w:cstheme="majorHAnsi"/>
          <w:sz w:val="22"/>
          <w:szCs w:val="22"/>
          <w:lang w:val="en-GB"/>
        </w:rPr>
        <w:t xml:space="preserve"> (</w:t>
      </w:r>
      <w:r w:rsidR="00EA7F80" w:rsidRPr="004E053C">
        <w:rPr>
          <w:rFonts w:cstheme="majorHAnsi"/>
          <w:sz w:val="22"/>
          <w:szCs w:val="22"/>
          <w:lang w:val="en-GB"/>
        </w:rPr>
        <w:t>Noe</w:t>
      </w:r>
      <w:r w:rsidR="003E574E" w:rsidRPr="004E053C">
        <w:rPr>
          <w:rFonts w:cstheme="majorHAnsi"/>
          <w:sz w:val="22"/>
          <w:szCs w:val="22"/>
          <w:lang w:val="en-GB"/>
        </w:rPr>
        <w:t>, ASM miner, Laberinto)</w:t>
      </w:r>
      <w:r w:rsidR="00294FB4" w:rsidRPr="004E053C">
        <w:rPr>
          <w:rFonts w:cstheme="majorHAnsi"/>
          <w:sz w:val="22"/>
          <w:szCs w:val="22"/>
          <w:lang w:val="en-GB"/>
        </w:rPr>
        <w:t xml:space="preserve">. </w:t>
      </w:r>
    </w:p>
    <w:p w14:paraId="319CC22A" w14:textId="77777777" w:rsidR="003E574E" w:rsidRPr="004E053C" w:rsidRDefault="003E574E" w:rsidP="004E053C">
      <w:pPr>
        <w:spacing w:line="360" w:lineRule="auto"/>
        <w:jc w:val="both"/>
        <w:rPr>
          <w:rFonts w:cstheme="majorHAnsi"/>
          <w:sz w:val="22"/>
          <w:szCs w:val="22"/>
          <w:lang w:val="en-GB"/>
        </w:rPr>
      </w:pPr>
    </w:p>
    <w:p w14:paraId="65D194FB" w14:textId="3EDAE6F9" w:rsidR="003E574E" w:rsidRPr="004E053C" w:rsidRDefault="003E574E" w:rsidP="004E053C">
      <w:pPr>
        <w:spacing w:line="360" w:lineRule="auto"/>
        <w:jc w:val="both"/>
        <w:rPr>
          <w:rFonts w:eastAsia="Times New Roman" w:cstheme="majorHAnsi"/>
          <w:sz w:val="22"/>
          <w:szCs w:val="22"/>
          <w:lang w:val="en-GB"/>
        </w:rPr>
      </w:pPr>
      <w:r w:rsidRPr="004E053C">
        <w:rPr>
          <w:rFonts w:cstheme="majorHAnsi"/>
          <w:sz w:val="22"/>
          <w:szCs w:val="22"/>
          <w:lang w:val="en-GB"/>
        </w:rPr>
        <w:t xml:space="preserve">Inside La Pampa, the scale of corruption is even worse. </w:t>
      </w:r>
      <w:r w:rsidR="00B21FFD" w:rsidRPr="004E053C">
        <w:rPr>
          <w:rFonts w:cstheme="majorHAnsi"/>
          <w:sz w:val="22"/>
          <w:szCs w:val="22"/>
          <w:lang w:val="en-GB"/>
        </w:rPr>
        <w:t>Azucena</w:t>
      </w:r>
      <w:r w:rsidRPr="004E053C">
        <w:rPr>
          <w:rFonts w:cstheme="majorHAnsi"/>
          <w:sz w:val="22"/>
          <w:szCs w:val="22"/>
          <w:lang w:val="en-GB"/>
        </w:rPr>
        <w:t xml:space="preserve"> told a story of five policemen who were shot by unknown assailants for taking bribes on a patch of </w:t>
      </w:r>
      <w:r w:rsidR="005527DD" w:rsidRPr="004E053C">
        <w:rPr>
          <w:rFonts w:cstheme="majorHAnsi"/>
          <w:sz w:val="22"/>
          <w:szCs w:val="22"/>
          <w:lang w:val="en-GB"/>
        </w:rPr>
        <w:t>land that</w:t>
      </w:r>
      <w:r w:rsidR="009B49AE" w:rsidRPr="004E053C">
        <w:rPr>
          <w:rFonts w:cstheme="majorHAnsi"/>
          <w:sz w:val="22"/>
          <w:szCs w:val="22"/>
          <w:lang w:val="en-GB"/>
        </w:rPr>
        <w:t xml:space="preserve"> wasn’t ‘theirs’</w:t>
      </w:r>
      <w:r w:rsidRPr="004E053C">
        <w:rPr>
          <w:rFonts w:cstheme="majorHAnsi"/>
          <w:sz w:val="22"/>
          <w:szCs w:val="22"/>
          <w:lang w:val="en-GB"/>
        </w:rPr>
        <w:t xml:space="preserve">. This story was corroborated by an NGO representative, who said that the story about the police disappeared from the news within 24 hours, highlighting the dangers of entering La Pampa without permission from whoever is in charge. One </w:t>
      </w:r>
      <w:r w:rsidR="000C4978" w:rsidRPr="004E053C">
        <w:rPr>
          <w:rFonts w:cstheme="majorHAnsi"/>
          <w:sz w:val="22"/>
          <w:szCs w:val="22"/>
          <w:lang w:val="en-GB"/>
        </w:rPr>
        <w:t>LGA</w:t>
      </w:r>
      <w:r w:rsidRPr="004E053C">
        <w:rPr>
          <w:rFonts w:cstheme="majorHAnsi"/>
          <w:sz w:val="22"/>
          <w:szCs w:val="22"/>
          <w:lang w:val="en-GB"/>
        </w:rPr>
        <w:t xml:space="preserve"> rep</w:t>
      </w:r>
      <w:r w:rsidR="000C4978" w:rsidRPr="004E053C">
        <w:rPr>
          <w:rFonts w:cstheme="majorHAnsi"/>
          <w:sz w:val="22"/>
          <w:szCs w:val="22"/>
          <w:lang w:val="en-GB"/>
        </w:rPr>
        <w:t xml:space="preserve">resentative in Laberinto </w:t>
      </w:r>
      <w:r w:rsidRPr="004E053C">
        <w:rPr>
          <w:rFonts w:cstheme="majorHAnsi"/>
          <w:sz w:val="22"/>
          <w:szCs w:val="22"/>
          <w:lang w:val="en-GB"/>
        </w:rPr>
        <w:t xml:space="preserve">questioned why the central Government did not do more to eliminate the whole of La Pampa, claiming it could be easily overrun with a few explosions. The insinuation here is that mining activity in the buffer zone continues because the Government chooses for it to do so. A couple of miners in Laberinto claimed that </w:t>
      </w:r>
      <w:r w:rsidRPr="004E053C">
        <w:rPr>
          <w:rFonts w:eastAsia="Times New Roman" w:cstheme="majorHAnsi"/>
          <w:sz w:val="22"/>
          <w:szCs w:val="22"/>
          <w:lang w:val="en-GB"/>
        </w:rPr>
        <w:t xml:space="preserve">because the miners in La Pampa were always alerted to the police raids, they were able </w:t>
      </w:r>
      <w:r w:rsidR="00DE5D90" w:rsidRPr="004E053C">
        <w:rPr>
          <w:rFonts w:eastAsia="Times New Roman" w:cstheme="majorHAnsi"/>
          <w:sz w:val="22"/>
          <w:szCs w:val="22"/>
          <w:lang w:val="en-GB"/>
        </w:rPr>
        <w:t>to hide their machines and the p</w:t>
      </w:r>
      <w:r w:rsidRPr="004E053C">
        <w:rPr>
          <w:rFonts w:eastAsia="Times New Roman" w:cstheme="majorHAnsi"/>
          <w:sz w:val="22"/>
          <w:szCs w:val="22"/>
          <w:lang w:val="en-GB"/>
        </w:rPr>
        <w:t xml:space="preserve">olice were unable to explode anything. In order to look like they were doing something effective, the police would then come to Laberinto and blow up the motors there. </w:t>
      </w:r>
    </w:p>
    <w:p w14:paraId="344D4537" w14:textId="77777777" w:rsidR="003E574E" w:rsidRPr="004E053C" w:rsidRDefault="003E574E" w:rsidP="004E053C">
      <w:pPr>
        <w:spacing w:line="360" w:lineRule="auto"/>
        <w:jc w:val="both"/>
        <w:rPr>
          <w:rFonts w:cstheme="majorHAnsi"/>
          <w:sz w:val="22"/>
          <w:szCs w:val="22"/>
          <w:lang w:val="en-GB"/>
        </w:rPr>
      </w:pPr>
    </w:p>
    <w:p w14:paraId="13651544" w14:textId="33532AD6"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One of the key accusations of the Government that the miners weave into their narrative is that the land in Tambopata has already been sold to large-scale extraction companies. It is unlikely that this is the case, firstly because the type of mining in the area is not </w:t>
      </w:r>
      <w:r w:rsidR="005527DD" w:rsidRPr="004E053C">
        <w:rPr>
          <w:rFonts w:cstheme="majorHAnsi"/>
          <w:sz w:val="22"/>
          <w:szCs w:val="22"/>
          <w:lang w:val="en-GB"/>
        </w:rPr>
        <w:t>well suited</w:t>
      </w:r>
      <w:r w:rsidRPr="004E053C">
        <w:rPr>
          <w:rFonts w:cstheme="majorHAnsi"/>
          <w:sz w:val="22"/>
          <w:szCs w:val="22"/>
          <w:lang w:val="en-GB"/>
        </w:rPr>
        <w:t xml:space="preserve"> to large scale extraction and secondly because there hasn’t been a more concerted effort to clear the area of illegal miners. However seven of the </w:t>
      </w:r>
      <w:r w:rsidR="000C4978" w:rsidRPr="004E053C">
        <w:rPr>
          <w:rFonts w:cstheme="majorHAnsi"/>
          <w:sz w:val="22"/>
          <w:szCs w:val="22"/>
          <w:lang w:val="en-GB"/>
        </w:rPr>
        <w:t>permanent residents of Laberinto held</w:t>
      </w:r>
      <w:r w:rsidRPr="004E053C">
        <w:rPr>
          <w:rFonts w:cstheme="majorHAnsi"/>
          <w:sz w:val="22"/>
          <w:szCs w:val="22"/>
          <w:lang w:val="en-GB"/>
        </w:rPr>
        <w:t xml:space="preserve"> this belief and used it to question the Gove</w:t>
      </w:r>
      <w:r w:rsidR="009B49AE" w:rsidRPr="004E053C">
        <w:rPr>
          <w:rFonts w:cstheme="majorHAnsi"/>
          <w:sz w:val="22"/>
          <w:szCs w:val="22"/>
          <w:lang w:val="en-GB"/>
        </w:rPr>
        <w:t>rnment’s motives and delegitimis</w:t>
      </w:r>
      <w:r w:rsidRPr="004E053C">
        <w:rPr>
          <w:rFonts w:cstheme="majorHAnsi"/>
          <w:sz w:val="22"/>
          <w:szCs w:val="22"/>
          <w:lang w:val="en-GB"/>
        </w:rPr>
        <w:t xml:space="preserve">e their drive for environmental conservation. </w:t>
      </w:r>
    </w:p>
    <w:p w14:paraId="27ED93B7" w14:textId="77777777" w:rsidR="003E574E" w:rsidRPr="004E053C" w:rsidRDefault="003E574E" w:rsidP="004E053C">
      <w:pPr>
        <w:spacing w:line="360" w:lineRule="auto"/>
        <w:jc w:val="both"/>
        <w:rPr>
          <w:rFonts w:eastAsia="Times New Roman" w:cstheme="majorHAnsi"/>
          <w:sz w:val="22"/>
          <w:szCs w:val="22"/>
          <w:lang w:val="en-GB"/>
        </w:rPr>
      </w:pPr>
    </w:p>
    <w:p w14:paraId="6048AE4B" w14:textId="3A26707B"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sz w:val="22"/>
          <w:szCs w:val="22"/>
          <w:lang w:val="en-GB"/>
        </w:rPr>
        <w:lastRenderedPageBreak/>
        <w:t>‘</w:t>
      </w:r>
      <w:r w:rsidR="003E574E" w:rsidRPr="004E053C">
        <w:rPr>
          <w:rFonts w:eastAsia="Times New Roman" w:cstheme="majorHAnsi"/>
          <w:i/>
          <w:sz w:val="22"/>
          <w:szCs w:val="22"/>
          <w:lang w:val="en-GB"/>
        </w:rPr>
        <w:t>The Government just wants this land so they can give it to big people or big companies for them to use. The prob</w:t>
      </w:r>
      <w:r w:rsidR="009B49AE" w:rsidRPr="004E053C">
        <w:rPr>
          <w:rFonts w:eastAsia="Times New Roman" w:cstheme="majorHAnsi"/>
          <w:i/>
          <w:sz w:val="22"/>
          <w:szCs w:val="22"/>
          <w:lang w:val="en-GB"/>
        </w:rPr>
        <w:t>lem is that the G</w:t>
      </w:r>
      <w:r w:rsidR="003E574E" w:rsidRPr="004E053C">
        <w:rPr>
          <w:rFonts w:eastAsia="Times New Roman" w:cstheme="majorHAnsi"/>
          <w:i/>
          <w:sz w:val="22"/>
          <w:szCs w:val="22"/>
          <w:lang w:val="en-GB"/>
        </w:rPr>
        <w:t>overnment is smart, and of course they want a slice of the cake from the big companies. Under the table they will get a slice of the money, because they are smart. So who pays with their blood? Us because we are living here and our houses are here and our families are here</w:t>
      </w:r>
      <w:r w:rsidRPr="004E053C">
        <w:rPr>
          <w:rFonts w:eastAsia="Times New Roman" w:cstheme="majorHAnsi"/>
          <w: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Roberto</w:t>
      </w:r>
      <w:r w:rsidR="003E574E" w:rsidRPr="004E053C">
        <w:rPr>
          <w:rFonts w:eastAsia="Times New Roman" w:cstheme="majorHAnsi"/>
          <w:sz w:val="22"/>
          <w:szCs w:val="22"/>
          <w:lang w:val="en-GB"/>
        </w:rPr>
        <w:t>, ex-miner, Laberinto).</w:t>
      </w:r>
    </w:p>
    <w:p w14:paraId="5F5352C7" w14:textId="77777777" w:rsidR="003E574E" w:rsidRPr="004E053C" w:rsidRDefault="003E574E" w:rsidP="004E053C">
      <w:pPr>
        <w:spacing w:line="360" w:lineRule="auto"/>
        <w:jc w:val="both"/>
        <w:rPr>
          <w:rFonts w:eastAsia="Times New Roman" w:cstheme="majorHAnsi"/>
          <w:sz w:val="22"/>
          <w:szCs w:val="22"/>
          <w:lang w:val="en-GB"/>
        </w:rPr>
      </w:pPr>
    </w:p>
    <w:p w14:paraId="1A9B8CD6" w14:textId="1091D4DC" w:rsidR="00A14CC9" w:rsidRPr="004E053C" w:rsidRDefault="00B6147E" w:rsidP="004E053C">
      <w:pPr>
        <w:spacing w:line="360" w:lineRule="auto"/>
        <w:jc w:val="both"/>
        <w:rPr>
          <w:rFonts w:eastAsia="Times New Roman" w:cstheme="majorHAnsi"/>
          <w:sz w:val="22"/>
          <w:szCs w:val="22"/>
          <w:lang w:val="en-GB"/>
        </w:rPr>
      </w:pPr>
      <w:r w:rsidRPr="004E053C">
        <w:rPr>
          <w:rFonts w:cstheme="majorHAnsi"/>
          <w:color w:val="262626"/>
          <w:sz w:val="22"/>
          <w:szCs w:val="22"/>
          <w:lang w:val="en-GB"/>
        </w:rPr>
        <w:t>The collusion between gover</w:t>
      </w:r>
      <w:r w:rsidR="00874562" w:rsidRPr="004E053C">
        <w:rPr>
          <w:rFonts w:cstheme="majorHAnsi"/>
          <w:color w:val="262626"/>
          <w:sz w:val="22"/>
          <w:szCs w:val="22"/>
          <w:lang w:val="en-GB"/>
        </w:rPr>
        <w:t>nment and big business that is al</w:t>
      </w:r>
      <w:r w:rsidRPr="004E053C">
        <w:rPr>
          <w:rFonts w:cstheme="majorHAnsi"/>
          <w:color w:val="262626"/>
          <w:sz w:val="22"/>
          <w:szCs w:val="22"/>
          <w:lang w:val="en-GB"/>
        </w:rPr>
        <w:t xml:space="preserve">luded to by </w:t>
      </w:r>
      <w:r w:rsidR="00EA7F80" w:rsidRPr="004E053C">
        <w:rPr>
          <w:rFonts w:cstheme="majorHAnsi"/>
          <w:color w:val="262626"/>
          <w:sz w:val="22"/>
          <w:szCs w:val="22"/>
          <w:lang w:val="en-GB"/>
        </w:rPr>
        <w:t>Roberto</w:t>
      </w:r>
      <w:r w:rsidRPr="004E053C">
        <w:rPr>
          <w:rFonts w:cstheme="majorHAnsi"/>
          <w:color w:val="262626"/>
          <w:sz w:val="22"/>
          <w:szCs w:val="22"/>
          <w:lang w:val="en-GB"/>
        </w:rPr>
        <w:t xml:space="preserve"> is evidence of a wid</w:t>
      </w:r>
      <w:r w:rsidR="009B49AE" w:rsidRPr="004E053C">
        <w:rPr>
          <w:rFonts w:cstheme="majorHAnsi"/>
          <w:color w:val="262626"/>
          <w:sz w:val="22"/>
          <w:szCs w:val="22"/>
          <w:lang w:val="en-GB"/>
        </w:rPr>
        <w:t>er trend in Peru, in which the G</w:t>
      </w:r>
      <w:r w:rsidRPr="004E053C">
        <w:rPr>
          <w:rFonts w:cstheme="majorHAnsi"/>
          <w:color w:val="262626"/>
          <w:sz w:val="22"/>
          <w:szCs w:val="22"/>
          <w:lang w:val="en-GB"/>
        </w:rPr>
        <w:t xml:space="preserve">overnment’s response to extractives has eroded </w:t>
      </w:r>
      <w:r w:rsidRPr="004E053C">
        <w:rPr>
          <w:rFonts w:cstheme="majorHAnsi"/>
          <w:sz w:val="22"/>
          <w:szCs w:val="22"/>
          <w:lang w:val="en-GB"/>
        </w:rPr>
        <w:t>the authority and legitimacy of the state</w:t>
      </w:r>
      <w:r w:rsidRPr="004E053C">
        <w:rPr>
          <w:rFonts w:cstheme="majorHAnsi"/>
          <w:color w:val="262626"/>
          <w:sz w:val="22"/>
          <w:szCs w:val="22"/>
          <w:lang w:val="en-GB"/>
        </w:rPr>
        <w:t xml:space="preserve"> </w:t>
      </w:r>
      <w:r w:rsidR="00874562" w:rsidRPr="004E053C">
        <w:rPr>
          <w:rFonts w:cstheme="majorHAnsi"/>
          <w:color w:val="262626"/>
          <w:sz w:val="22"/>
          <w:szCs w:val="22"/>
          <w:lang w:val="en-GB"/>
        </w:rPr>
        <w:fldChar w:fldCharType="begin" w:fldLock="1"/>
      </w:r>
      <w:r w:rsidR="008127FD" w:rsidRPr="004E053C">
        <w:rPr>
          <w:rFonts w:cstheme="majorHAnsi"/>
          <w:color w:val="262626"/>
          <w:sz w:val="22"/>
          <w:szCs w:val="22"/>
          <w:lang w:val="en-GB"/>
        </w:rPr>
        <w:instrText>ADDIN CSL_CITATION {"citationItems":[{"id":"ITEM-1","itemData":{"abstract":"The reality of the so-called ‘resource curse’is now widely accepted. Thepopulations of countries that possess significant natural resources often suffer when these resources are extracted and exported. Attention is turning to ways of mitigating the adverse effects of the ‘curse’. Responsible fiscal policies arerequired but are in themselves insufficient for overcoming it. Internationalinstitutions have recently advanced what I term the ‘new natural resource policyagenda’to deal with the problem. Its core features are (a) decentralisation of government (b) a greater role for direct citizen participation in the allocation of mining revenue; and (c) more cooperation between state agencies andcommercial organisations (public-private partnerships). However,the recenthistory of Peru poses major questions about the effectiveness of this new policyagenda. The government has adopted both conservative fiscal policies and thenew policy agenda. Over the last five years the mineral price boom has increasedmining revenues markedly, but it has had little impact on poverty. More important,local level conflicts around mining operations have increased, and appear tothreaten political instability even more. The problem is that, in a context of weakcentral state and even weaker local governments, the ‘new natural resource policyagenda’has partially re-located the resource curse to sub-national levels. Localgovernments, mining companies and a variety of activist movements are lockedinto complex relationships that are not easy to negotiate and into conflicts that arenot easily resolved. Like its predecessors, this very contemporary manifestation of the resource curse results in poor quality public expenditure and the waste of much of the new resource revenue","author":[{"dropping-particle":"","family":"Arellano-Yanguas","given":"Javier","non-dropping-particle":"","parse-names":false,"suffix":""}],"collection-title":"IDS","id":"ITEM-1","issued":{"date-parts":[["2008"]]},"number":"300","number-of-pages":"1-49","publisher-place":"Brighton","title":"A Thoroughly Modern Resource Curse? The New Natural Resource Policy Agenda and the Mining Revival in Peru","type":"report"},"uris":["http://www.mendeley.com/documents/?uuid=ccd31bbd-5d20-497b-9b65-d5633d9b570f"]}],"mendeley":{"formattedCitation":"(Arellano-Yanguas, 2008)","plainTextFormattedCitation":"(Arellano-Yanguas, 2008)","previouslyFormattedCitation":"(Arellano-Yanguas, 2008)"},"properties":{"noteIndex":0},"schema":"https://github.com/citation-style-language/schema/raw/master/csl-citation.json"}</w:instrText>
      </w:r>
      <w:r w:rsidR="00874562" w:rsidRPr="004E053C">
        <w:rPr>
          <w:rFonts w:cstheme="majorHAnsi"/>
          <w:color w:val="262626"/>
          <w:sz w:val="22"/>
          <w:szCs w:val="22"/>
          <w:lang w:val="en-GB"/>
        </w:rPr>
        <w:fldChar w:fldCharType="separate"/>
      </w:r>
      <w:r w:rsidR="00874562" w:rsidRPr="004E053C">
        <w:rPr>
          <w:rFonts w:cstheme="majorHAnsi"/>
          <w:noProof/>
          <w:color w:val="262626"/>
          <w:sz w:val="22"/>
          <w:szCs w:val="22"/>
          <w:lang w:val="en-GB"/>
        </w:rPr>
        <w:t>(Arellano-Yanguas, 2008)</w:t>
      </w:r>
      <w:r w:rsidR="00874562" w:rsidRPr="004E053C">
        <w:rPr>
          <w:rFonts w:cstheme="majorHAnsi"/>
          <w:color w:val="262626"/>
          <w:sz w:val="22"/>
          <w:szCs w:val="22"/>
          <w:lang w:val="en-GB"/>
        </w:rPr>
        <w:fldChar w:fldCharType="end"/>
      </w:r>
      <w:r w:rsidRPr="004E053C">
        <w:rPr>
          <w:rFonts w:cstheme="majorHAnsi"/>
          <w:color w:val="262626"/>
          <w:sz w:val="22"/>
          <w:szCs w:val="22"/>
          <w:lang w:val="en-GB"/>
        </w:rPr>
        <w:t xml:space="preserve">. </w:t>
      </w:r>
      <w:r w:rsidR="003E574E" w:rsidRPr="004E053C">
        <w:rPr>
          <w:rFonts w:eastAsia="Times New Roman" w:cstheme="majorHAnsi"/>
          <w:sz w:val="22"/>
          <w:szCs w:val="22"/>
          <w:lang w:val="en-GB"/>
        </w:rPr>
        <w:t xml:space="preserve">While the narratives about the Government selling off the land to big business is unlikely to be based on fact, </w:t>
      </w:r>
      <w:r w:rsidRPr="004E053C">
        <w:rPr>
          <w:rFonts w:eastAsia="Times New Roman" w:cstheme="majorHAnsi"/>
          <w:sz w:val="22"/>
          <w:szCs w:val="22"/>
          <w:lang w:val="en-GB"/>
        </w:rPr>
        <w:t xml:space="preserve">at least in part due to the nature of the gold deposits in Madre de Dios, </w:t>
      </w:r>
      <w:r w:rsidR="003E574E" w:rsidRPr="004E053C">
        <w:rPr>
          <w:rFonts w:eastAsia="Times New Roman" w:cstheme="majorHAnsi"/>
          <w:sz w:val="22"/>
          <w:szCs w:val="22"/>
          <w:lang w:val="en-GB"/>
        </w:rPr>
        <w:t xml:space="preserve">the issue raises an important question about sustainability, natural resources and foreign investment in general. As one miner noted, </w:t>
      </w:r>
      <w:r w:rsidR="009B49AE" w:rsidRPr="004E053C">
        <w:rPr>
          <w:rFonts w:eastAsia="Times New Roman" w:cstheme="majorHAnsi"/>
          <w:sz w:val="22"/>
          <w:szCs w:val="22"/>
          <w:lang w:val="en-GB"/>
        </w:rPr>
        <w:t>‘</w:t>
      </w:r>
      <w:r w:rsidR="003E574E" w:rsidRPr="004E053C">
        <w:rPr>
          <w:rFonts w:eastAsia="Times New Roman" w:cstheme="majorHAnsi"/>
          <w:i/>
          <w:sz w:val="22"/>
          <w:szCs w:val="22"/>
          <w:lang w:val="en-GB"/>
        </w:rPr>
        <w:t>there is one big company in MDD that is working with petroleum. For that company, there are no obstacles, but for us there are. Why is that?</w:t>
      </w:r>
      <w:r w:rsidR="009B49AE" w:rsidRPr="004E053C">
        <w:rPr>
          <w:rFonts w:eastAsia="Times New Roman" w:cstheme="majorHAnsi"/>
          <w:i/>
          <w:sz w:val="22"/>
          <w:szCs w:val="22"/>
          <w:lang w:val="en-GB"/>
        </w:rPr>
        <w:t>’</w:t>
      </w:r>
      <w:r w:rsidR="00A14CC9"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Jorge</w:t>
      </w:r>
      <w:r w:rsidR="00A14CC9" w:rsidRPr="004E053C">
        <w:rPr>
          <w:rFonts w:eastAsia="Times New Roman" w:cstheme="majorHAnsi"/>
          <w:sz w:val="22"/>
          <w:szCs w:val="22"/>
          <w:lang w:val="en-GB"/>
        </w:rPr>
        <w:t>, Laberinto). At</w:t>
      </w:r>
      <w:r w:rsidR="003E574E" w:rsidRPr="004E053C">
        <w:rPr>
          <w:rFonts w:eastAsia="Times New Roman" w:cstheme="majorHAnsi"/>
          <w:sz w:val="22"/>
          <w:szCs w:val="22"/>
          <w:lang w:val="en-GB"/>
        </w:rPr>
        <w:t xml:space="preserve"> the same time, it is important to question why so many of the miners in Laberinto believe this to be true when there is no evidence</w:t>
      </w:r>
      <w:r w:rsidR="009B49AE" w:rsidRPr="004E053C">
        <w:rPr>
          <w:rFonts w:eastAsia="Times New Roman" w:cstheme="majorHAnsi"/>
          <w:sz w:val="22"/>
          <w:szCs w:val="22"/>
          <w:lang w:val="en-GB"/>
        </w:rPr>
        <w:t xml:space="preserve">. </w:t>
      </w:r>
      <w:r w:rsidR="000C4978" w:rsidRPr="004E053C">
        <w:rPr>
          <w:rFonts w:eastAsia="Times New Roman" w:cstheme="majorHAnsi"/>
          <w:sz w:val="22"/>
          <w:szCs w:val="22"/>
          <w:lang w:val="en-GB"/>
        </w:rPr>
        <w:t>FEDAMIN are likely to have a role in this</w:t>
      </w:r>
      <w:r w:rsidR="00DE5D90" w:rsidRPr="004E053C">
        <w:rPr>
          <w:rFonts w:eastAsia="Times New Roman" w:cstheme="majorHAnsi"/>
          <w:sz w:val="22"/>
          <w:szCs w:val="22"/>
          <w:lang w:val="en-GB"/>
        </w:rPr>
        <w:t>, given their interest in rallying support against the state Government</w:t>
      </w:r>
      <w:r w:rsidR="000C4978" w:rsidRPr="004E053C">
        <w:rPr>
          <w:rFonts w:eastAsia="Times New Roman" w:cstheme="majorHAnsi"/>
          <w:sz w:val="22"/>
          <w:szCs w:val="22"/>
          <w:lang w:val="en-GB"/>
        </w:rPr>
        <w:t xml:space="preserve">. </w:t>
      </w:r>
      <w:r w:rsidR="00A14CC9" w:rsidRPr="004E053C">
        <w:rPr>
          <w:rFonts w:eastAsia="Times New Roman" w:cstheme="majorHAnsi"/>
          <w:sz w:val="22"/>
          <w:szCs w:val="22"/>
          <w:lang w:val="en-GB"/>
        </w:rPr>
        <w:t xml:space="preserve">What is also interesting </w:t>
      </w:r>
      <w:r w:rsidR="000C4978" w:rsidRPr="004E053C">
        <w:rPr>
          <w:rFonts w:eastAsia="Times New Roman" w:cstheme="majorHAnsi"/>
          <w:sz w:val="22"/>
          <w:szCs w:val="22"/>
          <w:lang w:val="en-GB"/>
        </w:rPr>
        <w:t>is the similarities</w:t>
      </w:r>
      <w:r w:rsidR="00A14CC9" w:rsidRPr="004E053C">
        <w:rPr>
          <w:rFonts w:eastAsia="Times New Roman" w:cstheme="majorHAnsi"/>
          <w:sz w:val="22"/>
          <w:szCs w:val="22"/>
          <w:lang w:val="en-GB"/>
        </w:rPr>
        <w:t xml:space="preserve"> with observations made by Walsh</w:t>
      </w:r>
      <w:r w:rsidR="008127FD" w:rsidRPr="004E053C">
        <w:rPr>
          <w:rFonts w:eastAsia="Times New Roman" w:cstheme="majorHAnsi"/>
          <w:sz w:val="22"/>
          <w:szCs w:val="22"/>
          <w:lang w:val="en-GB"/>
        </w:rPr>
        <w:t xml:space="preserve"> </w:t>
      </w:r>
      <w:r w:rsidR="008127FD" w:rsidRPr="004E053C">
        <w:rPr>
          <w:rFonts w:eastAsia="Times New Roman" w:cstheme="majorHAnsi"/>
          <w:sz w:val="22"/>
          <w:szCs w:val="22"/>
          <w:lang w:val="en-GB"/>
        </w:rPr>
        <w:fldChar w:fldCharType="begin" w:fldLock="1"/>
      </w:r>
      <w:r w:rsidR="008127FD" w:rsidRPr="004E053C">
        <w:rPr>
          <w:rFonts w:eastAsia="Times New Roman" w:cstheme="majorHAnsi"/>
          <w:sz w:val="22"/>
          <w:szCs w:val="22"/>
          <w:lang w:val="en-GB"/>
        </w:rPr>
        <w:instrText>ADDIN CSL_CITATION {"citationItems":[{"id":"ITEM-1","itemData":{"abstract":"On the basis of research conducted in the Ankarana region of northern Madagascar, I discuss the speculating that Malagasy participants in the local sapphire trade do about foreign ecotourists who come to this region. Although some have been promotinginternational ecotourism in the region as a viable means to a sustainable future for local people and ecosystems, others, including manyof the observers discussed here, see the rise of the ecotourist trade and the increasing presence of its clients in Ankarana as signs offoreigners’ long-standing interests in Malagasy resources. I argue that to understand the perspectives of these critical observers, it isnecessary to appreciate what they take to be obvious about ecotourism and the conservation projects with which they are commonlyassociated.","author":[{"dropping-particle":"","family":"Walsh","given":"Andrew","non-dropping-particle":"","parse-names":false,"suffix":""}],"container-title":"American Anthropologist","id":"ITEM-1","issue":"4","issued":{"date-parts":[["2005"]]},"page":"654-65","title":"The obvious aspects of ecological underprivilege in Ankarana, northern Madagascar","type":"article-journal","volume":"107"},"uris":["http://www.mendeley.com/documents/?uuid=b1011420-ef11-4ae1-9776-e53a04a17db3"]}],"mendeley":{"formattedCitation":"(Walsh, 2005)","manualFormatting":"(2005)","plainTextFormattedCitation":"(Walsh, 2005)","previouslyFormattedCitation":"(Walsh, 2005)"},"properties":{"noteIndex":0},"schema":"https://github.com/citation-style-language/schema/raw/master/csl-citation.json"}</w:instrText>
      </w:r>
      <w:r w:rsidR="008127FD" w:rsidRPr="004E053C">
        <w:rPr>
          <w:rFonts w:eastAsia="Times New Roman" w:cstheme="majorHAnsi"/>
          <w:sz w:val="22"/>
          <w:szCs w:val="22"/>
          <w:lang w:val="en-GB"/>
        </w:rPr>
        <w:fldChar w:fldCharType="separate"/>
      </w:r>
      <w:r w:rsidR="008127FD" w:rsidRPr="004E053C">
        <w:rPr>
          <w:rFonts w:eastAsia="Times New Roman" w:cstheme="majorHAnsi"/>
          <w:noProof/>
          <w:sz w:val="22"/>
          <w:szCs w:val="22"/>
          <w:lang w:val="en-GB"/>
        </w:rPr>
        <w:t>(2005)</w:t>
      </w:r>
      <w:r w:rsidR="008127FD" w:rsidRPr="004E053C">
        <w:rPr>
          <w:rFonts w:eastAsia="Times New Roman" w:cstheme="majorHAnsi"/>
          <w:sz w:val="22"/>
          <w:szCs w:val="22"/>
          <w:lang w:val="en-GB"/>
        </w:rPr>
        <w:fldChar w:fldCharType="end"/>
      </w:r>
      <w:r w:rsidR="008127FD" w:rsidRPr="004E053C">
        <w:rPr>
          <w:rFonts w:eastAsia="Times New Roman" w:cstheme="majorHAnsi"/>
          <w:sz w:val="22"/>
          <w:szCs w:val="22"/>
          <w:lang w:val="en-GB"/>
        </w:rPr>
        <w:t xml:space="preserve"> in Ma</w:t>
      </w:r>
      <w:r w:rsidR="00A14CC9" w:rsidRPr="004E053C">
        <w:rPr>
          <w:rFonts w:eastAsia="Times New Roman" w:cstheme="majorHAnsi"/>
          <w:sz w:val="22"/>
          <w:szCs w:val="22"/>
          <w:lang w:val="en-GB"/>
        </w:rPr>
        <w:t xml:space="preserve">dagascar, where local miners were convinced that national reserves were set up by corrupt politicians and state officials to provide foreigners with exclusive access to the resources in return for personal gain. </w:t>
      </w:r>
    </w:p>
    <w:p w14:paraId="158BD36B" w14:textId="77777777" w:rsidR="0019375F" w:rsidRPr="004E053C" w:rsidRDefault="0019375F" w:rsidP="004E053C">
      <w:pPr>
        <w:spacing w:line="360" w:lineRule="auto"/>
        <w:jc w:val="both"/>
        <w:rPr>
          <w:rFonts w:cstheme="majorHAnsi"/>
          <w:color w:val="FF0000"/>
          <w:lang w:val="en-GB"/>
        </w:rPr>
      </w:pPr>
    </w:p>
    <w:p w14:paraId="5C76C0D6" w14:textId="0768B3CA" w:rsidR="00A14CC9" w:rsidRPr="004E053C" w:rsidRDefault="00EA7F83" w:rsidP="004E053C">
      <w:pPr>
        <w:pStyle w:val="Heading3"/>
        <w:rPr>
          <w:rFonts w:asciiTheme="minorHAnsi" w:hAnsiTheme="minorHAnsi"/>
        </w:rPr>
      </w:pPr>
      <w:r w:rsidRPr="004E053C">
        <w:rPr>
          <w:rFonts w:asciiTheme="minorHAnsi" w:hAnsiTheme="minorHAnsi"/>
        </w:rPr>
        <w:t>9</w:t>
      </w:r>
      <w:r w:rsidR="005252FE" w:rsidRPr="004E053C">
        <w:rPr>
          <w:rFonts w:asciiTheme="minorHAnsi" w:hAnsiTheme="minorHAnsi"/>
        </w:rPr>
        <w:t>.</w:t>
      </w:r>
      <w:r w:rsidR="0019375F" w:rsidRPr="004E053C">
        <w:rPr>
          <w:rFonts w:asciiTheme="minorHAnsi" w:hAnsiTheme="minorHAnsi"/>
        </w:rPr>
        <w:t>6.</w:t>
      </w:r>
      <w:r w:rsidR="003E574E" w:rsidRPr="004E053C">
        <w:rPr>
          <w:rFonts w:asciiTheme="minorHAnsi" w:hAnsiTheme="minorHAnsi"/>
        </w:rPr>
        <w:t xml:space="preserve">4. </w:t>
      </w:r>
      <w:r w:rsidR="00AA4FF7" w:rsidRPr="004E053C">
        <w:rPr>
          <w:rFonts w:asciiTheme="minorHAnsi" w:hAnsiTheme="minorHAnsi"/>
        </w:rPr>
        <w:t xml:space="preserve">The </w:t>
      </w:r>
      <w:r w:rsidR="004A3EF1" w:rsidRPr="004E053C">
        <w:rPr>
          <w:rFonts w:asciiTheme="minorHAnsi" w:hAnsiTheme="minorHAnsi"/>
        </w:rPr>
        <w:t>impact of t</w:t>
      </w:r>
      <w:r w:rsidR="003E574E" w:rsidRPr="004E053C">
        <w:rPr>
          <w:rFonts w:asciiTheme="minorHAnsi" w:hAnsiTheme="minorHAnsi"/>
        </w:rPr>
        <w:t>ranslocality</w:t>
      </w:r>
      <w:r w:rsidR="004A3EF1" w:rsidRPr="004E053C">
        <w:rPr>
          <w:rFonts w:asciiTheme="minorHAnsi" w:hAnsiTheme="minorHAnsi"/>
        </w:rPr>
        <w:t xml:space="preserve"> and identity on narrative d</w:t>
      </w:r>
      <w:r w:rsidR="00AA4FF7" w:rsidRPr="004E053C">
        <w:rPr>
          <w:rFonts w:asciiTheme="minorHAnsi" w:hAnsiTheme="minorHAnsi"/>
        </w:rPr>
        <w:t>evelopment</w:t>
      </w:r>
    </w:p>
    <w:p w14:paraId="303A63B9" w14:textId="77777777" w:rsidR="0019375F" w:rsidRPr="004E053C" w:rsidRDefault="0019375F" w:rsidP="004E053C">
      <w:pPr>
        <w:spacing w:line="360" w:lineRule="auto"/>
        <w:jc w:val="both"/>
        <w:rPr>
          <w:rFonts w:cstheme="majorHAnsi"/>
          <w:lang w:val="en-GB"/>
        </w:rPr>
      </w:pPr>
    </w:p>
    <w:p w14:paraId="52D0BC70" w14:textId="756CA2E6"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A key issue to consider in the narratives that form around ASM is that the majority occur around a collective need to challenge the labelling of the community as deviant through questioning the legitimacy of the accuser, which in this case is the Peruvian state. It may be expected that the same </w:t>
      </w:r>
      <w:r w:rsidR="000C4978" w:rsidRPr="004E053C">
        <w:rPr>
          <w:rFonts w:eastAsia="Times New Roman" w:cstheme="majorHAnsi"/>
          <w:sz w:val="22"/>
          <w:szCs w:val="22"/>
          <w:lang w:val="en-GB"/>
        </w:rPr>
        <w:t>narratives used by the permanent</w:t>
      </w:r>
      <w:r w:rsidRPr="004E053C">
        <w:rPr>
          <w:rFonts w:eastAsia="Times New Roman" w:cstheme="majorHAnsi"/>
          <w:sz w:val="22"/>
          <w:szCs w:val="22"/>
          <w:lang w:val="en-GB"/>
        </w:rPr>
        <w:t xml:space="preserve"> miners are not use</w:t>
      </w:r>
      <w:r w:rsidR="000C4978" w:rsidRPr="004E053C">
        <w:rPr>
          <w:rFonts w:eastAsia="Times New Roman" w:cstheme="majorHAnsi"/>
          <w:sz w:val="22"/>
          <w:szCs w:val="22"/>
          <w:lang w:val="en-GB"/>
        </w:rPr>
        <w:t>d by the temporary</w:t>
      </w:r>
      <w:r w:rsidRPr="004E053C">
        <w:rPr>
          <w:rFonts w:eastAsia="Times New Roman" w:cstheme="majorHAnsi"/>
          <w:sz w:val="22"/>
          <w:szCs w:val="22"/>
          <w:lang w:val="en-GB"/>
        </w:rPr>
        <w:t xml:space="preserve"> miners, as their h</w:t>
      </w:r>
      <w:r w:rsidR="000C4978" w:rsidRPr="004E053C">
        <w:rPr>
          <w:rFonts w:eastAsia="Times New Roman" w:cstheme="majorHAnsi"/>
          <w:sz w:val="22"/>
          <w:szCs w:val="22"/>
          <w:lang w:val="en-GB"/>
        </w:rPr>
        <w:t>ighly translocal livelihoods have</w:t>
      </w:r>
      <w:r w:rsidRPr="004E053C">
        <w:rPr>
          <w:rFonts w:eastAsia="Times New Roman" w:cstheme="majorHAnsi"/>
          <w:sz w:val="22"/>
          <w:szCs w:val="22"/>
          <w:lang w:val="en-GB"/>
        </w:rPr>
        <w:t xml:space="preserve"> made them less invested in the</w:t>
      </w:r>
      <w:r w:rsidR="000C4978" w:rsidRPr="004E053C">
        <w:rPr>
          <w:rFonts w:eastAsia="Times New Roman" w:cstheme="majorHAnsi"/>
          <w:sz w:val="22"/>
          <w:szCs w:val="22"/>
          <w:lang w:val="en-GB"/>
        </w:rPr>
        <w:t xml:space="preserve"> locality</w:t>
      </w:r>
      <w:r w:rsidRPr="004E053C">
        <w:rPr>
          <w:rFonts w:eastAsia="Times New Roman" w:cstheme="majorHAnsi"/>
          <w:sz w:val="22"/>
          <w:szCs w:val="22"/>
          <w:lang w:val="en-GB"/>
        </w:rPr>
        <w:t xml:space="preserve">. This section will briefly highlight how although the </w:t>
      </w:r>
      <w:r w:rsidR="000C4978" w:rsidRPr="004E053C">
        <w:rPr>
          <w:rFonts w:eastAsia="Times New Roman" w:cstheme="majorHAnsi"/>
          <w:sz w:val="22"/>
          <w:szCs w:val="22"/>
          <w:lang w:val="en-GB"/>
        </w:rPr>
        <w:t>tem</w:t>
      </w:r>
      <w:r w:rsidR="009B49AE" w:rsidRPr="004E053C">
        <w:rPr>
          <w:rFonts w:eastAsia="Times New Roman" w:cstheme="majorHAnsi"/>
          <w:sz w:val="22"/>
          <w:szCs w:val="22"/>
          <w:lang w:val="en-GB"/>
        </w:rPr>
        <w:t>p</w:t>
      </w:r>
      <w:r w:rsidR="000C4978" w:rsidRPr="004E053C">
        <w:rPr>
          <w:rFonts w:eastAsia="Times New Roman" w:cstheme="majorHAnsi"/>
          <w:sz w:val="22"/>
          <w:szCs w:val="22"/>
          <w:lang w:val="en-GB"/>
        </w:rPr>
        <w:t>orary</w:t>
      </w:r>
      <w:r w:rsidRPr="004E053C">
        <w:rPr>
          <w:rFonts w:eastAsia="Times New Roman" w:cstheme="majorHAnsi"/>
          <w:sz w:val="22"/>
          <w:szCs w:val="22"/>
          <w:lang w:val="en-GB"/>
        </w:rPr>
        <w:t xml:space="preserve"> and floating miners have immediate concerns regarding the continuation of ASM as a livelihood, there is less need to construct narratives which seek to </w:t>
      </w:r>
      <w:r w:rsidR="00D3785B" w:rsidRPr="004E053C">
        <w:rPr>
          <w:rFonts w:eastAsia="Times New Roman" w:cstheme="majorHAnsi"/>
          <w:sz w:val="22"/>
          <w:szCs w:val="22"/>
          <w:lang w:val="en-GB"/>
        </w:rPr>
        <w:t>delegitimise</w:t>
      </w:r>
      <w:r w:rsidR="000C4978" w:rsidRPr="004E053C">
        <w:rPr>
          <w:rFonts w:eastAsia="Times New Roman" w:cstheme="majorHAnsi"/>
          <w:sz w:val="22"/>
          <w:szCs w:val="22"/>
          <w:lang w:val="en-GB"/>
        </w:rPr>
        <w:t xml:space="preserve"> the dominant society that</w:t>
      </w:r>
      <w:r w:rsidRPr="004E053C">
        <w:rPr>
          <w:rFonts w:eastAsia="Times New Roman" w:cstheme="majorHAnsi"/>
          <w:sz w:val="22"/>
          <w:szCs w:val="22"/>
          <w:lang w:val="en-GB"/>
        </w:rPr>
        <w:t xml:space="preserve"> has p</w:t>
      </w:r>
      <w:r w:rsidR="009B49AE" w:rsidRPr="004E053C">
        <w:rPr>
          <w:rFonts w:eastAsia="Times New Roman" w:cstheme="majorHAnsi"/>
          <w:sz w:val="22"/>
          <w:szCs w:val="22"/>
          <w:lang w:val="en-GB"/>
        </w:rPr>
        <w:t>erceived them as deviant. In</w:t>
      </w:r>
      <w:r w:rsidRPr="004E053C">
        <w:rPr>
          <w:rFonts w:eastAsia="Times New Roman" w:cstheme="majorHAnsi"/>
          <w:sz w:val="22"/>
          <w:szCs w:val="22"/>
          <w:lang w:val="en-GB"/>
        </w:rPr>
        <w:t xml:space="preserve"> most cases they are accepting of that label. </w:t>
      </w:r>
    </w:p>
    <w:p w14:paraId="2CDA07B4" w14:textId="77777777" w:rsidR="003E574E" w:rsidRPr="004E053C" w:rsidRDefault="003E574E" w:rsidP="004E053C">
      <w:pPr>
        <w:spacing w:line="360" w:lineRule="auto"/>
        <w:jc w:val="both"/>
        <w:rPr>
          <w:rFonts w:eastAsia="Times New Roman" w:cstheme="majorHAnsi"/>
          <w:sz w:val="22"/>
          <w:szCs w:val="22"/>
          <w:lang w:val="en-GB"/>
        </w:rPr>
      </w:pPr>
    </w:p>
    <w:p w14:paraId="619C659A" w14:textId="38AFBD51" w:rsidR="000C4978"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 most important thing to </w:t>
      </w:r>
      <w:r w:rsidR="000C4978" w:rsidRPr="004E053C">
        <w:rPr>
          <w:rFonts w:eastAsia="Times New Roman" w:cstheme="majorHAnsi"/>
          <w:sz w:val="22"/>
          <w:szCs w:val="22"/>
          <w:lang w:val="en-GB"/>
        </w:rPr>
        <w:t>note is that the more temporary</w:t>
      </w:r>
      <w:r w:rsidRPr="004E053C">
        <w:rPr>
          <w:rFonts w:eastAsia="Times New Roman" w:cstheme="majorHAnsi"/>
          <w:sz w:val="22"/>
          <w:szCs w:val="22"/>
          <w:lang w:val="en-GB"/>
        </w:rPr>
        <w:t xml:space="preserve"> and transient miners were very honest about t</w:t>
      </w:r>
      <w:r w:rsidR="009B49AE" w:rsidRPr="004E053C">
        <w:rPr>
          <w:rFonts w:eastAsia="Times New Roman" w:cstheme="majorHAnsi"/>
          <w:sz w:val="22"/>
          <w:szCs w:val="22"/>
          <w:lang w:val="en-GB"/>
        </w:rPr>
        <w:t>he damage ASM did to the Amazon</w:t>
      </w:r>
      <w:r w:rsidRPr="004E053C">
        <w:rPr>
          <w:rFonts w:eastAsia="Times New Roman" w:cstheme="majorHAnsi"/>
          <w:sz w:val="22"/>
          <w:szCs w:val="22"/>
          <w:lang w:val="en-GB"/>
        </w:rPr>
        <w:t xml:space="preserve"> and did not question the fact that mining was causing contamination. They understood that the Government would need to act it if it continued. There was little evidence of them co-opting environmentalist rhetoric to legitimise their own behaviour:</w:t>
      </w:r>
    </w:p>
    <w:p w14:paraId="482E7B22" w14:textId="77777777" w:rsidR="003E574E" w:rsidRPr="004E053C" w:rsidRDefault="003E574E" w:rsidP="004E053C">
      <w:pPr>
        <w:spacing w:line="360" w:lineRule="auto"/>
        <w:jc w:val="both"/>
        <w:rPr>
          <w:rFonts w:eastAsia="Times New Roman" w:cstheme="majorHAnsi"/>
          <w:sz w:val="22"/>
          <w:szCs w:val="22"/>
          <w:lang w:val="en-GB"/>
        </w:rPr>
      </w:pPr>
    </w:p>
    <w:p w14:paraId="3A36A05E" w14:textId="05DE7425"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w:t>
      </w:r>
      <w:r w:rsidR="003E574E" w:rsidRPr="004E053C">
        <w:rPr>
          <w:rFonts w:eastAsia="Times New Roman" w:cstheme="majorHAnsi"/>
          <w:i/>
          <w:iCs/>
          <w:sz w:val="22"/>
          <w:szCs w:val="22"/>
          <w:lang w:val="en-GB"/>
        </w:rPr>
        <w:t>The pollution of th</w:t>
      </w:r>
      <w:r w:rsidR="009B49AE" w:rsidRPr="004E053C">
        <w:rPr>
          <w:rFonts w:eastAsia="Times New Roman" w:cstheme="majorHAnsi"/>
          <w:i/>
          <w:iCs/>
          <w:sz w:val="22"/>
          <w:szCs w:val="22"/>
          <w:lang w:val="en-GB"/>
        </w:rPr>
        <w:t>e water is the problem for the G</w:t>
      </w:r>
      <w:r w:rsidR="003E574E" w:rsidRPr="004E053C">
        <w:rPr>
          <w:rFonts w:eastAsia="Times New Roman" w:cstheme="majorHAnsi"/>
          <w:i/>
          <w:iCs/>
          <w:sz w:val="22"/>
          <w:szCs w:val="22"/>
          <w:lang w:val="en-GB"/>
        </w:rPr>
        <w:t xml:space="preserve">overnment, we are contaminating it and the water goes to </w:t>
      </w:r>
      <w:r w:rsidR="009B49AE" w:rsidRPr="004E053C">
        <w:rPr>
          <w:rFonts w:eastAsia="Times New Roman" w:cstheme="majorHAnsi"/>
          <w:i/>
          <w:iCs/>
          <w:sz w:val="22"/>
          <w:szCs w:val="22"/>
          <w:lang w:val="en-GB"/>
        </w:rPr>
        <w:t>the communities…That’s why the G</w:t>
      </w:r>
      <w:r w:rsidR="003E574E" w:rsidRPr="004E053C">
        <w:rPr>
          <w:rFonts w:eastAsia="Times New Roman" w:cstheme="majorHAnsi"/>
          <w:i/>
          <w:iCs/>
          <w:sz w:val="22"/>
          <w:szCs w:val="22"/>
          <w:lang w:val="en-GB"/>
        </w:rPr>
        <w:t>overnment wants us to get out of here, because we are polluting the land and especially the river</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Justiniano</w:t>
      </w:r>
      <w:r w:rsidR="003E574E" w:rsidRPr="004E053C">
        <w:rPr>
          <w:rFonts w:eastAsia="Times New Roman" w:cstheme="majorHAnsi"/>
          <w:sz w:val="22"/>
          <w:szCs w:val="22"/>
          <w:lang w:val="en-GB"/>
        </w:rPr>
        <w:t>, ASM miner, Laberinto).</w:t>
      </w:r>
    </w:p>
    <w:p w14:paraId="5CB307E5" w14:textId="77777777" w:rsidR="003E574E" w:rsidRPr="004E053C" w:rsidRDefault="003E574E" w:rsidP="004E053C">
      <w:pPr>
        <w:spacing w:line="360" w:lineRule="auto"/>
        <w:jc w:val="both"/>
        <w:rPr>
          <w:rFonts w:eastAsia="Times New Roman" w:cstheme="majorHAnsi"/>
          <w:sz w:val="22"/>
          <w:szCs w:val="22"/>
          <w:lang w:val="en-GB"/>
        </w:rPr>
      </w:pPr>
    </w:p>
    <w:p w14:paraId="5B42BC8C" w14:textId="6F1D045C"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For many of the </w:t>
      </w:r>
      <w:r w:rsidR="000C4978" w:rsidRPr="004E053C">
        <w:rPr>
          <w:rFonts w:eastAsia="Times New Roman" w:cstheme="majorHAnsi"/>
          <w:sz w:val="22"/>
          <w:szCs w:val="22"/>
          <w:lang w:val="en-GB"/>
        </w:rPr>
        <w:t xml:space="preserve">temporary </w:t>
      </w:r>
      <w:r w:rsidRPr="004E053C">
        <w:rPr>
          <w:rFonts w:eastAsia="Times New Roman" w:cstheme="majorHAnsi"/>
          <w:sz w:val="22"/>
          <w:szCs w:val="22"/>
          <w:lang w:val="en-GB"/>
        </w:rPr>
        <w:t xml:space="preserve">miners, this </w:t>
      </w:r>
      <w:r w:rsidR="000C4978" w:rsidRPr="004E053C">
        <w:rPr>
          <w:rFonts w:eastAsia="Times New Roman" w:cstheme="majorHAnsi"/>
          <w:sz w:val="22"/>
          <w:szCs w:val="22"/>
          <w:lang w:val="en-GB"/>
        </w:rPr>
        <w:t>explained</w:t>
      </w:r>
      <w:r w:rsidRPr="004E053C">
        <w:rPr>
          <w:rFonts w:eastAsia="Times New Roman" w:cstheme="majorHAnsi"/>
          <w:sz w:val="22"/>
          <w:szCs w:val="22"/>
          <w:lang w:val="en-GB"/>
        </w:rPr>
        <w:t xml:space="preserve"> why the government had made the formalisation process difficult. While they </w:t>
      </w:r>
      <w:r w:rsidRPr="004E053C">
        <w:rPr>
          <w:rFonts w:eastAsia="Times New Roman" w:cstheme="majorHAnsi"/>
          <w:bCs/>
          <w:sz w:val="22"/>
          <w:szCs w:val="22"/>
          <w:lang w:val="en-GB"/>
        </w:rPr>
        <w:t xml:space="preserve">discussed the challenges of formalisation and </w:t>
      </w:r>
      <w:r w:rsidR="000C4978" w:rsidRPr="004E053C">
        <w:rPr>
          <w:rFonts w:eastAsia="Times New Roman" w:cstheme="majorHAnsi"/>
          <w:bCs/>
          <w:sz w:val="22"/>
          <w:szCs w:val="22"/>
          <w:lang w:val="en-GB"/>
        </w:rPr>
        <w:t xml:space="preserve">believed </w:t>
      </w:r>
      <w:r w:rsidR="009B49AE" w:rsidRPr="004E053C">
        <w:rPr>
          <w:rFonts w:eastAsia="Times New Roman" w:cstheme="majorHAnsi"/>
          <w:bCs/>
          <w:sz w:val="22"/>
          <w:szCs w:val="22"/>
          <w:lang w:val="en-GB"/>
        </w:rPr>
        <w:t>that the G</w:t>
      </w:r>
      <w:r w:rsidRPr="004E053C">
        <w:rPr>
          <w:rFonts w:eastAsia="Times New Roman" w:cstheme="majorHAnsi"/>
          <w:bCs/>
          <w:sz w:val="22"/>
          <w:szCs w:val="22"/>
          <w:lang w:val="en-GB"/>
        </w:rPr>
        <w:t xml:space="preserve">overnment wanted to eradicate ASM from Madre de Dios, they were a lot more understanding of </w:t>
      </w:r>
      <w:r w:rsidR="000C4978" w:rsidRPr="004E053C">
        <w:rPr>
          <w:rFonts w:eastAsia="Times New Roman" w:cstheme="majorHAnsi"/>
          <w:bCs/>
          <w:sz w:val="22"/>
          <w:szCs w:val="22"/>
          <w:lang w:val="en-GB"/>
        </w:rPr>
        <w:t>this</w:t>
      </w:r>
      <w:r w:rsidRPr="004E053C">
        <w:rPr>
          <w:rFonts w:eastAsia="Times New Roman" w:cstheme="majorHAnsi"/>
          <w:bCs/>
          <w:sz w:val="22"/>
          <w:szCs w:val="22"/>
          <w:lang w:val="en-GB"/>
        </w:rPr>
        <w:t xml:space="preserve"> policy. For example, one woman whose husband worked as an </w:t>
      </w:r>
      <w:r w:rsidRPr="004E053C">
        <w:rPr>
          <w:rFonts w:eastAsia="Times New Roman" w:cstheme="majorHAnsi"/>
          <w:bCs/>
          <w:i/>
          <w:iCs/>
          <w:sz w:val="22"/>
          <w:szCs w:val="22"/>
          <w:lang w:val="en-GB"/>
        </w:rPr>
        <w:t xml:space="preserve">obrero </w:t>
      </w:r>
      <w:r w:rsidRPr="004E053C">
        <w:rPr>
          <w:rFonts w:eastAsia="Times New Roman" w:cstheme="majorHAnsi"/>
          <w:bCs/>
          <w:sz w:val="22"/>
          <w:szCs w:val="22"/>
          <w:lang w:val="en-GB"/>
        </w:rPr>
        <w:t>sai</w:t>
      </w:r>
      <w:r w:rsidR="009B49AE" w:rsidRPr="004E053C">
        <w:rPr>
          <w:rFonts w:eastAsia="Times New Roman" w:cstheme="majorHAnsi"/>
          <w:bCs/>
          <w:sz w:val="22"/>
          <w:szCs w:val="22"/>
          <w:lang w:val="en-GB"/>
        </w:rPr>
        <w:t>d that it was obvious that the G</w:t>
      </w:r>
      <w:r w:rsidRPr="004E053C">
        <w:rPr>
          <w:rFonts w:eastAsia="Times New Roman" w:cstheme="majorHAnsi"/>
          <w:bCs/>
          <w:sz w:val="22"/>
          <w:szCs w:val="22"/>
          <w:lang w:val="en-GB"/>
        </w:rPr>
        <w:t xml:space="preserve">overnment wanted to control mining as currently the miners were not paying any taxes. </w:t>
      </w:r>
    </w:p>
    <w:p w14:paraId="2A483754" w14:textId="77777777" w:rsidR="003E574E" w:rsidRPr="004E053C" w:rsidRDefault="003E574E" w:rsidP="004E053C">
      <w:pPr>
        <w:spacing w:line="360" w:lineRule="auto"/>
        <w:jc w:val="both"/>
        <w:rPr>
          <w:rFonts w:eastAsia="Times New Roman" w:cstheme="majorHAnsi"/>
          <w:sz w:val="22"/>
          <w:szCs w:val="22"/>
          <w:lang w:val="en-GB"/>
        </w:rPr>
      </w:pPr>
    </w:p>
    <w:p w14:paraId="2F7F5DA5" w14:textId="2FA7F1E8"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 xml:space="preserve">The </w:t>
      </w:r>
      <w:r w:rsidR="000C4978" w:rsidRPr="004E053C">
        <w:rPr>
          <w:rFonts w:eastAsia="Times New Roman" w:cstheme="majorHAnsi"/>
          <w:sz w:val="22"/>
          <w:szCs w:val="22"/>
          <w:lang w:val="en-GB"/>
        </w:rPr>
        <w:t>fact that some of the temporary</w:t>
      </w:r>
      <w:r w:rsidRPr="004E053C">
        <w:rPr>
          <w:rFonts w:eastAsia="Times New Roman" w:cstheme="majorHAnsi"/>
          <w:sz w:val="22"/>
          <w:szCs w:val="22"/>
          <w:lang w:val="en-GB"/>
        </w:rPr>
        <w:t xml:space="preserve"> miners are not interested in being formalised means that they are far less concerned about the politics, as long as they can continue to bribe their </w:t>
      </w:r>
      <w:r w:rsidR="000C4978" w:rsidRPr="004E053C">
        <w:rPr>
          <w:rFonts w:eastAsia="Times New Roman" w:cstheme="majorHAnsi"/>
          <w:sz w:val="22"/>
          <w:szCs w:val="22"/>
          <w:lang w:val="en-GB"/>
        </w:rPr>
        <w:t xml:space="preserve">way around regulations. For </w:t>
      </w:r>
      <w:r w:rsidRPr="004E053C">
        <w:rPr>
          <w:rFonts w:eastAsia="Times New Roman" w:cstheme="majorHAnsi"/>
          <w:sz w:val="22"/>
          <w:szCs w:val="22"/>
          <w:lang w:val="en-GB"/>
        </w:rPr>
        <w:t>highly translocal miners</w:t>
      </w:r>
      <w:r w:rsidR="000C4978" w:rsidRPr="004E053C">
        <w:rPr>
          <w:rFonts w:eastAsia="Times New Roman" w:cstheme="majorHAnsi"/>
          <w:sz w:val="22"/>
          <w:szCs w:val="22"/>
          <w:lang w:val="en-GB"/>
        </w:rPr>
        <w:t>,</w:t>
      </w:r>
      <w:r w:rsidR="009B49AE" w:rsidRPr="004E053C">
        <w:rPr>
          <w:rFonts w:eastAsia="Times New Roman" w:cstheme="majorHAnsi"/>
          <w:sz w:val="22"/>
          <w:szCs w:val="22"/>
          <w:lang w:val="en-GB"/>
        </w:rPr>
        <w:t xml:space="preserve"> </w:t>
      </w:r>
      <w:r w:rsidR="00091107" w:rsidRPr="004E053C">
        <w:rPr>
          <w:rFonts w:eastAsia="Times New Roman" w:cstheme="majorHAnsi"/>
          <w:sz w:val="22"/>
          <w:szCs w:val="22"/>
          <w:lang w:val="en-GB"/>
        </w:rPr>
        <w:t>formalisation</w:t>
      </w:r>
      <w:r w:rsidR="000C4978" w:rsidRPr="004E053C">
        <w:rPr>
          <w:rFonts w:eastAsia="Times New Roman" w:cstheme="majorHAnsi"/>
          <w:sz w:val="22"/>
          <w:szCs w:val="22"/>
          <w:lang w:val="en-GB"/>
        </w:rPr>
        <w:t xml:space="preserve"> is almost impossible </w:t>
      </w:r>
      <w:r w:rsidRPr="004E053C">
        <w:rPr>
          <w:rFonts w:eastAsia="Times New Roman" w:cstheme="majorHAnsi"/>
          <w:sz w:val="22"/>
          <w:szCs w:val="22"/>
          <w:lang w:val="en-GB"/>
        </w:rPr>
        <w:t>because it requires ASM operative</w:t>
      </w:r>
      <w:r w:rsidR="009B49AE" w:rsidRPr="004E053C">
        <w:rPr>
          <w:rFonts w:eastAsia="Times New Roman" w:cstheme="majorHAnsi"/>
          <w:sz w:val="22"/>
          <w:szCs w:val="22"/>
          <w:lang w:val="en-GB"/>
        </w:rPr>
        <w:t>s to work in one location. I</w:t>
      </w:r>
      <w:r w:rsidRPr="004E053C">
        <w:rPr>
          <w:rFonts w:eastAsia="Times New Roman" w:cstheme="majorHAnsi"/>
          <w:sz w:val="22"/>
          <w:szCs w:val="22"/>
          <w:lang w:val="en-GB"/>
        </w:rPr>
        <w:t xml:space="preserve">t is therefore unsurprising that they are not as concerned about it. </w:t>
      </w:r>
      <w:r w:rsidR="000C4978" w:rsidRPr="004E053C">
        <w:rPr>
          <w:rFonts w:eastAsia="Times New Roman" w:cstheme="majorHAnsi"/>
          <w:sz w:val="22"/>
          <w:szCs w:val="22"/>
          <w:lang w:val="en-GB"/>
        </w:rPr>
        <w:t>As they have no long-term interest in the area</w:t>
      </w:r>
      <w:r w:rsidRPr="004E053C">
        <w:rPr>
          <w:rFonts w:eastAsia="Times New Roman" w:cstheme="majorHAnsi"/>
          <w:sz w:val="22"/>
          <w:szCs w:val="22"/>
          <w:lang w:val="en-GB"/>
        </w:rPr>
        <w:t xml:space="preserve">, </w:t>
      </w:r>
      <w:r w:rsidR="009B49AE" w:rsidRPr="004E053C">
        <w:rPr>
          <w:rFonts w:eastAsia="Times New Roman" w:cstheme="majorHAnsi"/>
          <w:sz w:val="22"/>
          <w:szCs w:val="22"/>
          <w:lang w:val="en-GB"/>
        </w:rPr>
        <w:t>they are more accepting of the ‘illegal’</w:t>
      </w:r>
      <w:r w:rsidRPr="004E053C">
        <w:rPr>
          <w:rFonts w:eastAsia="Times New Roman" w:cstheme="majorHAnsi"/>
          <w:sz w:val="22"/>
          <w:szCs w:val="22"/>
          <w:lang w:val="en-GB"/>
        </w:rPr>
        <w:t xml:space="preserve"> label and </w:t>
      </w:r>
      <w:r w:rsidR="00F254BE" w:rsidRPr="004E053C">
        <w:rPr>
          <w:rFonts w:eastAsia="Times New Roman" w:cstheme="majorHAnsi"/>
          <w:sz w:val="22"/>
          <w:szCs w:val="22"/>
          <w:lang w:val="en-GB"/>
        </w:rPr>
        <w:t>did not seek to delegitimise</w:t>
      </w:r>
      <w:r w:rsidRPr="004E053C">
        <w:rPr>
          <w:rFonts w:eastAsia="Times New Roman" w:cstheme="majorHAnsi"/>
          <w:sz w:val="22"/>
          <w:szCs w:val="22"/>
          <w:lang w:val="en-GB"/>
        </w:rPr>
        <w:t xml:space="preserve"> the government. One miner in particular too</w:t>
      </w:r>
      <w:r w:rsidR="009B49AE" w:rsidRPr="004E053C">
        <w:rPr>
          <w:rFonts w:eastAsia="Times New Roman" w:cstheme="majorHAnsi"/>
          <w:sz w:val="22"/>
          <w:szCs w:val="22"/>
          <w:lang w:val="en-GB"/>
        </w:rPr>
        <w:t>k a very different view of the G</w:t>
      </w:r>
      <w:r w:rsidRPr="004E053C">
        <w:rPr>
          <w:rFonts w:eastAsia="Times New Roman" w:cstheme="majorHAnsi"/>
          <w:sz w:val="22"/>
          <w:szCs w:val="22"/>
          <w:lang w:val="en-GB"/>
        </w:rPr>
        <w:t>overnment’s approach to mining, explaining how they were trying to achieve formalisation:</w:t>
      </w:r>
    </w:p>
    <w:p w14:paraId="44384B66" w14:textId="77777777" w:rsidR="003E574E" w:rsidRPr="004E053C" w:rsidRDefault="003E574E" w:rsidP="004E053C">
      <w:pPr>
        <w:spacing w:line="360" w:lineRule="auto"/>
        <w:jc w:val="both"/>
        <w:rPr>
          <w:rFonts w:eastAsia="Times New Roman" w:cstheme="majorHAnsi"/>
          <w:sz w:val="22"/>
          <w:szCs w:val="22"/>
          <w:lang w:val="en-GB"/>
        </w:rPr>
      </w:pPr>
    </w:p>
    <w:p w14:paraId="3EB15455" w14:textId="58D3FA69" w:rsidR="003E574E" w:rsidRPr="004E053C" w:rsidRDefault="009B49AE"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t>‘The G</w:t>
      </w:r>
      <w:r w:rsidR="003E574E" w:rsidRPr="004E053C">
        <w:rPr>
          <w:rFonts w:eastAsia="Times New Roman" w:cstheme="majorHAnsi"/>
          <w:i/>
          <w:iCs/>
          <w:sz w:val="22"/>
          <w:szCs w:val="22"/>
          <w:lang w:val="en-GB"/>
        </w:rPr>
        <w:t>overnment doesn’t want to stop mining. They want the taxes and they want everyone to be legal. It’s just other people who think they want to stop mining. They actually want everyone to be legal</w:t>
      </w:r>
      <w:r w:rsidRPr="004E053C">
        <w:rPr>
          <w:rFonts w:eastAsia="Times New Roman" w:cstheme="majorHAnsi"/>
          <w:sz w:val="22"/>
          <w:szCs w:val="22"/>
          <w:lang w:val="en-GB"/>
        </w:rPr>
        <w:t>’</w:t>
      </w:r>
      <w:r w:rsidR="003E574E" w:rsidRPr="004E053C">
        <w:rPr>
          <w:rFonts w:eastAsia="Times New Roman" w:cstheme="majorHAnsi"/>
          <w:sz w:val="22"/>
          <w:szCs w:val="22"/>
          <w:lang w:val="en-GB"/>
        </w:rPr>
        <w:t xml:space="preserve"> (</w:t>
      </w:r>
      <w:r w:rsidR="006F6757" w:rsidRPr="004E053C">
        <w:rPr>
          <w:rFonts w:eastAsia="Times New Roman" w:cstheme="majorHAnsi"/>
          <w:sz w:val="22"/>
          <w:szCs w:val="22"/>
          <w:lang w:val="en-GB"/>
        </w:rPr>
        <w:t>Xavier</w:t>
      </w:r>
      <w:r w:rsidR="003E574E" w:rsidRPr="004E053C">
        <w:rPr>
          <w:rFonts w:eastAsia="Times New Roman" w:cstheme="majorHAnsi"/>
          <w:sz w:val="22"/>
          <w:szCs w:val="22"/>
          <w:lang w:val="en-GB"/>
        </w:rPr>
        <w:t>, ASM miner, Laberinto).</w:t>
      </w:r>
    </w:p>
    <w:p w14:paraId="33FD1746" w14:textId="77777777" w:rsidR="003E574E" w:rsidRPr="004E053C" w:rsidRDefault="003E574E" w:rsidP="004E053C">
      <w:pPr>
        <w:spacing w:line="360" w:lineRule="auto"/>
        <w:jc w:val="both"/>
        <w:rPr>
          <w:rFonts w:eastAsia="Times New Roman" w:cstheme="majorHAnsi"/>
          <w:sz w:val="22"/>
          <w:szCs w:val="22"/>
          <w:lang w:val="en-GB"/>
        </w:rPr>
      </w:pPr>
    </w:p>
    <w:p w14:paraId="0F729C78" w14:textId="5AC3D5AA" w:rsidR="003E574E" w:rsidRPr="004E053C" w:rsidRDefault="00F254B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W</w:t>
      </w:r>
      <w:r w:rsidR="003E574E" w:rsidRPr="004E053C">
        <w:rPr>
          <w:rFonts w:eastAsia="Times New Roman" w:cstheme="majorHAnsi"/>
          <w:sz w:val="22"/>
          <w:szCs w:val="22"/>
          <w:lang w:val="en-GB"/>
        </w:rPr>
        <w:t xml:space="preserve">hile the livelihood activities of the </w:t>
      </w:r>
      <w:r w:rsidRPr="004E053C">
        <w:rPr>
          <w:rFonts w:eastAsia="Times New Roman" w:cstheme="majorHAnsi"/>
          <w:sz w:val="22"/>
          <w:szCs w:val="22"/>
          <w:lang w:val="en-GB"/>
        </w:rPr>
        <w:t>temporary and floating</w:t>
      </w:r>
      <w:r w:rsidR="003E574E" w:rsidRPr="004E053C">
        <w:rPr>
          <w:rFonts w:eastAsia="Times New Roman" w:cstheme="majorHAnsi"/>
          <w:sz w:val="22"/>
          <w:szCs w:val="22"/>
          <w:lang w:val="en-GB"/>
        </w:rPr>
        <w:t xml:space="preserve"> miners are equally threate</w:t>
      </w:r>
      <w:r w:rsidR="00E115B2" w:rsidRPr="004E053C">
        <w:rPr>
          <w:rFonts w:eastAsia="Times New Roman" w:cstheme="majorHAnsi"/>
          <w:sz w:val="22"/>
          <w:szCs w:val="22"/>
          <w:lang w:val="en-GB"/>
        </w:rPr>
        <w:t>ned by a Government policy that</w:t>
      </w:r>
      <w:r w:rsidR="003E574E" w:rsidRPr="004E053C">
        <w:rPr>
          <w:rFonts w:eastAsia="Times New Roman" w:cstheme="majorHAnsi"/>
          <w:sz w:val="22"/>
          <w:szCs w:val="22"/>
          <w:lang w:val="en-GB"/>
        </w:rPr>
        <w:t xml:space="preserve"> treats them as illegal,</w:t>
      </w:r>
      <w:r w:rsidRPr="004E053C">
        <w:rPr>
          <w:rFonts w:eastAsia="Times New Roman" w:cstheme="majorHAnsi"/>
          <w:sz w:val="22"/>
          <w:szCs w:val="22"/>
          <w:lang w:val="en-GB"/>
        </w:rPr>
        <w:t xml:space="preserve"> there are less long-term risks due to the </w:t>
      </w:r>
      <w:r w:rsidR="003E574E" w:rsidRPr="004E053C">
        <w:rPr>
          <w:rFonts w:eastAsia="Times New Roman" w:cstheme="majorHAnsi"/>
          <w:sz w:val="22"/>
          <w:szCs w:val="22"/>
          <w:lang w:val="en-GB"/>
        </w:rPr>
        <w:t>translo</w:t>
      </w:r>
      <w:r w:rsidRPr="004E053C">
        <w:rPr>
          <w:rFonts w:eastAsia="Times New Roman" w:cstheme="majorHAnsi"/>
          <w:sz w:val="22"/>
          <w:szCs w:val="22"/>
          <w:lang w:val="en-GB"/>
        </w:rPr>
        <w:t>cal nature of their livelihood, which is clearly reflected in their narratives.</w:t>
      </w:r>
    </w:p>
    <w:p w14:paraId="3AE9585F" w14:textId="77777777" w:rsidR="003E574E" w:rsidRPr="004E053C" w:rsidRDefault="003E574E" w:rsidP="004E053C">
      <w:pPr>
        <w:spacing w:line="360" w:lineRule="auto"/>
        <w:jc w:val="both"/>
        <w:rPr>
          <w:rFonts w:eastAsia="Times New Roman" w:cstheme="majorHAnsi"/>
          <w:sz w:val="22"/>
          <w:szCs w:val="22"/>
          <w:lang w:val="en-GB"/>
        </w:rPr>
      </w:pPr>
    </w:p>
    <w:p w14:paraId="24F017DE" w14:textId="6D3E3BBE" w:rsidR="003E574E" w:rsidRPr="004E053C" w:rsidRDefault="00EA7F83" w:rsidP="004E053C">
      <w:pPr>
        <w:pStyle w:val="Heading2"/>
        <w:spacing w:before="0" w:line="360" w:lineRule="auto"/>
        <w:jc w:val="both"/>
        <w:rPr>
          <w:rFonts w:cstheme="majorHAnsi"/>
          <w:lang w:val="en-GB"/>
        </w:rPr>
      </w:pPr>
      <w:bookmarkStart w:id="108" w:name="_Toc33293134"/>
      <w:r w:rsidRPr="004E053C">
        <w:rPr>
          <w:rFonts w:cstheme="majorHAnsi"/>
          <w:lang w:val="en-GB"/>
        </w:rPr>
        <w:t>9</w:t>
      </w:r>
      <w:r w:rsidR="005252FE" w:rsidRPr="004E053C">
        <w:rPr>
          <w:rFonts w:cstheme="majorHAnsi"/>
          <w:lang w:val="en-GB"/>
        </w:rPr>
        <w:t>.</w:t>
      </w:r>
      <w:r w:rsidR="0019375F" w:rsidRPr="004E053C">
        <w:rPr>
          <w:rFonts w:cstheme="majorHAnsi"/>
          <w:lang w:val="en-GB"/>
        </w:rPr>
        <w:t>7</w:t>
      </w:r>
      <w:r w:rsidR="003E574E" w:rsidRPr="004E053C">
        <w:rPr>
          <w:rFonts w:cstheme="majorHAnsi"/>
          <w:lang w:val="en-GB"/>
        </w:rPr>
        <w:t>. NGO</w:t>
      </w:r>
      <w:r w:rsidR="004A3EF1" w:rsidRPr="004E053C">
        <w:rPr>
          <w:rFonts w:cstheme="majorHAnsi"/>
          <w:lang w:val="en-GB"/>
        </w:rPr>
        <w:t>s, media and p</w:t>
      </w:r>
      <w:r w:rsidR="003E574E" w:rsidRPr="004E053C">
        <w:rPr>
          <w:rFonts w:cstheme="majorHAnsi"/>
          <w:lang w:val="en-GB"/>
        </w:rPr>
        <w:t>ublic Opinion</w:t>
      </w:r>
      <w:bookmarkEnd w:id="108"/>
    </w:p>
    <w:p w14:paraId="29D073F2" w14:textId="77777777" w:rsidR="003E574E" w:rsidRPr="004E053C" w:rsidRDefault="003E574E" w:rsidP="004E053C">
      <w:pPr>
        <w:spacing w:line="360" w:lineRule="auto"/>
        <w:jc w:val="both"/>
        <w:rPr>
          <w:rFonts w:eastAsia="Times New Roman" w:cstheme="majorHAnsi"/>
          <w:b/>
          <w:bCs/>
          <w:sz w:val="22"/>
          <w:szCs w:val="22"/>
          <w:lang w:val="en-GB"/>
        </w:rPr>
      </w:pPr>
    </w:p>
    <w:p w14:paraId="3CFCCBA7" w14:textId="1256F756" w:rsidR="003E574E" w:rsidRPr="004E053C" w:rsidRDefault="003E574E" w:rsidP="004E053C">
      <w:pPr>
        <w:spacing w:line="360" w:lineRule="auto"/>
        <w:jc w:val="both"/>
        <w:rPr>
          <w:rFonts w:eastAsia="Times New Roman" w:cstheme="majorHAnsi"/>
          <w:sz w:val="22"/>
          <w:szCs w:val="22"/>
          <w:lang w:val="en-GB"/>
        </w:rPr>
      </w:pPr>
      <w:r w:rsidRPr="004E053C">
        <w:rPr>
          <w:rFonts w:cstheme="majorHAnsi"/>
          <w:sz w:val="22"/>
          <w:szCs w:val="22"/>
          <w:lang w:val="en-GB"/>
        </w:rPr>
        <w:t>For the miners of Madre de Dios, it is not just government discourse they have to contend with, as the media and NGOs</w:t>
      </w:r>
      <w:r w:rsidR="004F01C2" w:rsidRPr="004E053C">
        <w:rPr>
          <w:rFonts w:cstheme="majorHAnsi"/>
          <w:sz w:val="22"/>
          <w:szCs w:val="22"/>
          <w:lang w:val="en-GB"/>
        </w:rPr>
        <w:t xml:space="preserve"> also portray them negatively</w:t>
      </w:r>
      <w:r w:rsidRPr="004E053C">
        <w:rPr>
          <w:rFonts w:eastAsia="Times New Roman" w:cstheme="majorHAnsi"/>
          <w:sz w:val="22"/>
          <w:szCs w:val="22"/>
          <w:lang w:val="en-GB"/>
        </w:rPr>
        <w:t>. Leo complained that the media often seemed to be workin</w:t>
      </w:r>
      <w:r w:rsidR="009B49AE" w:rsidRPr="004E053C">
        <w:rPr>
          <w:rFonts w:eastAsia="Times New Roman" w:cstheme="majorHAnsi"/>
          <w:sz w:val="22"/>
          <w:szCs w:val="22"/>
          <w:lang w:val="en-GB"/>
        </w:rPr>
        <w:t>g on the side of the G</w:t>
      </w:r>
      <w:r w:rsidR="004F01C2" w:rsidRPr="004E053C">
        <w:rPr>
          <w:rFonts w:eastAsia="Times New Roman" w:cstheme="majorHAnsi"/>
          <w:sz w:val="22"/>
          <w:szCs w:val="22"/>
          <w:lang w:val="en-GB"/>
        </w:rPr>
        <w:t xml:space="preserve">overnment </w:t>
      </w:r>
      <w:r w:rsidRPr="004E053C">
        <w:rPr>
          <w:rFonts w:eastAsia="Times New Roman" w:cstheme="majorHAnsi"/>
          <w:sz w:val="22"/>
          <w:szCs w:val="22"/>
          <w:lang w:val="en-GB"/>
        </w:rPr>
        <w:t xml:space="preserve">– </w:t>
      </w:r>
      <w:r w:rsidR="003B5DCB" w:rsidRPr="004E053C">
        <w:rPr>
          <w:rFonts w:eastAsia="Times New Roman" w:cstheme="majorHAnsi"/>
          <w:i/>
          <w:sz w:val="22"/>
          <w:szCs w:val="22"/>
          <w:lang w:val="en-GB"/>
        </w:rPr>
        <w:t>‘</w:t>
      </w:r>
      <w:r w:rsidRPr="004E053C">
        <w:rPr>
          <w:rFonts w:eastAsia="Times New Roman" w:cstheme="majorHAnsi"/>
          <w:i/>
          <w:sz w:val="22"/>
          <w:szCs w:val="22"/>
          <w:lang w:val="en-GB"/>
        </w:rPr>
        <w:t>I don’t like this situation and it makes it</w:t>
      </w:r>
      <w:r w:rsidR="009B49AE" w:rsidRPr="004E053C">
        <w:rPr>
          <w:rFonts w:eastAsia="Times New Roman" w:cstheme="majorHAnsi"/>
          <w:i/>
          <w:sz w:val="22"/>
          <w:szCs w:val="22"/>
          <w:lang w:val="en-GB"/>
        </w:rPr>
        <w:t xml:space="preserve"> difficult for us to trust the Government</w:t>
      </w:r>
      <w:r w:rsidR="003B5DCB" w:rsidRPr="004E053C">
        <w:rPr>
          <w:rFonts w:eastAsia="Times New Roman" w:cstheme="majorHAnsi"/>
          <w:sz w:val="22"/>
          <w:szCs w:val="22"/>
          <w:lang w:val="en-GB"/>
        </w:rPr>
        <w:t>’</w:t>
      </w:r>
      <w:r w:rsidRPr="004E053C">
        <w:rPr>
          <w:rFonts w:eastAsia="Times New Roman" w:cstheme="majorHAnsi"/>
          <w:sz w:val="22"/>
          <w:szCs w:val="22"/>
          <w:lang w:val="en-GB"/>
        </w:rPr>
        <w:t xml:space="preserve"> (Leo, ASM miner, </w:t>
      </w:r>
      <w:r w:rsidR="008C68C5" w:rsidRPr="004E053C">
        <w:rPr>
          <w:rFonts w:eastAsia="Times New Roman" w:cstheme="majorHAnsi"/>
          <w:sz w:val="22"/>
          <w:szCs w:val="22"/>
          <w:lang w:val="en-GB"/>
        </w:rPr>
        <w:t>Laberinto</w:t>
      </w:r>
      <w:r w:rsidRPr="004E053C">
        <w:rPr>
          <w:rFonts w:eastAsia="Times New Roman" w:cstheme="majorHAnsi"/>
          <w:sz w:val="22"/>
          <w:szCs w:val="22"/>
          <w:lang w:val="en-GB"/>
        </w:rPr>
        <w:t xml:space="preserve">). Several of the miners complained that the media failed to distinguish between miners in La Pampa and in Laberinto: </w:t>
      </w:r>
    </w:p>
    <w:p w14:paraId="491D9D1C" w14:textId="77777777" w:rsidR="003E574E" w:rsidRPr="004E053C" w:rsidRDefault="003E574E" w:rsidP="004E053C">
      <w:pPr>
        <w:spacing w:line="360" w:lineRule="auto"/>
        <w:jc w:val="both"/>
        <w:rPr>
          <w:rFonts w:eastAsia="Times New Roman" w:cstheme="majorHAnsi"/>
          <w:sz w:val="22"/>
          <w:szCs w:val="22"/>
          <w:lang w:val="en-GB"/>
        </w:rPr>
      </w:pPr>
    </w:p>
    <w:p w14:paraId="1021140A" w14:textId="2426E856" w:rsidR="003E574E" w:rsidRPr="004E053C" w:rsidRDefault="003B5DCB" w:rsidP="004E053C">
      <w:pPr>
        <w:ind w:left="720"/>
        <w:jc w:val="both"/>
        <w:rPr>
          <w:rFonts w:eastAsia="Times New Roman" w:cstheme="majorHAnsi"/>
          <w:sz w:val="22"/>
          <w:szCs w:val="22"/>
          <w:lang w:val="en-GB"/>
        </w:rPr>
      </w:pPr>
      <w:r w:rsidRPr="004E053C">
        <w:rPr>
          <w:rFonts w:eastAsia="Times New Roman" w:cstheme="majorHAnsi"/>
          <w:i/>
          <w:iCs/>
          <w:sz w:val="22"/>
          <w:szCs w:val="22"/>
          <w:lang w:val="en-GB"/>
        </w:rPr>
        <w:lastRenderedPageBreak/>
        <w:t>‘</w:t>
      </w:r>
      <w:r w:rsidR="003E574E" w:rsidRPr="004E053C">
        <w:rPr>
          <w:rFonts w:eastAsia="Times New Roman" w:cstheme="majorHAnsi"/>
          <w:i/>
          <w:iCs/>
          <w:sz w:val="22"/>
          <w:szCs w:val="22"/>
          <w:lang w:val="en-GB"/>
        </w:rPr>
        <w:t xml:space="preserve">People use the name of La Pampa to blame us for their mistakes. </w:t>
      </w:r>
      <w:r w:rsidR="008C68C5" w:rsidRPr="004E053C">
        <w:rPr>
          <w:rFonts w:eastAsia="Times New Roman" w:cstheme="majorHAnsi"/>
          <w:i/>
          <w:iCs/>
          <w:sz w:val="22"/>
          <w:szCs w:val="22"/>
          <w:lang w:val="en-GB"/>
        </w:rPr>
        <w:t>Always in the news and researchers they always use information and witnesses from La Pampa, but they always say Madre de Dios’</w:t>
      </w:r>
      <w:r w:rsidR="008C68C5" w:rsidRPr="004E053C">
        <w:rPr>
          <w:rFonts w:eastAsia="Times New Roman" w:cstheme="majorHAnsi"/>
          <w:sz w:val="22"/>
          <w:szCs w:val="22"/>
          <w:lang w:val="en-GB"/>
        </w:rPr>
        <w:t xml:space="preserve"> (Bernardo, ASM miner, Laberinto).</w:t>
      </w:r>
    </w:p>
    <w:p w14:paraId="600A8771" w14:textId="77777777" w:rsidR="003E574E" w:rsidRPr="004E053C" w:rsidRDefault="003E574E" w:rsidP="004E053C">
      <w:pPr>
        <w:spacing w:line="360" w:lineRule="auto"/>
        <w:jc w:val="both"/>
        <w:rPr>
          <w:rFonts w:eastAsia="Times New Roman" w:cstheme="majorHAnsi"/>
          <w:sz w:val="22"/>
          <w:szCs w:val="22"/>
          <w:lang w:val="en-GB"/>
        </w:rPr>
      </w:pPr>
    </w:p>
    <w:p w14:paraId="0EFAE2A7" w14:textId="38FF35AD" w:rsidR="003E574E" w:rsidRPr="004E053C" w:rsidRDefault="003E574E" w:rsidP="004E053C">
      <w:pPr>
        <w:spacing w:line="360" w:lineRule="auto"/>
        <w:jc w:val="both"/>
        <w:rPr>
          <w:rFonts w:eastAsia="Times New Roman" w:cstheme="majorHAnsi"/>
          <w:bCs/>
          <w:lang w:val="en-GB"/>
        </w:rPr>
      </w:pPr>
      <w:r w:rsidRPr="004E053C">
        <w:rPr>
          <w:rFonts w:eastAsia="Times New Roman" w:cstheme="majorHAnsi"/>
          <w:sz w:val="22"/>
          <w:szCs w:val="22"/>
          <w:lang w:val="en-GB"/>
        </w:rPr>
        <w:t>In public discourse</w:t>
      </w:r>
      <w:r w:rsidR="00A14CC9" w:rsidRPr="004E053C">
        <w:rPr>
          <w:rFonts w:eastAsia="Times New Roman" w:cstheme="majorHAnsi"/>
          <w:sz w:val="22"/>
          <w:szCs w:val="22"/>
          <w:lang w:val="en-GB"/>
        </w:rPr>
        <w:t>,</w:t>
      </w:r>
      <w:r w:rsidRPr="004E053C">
        <w:rPr>
          <w:rFonts w:eastAsia="Times New Roman" w:cstheme="majorHAnsi"/>
          <w:sz w:val="22"/>
          <w:szCs w:val="22"/>
          <w:lang w:val="en-GB"/>
        </w:rPr>
        <w:t xml:space="preserve"> it does appear that environmental NGOs have cast Peru’s artisanal and small-scale miners as villains, which is similar to the treatment of other actors in the Amazon, such as ranchers and loggers </w:t>
      </w:r>
      <w:r w:rsidR="008127FD" w:rsidRPr="004E053C">
        <w:rPr>
          <w:rFonts w:eastAsia="Times New Roman" w:cstheme="majorHAnsi"/>
          <w:sz w:val="22"/>
          <w:szCs w:val="22"/>
          <w:lang w:val="en-GB"/>
        </w:rPr>
        <w:fldChar w:fldCharType="begin" w:fldLock="1"/>
      </w:r>
      <w:r w:rsidR="008127FD" w:rsidRPr="004E053C">
        <w:rPr>
          <w:rFonts w:eastAsia="Times New Roman" w:cstheme="majorHAnsi"/>
          <w:sz w:val="22"/>
          <w:szCs w:val="22"/>
          <w:lang w:val="en-GB"/>
        </w:rPr>
        <w:instrText>ADDIN CSL_CITATION {"citationItems":[{"id":"ITEM-1","itemData":{"author":[{"dropping-particle":"","family":"Campbell","given":"Jeremy M","non-dropping-particle":"","parse-names":false,"suffix":""}],"id":"ITEM-1","issued":{"date-parts":[["2015"]]},"number-of-pages":"231","publisher":"University of Washington Press","publisher-place":"Seattle, WA","title":"Conjuring Property: Speculation and Environmental Futures in the Brazilian Amazon","type":"book"},"uris":["http://www.mendeley.com/documents/?uuid=4a505b05-99c8-425c-a771-8e87362968d3"]}],"mendeley":{"formattedCitation":"(Campbell, 2015)","plainTextFormattedCitation":"(Campbell, 2015)","previouslyFormattedCitation":"(Campbell, 2015)"},"properties":{"noteIndex":0},"schema":"https://github.com/citation-style-language/schema/raw/master/csl-citation.json"}</w:instrText>
      </w:r>
      <w:r w:rsidR="008127FD" w:rsidRPr="004E053C">
        <w:rPr>
          <w:rFonts w:eastAsia="Times New Roman" w:cstheme="majorHAnsi"/>
          <w:sz w:val="22"/>
          <w:szCs w:val="22"/>
          <w:lang w:val="en-GB"/>
        </w:rPr>
        <w:fldChar w:fldCharType="separate"/>
      </w:r>
      <w:r w:rsidR="008127FD" w:rsidRPr="004E053C">
        <w:rPr>
          <w:rFonts w:eastAsia="Times New Roman" w:cstheme="majorHAnsi"/>
          <w:noProof/>
          <w:sz w:val="22"/>
          <w:szCs w:val="22"/>
          <w:lang w:val="en-GB"/>
        </w:rPr>
        <w:t>(Campbell, 2015)</w:t>
      </w:r>
      <w:r w:rsidR="008127FD" w:rsidRPr="004E053C">
        <w:rPr>
          <w:rFonts w:eastAsia="Times New Roman" w:cstheme="majorHAnsi"/>
          <w:sz w:val="22"/>
          <w:szCs w:val="22"/>
          <w:lang w:val="en-GB"/>
        </w:rPr>
        <w:fldChar w:fldCharType="end"/>
      </w:r>
      <w:r w:rsidRPr="004E053C">
        <w:rPr>
          <w:rFonts w:eastAsia="Times New Roman" w:cstheme="majorHAnsi"/>
          <w:sz w:val="22"/>
          <w:szCs w:val="22"/>
          <w:lang w:val="en-GB"/>
        </w:rPr>
        <w:t xml:space="preserve">. </w:t>
      </w:r>
      <w:r w:rsidR="006111A0" w:rsidRPr="004E053C">
        <w:rPr>
          <w:rFonts w:eastAsia="Times New Roman" w:cstheme="majorHAnsi"/>
          <w:sz w:val="22"/>
          <w:szCs w:val="22"/>
          <w:lang w:val="en-GB"/>
        </w:rPr>
        <w:t>In NGO narratives, there is a strong focus on the social ills associated with the illegality of ASM. For example, human trafficking was not specifically discussed by any of those respondents working directly or indirectly in mining, even those based in Ocongate from where trafficking is a severe problem,</w:t>
      </w:r>
      <w:r w:rsidR="004F01C2" w:rsidRPr="004E053C">
        <w:rPr>
          <w:rFonts w:eastAsia="Times New Roman" w:cstheme="majorHAnsi"/>
          <w:sz w:val="22"/>
          <w:szCs w:val="22"/>
          <w:lang w:val="en-GB"/>
        </w:rPr>
        <w:t xml:space="preserve"> but</w:t>
      </w:r>
      <w:r w:rsidR="006111A0" w:rsidRPr="004E053C">
        <w:rPr>
          <w:rFonts w:eastAsia="Times New Roman" w:cstheme="majorHAnsi"/>
          <w:sz w:val="22"/>
          <w:szCs w:val="22"/>
          <w:lang w:val="en-GB"/>
        </w:rPr>
        <w:t xml:space="preserve"> the NGO workers in Puerto Maldonado talked about it extensively. </w:t>
      </w:r>
      <w:r w:rsidR="006111A0" w:rsidRPr="004E053C">
        <w:rPr>
          <w:rFonts w:cstheme="majorHAnsi"/>
          <w:sz w:val="22"/>
          <w:szCs w:val="22"/>
          <w:lang w:val="en-GB"/>
        </w:rPr>
        <w:t>While s</w:t>
      </w:r>
      <w:r w:rsidR="007A7DCE">
        <w:rPr>
          <w:rFonts w:cstheme="majorHAnsi"/>
          <w:sz w:val="22"/>
          <w:szCs w:val="22"/>
          <w:lang w:val="en-GB"/>
        </w:rPr>
        <w:t>everal academic</w:t>
      </w:r>
      <w:r w:rsidR="00620BB5" w:rsidRPr="004E053C">
        <w:rPr>
          <w:rFonts w:cstheme="majorHAnsi"/>
          <w:sz w:val="22"/>
          <w:szCs w:val="22"/>
          <w:lang w:val="en-GB"/>
        </w:rPr>
        <w:t>s have discussed the need for</w:t>
      </w:r>
      <w:r w:rsidR="00620BB5" w:rsidRPr="004E053C">
        <w:rPr>
          <w:rFonts w:cstheme="majorHAnsi"/>
          <w:color w:val="000000"/>
          <w:sz w:val="22"/>
          <w:szCs w:val="22"/>
          <w:lang w:val="en-GB"/>
        </w:rPr>
        <w:t xml:space="preserve"> NGOs to change the language used when discussing the ASM operators </w:t>
      </w:r>
      <w:r w:rsidR="00620BB5" w:rsidRPr="004E053C">
        <w:rPr>
          <w:rFonts w:cstheme="majorHAnsi"/>
          <w:sz w:val="22"/>
          <w:szCs w:val="22"/>
          <w:lang w:val="en-GB"/>
        </w:rPr>
        <w:fldChar w:fldCharType="begin" w:fldLock="1"/>
      </w:r>
      <w:r w:rsidR="002F0CEA">
        <w:rPr>
          <w:rFonts w:cstheme="majorHAnsi"/>
          <w:sz w:val="22"/>
          <w:szCs w:val="22"/>
          <w:lang w:val="en-GB"/>
        </w:rPr>
        <w:instrText>ADDIN CSL_CITATION {"citationItems":[{"id":"ITEM-1","itemData":{"abstract":"This paper introduces a special issue which explores the dynamics and various development trajectories of artisanal and small-scale mining (ASM) - low-tech mineral processing and extraction - in sub-Saharan Africa. The papers in this special issue reflect critically on the efforts made over the past two decades to formalize the sector, which has fast become one of the most important economic activities in many rural sections of the region, as well as what lies ahead, given the progress made to date with legalizing and supporting operators. The present paper not only summarizes each contribution but also frames the debates on formalization, industry impacts and perceptions of participants which this special issue touches on, with specific reference to sub-Saharan Africa. Host governments and donors are now at a crossroads: on the one hand, faced with the reality that across the region, ASM is now an integral component of the rural economy, but on the other hand, having in place rigid regulatory and policy frameworks which do not necessarily reflect this reality. © 2014 Elsevier Ltd.","author":[{"dropping-particle":"","family":"Hilson","given":"G","non-dropping-particle":"","parse-names":false,"suffix":""},{"dropping-particle":"","family":"Gatsinzi","given":"Angélique","non-dropping-particle":"","parse-names":false,"suffix":""}],"container-title":"Futures","id":"ITEM-1","issue":"Part A","issued":{"date-parts":[["2014"]]},"page":"1-9","title":"A rocky road ahead? Critical reflections on the futures of small-scale mining in sub-Saharan Africa","type":"article-journal","volume":"62"},"uris":["http://www.mendeley.com/documents/?uuid=7d07e96d-d171-437e-a1ad-e3112c2e22de"]}],"mendeley":{"formattedCitation":"(G Hilson &amp; Gatsinzi, 2014)","manualFormatting":"(Hilson &amp; Gatsinzi, 2014)","plainTextFormattedCitation":"(G Hilson &amp; Gatsinzi, 2014)","previouslyFormattedCitation":"(G Hilson &amp; Gatsinzi, 2014)"},"properties":{"noteIndex":0},"schema":"https://github.com/citation-style-language/schema/raw/master/csl-citation.json"}</w:instrText>
      </w:r>
      <w:r w:rsidR="00620BB5" w:rsidRPr="004E053C">
        <w:rPr>
          <w:rFonts w:cstheme="majorHAnsi"/>
          <w:sz w:val="22"/>
          <w:szCs w:val="22"/>
          <w:lang w:val="en-GB"/>
        </w:rPr>
        <w:fldChar w:fldCharType="separate"/>
      </w:r>
      <w:r w:rsidR="008127FD" w:rsidRPr="004E053C">
        <w:rPr>
          <w:rFonts w:cstheme="majorHAnsi"/>
          <w:noProof/>
          <w:sz w:val="22"/>
          <w:szCs w:val="22"/>
          <w:lang w:val="en-GB"/>
        </w:rPr>
        <w:t>(</w:t>
      </w:r>
      <w:r w:rsidR="002E5CC0" w:rsidRPr="004E053C">
        <w:rPr>
          <w:rFonts w:cstheme="majorHAnsi"/>
          <w:noProof/>
          <w:sz w:val="22"/>
          <w:szCs w:val="22"/>
          <w:lang w:val="en-GB"/>
        </w:rPr>
        <w:t>Hilson &amp; Gatsinzi, 2014)</w:t>
      </w:r>
      <w:r w:rsidR="00620BB5" w:rsidRPr="004E053C">
        <w:rPr>
          <w:rFonts w:cstheme="majorHAnsi"/>
          <w:sz w:val="22"/>
          <w:szCs w:val="22"/>
          <w:lang w:val="en-GB"/>
        </w:rPr>
        <w:fldChar w:fldCharType="end"/>
      </w:r>
      <w:r w:rsidR="006111A0" w:rsidRPr="004E053C">
        <w:rPr>
          <w:rFonts w:cstheme="majorHAnsi"/>
          <w:color w:val="000000"/>
          <w:sz w:val="22"/>
          <w:szCs w:val="22"/>
          <w:lang w:val="en-GB"/>
        </w:rPr>
        <w:t xml:space="preserve">, a larger problem is that often </w:t>
      </w:r>
      <w:r w:rsidR="00620BB5" w:rsidRPr="004E053C">
        <w:rPr>
          <w:rFonts w:eastAsia="Times New Roman" w:cstheme="majorHAnsi"/>
          <w:bCs/>
          <w:sz w:val="22"/>
          <w:szCs w:val="22"/>
          <w:lang w:val="en-GB"/>
        </w:rPr>
        <w:t xml:space="preserve">NGOs </w:t>
      </w:r>
      <w:r w:rsidR="006111A0" w:rsidRPr="004E053C">
        <w:rPr>
          <w:rFonts w:eastAsia="Times New Roman" w:cstheme="majorHAnsi"/>
          <w:bCs/>
          <w:sz w:val="22"/>
          <w:szCs w:val="22"/>
          <w:lang w:val="en-GB"/>
        </w:rPr>
        <w:t>avoid engagement with ASM altogether. This is due to a</w:t>
      </w:r>
      <w:r w:rsidR="00620BB5" w:rsidRPr="004E053C">
        <w:rPr>
          <w:rFonts w:eastAsia="Times New Roman" w:cstheme="majorHAnsi"/>
          <w:bCs/>
          <w:sz w:val="22"/>
          <w:szCs w:val="22"/>
          <w:lang w:val="en-GB"/>
        </w:rPr>
        <w:t xml:space="preserve"> combination of political difficulties, prejudices and problems associated with carrying out community development amongst mobile populations, at the detriment to giving people a voice to expre</w:t>
      </w:r>
      <w:r w:rsidR="008127FD" w:rsidRPr="004E053C">
        <w:rPr>
          <w:rFonts w:eastAsia="Times New Roman" w:cstheme="majorHAnsi"/>
          <w:bCs/>
          <w:sz w:val="22"/>
          <w:szCs w:val="22"/>
          <w:lang w:val="en-GB"/>
        </w:rPr>
        <w:t xml:space="preserve">ss their concerns </w:t>
      </w:r>
      <w:r w:rsidR="008127FD" w:rsidRPr="004E053C">
        <w:rPr>
          <w:rFonts w:eastAsia="Times New Roman" w:cstheme="majorHAnsi"/>
          <w:bCs/>
          <w:sz w:val="22"/>
          <w:szCs w:val="22"/>
          <w:lang w:val="en-GB"/>
        </w:rPr>
        <w:fldChar w:fldCharType="begin" w:fldLock="1"/>
      </w:r>
      <w:r w:rsidR="008127FD" w:rsidRPr="004E053C">
        <w:rPr>
          <w:rFonts w:eastAsia="Times New Roman" w:cstheme="majorHAnsi"/>
          <w:bCs/>
          <w:sz w:val="22"/>
          <w:szCs w:val="22"/>
          <w:lang w:val="en-GB"/>
        </w:rPr>
        <w:instrText>ADDIN CSL_CITATION {"citationItems":[{"id":"ITEM-1","itemData":{"abstract":"This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Change","id":"ITEM-1","issue":"4","issued":{"date-parts":[["2007"]]},"page":"735-760","title":"Occupying the Margins: Labour Integration and Social Exclusion in Artisanal Mining in Tanzania","type":"article-journal","volume":"38"},"uris":["http://www.mendeley.com/documents/?uuid=ff3b0073-6334-3642-aaf4-12090b595d93"]}],"mendeley":{"formattedCitation":"(Fisher, 2007)","plainTextFormattedCitation":"(Fisher, 2007)","previouslyFormattedCitation":"(Fisher, 2007)"},"properties":{"noteIndex":0},"schema":"https://github.com/citation-style-language/schema/raw/master/csl-citation.json"}</w:instrText>
      </w:r>
      <w:r w:rsidR="008127FD" w:rsidRPr="004E053C">
        <w:rPr>
          <w:rFonts w:eastAsia="Times New Roman" w:cstheme="majorHAnsi"/>
          <w:bCs/>
          <w:sz w:val="22"/>
          <w:szCs w:val="22"/>
          <w:lang w:val="en-GB"/>
        </w:rPr>
        <w:fldChar w:fldCharType="separate"/>
      </w:r>
      <w:r w:rsidR="008127FD" w:rsidRPr="004E053C">
        <w:rPr>
          <w:rFonts w:eastAsia="Times New Roman" w:cstheme="majorHAnsi"/>
          <w:bCs/>
          <w:noProof/>
          <w:sz w:val="22"/>
          <w:szCs w:val="22"/>
          <w:lang w:val="en-GB"/>
        </w:rPr>
        <w:t>(Fisher, 2007)</w:t>
      </w:r>
      <w:r w:rsidR="008127FD" w:rsidRPr="004E053C">
        <w:rPr>
          <w:rFonts w:eastAsia="Times New Roman" w:cstheme="majorHAnsi"/>
          <w:bCs/>
          <w:sz w:val="22"/>
          <w:szCs w:val="22"/>
          <w:lang w:val="en-GB"/>
        </w:rPr>
        <w:fldChar w:fldCharType="end"/>
      </w:r>
      <w:r w:rsidR="00620BB5" w:rsidRPr="004E053C">
        <w:rPr>
          <w:rFonts w:eastAsia="Times New Roman" w:cstheme="majorHAnsi"/>
          <w:bCs/>
          <w:sz w:val="22"/>
          <w:szCs w:val="22"/>
          <w:lang w:val="en-GB"/>
        </w:rPr>
        <w:t>.</w:t>
      </w:r>
      <w:r w:rsidR="006111A0" w:rsidRPr="004E053C">
        <w:rPr>
          <w:rFonts w:eastAsia="Times New Roman" w:cstheme="majorHAnsi"/>
          <w:bCs/>
          <w:sz w:val="22"/>
          <w:szCs w:val="22"/>
          <w:lang w:val="en-GB"/>
        </w:rPr>
        <w:t xml:space="preserve"> </w:t>
      </w:r>
      <w:r w:rsidR="006111A0" w:rsidRPr="004E053C">
        <w:rPr>
          <w:rFonts w:eastAsia="Times New Roman" w:cstheme="majorHAnsi"/>
          <w:sz w:val="22"/>
          <w:szCs w:val="22"/>
          <w:lang w:val="en-GB"/>
        </w:rPr>
        <w:t>This is certainly a problem in Madre de Dios, and</w:t>
      </w:r>
      <w:r w:rsidRPr="004E053C">
        <w:rPr>
          <w:rFonts w:eastAsia="Times New Roman" w:cstheme="majorHAnsi"/>
          <w:sz w:val="22"/>
          <w:szCs w:val="22"/>
          <w:lang w:val="en-GB"/>
        </w:rPr>
        <w:t xml:space="preserve"> NGOs </w:t>
      </w:r>
      <w:r w:rsidR="006111A0" w:rsidRPr="004E053C">
        <w:rPr>
          <w:rFonts w:eastAsia="Times New Roman" w:cstheme="majorHAnsi"/>
          <w:sz w:val="22"/>
          <w:szCs w:val="22"/>
          <w:lang w:val="en-GB"/>
        </w:rPr>
        <w:t>working on relevant issues to do with conservation and</w:t>
      </w:r>
      <w:r w:rsidRPr="004E053C">
        <w:rPr>
          <w:rFonts w:eastAsia="Times New Roman" w:cstheme="majorHAnsi"/>
          <w:sz w:val="22"/>
          <w:szCs w:val="22"/>
          <w:lang w:val="en-GB"/>
        </w:rPr>
        <w:t xml:space="preserve"> indigenous rights</w:t>
      </w:r>
      <w:r w:rsidR="006111A0" w:rsidRPr="004E053C">
        <w:rPr>
          <w:rFonts w:eastAsia="Times New Roman" w:cstheme="majorHAnsi"/>
          <w:sz w:val="22"/>
          <w:szCs w:val="22"/>
          <w:lang w:val="en-GB"/>
        </w:rPr>
        <w:t xml:space="preserve"> do not include miners in their activities</w:t>
      </w:r>
      <w:r w:rsidRPr="004E053C">
        <w:rPr>
          <w:rFonts w:eastAsia="Times New Roman" w:cstheme="majorHAnsi"/>
          <w:sz w:val="22"/>
          <w:szCs w:val="22"/>
          <w:lang w:val="en-GB"/>
        </w:rPr>
        <w:t>. Some NGO representati</w:t>
      </w:r>
      <w:r w:rsidR="006111A0" w:rsidRPr="004E053C">
        <w:rPr>
          <w:rFonts w:eastAsia="Times New Roman" w:cstheme="majorHAnsi"/>
          <w:sz w:val="22"/>
          <w:szCs w:val="22"/>
          <w:lang w:val="en-GB"/>
        </w:rPr>
        <w:t>ves say this is because they consider all miners as</w:t>
      </w:r>
      <w:r w:rsidRPr="004E053C">
        <w:rPr>
          <w:rFonts w:eastAsia="Times New Roman" w:cstheme="majorHAnsi"/>
          <w:sz w:val="22"/>
          <w:szCs w:val="22"/>
          <w:lang w:val="en-GB"/>
        </w:rPr>
        <w:t xml:space="preserve"> </w:t>
      </w:r>
      <w:r w:rsidR="006111A0" w:rsidRPr="004E053C">
        <w:rPr>
          <w:rFonts w:eastAsia="Times New Roman" w:cstheme="majorHAnsi"/>
          <w:sz w:val="22"/>
          <w:szCs w:val="22"/>
          <w:lang w:val="en-GB"/>
        </w:rPr>
        <w:t>illegal</w:t>
      </w:r>
      <w:r w:rsidRPr="004E053C">
        <w:rPr>
          <w:rFonts w:eastAsia="Times New Roman" w:cstheme="majorHAnsi"/>
          <w:sz w:val="22"/>
          <w:szCs w:val="22"/>
          <w:lang w:val="en-GB"/>
        </w:rPr>
        <w:t xml:space="preserve"> and </w:t>
      </w:r>
      <w:r w:rsidR="006111A0" w:rsidRPr="004E053C">
        <w:rPr>
          <w:rFonts w:eastAsia="Times New Roman" w:cstheme="majorHAnsi"/>
          <w:sz w:val="22"/>
          <w:szCs w:val="22"/>
          <w:lang w:val="en-GB"/>
        </w:rPr>
        <w:t xml:space="preserve">insist that they are simply not </w:t>
      </w:r>
      <w:r w:rsidR="004F01C2" w:rsidRPr="004E053C">
        <w:rPr>
          <w:rFonts w:eastAsia="Times New Roman" w:cstheme="majorHAnsi"/>
          <w:sz w:val="22"/>
          <w:szCs w:val="22"/>
          <w:lang w:val="en-GB"/>
        </w:rPr>
        <w:t>interested in compromising on</w:t>
      </w:r>
      <w:r w:rsidRPr="004E053C">
        <w:rPr>
          <w:rFonts w:eastAsia="Times New Roman" w:cstheme="majorHAnsi"/>
          <w:sz w:val="22"/>
          <w:szCs w:val="22"/>
          <w:lang w:val="en-GB"/>
        </w:rPr>
        <w:t xml:space="preserve"> protecting indigenous rights or the environment. </w:t>
      </w:r>
    </w:p>
    <w:p w14:paraId="49D5EA06" w14:textId="77777777" w:rsidR="003E574E" w:rsidRPr="004E053C" w:rsidRDefault="003E574E" w:rsidP="004E053C">
      <w:pPr>
        <w:spacing w:line="360" w:lineRule="auto"/>
        <w:jc w:val="both"/>
        <w:rPr>
          <w:rFonts w:eastAsia="Times New Roman" w:cstheme="majorHAnsi"/>
          <w:sz w:val="22"/>
          <w:szCs w:val="22"/>
          <w:lang w:val="en-GB"/>
        </w:rPr>
      </w:pPr>
    </w:p>
    <w:p w14:paraId="2E7FBB5A" w14:textId="77777777" w:rsidR="003E574E" w:rsidRPr="004E053C" w:rsidRDefault="003E574E" w:rsidP="004E053C">
      <w:pPr>
        <w:spacing w:line="360" w:lineRule="auto"/>
        <w:jc w:val="both"/>
        <w:rPr>
          <w:rFonts w:cstheme="majorHAnsi"/>
          <w:sz w:val="22"/>
          <w:szCs w:val="22"/>
          <w:lang w:val="en-GB"/>
        </w:rPr>
      </w:pPr>
      <w:r w:rsidRPr="004E053C">
        <w:rPr>
          <w:rFonts w:eastAsia="Times New Roman" w:cstheme="majorHAnsi"/>
          <w:sz w:val="22"/>
          <w:szCs w:val="22"/>
          <w:lang w:val="en-GB"/>
        </w:rPr>
        <w:t>Some NGOs do however paint the miners working within the mining corridor in a more positive light, explaining that the reason they don’t engage them directly when looking for conservation solutions is because the problem is too political and complicated. Some NGO representatives insisted that the major problem was the Government policy of interdictions, which was worsening the situation, yet said it was difficult for them to intervene. This issue was discussed by many of the miners as well as the NGO respondents, with one clearly emphasising the highly translocal nature of life in La Pampa as a key factor:</w:t>
      </w:r>
    </w:p>
    <w:p w14:paraId="754336FF" w14:textId="77777777" w:rsidR="003E574E" w:rsidRPr="004E053C" w:rsidRDefault="003E574E" w:rsidP="004E053C">
      <w:pPr>
        <w:spacing w:line="360" w:lineRule="auto"/>
        <w:jc w:val="both"/>
        <w:rPr>
          <w:rFonts w:cstheme="majorHAnsi"/>
          <w:sz w:val="22"/>
          <w:szCs w:val="22"/>
          <w:lang w:val="en-GB"/>
        </w:rPr>
      </w:pPr>
    </w:p>
    <w:p w14:paraId="2EA1C388" w14:textId="10E76745" w:rsidR="003E574E" w:rsidRPr="004E053C" w:rsidRDefault="003B5DCB" w:rsidP="004E053C">
      <w:pPr>
        <w:ind w:left="720"/>
        <w:jc w:val="both"/>
        <w:rPr>
          <w:rFonts w:cstheme="majorHAnsi"/>
          <w:sz w:val="22"/>
          <w:szCs w:val="22"/>
          <w:lang w:val="en-GB"/>
        </w:rPr>
      </w:pPr>
      <w:r w:rsidRPr="004E053C">
        <w:rPr>
          <w:rFonts w:cstheme="majorHAnsi"/>
          <w:sz w:val="22"/>
          <w:szCs w:val="22"/>
          <w:lang w:val="en-GB"/>
        </w:rPr>
        <w:t>‘</w:t>
      </w:r>
      <w:r w:rsidR="003E574E" w:rsidRPr="004E053C">
        <w:rPr>
          <w:rFonts w:cstheme="majorHAnsi"/>
          <w:i/>
          <w:sz w:val="22"/>
          <w:szCs w:val="22"/>
          <w:lang w:val="en-GB"/>
        </w:rPr>
        <w:t>There is a difference because places like Laberinto have miners which are more conscious about environmental issues and the productive things they are doing. In La Pampa, they don’t care about it and they won’t change their attitude. They don’t have their investments here, they have their investments in another place</w:t>
      </w:r>
      <w:r w:rsidRPr="004E053C">
        <w:rPr>
          <w:rFonts w:cstheme="majorHAnsi"/>
          <w:sz w:val="22"/>
          <w:szCs w:val="22"/>
          <w:lang w:val="en-GB"/>
        </w:rPr>
        <w:t>’</w:t>
      </w:r>
      <w:r w:rsidR="003E574E" w:rsidRPr="004E053C">
        <w:rPr>
          <w:rFonts w:cstheme="majorHAnsi"/>
          <w:sz w:val="22"/>
          <w:szCs w:val="22"/>
          <w:lang w:val="en-GB"/>
        </w:rPr>
        <w:t xml:space="preserve"> (NGO respondent, Puerto Maldonado)</w:t>
      </w:r>
      <w:r w:rsidR="00294FB4" w:rsidRPr="004E053C">
        <w:rPr>
          <w:rFonts w:cstheme="majorHAnsi"/>
          <w:sz w:val="22"/>
          <w:szCs w:val="22"/>
          <w:lang w:val="en-GB"/>
        </w:rPr>
        <w:t xml:space="preserve">. </w:t>
      </w:r>
    </w:p>
    <w:p w14:paraId="0ED70BA8" w14:textId="77777777" w:rsidR="003E574E" w:rsidRPr="004E053C" w:rsidRDefault="003E574E" w:rsidP="004E053C">
      <w:pPr>
        <w:spacing w:line="360" w:lineRule="auto"/>
        <w:jc w:val="both"/>
        <w:rPr>
          <w:rFonts w:eastAsia="Times New Roman" w:cstheme="majorHAnsi"/>
          <w:sz w:val="22"/>
          <w:szCs w:val="22"/>
          <w:lang w:val="en-GB"/>
        </w:rPr>
      </w:pPr>
    </w:p>
    <w:p w14:paraId="6AE6D7F0" w14:textId="57AF1058" w:rsidR="003E574E" w:rsidRPr="004E053C" w:rsidRDefault="003E574E" w:rsidP="004E053C">
      <w:pPr>
        <w:spacing w:line="360" w:lineRule="auto"/>
        <w:jc w:val="both"/>
        <w:rPr>
          <w:rFonts w:eastAsia="Times New Roman" w:cstheme="majorHAnsi"/>
          <w:sz w:val="22"/>
          <w:szCs w:val="22"/>
          <w:lang w:val="en-GB"/>
        </w:rPr>
      </w:pPr>
      <w:r w:rsidRPr="004E053C">
        <w:rPr>
          <w:rFonts w:eastAsia="Times New Roman" w:cstheme="majorHAnsi"/>
          <w:sz w:val="22"/>
          <w:szCs w:val="22"/>
          <w:lang w:val="en-GB"/>
        </w:rPr>
        <w:t>For their part, the miners focus on discrediting the work of local NGOs. One questioned why the Government put so many environmental NGOs i</w:t>
      </w:r>
      <w:r w:rsidR="00A14CC9" w:rsidRPr="004E053C">
        <w:rPr>
          <w:rFonts w:eastAsia="Times New Roman" w:cstheme="majorHAnsi"/>
          <w:sz w:val="22"/>
          <w:szCs w:val="22"/>
          <w:lang w:val="en-GB"/>
        </w:rPr>
        <w:t>n Madre de Dios when they were no</w:t>
      </w:r>
      <w:r w:rsidRPr="004E053C">
        <w:rPr>
          <w:rFonts w:eastAsia="Times New Roman" w:cstheme="majorHAnsi"/>
          <w:sz w:val="22"/>
          <w:szCs w:val="22"/>
          <w:lang w:val="en-GB"/>
        </w:rPr>
        <w:t xml:space="preserve">t doing anything – </w:t>
      </w:r>
      <w:r w:rsidR="003B5DCB" w:rsidRPr="004E053C">
        <w:rPr>
          <w:rFonts w:eastAsia="Times New Roman" w:cstheme="majorHAnsi"/>
          <w:sz w:val="22"/>
          <w:szCs w:val="22"/>
          <w:lang w:val="en-GB"/>
        </w:rPr>
        <w:t>‘</w:t>
      </w:r>
      <w:r w:rsidRPr="004E053C">
        <w:rPr>
          <w:rFonts w:eastAsia="Times New Roman" w:cstheme="majorHAnsi"/>
          <w:i/>
          <w:iCs/>
          <w:sz w:val="22"/>
          <w:szCs w:val="22"/>
          <w:lang w:val="en-GB"/>
        </w:rPr>
        <w:t>they just sit in their offices in Puerto Maldonado</w:t>
      </w:r>
      <w:r w:rsidR="003B5DCB" w:rsidRPr="004E053C">
        <w:rPr>
          <w:rFonts w:eastAsia="Times New Roman" w:cstheme="majorHAnsi"/>
          <w:sz w:val="22"/>
          <w:szCs w:val="22"/>
          <w:lang w:val="en-GB"/>
        </w:rPr>
        <w:t>’</w:t>
      </w:r>
      <w:r w:rsidR="002F346D" w:rsidRPr="004E053C">
        <w:rPr>
          <w:rFonts w:eastAsia="Times New Roman" w:cstheme="majorHAnsi"/>
          <w:sz w:val="22"/>
          <w:szCs w:val="22"/>
          <w:lang w:val="en-GB"/>
        </w:rPr>
        <w:t xml:space="preserve"> (</w:t>
      </w:r>
      <w:r w:rsidR="00EA7F80" w:rsidRPr="004E053C">
        <w:rPr>
          <w:rFonts w:eastAsia="Times New Roman" w:cstheme="majorHAnsi"/>
          <w:sz w:val="22"/>
          <w:szCs w:val="22"/>
          <w:lang w:val="en-GB"/>
        </w:rPr>
        <w:t>Diego</w:t>
      </w:r>
      <w:r w:rsidR="002F346D" w:rsidRPr="004E053C">
        <w:rPr>
          <w:rFonts w:eastAsia="Times New Roman" w:cstheme="majorHAnsi"/>
          <w:sz w:val="22"/>
          <w:szCs w:val="22"/>
          <w:lang w:val="en-GB"/>
        </w:rPr>
        <w:t>, ASM miner). As highlighted in the previous chapter, the</w:t>
      </w:r>
      <w:r w:rsidRPr="004E053C">
        <w:rPr>
          <w:rFonts w:eastAsia="Times New Roman" w:cstheme="majorHAnsi"/>
          <w:sz w:val="22"/>
          <w:szCs w:val="22"/>
          <w:lang w:val="en-GB"/>
        </w:rPr>
        <w:t xml:space="preserve"> experience miners have had with NGO workers in the past ha</w:t>
      </w:r>
      <w:r w:rsidR="003B5DCB" w:rsidRPr="004E053C">
        <w:rPr>
          <w:rFonts w:eastAsia="Times New Roman" w:cstheme="majorHAnsi"/>
          <w:sz w:val="22"/>
          <w:szCs w:val="22"/>
          <w:lang w:val="en-GB"/>
        </w:rPr>
        <w:t xml:space="preserve">s made them </w:t>
      </w:r>
      <w:r w:rsidR="003B5DCB" w:rsidRPr="004E053C">
        <w:rPr>
          <w:rFonts w:eastAsia="Times New Roman" w:cstheme="majorHAnsi"/>
          <w:sz w:val="22"/>
          <w:szCs w:val="22"/>
          <w:lang w:val="en-GB"/>
        </w:rPr>
        <w:lastRenderedPageBreak/>
        <w:t>incredibly wary of ‘foreigners’</w:t>
      </w:r>
      <w:r w:rsidRPr="004E053C">
        <w:rPr>
          <w:rFonts w:eastAsia="Times New Roman" w:cstheme="majorHAnsi"/>
          <w:sz w:val="22"/>
          <w:szCs w:val="22"/>
          <w:lang w:val="en-GB"/>
        </w:rPr>
        <w:t>, with this word used in this context qui</w:t>
      </w:r>
      <w:r w:rsidR="003B5DCB" w:rsidRPr="004E053C">
        <w:rPr>
          <w:rFonts w:eastAsia="Times New Roman" w:cstheme="majorHAnsi"/>
          <w:sz w:val="22"/>
          <w:szCs w:val="22"/>
          <w:lang w:val="en-GB"/>
        </w:rPr>
        <w:t>te differently from the mining ‘foreigners’</w:t>
      </w:r>
      <w:r w:rsidRPr="004E053C">
        <w:rPr>
          <w:rFonts w:eastAsia="Times New Roman" w:cstheme="majorHAnsi"/>
          <w:sz w:val="22"/>
          <w:szCs w:val="22"/>
          <w:lang w:val="en-GB"/>
        </w:rPr>
        <w:t xml:space="preserve"> who come to settle in the community short-term. In </w:t>
      </w:r>
      <w:r w:rsidR="006572D1" w:rsidRPr="004E053C">
        <w:rPr>
          <w:rFonts w:eastAsia="Times New Roman" w:cstheme="majorHAnsi"/>
          <w:sz w:val="22"/>
          <w:szCs w:val="22"/>
          <w:lang w:val="en-GB"/>
        </w:rPr>
        <w:t>Boca</w:t>
      </w:r>
      <w:r w:rsidR="002F346D" w:rsidRPr="004E053C">
        <w:rPr>
          <w:rFonts w:eastAsia="Times New Roman" w:cstheme="majorHAnsi"/>
          <w:sz w:val="22"/>
          <w:szCs w:val="22"/>
          <w:lang w:val="en-GB"/>
        </w:rPr>
        <w:t xml:space="preserve"> </w:t>
      </w:r>
      <w:r w:rsidRPr="004E053C">
        <w:rPr>
          <w:rFonts w:eastAsia="Times New Roman" w:cstheme="majorHAnsi"/>
          <w:sz w:val="22"/>
          <w:szCs w:val="22"/>
          <w:lang w:val="en-GB"/>
        </w:rPr>
        <w:t xml:space="preserve">Union in particular, the community members spoke of how they felt the need to protect each other from people who </w:t>
      </w:r>
      <w:r w:rsidR="009B49AE" w:rsidRPr="004E053C">
        <w:rPr>
          <w:rFonts w:eastAsia="Times New Roman" w:cstheme="majorHAnsi"/>
          <w:sz w:val="22"/>
          <w:szCs w:val="22"/>
          <w:lang w:val="en-GB"/>
        </w:rPr>
        <w:t>may be conservationists or the G</w:t>
      </w:r>
      <w:r w:rsidRPr="004E053C">
        <w:rPr>
          <w:rFonts w:eastAsia="Times New Roman" w:cstheme="majorHAnsi"/>
          <w:sz w:val="22"/>
          <w:szCs w:val="22"/>
          <w:lang w:val="en-GB"/>
        </w:rPr>
        <w:t xml:space="preserve">overnment just as much as if they were thieves who may rob them. </w:t>
      </w:r>
    </w:p>
    <w:p w14:paraId="34F6FCF6" w14:textId="77777777" w:rsidR="003E574E" w:rsidRPr="004E053C" w:rsidRDefault="003E574E" w:rsidP="004E053C">
      <w:pPr>
        <w:spacing w:line="360" w:lineRule="auto"/>
        <w:jc w:val="both"/>
        <w:rPr>
          <w:rFonts w:cstheme="majorHAnsi"/>
          <w:b/>
          <w:bCs/>
          <w:sz w:val="22"/>
          <w:szCs w:val="22"/>
          <w:lang w:val="en-GB"/>
        </w:rPr>
      </w:pPr>
    </w:p>
    <w:p w14:paraId="02533D11" w14:textId="2FB9CA0D" w:rsidR="003E574E" w:rsidRPr="004E053C" w:rsidRDefault="00EA7F83" w:rsidP="004E053C">
      <w:pPr>
        <w:pStyle w:val="Heading2"/>
        <w:spacing w:before="0" w:line="360" w:lineRule="auto"/>
        <w:jc w:val="both"/>
        <w:rPr>
          <w:rFonts w:cstheme="majorHAnsi"/>
          <w:lang w:val="en-GB"/>
        </w:rPr>
      </w:pPr>
      <w:bookmarkStart w:id="109" w:name="_Toc33293135"/>
      <w:r w:rsidRPr="004E053C">
        <w:rPr>
          <w:rFonts w:cstheme="majorHAnsi"/>
          <w:lang w:val="en-GB"/>
        </w:rPr>
        <w:t>9</w:t>
      </w:r>
      <w:r w:rsidR="005252FE" w:rsidRPr="004E053C">
        <w:rPr>
          <w:rFonts w:cstheme="majorHAnsi"/>
          <w:lang w:val="en-GB"/>
        </w:rPr>
        <w:t>.</w:t>
      </w:r>
      <w:r w:rsidR="0019375F" w:rsidRPr="004E053C">
        <w:rPr>
          <w:rFonts w:cstheme="majorHAnsi"/>
          <w:lang w:val="en-GB"/>
        </w:rPr>
        <w:t>8</w:t>
      </w:r>
      <w:r w:rsidR="003E574E" w:rsidRPr="004E053C">
        <w:rPr>
          <w:rFonts w:cstheme="majorHAnsi"/>
          <w:lang w:val="en-GB"/>
        </w:rPr>
        <w:t xml:space="preserve">. </w:t>
      </w:r>
      <w:r w:rsidR="00F444F5" w:rsidRPr="004E053C">
        <w:rPr>
          <w:rFonts w:cstheme="majorHAnsi"/>
          <w:lang w:val="en-GB"/>
        </w:rPr>
        <w:t>Summary</w:t>
      </w:r>
      <w:bookmarkEnd w:id="109"/>
    </w:p>
    <w:p w14:paraId="10C9E7EA" w14:textId="77777777" w:rsidR="004E053C" w:rsidRPr="004E053C" w:rsidRDefault="004E053C" w:rsidP="004E053C">
      <w:pPr>
        <w:spacing w:line="360" w:lineRule="auto"/>
        <w:jc w:val="both"/>
        <w:rPr>
          <w:rFonts w:cstheme="majorHAnsi"/>
          <w:b/>
          <w:bCs/>
          <w:sz w:val="22"/>
          <w:szCs w:val="22"/>
          <w:lang w:val="en-GB"/>
        </w:rPr>
      </w:pPr>
    </w:p>
    <w:p w14:paraId="7CCF8774" w14:textId="753B30F2"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Throughout the thesis, the </w:t>
      </w:r>
      <w:r w:rsidR="004E053C" w:rsidRPr="004E053C">
        <w:rPr>
          <w:rFonts w:cstheme="majorHAnsi"/>
          <w:sz w:val="22"/>
          <w:szCs w:val="22"/>
          <w:lang w:val="en-GB"/>
        </w:rPr>
        <w:t xml:space="preserve">spatial and </w:t>
      </w:r>
      <w:r w:rsidRPr="004E053C">
        <w:rPr>
          <w:rFonts w:cstheme="majorHAnsi"/>
          <w:sz w:val="22"/>
          <w:szCs w:val="22"/>
          <w:lang w:val="en-GB"/>
        </w:rPr>
        <w:t>temporal divergences in livelihood trajectories have been illustrated, with discus</w:t>
      </w:r>
      <w:r w:rsidR="00E85BA7" w:rsidRPr="004E053C">
        <w:rPr>
          <w:rFonts w:cstheme="majorHAnsi"/>
          <w:sz w:val="22"/>
          <w:szCs w:val="22"/>
          <w:lang w:val="en-GB"/>
        </w:rPr>
        <w:t>sion on how this creates temporal friction</w:t>
      </w:r>
      <w:r w:rsidRPr="004E053C">
        <w:rPr>
          <w:rFonts w:cstheme="majorHAnsi"/>
          <w:sz w:val="22"/>
          <w:szCs w:val="22"/>
          <w:lang w:val="en-GB"/>
        </w:rPr>
        <w:t xml:space="preserve"> within the translocal space that is constituted by ASM communities. This chapter has shown how the insecurity caused by both translocality and government interventions have led to the creation of a strong place-based identity, cemented by the shared perception of </w:t>
      </w:r>
      <w:r w:rsidR="0043783E" w:rsidRPr="004E053C">
        <w:rPr>
          <w:rFonts w:cstheme="majorHAnsi"/>
          <w:sz w:val="22"/>
          <w:szCs w:val="22"/>
          <w:lang w:val="en-GB"/>
        </w:rPr>
        <w:t>the threat to lives and livelihood</w:t>
      </w:r>
      <w:r w:rsidRPr="004E053C">
        <w:rPr>
          <w:rFonts w:cstheme="majorHAnsi"/>
          <w:sz w:val="22"/>
          <w:szCs w:val="22"/>
          <w:lang w:val="en-GB"/>
        </w:rPr>
        <w:t>. This shared identity is reflected in group narratives and discourses concerning the illegality of ASM a</w:t>
      </w:r>
      <w:r w:rsidR="009B49AE" w:rsidRPr="004E053C">
        <w:rPr>
          <w:rFonts w:cstheme="majorHAnsi"/>
          <w:sz w:val="22"/>
          <w:szCs w:val="22"/>
          <w:lang w:val="en-GB"/>
        </w:rPr>
        <w:t>ctivity, which seek to legitimis</w:t>
      </w:r>
      <w:r w:rsidRPr="004E053C">
        <w:rPr>
          <w:rFonts w:cstheme="majorHAnsi"/>
          <w:sz w:val="22"/>
          <w:szCs w:val="22"/>
          <w:lang w:val="en-GB"/>
        </w:rPr>
        <w:t>e in-group behavio</w:t>
      </w:r>
      <w:r w:rsidR="009B49AE" w:rsidRPr="004E053C">
        <w:rPr>
          <w:rFonts w:cstheme="majorHAnsi"/>
          <w:sz w:val="22"/>
          <w:szCs w:val="22"/>
          <w:lang w:val="en-GB"/>
        </w:rPr>
        <w:t>ur by both delegitimis</w:t>
      </w:r>
      <w:r w:rsidRPr="004E053C">
        <w:rPr>
          <w:rFonts w:cstheme="majorHAnsi"/>
          <w:sz w:val="22"/>
          <w:szCs w:val="22"/>
          <w:lang w:val="en-GB"/>
        </w:rPr>
        <w:t xml:space="preserve">ing dominant society </w:t>
      </w:r>
      <w:r w:rsidR="0043783E" w:rsidRPr="004E053C">
        <w:rPr>
          <w:rFonts w:cstheme="majorHAnsi"/>
          <w:sz w:val="22"/>
          <w:szCs w:val="22"/>
          <w:lang w:val="en-GB"/>
        </w:rPr>
        <w:t xml:space="preserve">and the field of power </w:t>
      </w:r>
      <w:r w:rsidRPr="004E053C">
        <w:rPr>
          <w:rFonts w:cstheme="majorHAnsi"/>
          <w:sz w:val="22"/>
          <w:szCs w:val="22"/>
          <w:lang w:val="en-GB"/>
        </w:rPr>
        <w:t xml:space="preserve">as well as positioning themselves against the less moral </w:t>
      </w:r>
      <w:r w:rsidR="003B5DCB" w:rsidRPr="004E053C">
        <w:rPr>
          <w:rFonts w:cstheme="majorHAnsi"/>
          <w:sz w:val="22"/>
          <w:szCs w:val="22"/>
          <w:lang w:val="en-GB"/>
        </w:rPr>
        <w:t>‘other’</w:t>
      </w:r>
      <w:r w:rsidRPr="004E053C">
        <w:rPr>
          <w:rFonts w:cstheme="majorHAnsi"/>
          <w:sz w:val="22"/>
          <w:szCs w:val="22"/>
          <w:lang w:val="en-GB"/>
        </w:rPr>
        <w:t xml:space="preserve"> miners. An und</w:t>
      </w:r>
      <w:r w:rsidR="009B49AE" w:rsidRPr="004E053C">
        <w:rPr>
          <w:rFonts w:cstheme="majorHAnsi"/>
          <w:sz w:val="22"/>
          <w:szCs w:val="22"/>
          <w:lang w:val="en-GB"/>
        </w:rPr>
        <w:t>erstanding of how the marginalis</w:t>
      </w:r>
      <w:r w:rsidRPr="004E053C">
        <w:rPr>
          <w:rFonts w:cstheme="majorHAnsi"/>
          <w:sz w:val="22"/>
          <w:szCs w:val="22"/>
          <w:lang w:val="en-GB"/>
        </w:rPr>
        <w:t xml:space="preserve">ation of ASM operatives, especially those who have developed strong place-attachment to mining communities and see them as home, can lead to a collective identity that actively resists government action is important for policy-makers who claim to be interested in bringing key stakeholders into dialogue regarding sustainable ASM practices. </w:t>
      </w:r>
    </w:p>
    <w:p w14:paraId="408C5A03" w14:textId="77777777" w:rsidR="003E574E" w:rsidRPr="004E053C" w:rsidRDefault="003E574E" w:rsidP="004E053C">
      <w:pPr>
        <w:spacing w:line="360" w:lineRule="auto"/>
        <w:jc w:val="both"/>
        <w:rPr>
          <w:rFonts w:cstheme="majorHAnsi"/>
          <w:sz w:val="22"/>
          <w:szCs w:val="22"/>
          <w:lang w:val="en-GB"/>
        </w:rPr>
      </w:pPr>
    </w:p>
    <w:p w14:paraId="6365FC14" w14:textId="4658D878"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 xml:space="preserve">Increasingly bureaucratic </w:t>
      </w:r>
      <w:r w:rsidR="00091107" w:rsidRPr="004E053C">
        <w:rPr>
          <w:rFonts w:cstheme="majorHAnsi"/>
          <w:sz w:val="22"/>
          <w:szCs w:val="22"/>
          <w:lang w:val="en-GB"/>
        </w:rPr>
        <w:t>formalisation</w:t>
      </w:r>
      <w:r w:rsidRPr="004E053C">
        <w:rPr>
          <w:rFonts w:cstheme="majorHAnsi"/>
          <w:sz w:val="22"/>
          <w:szCs w:val="22"/>
          <w:lang w:val="en-GB"/>
        </w:rPr>
        <w:t xml:space="preserve"> procedures and violent interdicti</w:t>
      </w:r>
      <w:r w:rsidR="009B49AE" w:rsidRPr="004E053C">
        <w:rPr>
          <w:rFonts w:cstheme="majorHAnsi"/>
          <w:sz w:val="22"/>
          <w:szCs w:val="22"/>
          <w:lang w:val="en-GB"/>
        </w:rPr>
        <w:t>ons is an attempt by the state G</w:t>
      </w:r>
      <w:r w:rsidRPr="004E053C">
        <w:rPr>
          <w:rFonts w:cstheme="majorHAnsi"/>
          <w:sz w:val="22"/>
          <w:szCs w:val="22"/>
          <w:lang w:val="en-GB"/>
        </w:rPr>
        <w:t>overnment to regain control of a situation it has clearly lost control of, but in some case</w:t>
      </w:r>
      <w:r w:rsidR="00DE5D90" w:rsidRPr="004E053C">
        <w:rPr>
          <w:rFonts w:cstheme="majorHAnsi"/>
          <w:sz w:val="22"/>
          <w:szCs w:val="22"/>
          <w:lang w:val="en-GB"/>
        </w:rPr>
        <w:t xml:space="preserve">s the duel </w:t>
      </w:r>
      <w:r w:rsidR="0043783E" w:rsidRPr="004E053C">
        <w:rPr>
          <w:rFonts w:cstheme="majorHAnsi"/>
          <w:sz w:val="22"/>
          <w:szCs w:val="22"/>
          <w:lang w:val="en-GB"/>
        </w:rPr>
        <w:t>effect is contradictory</w:t>
      </w:r>
      <w:r w:rsidRPr="004E053C">
        <w:rPr>
          <w:rFonts w:cstheme="majorHAnsi"/>
          <w:sz w:val="22"/>
          <w:szCs w:val="22"/>
          <w:lang w:val="en-GB"/>
        </w:rPr>
        <w:t xml:space="preserve">, with those miners who are trying to </w:t>
      </w:r>
      <w:r w:rsidR="00091107" w:rsidRPr="004E053C">
        <w:rPr>
          <w:rFonts w:cstheme="majorHAnsi"/>
          <w:sz w:val="22"/>
          <w:szCs w:val="22"/>
          <w:lang w:val="en-GB"/>
        </w:rPr>
        <w:t>formalise</w:t>
      </w:r>
      <w:r w:rsidRPr="004E053C">
        <w:rPr>
          <w:rFonts w:cstheme="majorHAnsi"/>
          <w:sz w:val="22"/>
          <w:szCs w:val="22"/>
          <w:lang w:val="en-GB"/>
        </w:rPr>
        <w:t xml:space="preserve"> often being targeted. At the same time, this action has been accompanied by increa</w:t>
      </w:r>
      <w:r w:rsidR="004E053C" w:rsidRPr="004E053C">
        <w:rPr>
          <w:rFonts w:cstheme="majorHAnsi"/>
          <w:sz w:val="22"/>
          <w:szCs w:val="22"/>
          <w:lang w:val="en-GB"/>
        </w:rPr>
        <w:t>singly hostile public discourse</w:t>
      </w:r>
      <w:r w:rsidRPr="004E053C">
        <w:rPr>
          <w:rFonts w:cstheme="majorHAnsi"/>
          <w:sz w:val="22"/>
          <w:szCs w:val="22"/>
          <w:lang w:val="en-GB"/>
        </w:rPr>
        <w:t>, which portray</w:t>
      </w:r>
      <w:r w:rsidR="004E053C" w:rsidRPr="004E053C">
        <w:rPr>
          <w:rFonts w:cstheme="majorHAnsi"/>
          <w:sz w:val="22"/>
          <w:szCs w:val="22"/>
          <w:lang w:val="en-GB"/>
        </w:rPr>
        <w:t>s</w:t>
      </w:r>
      <w:r w:rsidRPr="004E053C">
        <w:rPr>
          <w:rFonts w:cstheme="majorHAnsi"/>
          <w:sz w:val="22"/>
          <w:szCs w:val="22"/>
          <w:lang w:val="en-GB"/>
        </w:rPr>
        <w:t xml:space="preserve"> all ASM miners in Madre de Dios as criminals. Such action can be seen as an attempt to change the logic of the social field and rules of the game</w:t>
      </w:r>
      <w:r w:rsidR="0043783E" w:rsidRPr="004E053C">
        <w:rPr>
          <w:rFonts w:cstheme="majorHAnsi"/>
          <w:sz w:val="22"/>
          <w:szCs w:val="22"/>
          <w:lang w:val="en-GB"/>
        </w:rPr>
        <w:t>, which has resulted in serious</w:t>
      </w:r>
      <w:r w:rsidRPr="004E053C">
        <w:rPr>
          <w:rFonts w:cstheme="majorHAnsi"/>
          <w:sz w:val="22"/>
          <w:szCs w:val="22"/>
          <w:lang w:val="en-GB"/>
        </w:rPr>
        <w:t xml:space="preserve"> conte</w:t>
      </w:r>
      <w:r w:rsidR="0043783E" w:rsidRPr="004E053C">
        <w:rPr>
          <w:rFonts w:cstheme="majorHAnsi"/>
          <w:sz w:val="22"/>
          <w:szCs w:val="22"/>
          <w:lang w:val="en-GB"/>
        </w:rPr>
        <w:t xml:space="preserve">stations. </w:t>
      </w:r>
      <w:r w:rsidRPr="004E053C">
        <w:rPr>
          <w:rFonts w:cstheme="majorHAnsi"/>
          <w:sz w:val="22"/>
          <w:szCs w:val="22"/>
          <w:lang w:val="en-GB"/>
        </w:rPr>
        <w:t xml:space="preserve">This chapter has shown how the contestations in this context can be directly </w:t>
      </w:r>
      <w:r w:rsidR="0043783E" w:rsidRPr="004E053C">
        <w:rPr>
          <w:rFonts w:cstheme="majorHAnsi"/>
          <w:sz w:val="22"/>
          <w:szCs w:val="22"/>
          <w:lang w:val="en-GB"/>
        </w:rPr>
        <w:t xml:space="preserve">linked </w:t>
      </w:r>
      <w:r w:rsidR="00AD58B1" w:rsidRPr="004E053C">
        <w:rPr>
          <w:rFonts w:cstheme="majorHAnsi"/>
          <w:sz w:val="22"/>
          <w:szCs w:val="22"/>
          <w:lang w:val="en-GB"/>
        </w:rPr>
        <w:t>to the effects of labelling, and</w:t>
      </w:r>
      <w:r w:rsidRPr="004E053C">
        <w:rPr>
          <w:rFonts w:cstheme="majorHAnsi"/>
          <w:sz w:val="22"/>
          <w:szCs w:val="22"/>
          <w:lang w:val="en-GB"/>
        </w:rPr>
        <w:t xml:space="preserve"> Cohen </w:t>
      </w:r>
      <w:r w:rsidR="008127FD"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{"citationItems":[{"id":"ITEM-1","itemData":{"author":[{"dropping-particle":"","family":"Cohen","given":"Albert K","non-dropping-particle":"","parse-names":false,"suffix":""}],"container-title":"American Sociological Review","id":"ITEM-1","issue":"1","issued":{"date-parts":[["1965"]]},"page":"5-14","title":"The sociology of the deviant act: anomie theory and beyond","type":"article-journal","volume":"30"},"uris":["http://www.mendeley.com/documents/?uuid=c1c2c79d-efa2-4293-a531-e2f85a0cf3a3"]}],"mendeley":{"formattedCitation":"(Cohen, 1965)","manualFormatting":"(1965)","plainTextFormattedCitation":"(Cohen, 1965)","previouslyFormattedCitation":"(Cohen, 1965)"},"properties":{"noteIndex":0},"schema":"https://github.com/citation-style-language/schema/raw/master/csl-citation.json"}</w:instrText>
      </w:r>
      <w:r w:rsidR="008127FD" w:rsidRPr="004E053C">
        <w:rPr>
          <w:rFonts w:cstheme="majorHAnsi"/>
          <w:sz w:val="22"/>
          <w:szCs w:val="22"/>
          <w:lang w:val="en-GB"/>
        </w:rPr>
        <w:fldChar w:fldCharType="separate"/>
      </w:r>
      <w:r w:rsidR="008127FD" w:rsidRPr="004E053C">
        <w:rPr>
          <w:rFonts w:cstheme="majorHAnsi"/>
          <w:noProof/>
          <w:sz w:val="22"/>
          <w:szCs w:val="22"/>
          <w:lang w:val="en-GB"/>
        </w:rPr>
        <w:t>(1965)</w:t>
      </w:r>
      <w:r w:rsidR="008127FD" w:rsidRPr="004E053C">
        <w:rPr>
          <w:rFonts w:cstheme="majorHAnsi"/>
          <w:sz w:val="22"/>
          <w:szCs w:val="22"/>
          <w:lang w:val="en-GB"/>
        </w:rPr>
        <w:fldChar w:fldCharType="end"/>
      </w:r>
      <w:r w:rsidRPr="004E053C">
        <w:rPr>
          <w:rFonts w:cstheme="majorHAnsi"/>
          <w:sz w:val="22"/>
          <w:szCs w:val="22"/>
          <w:lang w:val="en-GB"/>
        </w:rPr>
        <w:t xml:space="preserve"> </w:t>
      </w:r>
      <w:r w:rsidR="00AD58B1" w:rsidRPr="004E053C">
        <w:rPr>
          <w:rFonts w:cstheme="majorHAnsi"/>
          <w:sz w:val="22"/>
          <w:szCs w:val="22"/>
          <w:lang w:val="en-GB"/>
        </w:rPr>
        <w:t xml:space="preserve">has previously </w:t>
      </w:r>
      <w:r w:rsidRPr="004E053C">
        <w:rPr>
          <w:rFonts w:cstheme="majorHAnsi"/>
          <w:sz w:val="22"/>
          <w:szCs w:val="22"/>
          <w:lang w:val="en-GB"/>
        </w:rPr>
        <w:t xml:space="preserve">argued that labelling individuals or groups as criminals elicits an appropriate response from those that have been labelled. This has become particularly salient due to the external threats to life and livelihood that have led to a unifying ideology around place. A key reason for this is that the miners working within the </w:t>
      </w:r>
      <w:r w:rsidRPr="004E053C">
        <w:rPr>
          <w:rFonts w:cstheme="majorHAnsi"/>
          <w:i/>
          <w:iCs/>
          <w:sz w:val="22"/>
          <w:szCs w:val="22"/>
          <w:lang w:val="en-GB"/>
        </w:rPr>
        <w:t>Corridor Minero</w:t>
      </w:r>
      <w:r w:rsidRPr="004E053C">
        <w:rPr>
          <w:rFonts w:cstheme="majorHAnsi"/>
          <w:sz w:val="22"/>
          <w:szCs w:val="22"/>
          <w:lang w:val="en-GB"/>
        </w:rPr>
        <w:t xml:space="preserve"> make a clear spatial distinction between themselves and</w:t>
      </w:r>
      <w:r w:rsidR="009B49AE" w:rsidRPr="004E053C">
        <w:rPr>
          <w:rFonts w:cstheme="majorHAnsi"/>
          <w:sz w:val="22"/>
          <w:szCs w:val="22"/>
          <w:lang w:val="en-GB"/>
        </w:rPr>
        <w:t xml:space="preserve"> the miners working within the National P</w:t>
      </w:r>
      <w:r w:rsidRPr="004E053C">
        <w:rPr>
          <w:rFonts w:cstheme="majorHAnsi"/>
          <w:sz w:val="22"/>
          <w:szCs w:val="22"/>
          <w:lang w:val="en-GB"/>
        </w:rPr>
        <w:t xml:space="preserve">ark buffer zone, yet this distinction seems to be largely ignored in public discourse and government policy. </w:t>
      </w:r>
    </w:p>
    <w:p w14:paraId="67E61646" w14:textId="77777777" w:rsidR="002A7BAB" w:rsidRPr="004E053C" w:rsidRDefault="002A7BAB" w:rsidP="004E053C">
      <w:pPr>
        <w:spacing w:line="360" w:lineRule="auto"/>
        <w:jc w:val="both"/>
        <w:rPr>
          <w:rFonts w:cstheme="majorHAnsi"/>
          <w:sz w:val="22"/>
          <w:szCs w:val="22"/>
          <w:lang w:val="en-GB"/>
        </w:rPr>
      </w:pPr>
    </w:p>
    <w:p w14:paraId="790B38FA" w14:textId="575795D0" w:rsidR="003E574E" w:rsidRPr="004E053C" w:rsidRDefault="003E574E" w:rsidP="004E053C">
      <w:pPr>
        <w:spacing w:line="360" w:lineRule="auto"/>
        <w:jc w:val="both"/>
        <w:rPr>
          <w:rFonts w:cstheme="majorHAnsi"/>
          <w:sz w:val="22"/>
          <w:szCs w:val="22"/>
          <w:lang w:val="en-GB"/>
        </w:rPr>
      </w:pPr>
      <w:r w:rsidRPr="004E053C">
        <w:rPr>
          <w:rFonts w:cstheme="majorHAnsi"/>
          <w:sz w:val="22"/>
          <w:szCs w:val="22"/>
          <w:lang w:val="en-GB"/>
        </w:rPr>
        <w:t>I have shown that the geo</w:t>
      </w:r>
      <w:r w:rsidR="00AD58B1" w:rsidRPr="004E053C">
        <w:rPr>
          <w:rFonts w:cstheme="majorHAnsi"/>
          <w:sz w:val="22"/>
          <w:szCs w:val="22"/>
          <w:lang w:val="en-GB"/>
        </w:rPr>
        <w:t>graphical location of Laberinto, and particularly its distinction from La Pampa, has become a</w:t>
      </w:r>
      <w:r w:rsidRPr="004E053C">
        <w:rPr>
          <w:rFonts w:cstheme="majorHAnsi"/>
          <w:sz w:val="22"/>
          <w:szCs w:val="22"/>
          <w:lang w:val="en-GB"/>
        </w:rPr>
        <w:t xml:space="preserve"> crucial aspect o</w:t>
      </w:r>
      <w:r w:rsidR="00AD58B1" w:rsidRPr="004E053C">
        <w:rPr>
          <w:rFonts w:cstheme="majorHAnsi"/>
          <w:sz w:val="22"/>
          <w:szCs w:val="22"/>
          <w:lang w:val="en-GB"/>
        </w:rPr>
        <w:t>f collective-identity. This</w:t>
      </w:r>
      <w:r w:rsidRPr="004E053C">
        <w:rPr>
          <w:rFonts w:cstheme="majorHAnsi"/>
          <w:sz w:val="22"/>
          <w:szCs w:val="22"/>
          <w:lang w:val="en-GB"/>
        </w:rPr>
        <w:t xml:space="preserve"> is reflected heavily in discourses of illegality that seek to provide spatial justifications for mining activity. The close working environment of ASM also lends itself to the </w:t>
      </w:r>
      <w:r w:rsidR="00AD58B1" w:rsidRPr="004E053C">
        <w:rPr>
          <w:rFonts w:cstheme="majorHAnsi"/>
          <w:sz w:val="22"/>
          <w:szCs w:val="22"/>
          <w:lang w:val="en-GB"/>
        </w:rPr>
        <w:t xml:space="preserve">development </w:t>
      </w:r>
      <w:r w:rsidR="00DE5D90" w:rsidRPr="004E053C">
        <w:rPr>
          <w:rFonts w:cstheme="majorHAnsi"/>
          <w:sz w:val="22"/>
          <w:szCs w:val="22"/>
          <w:lang w:val="en-GB"/>
        </w:rPr>
        <w:t xml:space="preserve">of </w:t>
      </w:r>
      <w:r w:rsidRPr="004E053C">
        <w:rPr>
          <w:rFonts w:cstheme="majorHAnsi"/>
          <w:sz w:val="22"/>
          <w:szCs w:val="22"/>
          <w:lang w:val="en-GB"/>
        </w:rPr>
        <w:t>strong professional relationships, and it is important to note that place is heavily associated with liveliho</w:t>
      </w:r>
      <w:r w:rsidR="00AD58B1" w:rsidRPr="004E053C">
        <w:rPr>
          <w:rFonts w:cstheme="majorHAnsi"/>
          <w:sz w:val="22"/>
          <w:szCs w:val="22"/>
          <w:lang w:val="en-GB"/>
        </w:rPr>
        <w:t>od for multiple reasons. Moreover</w:t>
      </w:r>
      <w:r w:rsidRPr="004E053C">
        <w:rPr>
          <w:rFonts w:cstheme="majorHAnsi"/>
          <w:sz w:val="22"/>
          <w:szCs w:val="22"/>
          <w:lang w:val="en-GB"/>
        </w:rPr>
        <w:t xml:space="preserve">, as Cross and Hernandez </w:t>
      </w:r>
      <w:r w:rsidR="008127FD"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{"citationItems":[{"id":"ITEM-1","itemData":{"abstract":"Cities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 Cities invariably have ?gray? areas where formal policing and regulatory reach is relatively ineffective. By focusing on individuals or groups traditional theories of deviance fail to account for community-level processes that create local alternative norms that contribute to behavior seen as deviant by outsiders. By combining theories of space with issues of identity construction and deviance, we analyze an inner-city neighborhood in Mexico City in terms of four factors: Structural Location, Material Form, Meaningfulness, and Organizational Integration. This creates a model for understanding forms of deviance that are rooted in community processes of resistance to the dominant normative system.","author":[{"dropping-particle":"","family":"Cross","given":"John C","non-dropping-particle":"","parse-names":false,"suffix":""},{"dropping-particle":"","family":"Hernández","given":"Alfonso Hernández","non-dropping-particle":"","parse-names":false,"suffix":""}],"container-title":"Deviant Behavior","id":"ITEM-1","issue":"6","issued":{"date-parts":[["2011"]]},"page":"503-537","title":"Place, identity, and deviance: a community-based approach to understanding the relationship between deviance and place","type":"article-journal","volume":"32"},"uris":["http://www.mendeley.com/documents/?uuid=077178fa-dc54-49b3-aa57-f319ce0226c5"]}],"mendeley":{"formattedCitation":"(J. C. Cross &amp; Hernández, 2011)","manualFormatting":"(2011)","plainTextFormattedCitation":"(J. C. Cross &amp; Hernández, 2011)","previouslyFormattedCitation":"(J. C. Cross &amp; Hernández, 2011)"},"properties":{"noteIndex":0},"schema":"https://github.com/citation-style-language/schema/raw/master/csl-citation.json"}</w:instrText>
      </w:r>
      <w:r w:rsidR="008127FD" w:rsidRPr="004E053C">
        <w:rPr>
          <w:rFonts w:cstheme="majorHAnsi"/>
          <w:sz w:val="22"/>
          <w:szCs w:val="22"/>
          <w:lang w:val="en-GB"/>
        </w:rPr>
        <w:fldChar w:fldCharType="separate"/>
      </w:r>
      <w:r w:rsidR="008127FD" w:rsidRPr="004E053C">
        <w:rPr>
          <w:rFonts w:cstheme="majorHAnsi"/>
          <w:noProof/>
          <w:sz w:val="22"/>
          <w:szCs w:val="22"/>
          <w:lang w:val="en-GB"/>
        </w:rPr>
        <w:t>(2011)</w:t>
      </w:r>
      <w:r w:rsidR="008127FD" w:rsidRPr="004E053C">
        <w:rPr>
          <w:rFonts w:cstheme="majorHAnsi"/>
          <w:sz w:val="22"/>
          <w:szCs w:val="22"/>
          <w:lang w:val="en-GB"/>
        </w:rPr>
        <w:fldChar w:fldCharType="end"/>
      </w:r>
      <w:r w:rsidRPr="004E053C">
        <w:rPr>
          <w:rFonts w:cstheme="majorHAnsi"/>
          <w:sz w:val="22"/>
          <w:szCs w:val="22"/>
          <w:lang w:val="en-GB"/>
        </w:rPr>
        <w:t xml:space="preserve"> have</w:t>
      </w:r>
      <w:r w:rsidR="00AD58B1" w:rsidRPr="004E053C">
        <w:rPr>
          <w:rFonts w:cstheme="majorHAnsi"/>
          <w:sz w:val="22"/>
          <w:szCs w:val="22"/>
          <w:lang w:val="en-GB"/>
        </w:rPr>
        <w:t xml:space="preserve"> shown in other contexts, </w:t>
      </w:r>
      <w:r w:rsidRPr="004E053C">
        <w:rPr>
          <w:rFonts w:cstheme="majorHAnsi"/>
          <w:sz w:val="22"/>
          <w:szCs w:val="22"/>
          <w:lang w:val="en-GB"/>
        </w:rPr>
        <w:t xml:space="preserve">the presence of a unifying ideology, in this case the threat to life and livelihood, </w:t>
      </w:r>
      <w:r w:rsidR="00AD58B1" w:rsidRPr="004E053C">
        <w:rPr>
          <w:rFonts w:cstheme="majorHAnsi"/>
          <w:sz w:val="22"/>
          <w:szCs w:val="22"/>
          <w:lang w:val="en-GB"/>
        </w:rPr>
        <w:t>has contributed to the emergence of a</w:t>
      </w:r>
      <w:r w:rsidRPr="004E053C">
        <w:rPr>
          <w:rFonts w:cstheme="majorHAnsi"/>
          <w:sz w:val="22"/>
          <w:szCs w:val="22"/>
          <w:lang w:val="en-GB"/>
        </w:rPr>
        <w:t xml:space="preserve"> strong collective identity. This is clearly reflected in </w:t>
      </w:r>
      <w:r w:rsidR="00AD58B1" w:rsidRPr="004E053C">
        <w:rPr>
          <w:rFonts w:cstheme="majorHAnsi"/>
          <w:sz w:val="22"/>
          <w:szCs w:val="22"/>
          <w:lang w:val="en-GB"/>
        </w:rPr>
        <w:t>the narratives of</w:t>
      </w:r>
      <w:r w:rsidRPr="004E053C">
        <w:rPr>
          <w:rFonts w:cstheme="majorHAnsi"/>
          <w:sz w:val="22"/>
          <w:szCs w:val="22"/>
          <w:lang w:val="en-GB"/>
        </w:rPr>
        <w:t xml:space="preserve"> residents of Laberinto and elsewhere within the </w:t>
      </w:r>
      <w:r w:rsidRPr="004E053C">
        <w:rPr>
          <w:rFonts w:cstheme="majorHAnsi"/>
          <w:i/>
          <w:iCs/>
          <w:sz w:val="22"/>
          <w:szCs w:val="22"/>
          <w:lang w:val="en-GB"/>
        </w:rPr>
        <w:t xml:space="preserve">Corridor Minero, </w:t>
      </w:r>
      <w:r w:rsidRPr="004E053C">
        <w:rPr>
          <w:rFonts w:cstheme="majorHAnsi"/>
          <w:sz w:val="22"/>
          <w:szCs w:val="22"/>
          <w:lang w:val="en-GB"/>
        </w:rPr>
        <w:t>in wh</w:t>
      </w:r>
      <w:r w:rsidR="009B49AE" w:rsidRPr="004E053C">
        <w:rPr>
          <w:rFonts w:cstheme="majorHAnsi"/>
          <w:sz w:val="22"/>
          <w:szCs w:val="22"/>
          <w:lang w:val="en-GB"/>
        </w:rPr>
        <w:t>ich several methods of neutralis</w:t>
      </w:r>
      <w:r w:rsidRPr="004E053C">
        <w:rPr>
          <w:rFonts w:cstheme="majorHAnsi"/>
          <w:sz w:val="22"/>
          <w:szCs w:val="22"/>
          <w:lang w:val="en-GB"/>
        </w:rPr>
        <w:t xml:space="preserve">ation </w:t>
      </w:r>
      <w:r w:rsidR="008127FD" w:rsidRPr="004E053C">
        <w:rPr>
          <w:rFonts w:cstheme="majorHAnsi"/>
          <w:sz w:val="22"/>
          <w:szCs w:val="22"/>
          <w:lang w:val="en-GB"/>
        </w:rPr>
        <w:fldChar w:fldCharType="begin" w:fldLock="1"/>
      </w:r>
      <w:r w:rsidR="0004146F" w:rsidRPr="004E053C">
        <w:rPr>
          <w:rFonts w:cstheme="majorHAnsi"/>
          <w:sz w:val="22"/>
          <w:szCs w:val="22"/>
          <w:lang w:val="en-GB"/>
        </w:rPr>
        <w:instrText>ADDIN CSL_CITATION {"citationItems":[{"id":"ITEM-1","itemData":{"author":[{"dropping-particle":"","family":"Sykes","given":"Gresham M","non-dropping-particle":"","parse-names":false,"suffix":""},{"dropping-particle":"","family":"Matza","given":"David","non-dropping-particle":"","parse-names":false,"suffix":""}],"container-title":"American Sociological Review","id":"ITEM-1","issue":"6","issued":{"date-parts":[["1957"]]},"page":"664-670","title":"Techniques of neutralization: a theory of delinquency","type":"article-journal","volume":"22"},"uris":["http://www.mendeley.com/documents/?uuid=4564a176-a7ed-4562-a9a7-7e232d4c5ac5"]}],"mendeley":{"formattedCitation":"(Sykes &amp; Matza, 1957)","plainTextFormattedCitation":"(Sykes &amp; Matza, 1957)","previouslyFormattedCitation":"(Sykes &amp; Matza, 1957)"},"properties":{"noteIndex":0},"schema":"https://github.com/citation-style-language/schema/raw/master/csl-citation.json"}</w:instrText>
      </w:r>
      <w:r w:rsidR="008127FD" w:rsidRPr="004E053C">
        <w:rPr>
          <w:rFonts w:cstheme="majorHAnsi"/>
          <w:sz w:val="22"/>
          <w:szCs w:val="22"/>
          <w:lang w:val="en-GB"/>
        </w:rPr>
        <w:fldChar w:fldCharType="separate"/>
      </w:r>
      <w:r w:rsidR="008127FD" w:rsidRPr="004E053C">
        <w:rPr>
          <w:rFonts w:cstheme="majorHAnsi"/>
          <w:noProof/>
          <w:sz w:val="22"/>
          <w:szCs w:val="22"/>
          <w:lang w:val="en-GB"/>
        </w:rPr>
        <w:t>(Sykes &amp; Matza, 1957)</w:t>
      </w:r>
      <w:r w:rsidR="008127FD" w:rsidRPr="004E053C">
        <w:rPr>
          <w:rFonts w:cstheme="majorHAnsi"/>
          <w:sz w:val="22"/>
          <w:szCs w:val="22"/>
          <w:lang w:val="en-GB"/>
        </w:rPr>
        <w:fldChar w:fldCharType="end"/>
      </w:r>
      <w:r w:rsidRPr="004E053C">
        <w:rPr>
          <w:rFonts w:cstheme="majorHAnsi"/>
          <w:sz w:val="22"/>
          <w:szCs w:val="22"/>
          <w:lang w:val="en-GB"/>
        </w:rPr>
        <w:t xml:space="preserve"> are evident as the residents attempt to contest the norms of the dominant society that are restricting livelihood practices in the social field.</w:t>
      </w:r>
      <w:r w:rsidR="00AD58B1" w:rsidRPr="004E053C">
        <w:rPr>
          <w:rFonts w:cstheme="majorHAnsi"/>
          <w:sz w:val="22"/>
          <w:szCs w:val="22"/>
          <w:lang w:val="en-GB"/>
        </w:rPr>
        <w:t xml:space="preserve"> I have also highlighted the fact that these</w:t>
      </w:r>
      <w:r w:rsidRPr="004E053C">
        <w:rPr>
          <w:rFonts w:cstheme="majorHAnsi"/>
          <w:sz w:val="22"/>
          <w:szCs w:val="22"/>
          <w:lang w:val="en-GB"/>
        </w:rPr>
        <w:t xml:space="preserve"> discour</w:t>
      </w:r>
      <w:r w:rsidR="00AD58B1" w:rsidRPr="004E053C">
        <w:rPr>
          <w:rFonts w:cstheme="majorHAnsi"/>
          <w:sz w:val="22"/>
          <w:szCs w:val="22"/>
          <w:lang w:val="en-GB"/>
        </w:rPr>
        <w:t>ses are not shared by temporary and floating</w:t>
      </w:r>
      <w:r w:rsidRPr="004E053C">
        <w:rPr>
          <w:rFonts w:cstheme="majorHAnsi"/>
          <w:sz w:val="22"/>
          <w:szCs w:val="22"/>
          <w:lang w:val="en-GB"/>
        </w:rPr>
        <w:t xml:space="preserve"> miners, as </w:t>
      </w:r>
      <w:r w:rsidR="00AD58B1" w:rsidRPr="004E053C">
        <w:rPr>
          <w:rFonts w:cstheme="majorHAnsi"/>
          <w:sz w:val="22"/>
          <w:szCs w:val="22"/>
          <w:lang w:val="en-GB"/>
        </w:rPr>
        <w:t>the translocality of their livelihood means they are less</w:t>
      </w:r>
      <w:r w:rsidRPr="004E053C">
        <w:rPr>
          <w:rFonts w:cstheme="majorHAnsi"/>
          <w:sz w:val="22"/>
          <w:szCs w:val="22"/>
          <w:lang w:val="en-GB"/>
        </w:rPr>
        <w:t xml:space="preserve"> threatened by the external threats posed by changes in government policy, especially those which seem designed to remove people from a specific location. </w:t>
      </w:r>
    </w:p>
    <w:p w14:paraId="3E95D0E5" w14:textId="77777777" w:rsidR="003E574E" w:rsidRPr="004E053C" w:rsidRDefault="003E574E" w:rsidP="004E053C">
      <w:pPr>
        <w:spacing w:line="360" w:lineRule="auto"/>
        <w:jc w:val="both"/>
        <w:rPr>
          <w:rFonts w:cstheme="majorHAnsi"/>
          <w:sz w:val="22"/>
          <w:szCs w:val="22"/>
          <w:lang w:val="en-GB"/>
        </w:rPr>
      </w:pPr>
    </w:p>
    <w:p w14:paraId="147BC79F" w14:textId="77777777" w:rsidR="003E574E" w:rsidRPr="004E053C" w:rsidRDefault="003E574E" w:rsidP="004E053C">
      <w:pPr>
        <w:spacing w:line="360" w:lineRule="auto"/>
        <w:jc w:val="both"/>
        <w:rPr>
          <w:rFonts w:cstheme="majorHAnsi"/>
          <w:sz w:val="22"/>
          <w:szCs w:val="22"/>
          <w:lang w:val="en-GB"/>
        </w:rPr>
      </w:pPr>
    </w:p>
    <w:p w14:paraId="6BA5DDD9" w14:textId="77777777" w:rsidR="003E574E" w:rsidRPr="004E053C" w:rsidRDefault="003E574E" w:rsidP="004E053C">
      <w:pPr>
        <w:spacing w:line="360" w:lineRule="auto"/>
        <w:jc w:val="both"/>
        <w:rPr>
          <w:rFonts w:cstheme="majorHAnsi"/>
          <w:color w:val="FF0000"/>
          <w:sz w:val="22"/>
          <w:szCs w:val="22"/>
          <w:lang w:val="en-GB"/>
        </w:rPr>
        <w:sectPr w:rsidR="003E574E" w:rsidRPr="004E053C">
          <w:pgSz w:w="11906" w:h="16838"/>
          <w:pgMar w:top="1440" w:right="1440" w:bottom="1440" w:left="1440" w:header="708" w:footer="708" w:gutter="0"/>
          <w:cols w:space="708"/>
          <w:docGrid w:linePitch="360"/>
        </w:sectPr>
      </w:pPr>
    </w:p>
    <w:p w14:paraId="107DF66F" w14:textId="77777777" w:rsidR="00C929E4" w:rsidRPr="004E053C" w:rsidRDefault="00C929E4" w:rsidP="004E053C">
      <w:pPr>
        <w:pStyle w:val="Heading1"/>
        <w:spacing w:line="360" w:lineRule="auto"/>
        <w:jc w:val="both"/>
        <w:rPr>
          <w:rFonts w:asciiTheme="minorHAnsi" w:hAnsiTheme="minorHAnsi" w:cstheme="majorHAnsi"/>
          <w:lang w:val="en-GB"/>
        </w:rPr>
      </w:pPr>
      <w:bookmarkStart w:id="110" w:name="_Toc427596356"/>
      <w:bookmarkStart w:id="111" w:name="_Toc33293136"/>
      <w:r w:rsidRPr="004E053C">
        <w:rPr>
          <w:rFonts w:asciiTheme="minorHAnsi" w:hAnsiTheme="minorHAnsi" w:cstheme="majorHAnsi"/>
          <w:lang w:val="en-GB"/>
        </w:rPr>
        <w:lastRenderedPageBreak/>
        <w:t xml:space="preserve">10. Discussion </w:t>
      </w:r>
      <w:bookmarkEnd w:id="110"/>
      <w:bookmarkEnd w:id="111"/>
      <w:r w:rsidRPr="004E053C">
        <w:rPr>
          <w:rFonts w:asciiTheme="minorHAnsi" w:hAnsiTheme="minorHAnsi" w:cstheme="majorHAnsi"/>
          <w:lang w:val="en-GB"/>
        </w:rPr>
        <w:t>and Conclusion</w:t>
      </w:r>
    </w:p>
    <w:p w14:paraId="4B63C136" w14:textId="77777777" w:rsidR="00C929E4" w:rsidRPr="004E053C" w:rsidRDefault="00C929E4" w:rsidP="004E053C">
      <w:pPr>
        <w:spacing w:line="360" w:lineRule="auto"/>
        <w:jc w:val="both"/>
        <w:rPr>
          <w:rFonts w:cstheme="majorHAnsi"/>
          <w:sz w:val="22"/>
          <w:szCs w:val="22"/>
          <w:lang w:val="en-GB"/>
        </w:rPr>
      </w:pPr>
    </w:p>
    <w:p w14:paraId="4CF819FF" w14:textId="22B6D00B" w:rsidR="00C929E4" w:rsidRPr="004E053C" w:rsidRDefault="00C929E4" w:rsidP="004E053C">
      <w:pPr>
        <w:spacing w:line="360" w:lineRule="auto"/>
        <w:jc w:val="both"/>
        <w:rPr>
          <w:rFonts w:cstheme="majorHAnsi"/>
          <w:sz w:val="22"/>
          <w:szCs w:val="22"/>
          <w:lang w:val="en-GB"/>
        </w:rPr>
      </w:pPr>
      <w:r w:rsidRPr="004E053C">
        <w:rPr>
          <w:rFonts w:cstheme="majorHAnsi"/>
          <w:sz w:val="22"/>
          <w:szCs w:val="22"/>
          <w:lang w:val="en-GB"/>
        </w:rPr>
        <w:t xml:space="preserve">The initial idea for this research came from the observation that the negativity in public discourse around ASM in Peru did not appear to consider the role that the global economy and structural inequalities played in the growth of the sector. During initial conversations in Lima, it was evident that concern about environmental degradation was not matched with a clear understanding about why people engaged in ASM, particularly given how dangerous it was thought to be. This was despite growing acknowledgement that economic and environmental stressors were leading to the migration of people away from the Andes. Yet despite this, the links between the two were not made and they were often presented as discrete problems. Meanwhile, while the literature both highlighted the centrality of migration to ASM livelihoods and emphasised the need to understand ASM communities </w:t>
      </w:r>
      <w:r w:rsidRPr="004E053C">
        <w:rPr>
          <w:rFonts w:cstheme="majorHAnsi"/>
          <w:iCs/>
          <w:sz w:val="22"/>
          <w:szCs w:val="22"/>
          <w:lang w:val="en-GB"/>
        </w:rPr>
        <w:fldChar w:fldCharType="begin" w:fldLock="1"/>
      </w:r>
      <w:r w:rsidR="002F0CEA">
        <w:rPr>
          <w:rFonts w:cstheme="majorHAnsi"/>
          <w:iCs/>
          <w:sz w:val="22"/>
          <w:szCs w:val="22"/>
          <w:lang w:val="en-GB"/>
        </w:rPr>
        <w:instrText>ADDIN CSL_CITATION {"citationItems":[{"id":"ITEM-1","itemData":{"author":[{"dropping-particle":"","family":"Hentschel","given":"Thomas","non-dropping-particle":"","parse-names":false,"suffix":""},{"dropping-particle":"","family":"Hruschka","given":"Felix","non-dropping-particle":"","parse-names":false,"suffix":""},{"dropping-particle":"","family":"Priester","given":"Michael","non-dropping-particle":"","parse-names":false,"suffix":""}],"id":"ITEM-1","issued":{"date-parts":[["2002"]]},"publisher-place":"London","title":"Global Report on Artisanal and Small-Scale Mining","type":"report"},"uris":["http://www.mendeley.com/documents/?uuid=e0135a32-651f-3a94-9bc5-5c79c798e40e"]},{"id":"ITEM-2","itemData":{"abstract":"Over the past 10–15 years, several governments have implemented an array of technology, support‐related, sustainable livelihoods (SL) and poverty‐reduction projects for artisanal and small‐scale mining (ASM). In the majority of cases, however, these interventions have failed to facilitate improvements in the industry's productivity and raise the living standards of the sector's subsistence operators. This article argues that a poor understanding of the demographics of target populations has precipitated these outcomes. In order to strengthen policy and assistance in the sector, governments must determine, with greater precision, the number of people operating in ASM regions, their origins and ethnic backgrounds, ages, and educational levels. This can be achieved by carrying out basic and localized census work before promoting ambitious sector‐specific projects aimed at improving working conditions in the industry.","author":[{"dropping-particle":"","family":"Hilson","given":"G","non-dropping-particle":"","parse-names":false,"suffix":""}],"container-title":"Natural Resources Forum","id":"ITEM-2","issue":"2","issued":{"date-parts":[["2005"]]},"page":"144-153","title":"Strengthening artisanal mining research and policy through baseline census activities","type":"article-journal","volume":"29"},"uris":["http://www.mendeley.com/documents/?uuid=447f796c-6b24-49d4-babb-b2a3e2351b39"]},{"id":"ITEM-3","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Affairs","id":"ITEM-3","issue":"424","issued":{"date-parts":[["2007"]]},"page":"413-436","title":"To move or not to move’: reflections on the resettlement of artisanal miners in the western region of Ghana","type":"article-journal","volume":"106"},"uris":["http://www.mendeley.com/documents/?uuid=8ef2711f-ce75-4c5a-8a00-8e27b49f07cf"]},{"id":"ITEM-4","itemData":{"author":[{"dropping-particle":"","family":"Spiegal","given":"SJ","non-dropping-particle":"","parse-names":false,"suffix":""}],"container-title":"Resources Policy","id":"ITEM-4","issued":{"date-parts":[["2009"]]},"page":"39-44","title":"Resource policies and small-scale gold mining in Zimbabwe","type":"article-journal","volume":"34"},"uris":["http://www.mendeley.com/documents/?uuid=92559fdc-94b9-4cde-9fb6-c45edd09ceee"]},{"id":"ITEM-5","itemData":{"abstract":"a b s t r a c t Millions of people worldwide are involved in artisanal and small-scale gold mining. Many of them live in conditions of poverty and insalubrities due to the mercury amalgamation of gold and the application of other rudimentary techniques. In spite of this, the sector has been nearly overlooked by resource economists. In this paper we analyze the sector based on a survey of the existing literature. We find some commonalities of artisanal and small-scale gold mining in different countries of the developing world as follows: low levels of mechanization and technology, labor intensiveness, low awareness of environmental degradation, poor training, high transience among some miners, and lack of financial savings. Moreover, with these commonalities in mind, we present some topics and challenges for a research agenda in the field of environmental, ecological, and development economics.","author":[{"dropping-particle":"","family":"Saldarriaga-Isaza","given":"Adrián","non-dropping-particle":"","parse-names":false,"suffix":""},{"dropping-particle":"","family":"Villegas-Palacio","given":"Clara","non-dropping-particle":"","parse-names":false,"suffix":""},{"dropping-particle":"","family":"Arango","given":"Santiago","non-dropping-particle":"","parse-names":false,"suffix":""}],"container-title":"Resources Policy","id":"ITEM-5","issue":"2","issued":{"date-parts":[["2013"]]},"page":"224-232","title":"The public good dilemma of a non-renewable common resource: a look at the facts of artisanal gold mining","type":"article-journal","volume":"38"},"uris":["http://www.mendeley.com/documents/?uuid=9112f4f7-b1fb-43ae-8ee5-daf59e85ff33"]}],"mendeley":{"formattedCitation":"(Hentschel et al., 2002; G. Hilson et al., 2007; G Hilson, 2005; Saldarriaga-Isaza et al., 2013; Spiegal, 2009)","manualFormatting":"(Hentschel et al., 2002; Hilson et al., 2007; Hilson, 2005; Saldarriaga-Isaza et al, 2013; Spiegal, 2009)","plainTextFormattedCitation":"(Hentschel et al., 2002; G. Hilson et al., 2007; G Hilson, 2005; Saldarriaga-Isaza et al., 2013; Spiegal, 2009)","previouslyFormattedCitation":"(Hentschel et al., 2002; G. Hilson et al., 2007; G Hilson, 2005; Saldarriaga-Isaza et al., 2013; Spiegal, 2009)"},"properties":{"noteIndex":0},"schema":"https://github.com/citation-style-language/schema/raw/master/csl-citation.json"}</w:instrText>
      </w:r>
      <w:r w:rsidRPr="004E053C">
        <w:rPr>
          <w:rFonts w:cstheme="majorHAnsi"/>
          <w:iCs/>
          <w:sz w:val="22"/>
          <w:szCs w:val="22"/>
          <w:lang w:val="en-GB"/>
        </w:rPr>
        <w:fldChar w:fldCharType="separate"/>
      </w:r>
      <w:r w:rsidRPr="004E053C">
        <w:rPr>
          <w:rFonts w:cstheme="majorHAnsi"/>
          <w:iCs/>
          <w:noProof/>
          <w:sz w:val="22"/>
          <w:szCs w:val="22"/>
          <w:lang w:val="fr-FR"/>
        </w:rPr>
        <w:t>(Hentschel et al., 2002; Hilson et al., 2007; Hilson, 2005; Saldarriaga-Isaza et al, 2013; Spiegal, 2009)</w:t>
      </w:r>
      <w:r w:rsidRPr="004E053C">
        <w:rPr>
          <w:rFonts w:cstheme="majorHAnsi"/>
          <w:iCs/>
          <w:sz w:val="22"/>
          <w:szCs w:val="22"/>
          <w:lang w:val="en-GB"/>
        </w:rPr>
        <w:fldChar w:fldCharType="end"/>
      </w:r>
      <w:r w:rsidRPr="004E053C">
        <w:rPr>
          <w:rFonts w:cstheme="majorHAnsi"/>
          <w:iCs/>
          <w:sz w:val="22"/>
          <w:szCs w:val="22"/>
          <w:lang w:val="fr-FR"/>
        </w:rPr>
        <w:t xml:space="preserve">, there are very </w:t>
      </w:r>
      <w:r w:rsidRPr="004E053C">
        <w:rPr>
          <w:rFonts w:cstheme="majorHAnsi"/>
          <w:sz w:val="22"/>
          <w:szCs w:val="22"/>
          <w:lang w:val="en-GB"/>
        </w:rPr>
        <w:t xml:space="preserve">few multi-sited studies that incorporated both destination and origin communities into the analysis. </w:t>
      </w:r>
    </w:p>
    <w:p w14:paraId="650A1C42" w14:textId="77777777" w:rsidR="00C929E4" w:rsidRPr="004E053C" w:rsidRDefault="00C929E4" w:rsidP="004E053C">
      <w:pPr>
        <w:spacing w:line="360" w:lineRule="auto"/>
        <w:jc w:val="both"/>
        <w:rPr>
          <w:rFonts w:cstheme="majorHAnsi"/>
          <w:sz w:val="22"/>
          <w:szCs w:val="22"/>
          <w:lang w:val="en-GB"/>
        </w:rPr>
      </w:pPr>
    </w:p>
    <w:p w14:paraId="4FEAFAE6" w14:textId="162ABF3B" w:rsidR="00C929E4" w:rsidRPr="004E053C" w:rsidRDefault="00C929E4" w:rsidP="004E053C">
      <w:pPr>
        <w:spacing w:line="360" w:lineRule="auto"/>
        <w:jc w:val="both"/>
        <w:rPr>
          <w:rFonts w:cstheme="majorHAnsi"/>
          <w:sz w:val="22"/>
          <w:szCs w:val="22"/>
          <w:lang w:val="en-GB"/>
        </w:rPr>
      </w:pPr>
      <w:r w:rsidRPr="004E053C">
        <w:rPr>
          <w:rFonts w:cstheme="majorHAnsi"/>
          <w:sz w:val="22"/>
          <w:szCs w:val="22"/>
          <w:lang w:val="en-GB"/>
        </w:rPr>
        <w:t xml:space="preserve">The aim of this research was therefore to address this problem by providing a spatially holistic account of mining communities. In order to do this, I brought together ideas from distinct bodies of literature. I drew on ideas about translocality and translocal livelihoods and then grounded these in </w:t>
      </w:r>
      <w:r w:rsidR="00C66190" w:rsidRPr="004E053C">
        <w:rPr>
          <w:rFonts w:cstheme="majorHAnsi"/>
          <w:sz w:val="22"/>
          <w:szCs w:val="22"/>
          <w:lang w:val="en-GB"/>
        </w:rPr>
        <w:t>Bourd</w:t>
      </w:r>
      <w:r w:rsidR="00C66190">
        <w:rPr>
          <w:rFonts w:cstheme="majorHAnsi"/>
          <w:sz w:val="22"/>
          <w:szCs w:val="22"/>
          <w:lang w:val="en-GB"/>
        </w:rPr>
        <w:t>i</w:t>
      </w:r>
      <w:r w:rsidR="00C66190" w:rsidRPr="004E053C">
        <w:rPr>
          <w:rFonts w:cstheme="majorHAnsi"/>
          <w:sz w:val="22"/>
          <w:szCs w:val="22"/>
          <w:lang w:val="en-GB"/>
        </w:rPr>
        <w:t>eusian</w:t>
      </w:r>
      <w:r w:rsidRPr="004E053C">
        <w:rPr>
          <w:rFonts w:cstheme="majorHAnsi"/>
          <w:sz w:val="22"/>
          <w:szCs w:val="22"/>
          <w:lang w:val="en-GB"/>
        </w:rPr>
        <w:t xml:space="preserve"> theory to provide a loose framework for understanding ASM, particularly in terms of migration and human interactions. Bourdieu’s theory of social practice and the conceptualisation of the social field </w:t>
      </w:r>
      <w:r w:rsidRPr="004E053C">
        <w:rPr>
          <w:rFonts w:cstheme="majorHAnsi"/>
          <w:sz w:val="22"/>
          <w:szCs w:val="22"/>
          <w:lang w:val="en-GB" w:eastAsia="zh-CN"/>
        </w:rPr>
        <w:fldChar w:fldCharType="begin" w:fldLock="1"/>
      </w:r>
      <w:r w:rsidRPr="004E053C">
        <w:rPr>
          <w:rFonts w:cstheme="majorHAnsi"/>
          <w:sz w:val="22"/>
          <w:szCs w:val="22"/>
          <w:lang w:val="en-GB" w:eastAsia="zh-CN"/>
        </w:rPr>
        <w:instrText>ADDIN CSL_CITATION {"citationItems":[{"id":"ITEM-1","itemData":{"author":[{"dropping-particle":"","family":"Bourdieu","given":"Pierre","non-dropping-particle":"","parse-names":false,"suffix":""}],"container-title":"Source: Theory and Society","id":"ITEM-1","issue":"6","issued":{"date-parts":[["1985"]]},"number-of-pages":"723-744","title":"The Social Space and the Genesis of Groups","type":"report","volume":"14"},"uris":["http://www.mendeley.com/documents/?uuid=f0c35b42-1dca-3e1c-80e1-fc37c7ba756a"]},{"id":"ITEM-2","itemData":{"author":[{"dropping-particle":"","family":"Bourdieu","given":"Pierre","non-dropping-particle":"","parse-names":false,"suffix":""},{"dropping-particle":"","family":"Wacquant","given":"Loic","non-dropping-particle":"","parse-names":false,"suffix":""}],"id":"ITEM-2","issued":{"date-parts":[["1992"]]},"publisher":"University of Chicago Press","publisher-place":"Chicago","title":"An Invitation to Reflexive Sociology","type":"book"},"uris":["http://www.mendeley.com/documents/?uuid=c1429f32-90a2-3b41-90c4-9a470864a959"]}],"mendeley":{"formattedCitation":"(Bourdieu, 1985; Bourdieu &amp; Wacquant, 1992)","plainTextFormattedCitation":"(Bourdieu, 1985; Bourdieu &amp; Wacquant, 1992)","previouslyFormattedCitation":"(Bourdieu, 1985; Bourdieu &amp; Wacquant, 1992)"},"properties":{"noteIndex":0},"schema":"https://github.com/citation-style-language/schema/raw/master/csl-citation.json"}</w:instrText>
      </w:r>
      <w:r w:rsidRPr="004E053C">
        <w:rPr>
          <w:rFonts w:cstheme="majorHAnsi"/>
          <w:sz w:val="22"/>
          <w:szCs w:val="22"/>
          <w:lang w:val="en-GB" w:eastAsia="zh-CN"/>
        </w:rPr>
        <w:fldChar w:fldCharType="separate"/>
      </w:r>
      <w:r w:rsidRPr="004E053C">
        <w:rPr>
          <w:rFonts w:cstheme="majorHAnsi"/>
          <w:noProof/>
          <w:sz w:val="22"/>
          <w:szCs w:val="22"/>
          <w:lang w:val="en-GB" w:eastAsia="zh-CN"/>
        </w:rPr>
        <w:t>(Bourdieu, 1985; Bourdieu &amp; Wacquant, 1992)</w:t>
      </w:r>
      <w:r w:rsidRPr="004E053C">
        <w:rPr>
          <w:rFonts w:cstheme="majorHAnsi"/>
          <w:sz w:val="22"/>
          <w:szCs w:val="22"/>
          <w:lang w:val="en-GB" w:eastAsia="zh-CN"/>
        </w:rPr>
        <w:fldChar w:fldCharType="end"/>
      </w:r>
      <w:r w:rsidRPr="004E053C">
        <w:rPr>
          <w:rFonts w:cstheme="majorHAnsi"/>
          <w:sz w:val="22"/>
          <w:szCs w:val="22"/>
          <w:lang w:val="en-GB" w:eastAsia="zh-CN"/>
        </w:rPr>
        <w:t xml:space="preserve"> are particularly useful for visualising the web of relationships that exist within the translocal ASM community. Moreover, </w:t>
      </w:r>
      <w:r w:rsidRPr="004E053C">
        <w:rPr>
          <w:rFonts w:cstheme="majorHAnsi"/>
          <w:sz w:val="22"/>
          <w:szCs w:val="22"/>
          <w:lang w:val="en-GB"/>
        </w:rPr>
        <w:t>his descriptions of contestations within the social field seem to echo the temporal frictions we see emerging in Laberinto as a result of divergent livelihood trajectories, exacerbated by the precarious nature of ASM livelihoods. While the temporal dimension of translocality has generally been overlooked in the translocal livelihoods literature, Bourdieusian thinking allows for changes in one’s relative position over time. Bringing together these two bodies of literature therefore helps emphasise the dynamic nature of the social field of ASM, but the same thinking is also applicable to many contexts in the Global South where migrants share a livelihood, particularly where that livelihood is informal and/or highly precarious.</w:t>
      </w:r>
    </w:p>
    <w:p w14:paraId="04A82B1E" w14:textId="77777777" w:rsidR="00C929E4" w:rsidRPr="004E053C" w:rsidRDefault="00C929E4" w:rsidP="004E053C">
      <w:pPr>
        <w:spacing w:line="360" w:lineRule="auto"/>
        <w:jc w:val="both"/>
        <w:rPr>
          <w:rFonts w:cstheme="majorHAnsi"/>
          <w:sz w:val="22"/>
          <w:szCs w:val="22"/>
          <w:lang w:val="en-GB"/>
        </w:rPr>
      </w:pPr>
    </w:p>
    <w:p w14:paraId="428ABE0B" w14:textId="41B3E696" w:rsidR="00C929E4" w:rsidRPr="004E053C" w:rsidRDefault="00C929E4" w:rsidP="004E053C">
      <w:pPr>
        <w:spacing w:line="360" w:lineRule="auto"/>
        <w:jc w:val="both"/>
        <w:rPr>
          <w:rFonts w:cstheme="majorHAnsi"/>
          <w:sz w:val="22"/>
          <w:szCs w:val="22"/>
          <w:lang w:val="en-GB"/>
        </w:rPr>
      </w:pPr>
      <w:r w:rsidRPr="004E053C">
        <w:rPr>
          <w:rFonts w:cstheme="majorHAnsi"/>
          <w:sz w:val="22"/>
          <w:szCs w:val="22"/>
          <w:lang w:val="en-GB"/>
        </w:rPr>
        <w:t xml:space="preserve">Using a translocal approach to my analysis has provided insights into migratory practices within the ASM sector in Madre de Dios and how these contribute to a translocal community that spans multiples localities. I have also contributed to </w:t>
      </w:r>
      <w:r w:rsidR="00633F5B" w:rsidRPr="004E053C">
        <w:rPr>
          <w:rFonts w:cstheme="majorHAnsi"/>
          <w:sz w:val="22"/>
          <w:szCs w:val="22"/>
          <w:lang w:val="en-GB"/>
        </w:rPr>
        <w:t>advanci</w:t>
      </w:r>
      <w:r w:rsidRPr="004E053C">
        <w:rPr>
          <w:rFonts w:cstheme="majorHAnsi"/>
          <w:sz w:val="22"/>
          <w:szCs w:val="22"/>
          <w:lang w:val="en-GB"/>
        </w:rPr>
        <w:t xml:space="preserve">ng knowledge on the role of women in ASM by </w:t>
      </w:r>
      <w:r w:rsidRPr="004E053C">
        <w:rPr>
          <w:rFonts w:cstheme="majorHAnsi"/>
          <w:sz w:val="22"/>
          <w:szCs w:val="22"/>
          <w:lang w:val="en-GB"/>
        </w:rPr>
        <w:lastRenderedPageBreak/>
        <w:t>showing how they contribute to the maintenance of a translocal livelihood, and have reflected on the inherently gendered mobility in ASM. Finally, in the context of Madre de Dios, I have documented how divergent livelihood trajectories result in community members having very different long-term interests, which can create sources of tension. I see these as a particular form of contestation within the soc</w:t>
      </w:r>
      <w:r w:rsidR="004E053C" w:rsidRPr="004E053C">
        <w:rPr>
          <w:rFonts w:cstheme="majorHAnsi"/>
          <w:sz w:val="22"/>
          <w:szCs w:val="22"/>
          <w:lang w:val="en-GB"/>
        </w:rPr>
        <w:t>ial field, which I refer to as temporal frictions</w:t>
      </w:r>
      <w:r w:rsidRPr="004E053C">
        <w:rPr>
          <w:rFonts w:cstheme="majorHAnsi"/>
          <w:sz w:val="22"/>
          <w:szCs w:val="22"/>
          <w:lang w:val="en-GB"/>
        </w:rPr>
        <w:t xml:space="preserve">. I have then reflected on the positionality of miners in relation not only to each other, but also to the government and environmental NGOs. This positionality stems from the impact that insecurity and persecution has on the formation of a collective identity, and I have shown how this is reflected in narratives and discourse. </w:t>
      </w:r>
    </w:p>
    <w:p w14:paraId="5FA982E9" w14:textId="77777777" w:rsidR="00C929E4" w:rsidRPr="004E053C" w:rsidRDefault="00C929E4" w:rsidP="004E053C">
      <w:pPr>
        <w:spacing w:line="360" w:lineRule="auto"/>
        <w:jc w:val="both"/>
        <w:rPr>
          <w:rFonts w:cstheme="majorHAnsi"/>
          <w:sz w:val="22"/>
          <w:szCs w:val="22"/>
          <w:lang w:val="en-GB"/>
        </w:rPr>
      </w:pPr>
    </w:p>
    <w:p w14:paraId="05101976" w14:textId="77777777" w:rsidR="00C929E4" w:rsidRPr="004E053C" w:rsidRDefault="00C929E4" w:rsidP="004E053C">
      <w:pPr>
        <w:spacing w:line="360" w:lineRule="auto"/>
        <w:jc w:val="both"/>
        <w:rPr>
          <w:rFonts w:cstheme="majorHAnsi"/>
          <w:sz w:val="22"/>
          <w:szCs w:val="22"/>
          <w:lang w:val="en-GB"/>
        </w:rPr>
      </w:pPr>
      <w:r w:rsidRPr="004E053C">
        <w:rPr>
          <w:rFonts w:cstheme="majorHAnsi"/>
          <w:sz w:val="22"/>
          <w:szCs w:val="22"/>
          <w:lang w:val="en-GB"/>
        </w:rPr>
        <w:t xml:space="preserve">This concluding chapter starts with a brief discussion of recent developments in Peru. This is centered on the latest Government intervention aimed at removing ASM activity from parts of Madre de Dios. I reflect briefly on what this intervention may mean for day-to-day life in the communities I visited and also on the intervention’s chance of success. The following section then elaborates on the key empirical contributions made by this research, referring back to the questions that were posed at the outset. In section 10.3, I reflect on my empirical findings to provide theoretical contributions to our understanding of translocality. Having identified the existence of temporal friction within the translocal communities, I suggest that a long-term view points to the existence of three broad categories of livelihood trajectory. I then revisit the diagram presented in chapter 4 and adapt it to take into account these temporal dimensions, enabling a transferability of the theory to other precarious migratory livelihoods in the Global South. I conclude by suggesting future avenues of research, particularly in light of the recent events in Madre de Dios related to </w:t>
      </w:r>
      <w:r w:rsidRPr="004E053C">
        <w:rPr>
          <w:rFonts w:eastAsia="Times New Roman" w:cstheme="majorHAnsi"/>
          <w:sz w:val="22"/>
          <w:szCs w:val="22"/>
          <w:shd w:val="clear" w:color="auto" w:fill="FFFFFF"/>
          <w:lang w:val="en-GB"/>
        </w:rPr>
        <w:t>Operación Mercurio</w:t>
      </w:r>
      <w:r w:rsidRPr="004E053C">
        <w:rPr>
          <w:rFonts w:cstheme="majorHAnsi"/>
          <w:sz w:val="22"/>
          <w:szCs w:val="22"/>
          <w:lang w:val="en-GB"/>
        </w:rPr>
        <w:t>.</w:t>
      </w:r>
    </w:p>
    <w:p w14:paraId="55AD7E29" w14:textId="77777777" w:rsidR="00C929E4" w:rsidRPr="004E053C" w:rsidRDefault="00C929E4" w:rsidP="004E053C">
      <w:pPr>
        <w:spacing w:line="360" w:lineRule="auto"/>
        <w:jc w:val="both"/>
        <w:rPr>
          <w:rFonts w:cstheme="majorHAnsi"/>
          <w:color w:val="FF0000"/>
          <w:sz w:val="22"/>
          <w:szCs w:val="22"/>
          <w:lang w:val="en-GB"/>
        </w:rPr>
      </w:pPr>
    </w:p>
    <w:p w14:paraId="7BCDD0DE" w14:textId="77777777" w:rsidR="00C929E4" w:rsidRPr="004E053C" w:rsidRDefault="00C929E4" w:rsidP="004E053C">
      <w:pPr>
        <w:pStyle w:val="Heading2"/>
        <w:spacing w:before="0" w:line="360" w:lineRule="auto"/>
        <w:jc w:val="both"/>
        <w:rPr>
          <w:lang w:val="en-GB"/>
        </w:rPr>
      </w:pPr>
      <w:bookmarkStart w:id="112" w:name="_Toc33293137"/>
      <w:r w:rsidRPr="004E053C">
        <w:rPr>
          <w:lang w:val="en-GB"/>
        </w:rPr>
        <w:t>10.1. Recent Developments</w:t>
      </w:r>
      <w:bookmarkEnd w:id="112"/>
      <w:r w:rsidRPr="004E053C">
        <w:rPr>
          <w:lang w:val="en-GB"/>
        </w:rPr>
        <w:t xml:space="preserve"> </w:t>
      </w:r>
    </w:p>
    <w:p w14:paraId="21D2DD05" w14:textId="77777777" w:rsidR="00C929E4" w:rsidRPr="004E053C" w:rsidRDefault="00C929E4" w:rsidP="004E053C">
      <w:pPr>
        <w:spacing w:line="360" w:lineRule="auto"/>
        <w:jc w:val="both"/>
        <w:rPr>
          <w:rFonts w:cstheme="majorHAnsi"/>
          <w:color w:val="FF0000"/>
          <w:sz w:val="22"/>
          <w:szCs w:val="22"/>
          <w:lang w:val="en-GB"/>
        </w:rPr>
      </w:pPr>
    </w:p>
    <w:p w14:paraId="3175D2C6" w14:textId="6B1BFC1A" w:rsidR="00C929E4" w:rsidRPr="004E053C" w:rsidRDefault="00C929E4" w:rsidP="004E053C">
      <w:pPr>
        <w:widowControl w:val="0"/>
        <w:autoSpaceDE w:val="0"/>
        <w:autoSpaceDN w:val="0"/>
        <w:adjustRightInd w:val="0"/>
        <w:spacing w:line="360" w:lineRule="auto"/>
        <w:jc w:val="both"/>
        <w:rPr>
          <w:rFonts w:cstheme="majorHAnsi"/>
          <w:sz w:val="22"/>
          <w:szCs w:val="22"/>
          <w:lang w:val="en-GB"/>
        </w:rPr>
      </w:pPr>
      <w:r w:rsidRPr="004E053C">
        <w:rPr>
          <w:rFonts w:cstheme="majorHAnsi"/>
          <w:sz w:val="22"/>
          <w:szCs w:val="22"/>
          <w:lang w:val="en-GB"/>
        </w:rPr>
        <w:t xml:space="preserve">In February 2019, the Peruvian Government launched </w:t>
      </w:r>
      <w:r w:rsidRPr="004E053C">
        <w:rPr>
          <w:rFonts w:eastAsia="Times New Roman" w:cstheme="majorHAnsi"/>
          <w:sz w:val="22"/>
          <w:szCs w:val="22"/>
          <w:shd w:val="clear" w:color="auto" w:fill="FFFFFF"/>
          <w:lang w:val="en-GB"/>
        </w:rPr>
        <w:t>Operación Mercurio</w:t>
      </w:r>
      <w:r w:rsidRPr="004E053C">
        <w:rPr>
          <w:rFonts w:cstheme="majorHAnsi"/>
          <w:sz w:val="22"/>
          <w:szCs w:val="22"/>
          <w:lang w:val="en-GB"/>
        </w:rPr>
        <w:t xml:space="preserve">, aimed at removing illegal gold mining from La Pampa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URL":"https://umdpolicyperu2016.wordpress.com/2019/04/03/operacion-mercurio-2019/","accessed":{"date-parts":[["2019","8","2"]]},"author":[{"dropping-particle":"","family":"Leas","given":"Stephen","non-dropping-particle":"","parse-names":false,"suffix":""}],"container-title":"University of Maryland School of Public Policy in Peru","id":"ITEM-1","issued":{"date-parts":[["2019"]]},"title":"Operación Mercurio 2019","type":"webpage"},"uris":["http://www.mendeley.com/documents/?uuid=59453b9c-6980-40fd-aba6-71662b43dddb"]}],"mendeley":{"formattedCitation":"(Leas, 2019)","plainTextFormattedCitation":"(Leas, 2019)","previouslyFormattedCitation":"(Leas, 2019)"},"properties":{"noteIndex":0},"schema":"https://github.com/citation-style-language/schema/raw/master/csl-citation.json"}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(Leas, 2019)</w:t>
      </w:r>
      <w:r w:rsidRPr="004E053C">
        <w:rPr>
          <w:rFonts w:cstheme="majorHAnsi"/>
          <w:sz w:val="22"/>
          <w:szCs w:val="22"/>
          <w:lang w:val="en-GB"/>
        </w:rPr>
        <w:fldChar w:fldCharType="end"/>
      </w:r>
      <w:r w:rsidRPr="004E053C">
        <w:rPr>
          <w:rFonts w:cstheme="majorHAnsi"/>
          <w:sz w:val="22"/>
          <w:szCs w:val="22"/>
          <w:lang w:val="en-GB"/>
        </w:rPr>
        <w:t xml:space="preserve">. Various news reports describe how over the following month, hundreds of army commandos and more than 1,200 police officers went into the area, arresting miners and destroying equipment and buildings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URL":"https://umdpolicyperu2016.wordpress.com/2019/04/03/operacion-mercurio-2019/","accessed":{"date-parts":[["2019","8","2"]]},"author":[{"dropping-particle":"","family":"Leas","given":"Stephen","non-dropping-particle":"","parse-names":false,"suffix":""}],"container-title":"University of Maryland School of Public Policy in Peru","id":"ITEM-1","issued":{"date-parts":[["2019"]]},"title":"Operación Mercurio 2019","type":"webpage"},"uris":["http://www.mendeley.com/documents/?uuid=59453b9c-6980-40fd-aba6-71662b43dddb"]},{"id":"ITEM-2","itemData":{"URL":"https://www.theguardian.com/cities/2019/mar/25/la-pampa-the-illegal-mining-city-peru-wants-wiped-out","accessed":{"date-parts":[["2019","3","27"]]},"author":[{"dropping-particle":"","family":"Collyns","given":"Dan","non-dropping-particle":"","parse-names":false,"suffix":""}],"container-title":"The Guardian","id":"ITEM-2","issued":{"date-parts":[["2019"]]},"title":"Inside La Pampa: the illegal mining city Peru is trying to wipe out","type":"webpage"},"uris":["http://www.mendeley.com/documents/?uuid=763db26c-3221-435d-a1e5-2986756c7f4e"]},{"id":"ITEM-3","itemData":{"URL":"https://www.worldpoliticsreview.com/articles/27679/peru-s-militarized-response-to-illegal-mining-isn-t-enough-to-protect-the-amazon","accessed":{"date-parts":[["2019","8","1"]]},"author":[{"dropping-particle":"","family":"DuPée","given":"Matthew C","non-dropping-particle":"","parse-names":false,"suffix":""}],"container-title":"World Politics Review","id":"ITEM-3","issued":{"date-parts":[["2019"]]},"title":"Peru’s militarized response to illegal mining isn’t enough to protect the Amazon","type":"webpage"},"uris":["http://www.mendeley.com/documents/?uuid=3b9724e1-8e5f-40fc-97db-f24876b275cc"]}],"mendeley":{"formattedCitation":"(Collyns, 2019; DuPée, 2019; Leas, 2019)","plainTextFormattedCitation":"(Collyns, 2019; DuPée, 2019; Leas, 2019)","previouslyFormattedCitation":"(Collyns, 2019; DuPée, 2019; Leas, 2019)"},"properties":{"noteIndex":0},"schema":"https://github.com/citation-style-language/schema/raw/master/csl-citation.json"}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(Collyns, 2019; DuPée, 2019; Leas, 2019)</w:t>
      </w:r>
      <w:r w:rsidRPr="004E053C">
        <w:rPr>
          <w:rFonts w:cstheme="majorHAnsi"/>
          <w:sz w:val="22"/>
          <w:szCs w:val="22"/>
          <w:lang w:val="en-GB"/>
        </w:rPr>
        <w:fldChar w:fldCharType="end"/>
      </w:r>
      <w:r w:rsidRPr="004E053C">
        <w:rPr>
          <w:rFonts w:cstheme="majorHAnsi"/>
          <w:sz w:val="22"/>
          <w:szCs w:val="22"/>
          <w:lang w:val="en-GB"/>
        </w:rPr>
        <w:t xml:space="preserve">. Although this is in many ways nothing new, the scale of the intervention is reportedly far bigger than anything seen before in the conflict between the miners and the Peruvian state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URL":"https://www.theguardian.com/cities/2019/mar/25/la-pampa-the-illegal-mining-city-peru-wants-wiped-out","accessed":{"date-parts":[["2019","3","27"]]},"author":[{"dropping-particle":"","family":"Collyns","given":"Dan","non-dropping-particle":"","parse-names":false,"suffix":""}],"container-title":"The Guardian","id":"ITEM-1","issued":{"date-parts":[["2019"]]},"title":"Inside La Pampa: the illegal mining city Peru is trying to wipe out","type":"webpage"},"uris":["http://www.mendeley.com/documents/?uuid=763db26c-3221-435d-a1e5-2986756c7f4e"]}],"mendeley":{"formattedCitation":"(Collyns, 2019)","plainTextFormattedCitation":"(Collyns, 2019)","previouslyFormattedCitation":"(Collyns, 2019)"},"properties":{"noteIndex":0},"schema":"https://github.com/citation-style-language/schema/raw/master/csl-citation.json"}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(Collyns, 2019)</w:t>
      </w:r>
      <w:r w:rsidRPr="004E053C">
        <w:rPr>
          <w:rFonts w:cstheme="majorHAnsi"/>
          <w:sz w:val="22"/>
          <w:szCs w:val="22"/>
          <w:lang w:val="en-GB"/>
        </w:rPr>
        <w:fldChar w:fldCharType="end"/>
      </w:r>
      <w:r w:rsidRPr="004E053C">
        <w:rPr>
          <w:rFonts w:cstheme="majorHAnsi"/>
          <w:sz w:val="22"/>
          <w:szCs w:val="22"/>
          <w:lang w:val="en-GB"/>
        </w:rPr>
        <w:t xml:space="preserve">. A key reason for this is that Madre de Dios has a new governor and unlike the previous one, he appears to be committed to removing ASM from La Pampa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URL":"https://www.theguardian.com/cities/2019/mar/25/la-pampa-the-illegal-mining-city-peru-wants-wiped-out","accessed":{"date-parts":[["2019","3","27"]]},"author":[{"dropping-particle":"","family":"Collyns","given":"Dan","non-dropping-particle":"","parse-names":false,"suffix":""}],"container-title":"The Guardian","id":"ITEM-1","issued":{"date-parts":[["2019"]]},"title":"Inside La Pampa: the illegal mining city Peru is trying to wipe out","type":"webpage"},"uris":["http://www.mendeley.com/documents/?uuid=763db26c-3221-435d-a1e5-2986756c7f4e"]}],"mendeley":{"formattedCitation":"(Collyns, 2019)","manualFormatting":"(Ibid)","plainTextFormattedCitation":"(Collyns, 2019)","previouslyFormattedCitation":"(Collyns, 2019)"},"properties":{"noteIndex":0},"schema":"https://github.com/citation-style-language/schema/raw/master/csl-citation.json"}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(Ibid)</w:t>
      </w:r>
      <w:r w:rsidRPr="004E053C">
        <w:rPr>
          <w:rFonts w:cstheme="majorHAnsi"/>
          <w:sz w:val="22"/>
          <w:szCs w:val="22"/>
          <w:lang w:val="en-GB"/>
        </w:rPr>
        <w:fldChar w:fldCharType="end"/>
      </w:r>
      <w:r w:rsidRPr="004E053C">
        <w:rPr>
          <w:rFonts w:cstheme="majorHAnsi"/>
          <w:sz w:val="22"/>
          <w:szCs w:val="22"/>
          <w:lang w:val="en-GB"/>
        </w:rPr>
        <w:t xml:space="preserve">. These recent events highlight the </w:t>
      </w:r>
      <w:r w:rsidRPr="004E053C">
        <w:rPr>
          <w:rFonts w:cstheme="majorHAnsi"/>
          <w:sz w:val="22"/>
          <w:szCs w:val="22"/>
          <w:lang w:val="en-GB"/>
        </w:rPr>
        <w:lastRenderedPageBreak/>
        <w:t>pertinence of this research given the volatility of the situation in Peru. ASM in Madre de Dios poses a continuing problem for policy, sitting as it does on the nexus between livelihoods and environmental protection, and with the additional complexity created by interpersonal violenc</w:t>
      </w:r>
      <w:r w:rsidR="00277027">
        <w:rPr>
          <w:rFonts w:cstheme="majorHAnsi"/>
          <w:sz w:val="22"/>
          <w:szCs w:val="22"/>
          <w:lang w:val="en-GB"/>
        </w:rPr>
        <w:t>e, human trafficking and organis</w:t>
      </w:r>
      <w:r w:rsidRPr="004E053C">
        <w:rPr>
          <w:rFonts w:cstheme="majorHAnsi"/>
          <w:sz w:val="22"/>
          <w:szCs w:val="22"/>
          <w:lang w:val="en-GB"/>
        </w:rPr>
        <w:t xml:space="preserve">ed crime. The Government’s new approach allows those living in La Pampa to relocate to work within the </w:t>
      </w:r>
      <w:r w:rsidRPr="004E053C">
        <w:rPr>
          <w:rFonts w:cstheme="majorHAnsi"/>
          <w:i/>
          <w:sz w:val="22"/>
          <w:szCs w:val="22"/>
          <w:lang w:val="en-GB"/>
        </w:rPr>
        <w:t>Corridor Minero</w:t>
      </w:r>
      <w:r w:rsidRPr="004E053C">
        <w:rPr>
          <w:rFonts w:cstheme="majorHAnsi"/>
          <w:sz w:val="22"/>
          <w:szCs w:val="22"/>
          <w:lang w:val="en-GB"/>
        </w:rPr>
        <w:t xml:space="preserve">, where ASM activity will continue to be permitted, at least in theory. The numerous families in Ocongate whose mining activity takes place largely outside of the </w:t>
      </w:r>
      <w:r w:rsidRPr="004E053C">
        <w:rPr>
          <w:rFonts w:cstheme="majorHAnsi"/>
          <w:i/>
          <w:sz w:val="22"/>
          <w:szCs w:val="22"/>
          <w:lang w:val="en-GB"/>
        </w:rPr>
        <w:t xml:space="preserve">Corridor Minero </w:t>
      </w:r>
      <w:r w:rsidRPr="004E053C">
        <w:rPr>
          <w:rFonts w:cstheme="majorHAnsi"/>
          <w:sz w:val="22"/>
          <w:szCs w:val="22"/>
          <w:lang w:val="en-GB"/>
        </w:rPr>
        <w:t xml:space="preserve">will therefore need to move or find alternatives to their current livelihood. </w:t>
      </w:r>
    </w:p>
    <w:p w14:paraId="1023B420" w14:textId="77777777" w:rsidR="00C929E4" w:rsidRPr="004E053C" w:rsidRDefault="00C929E4" w:rsidP="004E053C">
      <w:pPr>
        <w:spacing w:line="360" w:lineRule="auto"/>
        <w:jc w:val="both"/>
        <w:rPr>
          <w:rFonts w:cstheme="majorHAnsi"/>
          <w:sz w:val="22"/>
          <w:szCs w:val="22"/>
          <w:lang w:val="en-GB"/>
        </w:rPr>
      </w:pPr>
    </w:p>
    <w:p w14:paraId="44C1D9F6" w14:textId="345ACC5F" w:rsidR="00C929E4" w:rsidRPr="004E053C" w:rsidRDefault="00C929E4" w:rsidP="004E053C">
      <w:pPr>
        <w:spacing w:line="360" w:lineRule="auto"/>
        <w:jc w:val="both"/>
        <w:rPr>
          <w:rFonts w:cstheme="majorHAnsi"/>
          <w:sz w:val="22"/>
          <w:szCs w:val="22"/>
          <w:lang w:val="en-GB"/>
        </w:rPr>
      </w:pPr>
      <w:r w:rsidRPr="004E053C">
        <w:rPr>
          <w:rFonts w:cstheme="majorHAnsi"/>
          <w:sz w:val="22"/>
          <w:szCs w:val="22"/>
          <w:lang w:val="en-GB"/>
        </w:rPr>
        <w:t>A key motivation for writing this thesis derived from the perceived injustice of the extent of demonisation of the migrant miners operating in Madre de Dios. It was clear that the highly mobile nature of ASM was closely linked to the observed environmental and social costs and therefore carried negative connotations. In Peru these costs are particularly high, as migrant miners are seen as a major threat to the conservation of the Ama</w:t>
      </w:r>
      <w:r w:rsidR="00277027">
        <w:rPr>
          <w:rFonts w:cstheme="majorHAnsi"/>
          <w:sz w:val="22"/>
          <w:szCs w:val="22"/>
          <w:lang w:val="en-GB"/>
        </w:rPr>
        <w:t>z</w:t>
      </w:r>
      <w:r w:rsidRPr="004E053C">
        <w:rPr>
          <w:rFonts w:cstheme="majorHAnsi"/>
          <w:sz w:val="22"/>
          <w:szCs w:val="22"/>
          <w:lang w:val="en-GB"/>
        </w:rPr>
        <w:t>on. However, many of these Andean migrants are reacting to the entrenched structural inequalities that keep them on the periphery of national development, as well as the increasing environmental pressures to traditional agricultural livelihoods caused by climate change. If we accept that the causes of the currently unsustainable ASM sector are found in remote areas, then it follows that t</w:t>
      </w:r>
      <w:r w:rsidR="00633F5B" w:rsidRPr="004E053C">
        <w:rPr>
          <w:rFonts w:cstheme="majorHAnsi"/>
          <w:sz w:val="22"/>
          <w:szCs w:val="22"/>
          <w:lang w:val="en-GB"/>
        </w:rPr>
        <w:t xml:space="preserve">he solutions are too. However, </w:t>
      </w:r>
      <w:r w:rsidRPr="004E053C">
        <w:rPr>
          <w:rFonts w:eastAsia="Times New Roman" w:cstheme="majorHAnsi"/>
          <w:sz w:val="22"/>
          <w:szCs w:val="22"/>
          <w:shd w:val="clear" w:color="auto" w:fill="FFFFFF"/>
          <w:lang w:val="en-GB"/>
        </w:rPr>
        <w:t>Operación Mercurio</w:t>
      </w:r>
      <w:r w:rsidRPr="004E053C">
        <w:rPr>
          <w:rFonts w:cstheme="majorHAnsi"/>
          <w:sz w:val="22"/>
          <w:szCs w:val="22"/>
          <w:lang w:val="en-GB"/>
        </w:rPr>
        <w:t xml:space="preserve"> does seek to provide some</w:t>
      </w:r>
      <w:r w:rsidR="00633F5B" w:rsidRPr="004E053C">
        <w:rPr>
          <w:rFonts w:cstheme="majorHAnsi"/>
          <w:sz w:val="22"/>
          <w:szCs w:val="22"/>
          <w:lang w:val="en-GB"/>
        </w:rPr>
        <w:t xml:space="preserve"> alternative livelihood options;</w:t>
      </w:r>
      <w:r w:rsidRPr="004E053C">
        <w:rPr>
          <w:rFonts w:cstheme="majorHAnsi"/>
          <w:sz w:val="22"/>
          <w:szCs w:val="22"/>
          <w:lang w:val="en-GB"/>
        </w:rPr>
        <w:t xml:space="preserve"> the plan is solely focused on economic development in the Amazon and not the Andes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URL":"https://umdpolicyperu2016.wordpress.com/2019/04/03/operacion-mercurio-2019/","accessed":{"date-parts":[["2019","8","2"]]},"author":[{"dropping-particle":"","family":"Leas","given":"Stephen","non-dropping-particle":"","parse-names":false,"suffix":""}],"container-title":"University of Maryland School of Public Policy in Peru","id":"ITEM-1","issued":{"date-parts":[["2019"]]},"title":"Operación Mercurio 2019","type":"webpage"},"uris":["http://www.mendeley.com/documents/?uuid=59453b9c-6980-40fd-aba6-71662b43dddb"]}],"mendeley":{"formattedCitation":"(Leas, 2019)","plainTextFormattedCitation":"(Leas, 2019)","previouslyFormattedCitation":"(Leas, 2019)"},"properties":{"noteIndex":0},"schema":"https://github.com/citation-style-language/schema/raw/master/csl-citation.json"}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(Leas, 2019)</w:t>
      </w:r>
      <w:r w:rsidRPr="004E053C">
        <w:rPr>
          <w:rFonts w:cstheme="majorHAnsi"/>
          <w:sz w:val="22"/>
          <w:szCs w:val="22"/>
          <w:lang w:val="en-GB"/>
        </w:rPr>
        <w:fldChar w:fldCharType="end"/>
      </w:r>
      <w:r w:rsidRPr="004E053C">
        <w:rPr>
          <w:rFonts w:cstheme="majorHAnsi"/>
          <w:sz w:val="22"/>
          <w:szCs w:val="22"/>
          <w:lang w:val="en-GB"/>
        </w:rPr>
        <w:t xml:space="preserve">. This does not address the issue at its source and has rightly led to scepticism about the operation’s potential for success. Thus, as I have shown throughout this thesis, the extent to which migration shapes ASM necessitates an understanding of the community at the translocal level. </w:t>
      </w:r>
    </w:p>
    <w:p w14:paraId="5BD37DE5" w14:textId="77777777" w:rsidR="00C929E4" w:rsidRPr="004E053C" w:rsidRDefault="00C929E4" w:rsidP="004E053C">
      <w:pPr>
        <w:spacing w:line="360" w:lineRule="auto"/>
        <w:jc w:val="both"/>
        <w:rPr>
          <w:rFonts w:cstheme="majorHAnsi"/>
          <w:sz w:val="22"/>
          <w:szCs w:val="22"/>
          <w:lang w:val="en-GB"/>
        </w:rPr>
      </w:pPr>
    </w:p>
    <w:p w14:paraId="5B9197A0" w14:textId="77777777" w:rsidR="00C929E4" w:rsidRPr="004E053C" w:rsidRDefault="00C929E4" w:rsidP="004E053C">
      <w:pPr>
        <w:pStyle w:val="Heading2"/>
        <w:jc w:val="both"/>
        <w:rPr>
          <w:lang w:val="en-GB"/>
        </w:rPr>
      </w:pPr>
      <w:bookmarkStart w:id="113" w:name="_Toc33293138"/>
      <w:r w:rsidRPr="004E053C">
        <w:rPr>
          <w:lang w:val="en-GB"/>
        </w:rPr>
        <w:t xml:space="preserve">10.2. </w:t>
      </w:r>
      <w:bookmarkEnd w:id="113"/>
      <w:r w:rsidRPr="004E053C">
        <w:rPr>
          <w:lang w:val="en-GB"/>
        </w:rPr>
        <w:t>ASM as a Translocal Livelihood</w:t>
      </w:r>
    </w:p>
    <w:p w14:paraId="7B72C25E" w14:textId="77777777" w:rsidR="00C929E4" w:rsidRPr="004E053C" w:rsidRDefault="00C929E4" w:rsidP="004E053C">
      <w:pPr>
        <w:jc w:val="both"/>
      </w:pPr>
    </w:p>
    <w:p w14:paraId="7C9789E7" w14:textId="4C403712" w:rsidR="00C929E4" w:rsidRPr="004E053C" w:rsidRDefault="00C929E4" w:rsidP="004E053C">
      <w:pPr>
        <w:spacing w:line="360" w:lineRule="auto"/>
        <w:jc w:val="both"/>
        <w:rPr>
          <w:rFonts w:cstheme="majorHAnsi"/>
          <w:sz w:val="22"/>
          <w:szCs w:val="22"/>
          <w:lang w:val="en-GB"/>
        </w:rPr>
      </w:pPr>
      <w:r w:rsidRPr="004E053C">
        <w:rPr>
          <w:rFonts w:cstheme="majorHAnsi"/>
          <w:sz w:val="22"/>
          <w:szCs w:val="22"/>
          <w:lang w:val="en-GB"/>
        </w:rPr>
        <w:t>While migration is widely acknowledged to be a key characteristic of ASM, analysis of ASM communities has largely remained spatially bound. Communities of destination and origin continue to be seen as discrete places and thus research tends to focus on either one or t</w:t>
      </w:r>
      <w:r w:rsidR="007A7DCE">
        <w:rPr>
          <w:rFonts w:cstheme="majorHAnsi"/>
          <w:sz w:val="22"/>
          <w:szCs w:val="22"/>
          <w:lang w:val="en-GB"/>
        </w:rPr>
        <w:t>he other. While several academic</w:t>
      </w:r>
      <w:r w:rsidRPr="004E053C">
        <w:rPr>
          <w:rFonts w:cstheme="majorHAnsi"/>
          <w:sz w:val="22"/>
          <w:szCs w:val="22"/>
          <w:lang w:val="en-GB"/>
        </w:rPr>
        <w:t>s have argued that transformative ASM policy requires a deeper understanding of mining communities, these claims and suggestions have usually been aimed at the local level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Hilson","given":"G.","non-dropping-particle":"","parse-names":false,"suffix":""},{"dropping-particle":"","family":"Yakovleva","given":"N.","non-dropping-particle":"","parse-names":false,"suffix":""},{"dropping-particle":"","family":"Banchirigah","given":"Sadia Mohammed","non-dropping-particle":"","parse-names":false,"suffix":""}],"container-title":"African Affairs","id":"ITEM-1","issue":"424","issued":{"date-parts":[["2007"]]},"page":"413-436","title":"To move or not to move’: reflections on the resettlement of artisanal miners in the western region of Ghana","type":"article-journal","volume":"106"},"uris":["http://www.mendeley.com/documents/?uuid=8ef2711f-ce75-4c5a-8a00-8e27b49f07cf"]}],"mendeley":{"formattedCitation":"(G. Hilson et al., 2007)","manualFormatting":"Hilson et al., 2007)","plainTextFormattedCitation":"(G. Hilson et al., 2007)","previouslyFormattedCitation":"(G. Hilson et al., 2007)"},"properties":{"noteIndex":0},"schema":"https://github.com/citation-style-language/schema/raw/master/csl-citation.json"}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Hilson et al., 2007)</w:t>
      </w:r>
      <w:r w:rsidRPr="004E053C">
        <w:rPr>
          <w:rFonts w:cstheme="majorHAnsi"/>
          <w:sz w:val="22"/>
          <w:szCs w:val="22"/>
          <w:lang w:val="en-GB"/>
        </w:rPr>
        <w:fldChar w:fldCharType="end"/>
      </w:r>
      <w:r w:rsidRPr="004E053C">
        <w:rPr>
          <w:rFonts w:cstheme="majorHAnsi"/>
          <w:sz w:val="22"/>
          <w:szCs w:val="22"/>
          <w:lang w:val="en-GB"/>
        </w:rPr>
        <w:t>. This thesis has presented ASM as a translocal livelihood that links together multiple localities through flows of people, money and information, creating a translo</w:t>
      </w:r>
      <w:r w:rsidR="00277027">
        <w:rPr>
          <w:rFonts w:cstheme="majorHAnsi"/>
          <w:sz w:val="22"/>
          <w:szCs w:val="22"/>
          <w:lang w:val="en-GB"/>
        </w:rPr>
        <w:t>cal community. This has emphasis</w:t>
      </w:r>
      <w:r w:rsidRPr="004E053C">
        <w:rPr>
          <w:rFonts w:cstheme="majorHAnsi"/>
          <w:sz w:val="22"/>
          <w:szCs w:val="22"/>
          <w:lang w:val="en-GB"/>
        </w:rPr>
        <w:t xml:space="preserve">ed the relationships that cross spatial divides, in doing so connecting these places which then develop and change in relation to each other. </w:t>
      </w:r>
      <w:r w:rsidRPr="004E053C">
        <w:rPr>
          <w:rFonts w:cstheme="majorHAnsi"/>
          <w:bCs/>
          <w:color w:val="000000"/>
          <w:sz w:val="22"/>
          <w:szCs w:val="22"/>
          <w:lang w:val="en-GB"/>
        </w:rPr>
        <w:t xml:space="preserve">Through adopting this translocal livelihoods approach, the research has illuminated the nuances of the migratory processes within the sector, </w:t>
      </w:r>
      <w:r w:rsidRPr="004E053C">
        <w:rPr>
          <w:rFonts w:cstheme="majorHAnsi"/>
          <w:bCs/>
          <w:color w:val="000000"/>
          <w:sz w:val="22"/>
          <w:szCs w:val="22"/>
          <w:lang w:val="en-GB"/>
        </w:rPr>
        <w:lastRenderedPageBreak/>
        <w:t xml:space="preserve">pointing to divergent livelihood trajectories that have implications for community dynamics. </w:t>
      </w:r>
      <w:r w:rsidRPr="004E053C">
        <w:rPr>
          <w:rFonts w:cstheme="majorHAnsi"/>
          <w:sz w:val="22"/>
          <w:szCs w:val="22"/>
          <w:lang w:val="en-GB"/>
        </w:rPr>
        <w:t xml:space="preserve">Moreover, the adoption of the Bourdieusian conceptualisation of social fields underpinning this notion of the translocal community has allowed for an analysis of the contestations among community members and between them and external forces. </w:t>
      </w:r>
    </w:p>
    <w:p w14:paraId="5C926990" w14:textId="77777777" w:rsidR="00C929E4" w:rsidRPr="004E053C" w:rsidRDefault="00C929E4" w:rsidP="004E053C">
      <w:pPr>
        <w:jc w:val="both"/>
      </w:pPr>
    </w:p>
    <w:p w14:paraId="77E8A2E2" w14:textId="3F6F0B20" w:rsidR="00C929E4" w:rsidRPr="004E053C" w:rsidRDefault="00C929E4"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t xml:space="preserve">At the start of fieldwork, I spoke to numerous academics and NGO representatives in Lima who said that they could not comprehend why anyone would choose to get involved in such a dangerous, life-threatening activity as ASM. While debates amongst academics have moved on to thinking about the capital interests at play in artisanal mining, in Peru it is still important to emphasise the structural inequalities that exist for Andean people which may lead them to engage in the sector. This is particularly due to the widespread demonisation in the media and public discourse regarding artisanal gold miners. Through focusing on migration in ASM, rather than solely the activity of mining itself, I have tried to emphasise the structural inequalities that have contributed to the explosion in mining activity in Madre de Dios. Furthermore, the descriptive introduction to the motivations of migrant engagement in ASM provided a starting point from which to explore the nuances of translocal livelihoods, particularly the </w:t>
      </w:r>
      <w:r w:rsidR="00C66190" w:rsidRPr="004E053C">
        <w:rPr>
          <w:rFonts w:cstheme="majorHAnsi"/>
          <w:color w:val="000000"/>
          <w:sz w:val="22"/>
          <w:szCs w:val="22"/>
          <w:lang w:val="en-GB"/>
        </w:rPr>
        <w:t>differentiations</w:t>
      </w:r>
      <w:r w:rsidRPr="004E053C">
        <w:rPr>
          <w:rFonts w:cstheme="majorHAnsi"/>
          <w:color w:val="000000"/>
          <w:sz w:val="22"/>
          <w:szCs w:val="22"/>
          <w:lang w:val="en-GB"/>
        </w:rPr>
        <w:t xml:space="preserve"> in livelihood trajectories. At interesting point to note is also the tendency for people to mine due to a family history of mining and/or pressure from social norms. This suggests a mining identity that goes beyond the individual </w:t>
      </w:r>
      <w:r w:rsidRPr="004E053C">
        <w:rPr>
          <w:rFonts w:cstheme="majorHAnsi"/>
          <w:color w:val="000000"/>
          <w:sz w:val="22"/>
          <w:szCs w:val="22"/>
          <w:lang w:val="en-GB"/>
        </w:rPr>
        <w:fldChar w:fldCharType="begin" w:fldLock="1"/>
      </w:r>
      <w:r w:rsidRPr="004E053C">
        <w:rPr>
          <w:rFonts w:cstheme="majorHAnsi"/>
          <w:color w:val="000000"/>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2010)","manualFormatting":"(Bryceson &amp; Jønsson, 2010)","plainTextFormattedCitation":"(D. F. Bryceson &amp; Jønsson, 2010)","previouslyFormattedCitation":"(D. F. Bryceson &amp; Jønsson, 2010)"},"properties":{"noteIndex":0},"schema":"https://github.com/citation-style-language/schema/raw/master/csl-citation.json"}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(Bryceson &amp; Jønsson, 2010)</w:t>
      </w:r>
      <w:r w:rsidRPr="004E053C">
        <w:rPr>
          <w:rFonts w:cstheme="majorHAnsi"/>
          <w:color w:val="000000"/>
          <w:sz w:val="22"/>
          <w:szCs w:val="22"/>
          <w:lang w:val="en-GB"/>
        </w:rPr>
        <w:fldChar w:fldCharType="end"/>
      </w:r>
      <w:r w:rsidRPr="004E053C">
        <w:rPr>
          <w:rFonts w:cstheme="majorHAnsi"/>
          <w:color w:val="000000"/>
          <w:sz w:val="22"/>
          <w:szCs w:val="22"/>
          <w:lang w:val="en-GB"/>
        </w:rPr>
        <w:t xml:space="preserve">, a theme that came up repeatedly throughout the research. </w:t>
      </w:r>
    </w:p>
    <w:p w14:paraId="32BDB5AF" w14:textId="77777777" w:rsidR="00C929E4" w:rsidRPr="004E053C" w:rsidRDefault="00C929E4" w:rsidP="004E053C">
      <w:pPr>
        <w:spacing w:line="360" w:lineRule="auto"/>
        <w:jc w:val="both"/>
        <w:rPr>
          <w:rFonts w:cstheme="majorHAnsi"/>
          <w:color w:val="000000"/>
          <w:sz w:val="22"/>
          <w:szCs w:val="22"/>
          <w:lang w:val="en-GB"/>
        </w:rPr>
      </w:pPr>
    </w:p>
    <w:p w14:paraId="32EFBE89" w14:textId="6A8968B7" w:rsidR="00C929E4" w:rsidRPr="004E053C" w:rsidRDefault="00C929E4"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t>In the Bourdieusian social field, individuals must be thought of as occupying different positions, based on their relative endowments, and therefore as having different interests. I have shown that the people working in mining towns and settlements in Madre de Dios can be broadly divided into four types</w:t>
      </w:r>
      <w:r w:rsidR="00633F5B" w:rsidRPr="004E053C">
        <w:rPr>
          <w:rFonts w:cstheme="majorHAnsi"/>
          <w:color w:val="000000"/>
          <w:sz w:val="22"/>
          <w:szCs w:val="22"/>
          <w:lang w:val="en-GB"/>
        </w:rPr>
        <w:t xml:space="preserve"> of migrant:</w:t>
      </w:r>
      <w:r w:rsidRPr="004E053C">
        <w:rPr>
          <w:rFonts w:cstheme="majorHAnsi"/>
          <w:color w:val="000000"/>
          <w:sz w:val="22"/>
          <w:szCs w:val="22"/>
          <w:lang w:val="en-GB"/>
        </w:rPr>
        <w:t xml:space="preserve"> permanent, temporary, floating and non-migrant. The permanent miners differ slightly from that of the career miners identified by Bryceson and Jønsson </w:t>
      </w:r>
      <w:r w:rsidRPr="004E053C">
        <w:rPr>
          <w:rFonts w:cstheme="majorHAnsi"/>
          <w:color w:val="000000"/>
          <w:sz w:val="22"/>
          <w:szCs w:val="22"/>
          <w:lang w:val="en-GB"/>
        </w:rPr>
        <w:fldChar w:fldCharType="begin" w:fldLock="1"/>
      </w:r>
      <w:r w:rsidRPr="004E053C">
        <w:rPr>
          <w:rFonts w:cstheme="majorHAnsi"/>
          <w:color w:val="000000"/>
          <w:sz w:val="22"/>
          <w:szCs w:val="22"/>
          <w:lang w:val="en-GB"/>
        </w:rPr>
        <w:instrText>ADDIN CSL_CITATION {"citationItems":[{"id":"ITEM-1","itemData":{"abstract":"Rural livelihood studies over the past two decades have stressed directional movement away from smallholder agriculture and the diffuse, ad hoc, uncertain, and low-earning character of most rural non-agricultural income diversification. Based on a recent survey of small-scale mining in Tanzania, this article documents the higher risks, greater potential earnings, more elaborate division of labor, and career trajectory of miners. Tracing cohort entry groups indicates that those willing to withstand the hardships of moving from one gold strike to another and time commitment to a career considered dangerous and alienated from agrarian traditions of the Tanzanian countryside may be materially rewarded for their efforts. © 2009 Elsevier Ltd. All rights reserved.","author":[{"dropping-particle":"","family":"Bryceson","given":"Deborah Fahy","non-dropping-particle":"","parse-names":false,"suffix":""},{"dropping-particle":"","family":"Jønsson","given":"Jesper Bosse","non-dropping-particle":"","parse-names":false,"suffix":""}],"container-title":"World Development","id":"ITEM-1","issue":"3","issued":{"date-parts":[["2010"]]},"page":"379-392","publisher":"Elsevier Ltd","title":"Gold digging careers in rural East Africa: small-scale miners livelihood choices","type":"article-journal","volume":"38"},"uris":["http://www.mendeley.com/documents/?uuid=7f7b744a-7bae-4fde-b246-36b5d50aedb4"]}],"mendeley":{"formattedCitation":"(D. F. Bryceson &amp; Jønsson, 2010)","manualFormatting":"(2010)","plainTextFormattedCitation":"(D. F. Bryceson &amp; Jønsson, 2010)","previouslyFormattedCitation":"(D. F. Bryceson &amp; Jønsson, 2010)"},"properties":{"noteIndex":0},"schema":"https://github.com/citation-style-language/schema/raw/master/csl-citation.json"}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(2010)</w:t>
      </w:r>
      <w:r w:rsidRPr="004E053C">
        <w:rPr>
          <w:rFonts w:cstheme="majorHAnsi"/>
          <w:color w:val="000000"/>
          <w:sz w:val="22"/>
          <w:szCs w:val="22"/>
          <w:lang w:val="en-GB"/>
        </w:rPr>
        <w:fldChar w:fldCharType="end"/>
      </w:r>
      <w:r w:rsidRPr="004E053C">
        <w:rPr>
          <w:rFonts w:cstheme="majorHAnsi"/>
          <w:color w:val="000000"/>
          <w:sz w:val="22"/>
          <w:szCs w:val="22"/>
          <w:lang w:val="en-GB"/>
        </w:rPr>
        <w:t xml:space="preserve"> because the latter were highly mobile, whereas here they are defined by their rootedness within the destination mining community. The permanent miners see Laberinto as their home and direct their investments to building a life within it, often showing a desire for the development of a sense of (local) community. The temporary miners meanwhile have retained an active orientation towards home, or in some cases, are working in ASM specifically to facilitate a move to an urban centre. While the floating miners may not have an active orientation towards anywhere, they are also extremely mobile and are not invested in any of the discrete places within the translocal social field. However, over time there is a tendency for both floating miners and non-migrants to switch between categories. </w:t>
      </w:r>
    </w:p>
    <w:p w14:paraId="326D5DF2" w14:textId="77777777" w:rsidR="00C929E4" w:rsidRPr="004E053C" w:rsidRDefault="00C929E4" w:rsidP="004E053C">
      <w:pPr>
        <w:spacing w:line="360" w:lineRule="auto"/>
        <w:jc w:val="both"/>
        <w:rPr>
          <w:rFonts w:cstheme="majorHAnsi"/>
          <w:color w:val="000000"/>
          <w:sz w:val="22"/>
          <w:szCs w:val="22"/>
          <w:lang w:val="en-GB"/>
        </w:rPr>
      </w:pPr>
    </w:p>
    <w:p w14:paraId="28B9CE07" w14:textId="713B936F" w:rsidR="00C929E4" w:rsidRPr="004E053C" w:rsidRDefault="00C929E4"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lastRenderedPageBreak/>
        <w:t xml:space="preserve">A further empirical contribution to the ASM literature was made through exploring the second of the four questions posed at the start of the thesis, which related to the role of women in the ASM community. This has been possible through conceptualising the social field of ASM as a wide web of translocal livelihoods that encompass both origin and destination communities. Firstly, I have highlighted the gendered mobility inherent in ASM and the impact of that mobility on intra-household relationships and the agency of women. Secondly, I have illustrated the myriad ways women contribute to the maintenance of community relationships in the absence of their husband and the increasing difficulties they face due to the negativity surrounding the sector in public discourse. Thirdly, through a focus on the entire ASM sector rather than just those individuals directly involved in ASM activity, I have shown the direct contributions that women make to the maintenance of the household’s livelihood strategy. These findings add to an emerging body of literature that has started to shed light on women in ASM communities </w:t>
      </w:r>
      <w:r w:rsidRPr="004E053C">
        <w:rPr>
          <w:rFonts w:cstheme="majorHAnsi"/>
          <w:color w:val="000000"/>
          <w:sz w:val="22"/>
          <w:szCs w:val="22"/>
          <w:lang w:val="en-GB"/>
        </w:rPr>
        <w:fldChar w:fldCharType="begin" w:fldLock="1"/>
      </w:r>
      <w:r w:rsidR="002F0CEA">
        <w:rPr>
          <w:rFonts w:cstheme="majorHAnsi"/>
          <w:color w:val="000000"/>
          <w:sz w:val="22"/>
          <w:szCs w:val="22"/>
          <w:lang w:val="en-GB"/>
        </w:rPr>
        <w:instrText>ADDIN CSL_CITATION {"citationItems":[{"id":"ITEM-1","itemData":{"abstract":"This paper explores “conflict mining-related sexual violence” as a type of conflict sexual violence, tracing the dynamic process by which this category is defined in and through the production of research. Focusing on two “conflict minerals” initiatives, I explore how data on sexual violence are positioned as an indicator for assessing armed conflict and human rights abuses in mining areas in eastern Democratic Republic of the Congo. I trace the methodological decisions and epistemic claims that shape what is knowable about mining-related sexual violence and which erase the significant methodological challenges in researching sexual- and gender-based violence in eastern Democratic Republic of the Congo.","author":[{"dropping-particle":"","family":"Buss","given":"D","non-dropping-particle":"","parse-names":false,"suffix":""}],"container-title":"Social Politics","id":"ITEM-1","issue":"4","issued":{"date-parts":[["2018"]]},"page":"545-567","title":"Conflict minerals and sexual violence in Central Africa: troubling research","type":"article-journal","volume":"25"},"uris":["http://www.mendeley.com/documents/?uuid=8bd1c08c-1200-46d2-ab6c-b457b83c5088"]},{"id":"ITEM-2","itemData":{"abstract":"This paper explores the gendered contexts of artisanal and small-scale mining in sub-Saharan Africa, and traces how women are likely to be excluded from current policy pushes to formally regulate the sector. Drawing on qualitative and quantitative research results from six artisanal and small-scale mining (ASM) sites, two in each of Democratic Republic of Congo, Rwanda and Uganda, the paper traces how the gendered organization of mining roles, when viewed in relation to women's disproportionate household and care work, and the gendered norms around what women should do, devalues and delimits women's mining work. The result, we argue, is that most women will be unlikely to access mining licenses or join and effectively participate in decision-making in miners’ associations/cooperatives. Seemingly neutral interventions like licenses or grouping miners into cooperatives may thus incorporate while normalizing existing gendered exclusions. The paper argues for a recalibration of ASM formalization to ensure that gender is placed at the centre of design and implementation.","author":[{"dropping-particle":"","family":"Buss","given":"D","non-dropping-particle":"","parse-names":false,"suffix":""},{"dropping-particle":"","family":"Rutherford","given":"Blair","non-dropping-particle":"","parse-names":false,"suffix":""},{"dropping-particle":"","family":"Stewart","given":"Jennifer","non-dropping-particle":"","parse-names":false,"suffix":""},{"dropping-particle":"","family":"Côté","given":"Gisèle Eva","non-dropping-particle":"","parse-names":false,"suffix":""},{"dropping-particle":"","family":"Sebina-Zziwa","given":"Abby","non-dropping-particle":"","parse-names":false,"suffix":""},{"dropping-particle":"","family":"Kibombo","given":"Richard","non-dropping-particle":"","parse-names":false,"suffix":""},{"dropping-particle":"","family":"Hinton","given":"Jennifer","non-dropping-particle":"","parse-names":false,"suffix":""},{"dropping-particle":"","family":"Lebert","given":"Joanne","non-dropping-particle":"","parse-names":false,"suffix":""}],"container-title":"Extractive Industries and Society","id":"ITEM-2","issue":"4","issued":{"date-parts":[["2019"]]},"page":"1101-1112","publisher":"Elsevier","title":"Gender and artisanal and small-scale mining: implications for formalization","type":"article-journal","volume":"6"},"uris":["http://www.mendeley.com/documents/?uuid=d3c6389f-147a-4a38-80bb-ad6e7ea88a8e"]},{"id":"ITEM-3","itemData":{"author":[{"dropping-particle":"","family":"Huggins","given":"C","non-dropping-particle":"","parse-names":false,"suffix":""},{"dropping-particle":"","family":"Buss","given":"D","non-dropping-particle":"","parse-names":false,"suffix":""},{"dropping-particle":"","family":"Rutherford","given":"B","non-dropping-particle":"","parse-names":false,"suffix":""}],"container-title":"Geoforum","id":"ITEM-3","issued":{"date-parts":[["2017"]]},"page":"142-152","title":"A 'cartography of concern': place-making practices and gender in the artisanal mining sector in Africa","type":"article-journal","volume":"83"},"uris":["http://www.mendeley.com/documents/?uuid=e50729d3-9142-4ed7-ae1f-c0ab01abedf3"]},{"id":"ITEM-4","itemData":{"abstract":"ABSTRACT Drawing on qualitative research data from two gold artisanal and small-scale mining sites (ASGM), one in Democratic Republic of the Congo, the other in Uganda, this paper explores the authority arrangements that govern mining livelihoods in these sites, tracing their gendered forms and operation. The inter-relationship between these arrangements and women’s mining livelihoods is considered to further explore some of the socio-economic differ- entiation among women miners. In the context of increasing emphasis on formalizing the ASM sector in Sub-Saharan Africa, including through licenses and formation of associations and cooperatives, both the gendered organization of mine site govern- ance and social differential among women miners have important implications. Formalization efforts in the ASM sector are rightly critiqued for failing to account for social differentiation that may allow elites to control licenses and associations. But also impor- tant, our research suggests, is the gendered inequalities that characterize existing authority arrangements, and the differentia- tion among women that may allow some women to organize and not others.","author":[{"dropping-particle":"","family":"Rutherford","given":"Blair","non-dropping-particle":"","parse-names":false,"suffix":""},{"dropping-particle":"","family":"Buss","given":"Doris","non-dropping-particle":"","parse-names":false,"suffix":""}],"container-title":"Third World Thematics: A TWQ Journal","id":"ITEM-4","issue":"1","issued":{"date-parts":[["2019"]]},"page":"63-79","publisher":"Routledge","title":"Gendered governance and socio-economic differentiation among women artisanal and small-scale miners in Central and East Africa","type":"article-journal","volume":"4"},"uris":["http://www.mendeley.com/documents/?uuid=15b17616-3294-410b-82b8-54fcc9b7de4f"]}],"mendeley":{"formattedCitation":"(Buss, 2018; Buss et al., 2019; Huggins et al., 2017; Rutherford &amp; Buss, 2019)","manualFormatting":"(Buss, 2018; Buss et al., 2019; Huggins et al., 2017; Rutherford &amp; Buss, 2019)","plainTextFormattedCitation":"(Buss, 2018; Buss et al., 2019; Huggins et al., 2017; Rutherford &amp; Buss, 2019)","previouslyFormattedCitation":"(Buss, 2018; Buss et al., 2019; Huggins et al., 2017; Rutherford &amp; Buss, 2019)"},"properties":{"noteIndex":0},"schema":"https://github.com/citation-style-language/schema/raw/master/csl-citation.json"}</w:instrText>
      </w:r>
      <w:r w:rsidRPr="004E053C">
        <w:rPr>
          <w:rFonts w:cstheme="majorHAnsi"/>
          <w:color w:val="000000"/>
          <w:sz w:val="22"/>
          <w:szCs w:val="22"/>
          <w:lang w:val="en-GB"/>
        </w:rPr>
        <w:fldChar w:fldCharType="separate"/>
      </w:r>
      <w:r w:rsidRPr="004E053C">
        <w:rPr>
          <w:rFonts w:cstheme="majorHAnsi"/>
          <w:noProof/>
          <w:color w:val="000000"/>
          <w:sz w:val="22"/>
          <w:szCs w:val="22"/>
          <w:lang w:val="en-GB"/>
        </w:rPr>
        <w:t>(Buss, 2018; Buss et al., 2019; Huggins et al., 2017; Rutherford &amp; Buss, 2019)</w:t>
      </w:r>
      <w:r w:rsidRPr="004E053C">
        <w:rPr>
          <w:rFonts w:cstheme="majorHAnsi"/>
          <w:color w:val="000000"/>
          <w:sz w:val="22"/>
          <w:szCs w:val="22"/>
          <w:lang w:val="en-GB"/>
        </w:rPr>
        <w:fldChar w:fldCharType="end"/>
      </w:r>
      <w:r w:rsidRPr="004E053C">
        <w:rPr>
          <w:rFonts w:cstheme="majorHAnsi"/>
          <w:color w:val="000000"/>
          <w:sz w:val="22"/>
          <w:szCs w:val="22"/>
          <w:lang w:val="en-GB"/>
        </w:rPr>
        <w:t xml:space="preserve">. </w:t>
      </w:r>
    </w:p>
    <w:p w14:paraId="7B21B676" w14:textId="77777777" w:rsidR="00C929E4" w:rsidRPr="004E053C" w:rsidRDefault="00C929E4" w:rsidP="004E053C">
      <w:pPr>
        <w:spacing w:line="360" w:lineRule="auto"/>
        <w:contextualSpacing/>
        <w:jc w:val="both"/>
        <w:rPr>
          <w:rFonts w:eastAsiaTheme="minorHAnsi" w:cstheme="majorHAnsi"/>
          <w:color w:val="000000"/>
          <w:sz w:val="22"/>
          <w:szCs w:val="22"/>
          <w:lang w:val="en-GB"/>
        </w:rPr>
      </w:pPr>
    </w:p>
    <w:p w14:paraId="5761B77D" w14:textId="77777777" w:rsidR="00C929E4" w:rsidRPr="004E053C" w:rsidRDefault="00C929E4" w:rsidP="004E053C">
      <w:pPr>
        <w:spacing w:line="360" w:lineRule="auto"/>
        <w:jc w:val="both"/>
        <w:rPr>
          <w:rFonts w:cstheme="majorHAnsi"/>
          <w:color w:val="000000"/>
          <w:sz w:val="22"/>
          <w:szCs w:val="22"/>
          <w:lang w:val="en-GB"/>
        </w:rPr>
      </w:pPr>
      <w:r w:rsidRPr="004E053C">
        <w:rPr>
          <w:rFonts w:cstheme="majorHAnsi"/>
          <w:color w:val="000000"/>
          <w:sz w:val="22"/>
          <w:szCs w:val="22"/>
          <w:lang w:val="en-GB"/>
        </w:rPr>
        <w:t>Conceptualising the translocal ASM community as a Bourdieusian social field enables us to understand how tensions and contestations are created by the relative positions of the actors within the social field. As highlighted earlier, these positions are not just determined by relative capital endowments but also by the dynamic nature of translocal livelihoods. Drawing on the typologies identified in chapter 6, I have shown how these tensions arise over ASM activity, particularly in relation to access to land and labour mobility. While to some extent these tensions are created by relative capital endowments, such as the ownership of concessions, they are also related to the temporary and floating miners’ disregard of local norms. Fisher (2007) has observed that artisanal miners may intentionally exclude themselves from dominant society to gain access to illicit financial opportunities, but here we see miners also excluding themselves from the local mining community. Such behaviour is not just observed in relation to mining activity, and may extend to the protection of the local environment or investing in local culture, for example. In general what has been shown is how divergent livelihood trajectories, and the differing local embeddedness that result, leads to forms of contestation that can be characterised as temporal frictions.</w:t>
      </w:r>
    </w:p>
    <w:p w14:paraId="5AC92288" w14:textId="77777777" w:rsidR="00C929E4" w:rsidRPr="004E053C" w:rsidRDefault="00C929E4" w:rsidP="004E053C">
      <w:pPr>
        <w:spacing w:line="360" w:lineRule="auto"/>
        <w:jc w:val="both"/>
        <w:rPr>
          <w:rFonts w:cstheme="majorHAnsi"/>
          <w:color w:val="000000"/>
          <w:sz w:val="22"/>
          <w:szCs w:val="22"/>
          <w:lang w:val="en-GB"/>
        </w:rPr>
      </w:pPr>
    </w:p>
    <w:p w14:paraId="713E995D" w14:textId="2E824812" w:rsidR="00C929E4" w:rsidRPr="004E053C" w:rsidRDefault="00C929E4" w:rsidP="004E053C">
      <w:pPr>
        <w:spacing w:line="360" w:lineRule="auto"/>
        <w:jc w:val="both"/>
        <w:rPr>
          <w:rFonts w:cstheme="majorHAnsi"/>
          <w:color w:val="000000"/>
          <w:sz w:val="22"/>
          <w:szCs w:val="22"/>
          <w:highlight w:val="yellow"/>
          <w:lang w:val="en-GB"/>
        </w:rPr>
      </w:pPr>
      <w:r w:rsidRPr="004E053C">
        <w:rPr>
          <w:rFonts w:eastAsiaTheme="minorHAnsi" w:cstheme="majorHAnsi"/>
          <w:color w:val="000000"/>
          <w:sz w:val="22"/>
          <w:szCs w:val="22"/>
          <w:lang w:val="en-GB"/>
        </w:rPr>
        <w:t>The final chapter of this thesis explored the various ways that the miners in Madre de Dios positioned themselves against other actors, and in doing so shed light on the political situation with the Government. I frame this as conflict between the social field of ASM and the dominant society and particularly the field of power, which I suggest is the Peruvian state. The contribution I make in this chapter stems from bringing together theory on translocal social fields with ideas about place</w:t>
      </w:r>
      <w:r w:rsidR="00130A52">
        <w:rPr>
          <w:rFonts w:eastAsiaTheme="minorHAnsi" w:cstheme="majorHAnsi"/>
          <w:color w:val="000000"/>
          <w:sz w:val="22"/>
          <w:szCs w:val="22"/>
          <w:lang w:val="en-GB"/>
        </w:rPr>
        <w:t xml:space="preserve"> </w:t>
      </w:r>
      <w:r w:rsidRPr="004E053C">
        <w:rPr>
          <w:rFonts w:eastAsiaTheme="minorHAnsi" w:cstheme="majorHAnsi"/>
          <w:color w:val="000000"/>
          <w:sz w:val="22"/>
          <w:szCs w:val="22"/>
          <w:lang w:val="en-GB"/>
        </w:rPr>
        <w:lastRenderedPageBreak/>
        <w:t>identity and deviance and applying them to ASM. In doing so, I add to our understanding of identity in mining se</w:t>
      </w:r>
      <w:r w:rsidR="007A7DCE">
        <w:rPr>
          <w:rFonts w:eastAsiaTheme="minorHAnsi" w:cstheme="majorHAnsi"/>
          <w:color w:val="000000"/>
          <w:sz w:val="22"/>
          <w:szCs w:val="22"/>
          <w:lang w:val="en-GB"/>
        </w:rPr>
        <w:t>ttlements, which other researchers</w:t>
      </w:r>
      <w:r w:rsidRPr="004E053C">
        <w:rPr>
          <w:rFonts w:eastAsiaTheme="minorHAnsi" w:cstheme="majorHAnsi"/>
          <w:color w:val="000000"/>
          <w:sz w:val="22"/>
          <w:szCs w:val="22"/>
          <w:lang w:val="en-GB"/>
        </w:rPr>
        <w:t xml:space="preserve"> have often only discussed in relation to the mining profession. </w:t>
      </w:r>
      <w:r w:rsidRPr="004E053C">
        <w:rPr>
          <w:rFonts w:cstheme="majorHAnsi"/>
          <w:sz w:val="22"/>
          <w:szCs w:val="22"/>
        </w:rPr>
        <w:t xml:space="preserve">Related to this is the fact that the permanent miners often positioned themselves against the miners that </w:t>
      </w:r>
      <w:r w:rsidR="00C66190" w:rsidRPr="004E053C">
        <w:rPr>
          <w:rFonts w:cstheme="majorHAnsi"/>
          <w:sz w:val="22"/>
          <w:szCs w:val="22"/>
        </w:rPr>
        <w:t>remained</w:t>
      </w:r>
      <w:r w:rsidRPr="004E053C">
        <w:rPr>
          <w:rFonts w:cstheme="majorHAnsi"/>
          <w:sz w:val="22"/>
          <w:szCs w:val="22"/>
        </w:rPr>
        <w:t xml:space="preserve"> transient. It was often claimed that these individuals were more likely to be working illegally and were therefore more ‘deviant’. </w:t>
      </w:r>
      <w:r w:rsidRPr="004E053C">
        <w:rPr>
          <w:rFonts w:cstheme="majorHAnsi"/>
          <w:sz w:val="22"/>
          <w:szCs w:val="22"/>
          <w:lang w:val="en-GB"/>
        </w:rPr>
        <w:t xml:space="preserve">The relative positions of people within the social field also affect the way they respond to the on-going conflict with the Government. Most notably, the temporary miners are far less concerned with engaging in forms of resistance against the Government, primarily because they are not as invested in the local area as the permanent miners are. Although such contestations may not be violent, they do highlight how the relative positions of actors within the field can affect the importance they attach to engaging in resistance. </w:t>
      </w:r>
    </w:p>
    <w:p w14:paraId="098E7C73" w14:textId="77777777" w:rsidR="00C929E4" w:rsidRPr="004E053C" w:rsidRDefault="00C929E4" w:rsidP="004E053C">
      <w:pPr>
        <w:spacing w:line="360" w:lineRule="auto"/>
        <w:jc w:val="both"/>
        <w:rPr>
          <w:rFonts w:cstheme="majorHAnsi"/>
          <w:color w:val="000000"/>
          <w:sz w:val="22"/>
          <w:szCs w:val="22"/>
          <w:lang w:val="en-GB"/>
        </w:rPr>
      </w:pPr>
    </w:p>
    <w:p w14:paraId="3A48FE67" w14:textId="77777777" w:rsidR="00C929E4" w:rsidRPr="004E053C" w:rsidRDefault="00C929E4" w:rsidP="004E053C">
      <w:pPr>
        <w:spacing w:line="360" w:lineRule="auto"/>
        <w:jc w:val="both"/>
        <w:rPr>
          <w:rFonts w:cstheme="majorHAnsi"/>
          <w:color w:val="000000"/>
          <w:sz w:val="22"/>
          <w:szCs w:val="22"/>
          <w:highlight w:val="yellow"/>
          <w:lang w:val="en-GB"/>
        </w:rPr>
      </w:pPr>
      <w:r w:rsidRPr="004E053C">
        <w:rPr>
          <w:rFonts w:eastAsiaTheme="minorHAnsi" w:cstheme="majorHAnsi"/>
          <w:color w:val="000000"/>
          <w:sz w:val="22"/>
          <w:szCs w:val="22"/>
          <w:lang w:val="en-GB"/>
        </w:rPr>
        <w:t xml:space="preserve">Chapter 9 moves on focus on the positionality of people living in mining towns and settlements, building on knowledge of ASM in Madre de Dios. Chapter 4 emphasised how the notion of ‘place’ retained its importance in the translocal community and this becomes clear in the analysis here in two main ways. Firstly, the on-going conflict with the Government and the series of violent interdictions threaten not just livelihoods but also place. For those permanent inhabitants of Laberinto that are relatively more embedded in the local area, this makes life particularly insecure. Secondly, spatial definitions of illegality have retained central importance and are used to create both an in-group identity and the construction of an out-group that further bolsters that identity. Thus while a collective identity is formed through a shared location and profession, it is strengthened by feelings of insecurity and injustice. I highlighted how this identity was reflected in the narratives adopted by local people in a bid to justify their own behaviour. I drew on concepts of labelling to analyse these discourses and narratives, bringing these ideas together with a Bourdieusian analysis that viewed them as a reflection of the contestations that occur within and between social fields. </w:t>
      </w:r>
    </w:p>
    <w:p w14:paraId="1D5478DB" w14:textId="77777777" w:rsidR="00C929E4" w:rsidRPr="004E053C" w:rsidRDefault="00C929E4" w:rsidP="004E053C">
      <w:pPr>
        <w:spacing w:line="360" w:lineRule="auto"/>
        <w:contextualSpacing/>
        <w:jc w:val="both"/>
        <w:rPr>
          <w:rFonts w:eastAsiaTheme="minorHAnsi" w:cstheme="majorHAnsi"/>
          <w:color w:val="000000"/>
          <w:sz w:val="22"/>
          <w:szCs w:val="22"/>
          <w:lang w:val="en-GB"/>
        </w:rPr>
      </w:pPr>
    </w:p>
    <w:p w14:paraId="4CAD2F51" w14:textId="77777777" w:rsidR="00C929E4" w:rsidRPr="004E053C" w:rsidRDefault="00C929E4" w:rsidP="004E053C">
      <w:pPr>
        <w:spacing w:line="360" w:lineRule="auto"/>
        <w:contextualSpacing/>
        <w:jc w:val="both"/>
        <w:rPr>
          <w:rFonts w:eastAsiaTheme="minorHAnsi" w:cstheme="majorHAnsi"/>
          <w:color w:val="000000"/>
          <w:sz w:val="22"/>
          <w:szCs w:val="22"/>
          <w:lang w:val="en-GB"/>
        </w:rPr>
      </w:pPr>
      <w:r w:rsidRPr="004E053C">
        <w:rPr>
          <w:rFonts w:eastAsiaTheme="minorHAnsi" w:cstheme="majorHAnsi"/>
          <w:color w:val="000000"/>
          <w:sz w:val="22"/>
          <w:szCs w:val="22"/>
          <w:lang w:val="en-GB"/>
        </w:rPr>
        <w:t xml:space="preserve">I argue that it is this shared identity that leads community members to work together in order to protect each other from both foreigners and the State and to organise resistance against what are perceived to be unjust policies. Academics and policy makers must be aware of this identity when attempting to engage local people in dialogue, not least because it represents a further layer of complexity that may inhibit attempts to resettle miners or provide alternate livelihoods, for example. However, as we know from existing literature, within the translocal community people can ascribe very different meanings to place </w:t>
      </w:r>
      <w:r w:rsidRPr="004E053C">
        <w:rPr>
          <w:rFonts w:eastAsiaTheme="minorHAnsi" w:cstheme="majorHAnsi"/>
          <w:color w:val="000000"/>
          <w:sz w:val="22"/>
          <w:szCs w:val="22"/>
          <w:lang w:val="en-GB"/>
        </w:rPr>
        <w:fldChar w:fldCharType="begin" w:fldLock="1"/>
      </w:r>
      <w:r w:rsidRPr="004E053C">
        <w:rPr>
          <w:rFonts w:eastAsiaTheme="minorHAnsi" w:cstheme="majorHAnsi"/>
          <w:color w:val="000000"/>
          <w:sz w:val="22"/>
          <w:szCs w:val="22"/>
          <w:lang w:val="en-GB"/>
        </w:rPr>
        <w:instrText>ADDIN CSL_CITATION {"citationItems":[{"id":"ITEM-1","itemData":{"author":[{"dropping-particle":"","family":"Levitt","given":"Peggy","non-dropping-particle":"","parse-names":false,"suffix":""},{"dropping-particle":"","family":"Glick Schiller","given":"Nina","non-dropping-particle":"","parse-names":false,"suffix":""}],"container-title":"International Migration Review","id":"ITEM-1","issue":"3","issued":{"date-parts":[["2004"]]},"page":"1002-1039","title":"Conceptualizing Simultaneity: A Transnational Social Field Perspective on Society","type":"article-journal","volume":"38"},"uris":["http://www.mendeley.com/documents/?uuid=0fba9d75-8d2a-4773-971d-1b23f9a6edea"]},{"id":"ITEM-2","itemData":{"author":[{"dropping-particle":"","family":"Levitt","given":"Peggy","non-dropping-particle":"","parse-names":false,"suffix":""},{"dropping-particle":"","family":"Jaworsky","given":"B Nadya","non-dropping-particle":"","parse-names":false,"suffix":""}],"container-title":"Annual Review of Sociology","id":"ITEM-2","issued":{"date-parts":[["2007"]]},"page":"129 – 156","title":"Transnational migration studies: past developments and future trends","type":"article-journal","volume":"33"},"uris":["http://www.mendeley.com/documents/?uuid=f19605fe-557e-4067-b027-1e83b31a9583"]}],"mendeley":{"formattedCitation":"(Levitt &amp; Glick Schiller, 2004; Levitt &amp; Jaworsky, 2007)","plainTextFormattedCitation":"(Levitt &amp; Glick Schiller, 2004; Levitt &amp; Jaworsky, 2007)","previouslyFormattedCitation":"(Levitt &amp; Glick Schiller, 2004; Levitt &amp; Jaworsky, 2007)"},"properties":{"noteIndex":0},"schema":"https://github.com/citation-style-language/schema/raw/master/csl-citation.json"}</w:instrText>
      </w:r>
      <w:r w:rsidRPr="004E053C">
        <w:rPr>
          <w:rFonts w:eastAsiaTheme="minorHAnsi" w:cstheme="majorHAnsi"/>
          <w:color w:val="000000"/>
          <w:sz w:val="22"/>
          <w:szCs w:val="22"/>
          <w:lang w:val="en-GB"/>
        </w:rPr>
        <w:fldChar w:fldCharType="separate"/>
      </w:r>
      <w:r w:rsidRPr="004E053C">
        <w:rPr>
          <w:rFonts w:eastAsiaTheme="minorHAnsi" w:cstheme="majorHAnsi"/>
          <w:noProof/>
          <w:color w:val="000000"/>
          <w:sz w:val="22"/>
          <w:szCs w:val="22"/>
          <w:lang w:val="en-GB"/>
        </w:rPr>
        <w:t>(Levitt &amp; Glick Schiller, 2004; Levitt &amp; Jaworsky, 2007)</w:t>
      </w:r>
      <w:r w:rsidRPr="004E053C">
        <w:rPr>
          <w:rFonts w:eastAsiaTheme="minorHAnsi" w:cstheme="majorHAnsi"/>
          <w:color w:val="000000"/>
          <w:sz w:val="22"/>
          <w:szCs w:val="22"/>
          <w:lang w:val="en-GB"/>
        </w:rPr>
        <w:fldChar w:fldCharType="end"/>
      </w:r>
      <w:r w:rsidRPr="004E053C">
        <w:rPr>
          <w:rFonts w:eastAsiaTheme="minorHAnsi" w:cstheme="majorHAnsi"/>
          <w:color w:val="000000"/>
          <w:sz w:val="22"/>
          <w:szCs w:val="22"/>
          <w:lang w:val="en-GB"/>
        </w:rPr>
        <w:t xml:space="preserve">. </w:t>
      </w:r>
      <w:r w:rsidRPr="004E053C">
        <w:rPr>
          <w:rFonts w:eastAsiaTheme="minorHAnsi" w:cstheme="majorHAnsi"/>
          <w:color w:val="000000"/>
          <w:sz w:val="22"/>
          <w:szCs w:val="22"/>
          <w:lang w:val="en-GB"/>
        </w:rPr>
        <w:lastRenderedPageBreak/>
        <w:t xml:space="preserve">While there is undoubtedly a strong collective identity amongst the permanent residents of Laberinto, their more transient neighbours are not only less likely to feel a strong attachment to the local area, but they may also feel less threatened by insecurity as it is easier for them to move on or return home. </w:t>
      </w:r>
    </w:p>
    <w:p w14:paraId="2AFD1463" w14:textId="77777777" w:rsidR="00C929E4" w:rsidRPr="004E053C" w:rsidRDefault="00C929E4" w:rsidP="004E053C">
      <w:pPr>
        <w:spacing w:line="360" w:lineRule="auto"/>
        <w:contextualSpacing/>
        <w:jc w:val="both"/>
        <w:rPr>
          <w:rFonts w:eastAsiaTheme="minorHAnsi" w:cstheme="majorHAnsi"/>
          <w:color w:val="000000"/>
          <w:sz w:val="22"/>
          <w:szCs w:val="22"/>
          <w:lang w:val="en-GB"/>
        </w:rPr>
      </w:pPr>
    </w:p>
    <w:p w14:paraId="4A03EB43" w14:textId="77777777" w:rsidR="00C929E4" w:rsidRPr="004E053C" w:rsidRDefault="00C929E4" w:rsidP="004E053C">
      <w:pPr>
        <w:keepNext/>
        <w:keepLines/>
        <w:spacing w:line="360" w:lineRule="auto"/>
        <w:jc w:val="both"/>
        <w:outlineLvl w:val="1"/>
        <w:rPr>
          <w:rFonts w:eastAsiaTheme="majorEastAsia" w:cstheme="majorHAnsi"/>
          <w:color w:val="2E74B5" w:themeColor="accent1" w:themeShade="BF"/>
          <w:sz w:val="26"/>
          <w:szCs w:val="26"/>
          <w:lang w:val="en-GB"/>
        </w:rPr>
      </w:pPr>
      <w:r w:rsidRPr="004E053C">
        <w:rPr>
          <w:rFonts w:eastAsiaTheme="majorEastAsia" w:cstheme="majorHAnsi"/>
          <w:color w:val="2E74B5" w:themeColor="accent1" w:themeShade="BF"/>
          <w:sz w:val="26"/>
          <w:szCs w:val="26"/>
          <w:lang w:val="en-GB"/>
        </w:rPr>
        <w:t>10.3. Towards a Theoretical Understanding of the Translocal Social Field</w:t>
      </w:r>
    </w:p>
    <w:p w14:paraId="13654641" w14:textId="77777777" w:rsidR="00C929E4" w:rsidRPr="004E053C" w:rsidRDefault="00C929E4" w:rsidP="004E053C">
      <w:pPr>
        <w:pStyle w:val="NoSpacing"/>
        <w:jc w:val="both"/>
        <w:rPr>
          <w:lang w:val="en-GB"/>
        </w:rPr>
      </w:pPr>
      <w:r w:rsidRPr="004E053C">
        <w:rPr>
          <w:lang w:val="en-GB"/>
        </w:rPr>
        <w:t xml:space="preserve"> </w:t>
      </w:r>
    </w:p>
    <w:p w14:paraId="2F44E815" w14:textId="4F582CAC" w:rsidR="00C929E4" w:rsidRPr="004E053C" w:rsidRDefault="00C929E4" w:rsidP="004E053C">
      <w:pPr>
        <w:spacing w:line="360" w:lineRule="auto"/>
        <w:jc w:val="both"/>
        <w:rPr>
          <w:rFonts w:cstheme="majorHAnsi"/>
          <w:sz w:val="22"/>
          <w:szCs w:val="22"/>
          <w:lang w:val="en-GB"/>
        </w:rPr>
      </w:pPr>
      <w:r w:rsidRPr="004E053C">
        <w:rPr>
          <w:rFonts w:cstheme="majorHAnsi"/>
          <w:sz w:val="22"/>
          <w:szCs w:val="22"/>
          <w:lang w:val="en-GB"/>
        </w:rPr>
        <w:t>This thesis has focused on the case of a translocal gold mining community in Peru, which creates a web of connections between multiple localities in the Andes and Ama</w:t>
      </w:r>
      <w:r w:rsidR="00277027">
        <w:rPr>
          <w:rFonts w:cstheme="majorHAnsi"/>
          <w:sz w:val="22"/>
          <w:szCs w:val="22"/>
          <w:lang w:val="en-GB"/>
        </w:rPr>
        <w:t>z</w:t>
      </w:r>
      <w:r w:rsidRPr="004E053C">
        <w:rPr>
          <w:rFonts w:cstheme="majorHAnsi"/>
          <w:sz w:val="22"/>
          <w:szCs w:val="22"/>
          <w:lang w:val="en-GB"/>
        </w:rPr>
        <w:t xml:space="preserve">on. While the empirical findings that have been presented add to our knowledge of the Peruvian context specifically and to migratory ASM livelihoods more generally, there are also some theoretical contributions which pertain to the broader concepts of translocality and translocal livelihoods. Given the informal and often illegal nature of ASM in Madre de Dios, it may be tempting to dismiss it as an extreme case. However, many of the broad trends and emerging issues are symptomatic of translocality and informality, and can therefore potentially be generalised to a range of other precarious migratory livelihoods, of which there are many in the Global South. </w:t>
      </w:r>
    </w:p>
    <w:p w14:paraId="01883783" w14:textId="77777777" w:rsidR="00C929E4" w:rsidRPr="004E053C" w:rsidRDefault="00C929E4" w:rsidP="004E053C">
      <w:pPr>
        <w:pStyle w:val="NoSpacing"/>
        <w:jc w:val="both"/>
        <w:rPr>
          <w:lang w:val="en-GB"/>
        </w:rPr>
      </w:pPr>
    </w:p>
    <w:p w14:paraId="61C653CF" w14:textId="3FCEE350" w:rsidR="00C929E4" w:rsidRPr="004E053C" w:rsidRDefault="00C929E4" w:rsidP="004E053C">
      <w:pPr>
        <w:spacing w:line="360" w:lineRule="auto"/>
        <w:contextualSpacing/>
        <w:jc w:val="both"/>
        <w:rPr>
          <w:rFonts w:eastAsiaTheme="minorHAnsi" w:cstheme="majorHAnsi"/>
          <w:color w:val="000000"/>
          <w:sz w:val="22"/>
          <w:szCs w:val="22"/>
          <w:lang w:val="en-GB"/>
        </w:rPr>
      </w:pPr>
      <w:r w:rsidRPr="004E053C">
        <w:rPr>
          <w:rFonts w:eastAsiaTheme="minorHAnsi" w:cstheme="majorHAnsi"/>
          <w:color w:val="000000"/>
          <w:sz w:val="22"/>
          <w:szCs w:val="22"/>
          <w:lang w:val="en-GB"/>
        </w:rPr>
        <w:t xml:space="preserve">In the translocal livelihoods literature, authors regularly criticise linear migration models yet still focus on migratory systems that are formed through migration from rural to urban areas </w:t>
      </w:r>
      <w:r w:rsidRPr="004E053C">
        <w:rPr>
          <w:rFonts w:eastAsiaTheme="minorHAnsi" w:cstheme="majorHAnsi"/>
          <w:color w:val="000000"/>
          <w:sz w:val="22"/>
          <w:szCs w:val="22"/>
          <w:lang w:val="en-GB"/>
        </w:rPr>
        <w:fldChar w:fldCharType="begin" w:fldLock="1"/>
      </w:r>
      <w:r w:rsidR="005D0B08">
        <w:rPr>
          <w:rFonts w:eastAsiaTheme="minorHAnsi" w:cstheme="majorHAnsi"/>
          <w:color w:val="000000"/>
          <w:sz w:val="22"/>
          <w:szCs w:val="22"/>
          <w:lang w:val="en-GB"/>
        </w:rPr>
        <w:instrText>ADDIN CSL_CITATION {"citationItems":[{"id":"ITEM-1","itemData":{"abstract":"The concept of the rural and the urban as separate sphcres in dcvclopment studies is increasingly losing analytical value. A growing proportion of the population in developing countriesare organising their livelihoodsin the context of informal social networks spanning the rural-urban divide. In order to analyse the socio-spatial interaction and the complexity of specific developmental issues an alternative view is to be developed ~ a translocal perspective. Conventional development approaches arising from thinking in rural-urban dualisms, run the risk of being without effect or even counterproductive,because they do not consider the central aspect of translocality of livelihood-systemsand therefore often disregard the socio-spatialstructureof interdependency.As a result an alternativeperception to the boundaries drawn between the rural and the urban is needed as well as a spatially integrated view on the problem of social vulnerability and livelihood security.","author":[{"dropping-particle":"","family":"Lohnert","given":"B","non-dropping-particle":"","parse-names":false,"suffix":""},{"dropping-particle":"","family":"Steinbrink","given":"M","non-dropping-particle":"","parse-names":false,"suffix":""}],"container-title":"South African Geographical Journal","id":"ITEM-1","issue":"2","issued":{"date-parts":[["2005"]]},"page":"95-103","title":"Rural and urban livelihoods: a translocal perspective in a South African context","type":"article-journal","volume":"87"},"uris":["http://www.mendeley.com/documents/?uuid=7cce9b74-a4c7-4bac-9677-fb4af5167fab"]},{"id":"ITEM-2","itemData":{"author":[{"dropping-particle":"","family":"Steinbrink","given":"Malte","non-dropping-particle":"","parse-names":false,"suffix":""}],"container-title":"Etude de la Population Africaine/African Population Studies","id":"ITEM-2","issued":{"date-parts":[["2009"]]},"page":"219-252","title":"Urbanisation, poverty and translocality: insights from South Africa","type":"article-journal","volume":"23"},"uris":["http://www.mendeley.com/documents/?uuid=73471f27-74d4-4cda-9d28-bfa63481d3fb"]},{"id":"ITEM-3","itemData":{"abstract":"Internal labour migration from rural areas to urban centres has been and remains one of the 27 dominant patterns of migration in South Africa. Based on data from ethnographic field 28 research, this paper explores the mobility patterns and translocal relations of miners in the 29 Northern Cape province of South Africa. By considering the tension between mobility and 30 locality in a historical and political perspective, the concept of translocality helps to explain 31 why miners try to expand their action space and, at the same time, why they are embedded in 32 certain places. Thus, a translocal perspective enhances the interpretation of the spatio- 33 34 temporal transformations in South Africa’s mining communities and beyond, as it sheds light on the agency of mine workers, superseding merely structuralist explanations.","author":[{"dropping-particle":"","family":"Naumann","given":"Christiane","non-dropping-particle":"","parse-names":false,"suffix":""},{"dropping-particle":"","family":"Greiner","given":"Clemens","non-dropping-particle":"","parse-names":false,"suffix":""}],"container-title":"Mobilities","id":"ITEM-3","issue":"6","issued":{"date-parts":[["2016"]]},"page":"875-889","title":"The translocal villagers: mining, mobility and stratification in post-apartheid South Africa","type":"article-journal","volume":"12"},"uris":["http://www.mendeley.com/documents/?uuid=efd020e8-1405-4b78-9c2d-6334bc35448d"]}],"mendeley":{"formattedCitation":"(B Lohnert &amp; Steinbrink, 2005; Naumann &amp; Greiner, 2016; Steinbrink, 2009)","manualFormatting":"(Lohnert &amp; Steinbrink, 2005; Naumann &amp; Greiner, 2016; Steinbrink, 2009)","plainTextFormattedCitation":"(B Lohnert &amp; Steinbrink, 2005; Naumann &amp; Greiner, 2016; Steinbrink, 2009)","previouslyFormattedCitation":"(B Lohnert &amp; Steinbrink, 2005; Naumann &amp; Greiner, 2016; Steinbrink, 2009)"},"properties":{"noteIndex":0},"schema":"https://github.com/citation-style-language/schema/raw/master/csl-citation.json"}</w:instrText>
      </w:r>
      <w:r w:rsidRPr="004E053C">
        <w:rPr>
          <w:rFonts w:eastAsiaTheme="minorHAnsi" w:cstheme="majorHAnsi"/>
          <w:color w:val="000000"/>
          <w:sz w:val="22"/>
          <w:szCs w:val="22"/>
          <w:lang w:val="en-GB"/>
        </w:rPr>
        <w:fldChar w:fldCharType="separate"/>
      </w:r>
      <w:r w:rsidRPr="004E053C">
        <w:rPr>
          <w:rFonts w:eastAsiaTheme="minorHAnsi" w:cstheme="majorHAnsi"/>
          <w:noProof/>
          <w:color w:val="000000"/>
          <w:sz w:val="22"/>
          <w:szCs w:val="22"/>
          <w:lang w:val="en-GB"/>
        </w:rPr>
        <w:t>(Lohnert &amp; Steinbrink, 2005; Naumann &amp; Greiner, 2016; Steinbrink, 2009)</w:t>
      </w:r>
      <w:r w:rsidRPr="004E053C">
        <w:rPr>
          <w:rFonts w:eastAsiaTheme="minorHAnsi" w:cstheme="majorHAnsi"/>
          <w:color w:val="000000"/>
          <w:sz w:val="22"/>
          <w:szCs w:val="22"/>
          <w:lang w:val="en-GB"/>
        </w:rPr>
        <w:fldChar w:fldCharType="end"/>
      </w:r>
      <w:r w:rsidRPr="004E053C">
        <w:rPr>
          <w:rFonts w:eastAsiaTheme="minorHAnsi" w:cstheme="majorHAnsi"/>
          <w:color w:val="000000"/>
          <w:sz w:val="22"/>
          <w:szCs w:val="22"/>
          <w:lang w:val="en-GB"/>
        </w:rPr>
        <w:t xml:space="preserve">. However, throughout the Global South, people and households also rely on migration to rural and peri-urban areas for occupations such as agricultural labouring. This is particularly true for ASM, where mine sites are unlikely to be situated in urban zones. In Peru, Andean migrants travel high up into the mountains to La Rinconada or to Madre de Dios to work in ASM, basing themselves in small, and often informal, mining towns or even in temporary camps. This migration to non-urbanised areas presents a migratory system, or rather a social field, very different from the ones explored in the current literature on translocal livelihoods. </w:t>
      </w:r>
    </w:p>
    <w:p w14:paraId="108A2763" w14:textId="77777777" w:rsidR="00C929E4" w:rsidRPr="004E053C" w:rsidRDefault="00C929E4" w:rsidP="004E053C">
      <w:pPr>
        <w:spacing w:line="360" w:lineRule="auto"/>
        <w:contextualSpacing/>
        <w:jc w:val="both"/>
        <w:rPr>
          <w:rFonts w:eastAsiaTheme="minorHAnsi" w:cstheme="majorHAnsi"/>
          <w:color w:val="000000"/>
          <w:sz w:val="22"/>
          <w:szCs w:val="22"/>
          <w:lang w:val="en-GB"/>
        </w:rPr>
      </w:pPr>
    </w:p>
    <w:p w14:paraId="1F15B139" w14:textId="7DF9D99D" w:rsidR="00C929E4" w:rsidRPr="004E053C" w:rsidRDefault="00C929E4" w:rsidP="004E053C">
      <w:pPr>
        <w:spacing w:line="360" w:lineRule="auto"/>
        <w:contextualSpacing/>
        <w:jc w:val="both"/>
        <w:rPr>
          <w:rFonts w:eastAsiaTheme="minorHAnsi" w:cstheme="majorHAnsi"/>
          <w:color w:val="000000"/>
          <w:sz w:val="22"/>
          <w:szCs w:val="22"/>
          <w:lang w:val="en-GB"/>
        </w:rPr>
      </w:pPr>
      <w:r w:rsidRPr="004E053C">
        <w:rPr>
          <w:rFonts w:eastAsiaTheme="minorHAnsi" w:cstheme="majorHAnsi"/>
          <w:color w:val="000000"/>
          <w:sz w:val="22"/>
          <w:szCs w:val="22"/>
          <w:lang w:val="en-GB"/>
        </w:rPr>
        <w:t xml:space="preserve">This focus on rural and peri-urban destinations adds to the understanding of translocality in two main ways. Firstly, it has brought these somewhat peripheral locations into the discussions about translocal livelihoods, highlighting how further nuance is needed when thinking about migration destinations and the social fields they create. A further point here is that in the web of connections that forms the translocal field, urban locations may represent an earlier point on a migrant’s trajectory, or a desired future destination once enough money had been saved. This reinforces the importance of the temporal dimension of translocality. Secondly, studying locations with a low </w:t>
      </w:r>
      <w:r w:rsidRPr="004E053C">
        <w:rPr>
          <w:rFonts w:eastAsiaTheme="minorHAnsi" w:cstheme="majorHAnsi"/>
          <w:color w:val="000000"/>
          <w:sz w:val="22"/>
          <w:szCs w:val="22"/>
          <w:lang w:val="en-GB"/>
        </w:rPr>
        <w:lastRenderedPageBreak/>
        <w:t xml:space="preserve">population emphasised the impact that highly mobile livelihoods had on the discrete places within the translocal social field. The unstable nature of the local communities was illuminated because people were more exposed to population changes than they might be in a large city. However, while this provides insight into community dynamics in rural and peri-urban destinations, it also has potential implications for urban destinations. We know from other work on migration that migrants tend to congregate in smaller areas or enclaves of cities, such as slums or other informal settlements, or locations on the periphery of cities </w:t>
      </w:r>
      <w:r w:rsidR="0042599E" w:rsidRPr="0042599E">
        <w:rPr>
          <w:rFonts w:eastAsiaTheme="minorHAnsi" w:cstheme="majorHAnsi"/>
          <w:color w:val="000000"/>
          <w:sz w:val="22"/>
          <w:szCs w:val="22"/>
          <w:lang w:val="en-GB"/>
        </w:rPr>
        <w:fldChar w:fldCharType="begin" w:fldLock="1"/>
      </w:r>
      <w:r w:rsidR="002F0CEA">
        <w:rPr>
          <w:rFonts w:eastAsiaTheme="minorHAnsi" w:cstheme="majorHAnsi"/>
          <w:color w:val="000000"/>
          <w:sz w:val="22"/>
          <w:szCs w:val="22"/>
          <w:lang w:val="en-GB"/>
        </w:rPr>
        <w:instrText>ADDIN CSL_CITATION {"citationItems":[{"id":"ITEM-1","itemData":{"abstract":"Temporary employment has become a focus of policy debate, theory, and research. This book addresses the relationship between temporary employment contracts and employee well-being. It does so within the analytic framework of the psychological contract, and advances theory and knowledge about the psychological contract by exploring it from a variety of perspectives. It also sets the psychological contract within the context of a range of other potential influences on work-related well-being including workload, job insecurity, employability, and organizational support. The book identifies the relative importance of these various potential influences on well-being, covering seven countries; Belgium, Germany, The Netherlands, Spain, Sweden, and the UK, as well as Israel as a comparator outside Europe. The book's conclusions are interesting and controversial. The central finding is that contrary to expectations, temporary workers report higher well-being than permanent workers. As expected, a range of factors help to explain variations in work-related well-being and the research highlights the important role of the psychological contract. However, even after taking into account alternative explanations, the significant influence of type of employment contract remains, with temporary workers reporting higher well-being. In addition to this core finding, by exploring several aspects of the psychological contract, and taking into account both employer and employee perspectives, the book sheds light on the nature and role of the psychological contract. It also raises some challenging policy questions and while acknowledging the potentially precarious nature of temporary jobs, highlights the need to consider the increasingly demanding nature of permanent jobs and their effects on the well-being of employees.","author":[{"dropping-particle":"","family":"Guo","given":"Fei","non-dropping-particle":"","parse-names":false,"suffix":""}],"container-title":"Transition and Challenge: China's Population at the Beginning of the 21st Century","editor":[{"dropping-particle":"","family":"Zhao","given":"Zhongwei","non-dropping-particle":"","parse-names":false,"suffix":""},{"dropping-particle":"","family":"Guo","given":"Feu","non-dropping-particle":"","parse-names":false,"suffix":""}],"id":"ITEM-1","issued":{"date-parts":[["2007"]]},"page":"216-232","publisher":"Oxford University Press","publisher-place":"New York, NY","title":"The impact of temporary migration on migrant communities","type":"chapter"},"uris":["http://www.mendeley.com/documents/?uuid=1fce7e6c-7f57-4ce5-8180-ea5b6af17bd2"]},{"id":"ITEM-2","itemData":{"author":[{"dropping-particle":"","family":"Garland","given":"Allison","non-dropping-particle":"","parse-names":false,"suffix":""},{"dropping-particle":"","family":"Massoumi","given":"Mejgan","non-dropping-particle":"","parse-names":false,"suffix":""},{"dropping-particle":"","family":"Ruble","given":"Blair A","non-dropping-particle":"","parse-names":false,"suffix":""},{"dropping-particle":"","family":"Tulchin","given":"Joseph S","non-dropping-particle":"","parse-names":false,"suffix":""}],"container-title":"Georgetown Journal of International Affairs","id":"ITEM-2","issue":"2","issued":{"date-parts":[["2007"]]},"page":"5-11","title":"Poverty and the Periphery: Cities in Latin America and the Former Soviet Union","type":"article-journal","volume":"8"},"uris":["http://www.mendeley.com/documents/?uuid=7b05ae4d-f205-42da-8d6a-e5e871557aab"]},{"id":"ITEM-3","itemData":{"author":[{"dropping-particle":"","family":"Cockburn","given":"Julio Calderón","non-dropping-particle":"","parse-names":false,"suffix":""},{"dropping-particle":"","family":"Romero","given":"Jesús Quispe","non-dropping-particle":"","parse-names":false,"suffix":""},{"dropping-particle":"","family":"Lucci","given":"Paula","non-dropping-particle":"","parse-names":false,"suffix":""}],"id":"ITEM-3","issued":{"date-parts":[["2015"]]},"publisher-place":"London, UK","title":"On the Path to Progress: Improving living conditions in Peru’s slum settlements to the expansion of basic services","type":"report"},"uris":["http://www.mendeley.com/documents/?uuid=7313a7e9-034b-4395-8617-ef6e5bd5605b"]},{"id":"ITEM-4","itemData":{"abstract":"Rural–urban migration contributes to urban growth across the world. However, the processes of becoming urban are not equal for all migrants, nor are their role in producing and transforming urban space. By regarding the urban as an ‘urban diaspora space’ this paper provides a new framework for understanding the unequal process of becoming urban by examining how migrant agency and translocal belonging translate into exclusionary practices in the production of urban diaspora space. The paper draws on empirical research, including a combination of quantitative and qualitative methods in Birtamode, an emerging urban centre in Nepal. The paper opens with an introduction of the ‘urban diaspora space’ as a conceptual framework drawing on existing writings on diaspora, translocality and transient urban spaces. Following this, the analysis demonstrates how a diasporic religious community emerges among diasporic subjects and how it translates into social and political communities that come to define social and political agendas within the urban space. By treating the urban as a diasporic space, the paper demonstrates how diasporic communities form spaces in which migrants can regain the status and positionality they had in their rural places of origin, thus enabling a discussion of processes of inclusion and exclusion in the production of unequal urban spaces. The paper concludes that the urban diaspora space can unveil how social and political geographies are reproduced in the urban environment by creating unequal urban spaces.","author":[{"dropping-particle":"","family":"Brøgger","given":"Ditte","non-dropping-particle":"","parse-names":false,"suffix":""}],"container-title":"Geoforum","id":"ITEM-4","issue":"April","issued":{"date-parts":[["2019"]]},"page":"97-105","publisher":"Elsevier","title":"Urban diaspora space: Rural–urban migration and the production of unequal urban spaces","type":"article-journal","volume":"102"},"uris":["http://www.mendeley.com/documents/?uuid=18a6ddc2-d3ae-45f5-aadb-f7303a6c6c15"]}],"mendeley":{"formattedCitation":"(Brøgger, 2019; Cockburn, Romero, &amp; Lucci, 2015; Garland, Massoumi, Ruble, &amp; Tulchin, 2007; Guo, 2007)","manualFormatting":"(Brøgger, 2019; Cockburn, Romero, &amp; Lucci, 2015; Garland et al, 2007; Guo, 2007)","plainTextFormattedCitation":"(Brøgger, 2019; Cockburn, Romero, &amp; Lucci, 2015; Garland, Massoumi, Ruble, &amp; Tulchin, 2007; Guo, 2007)","previouslyFormattedCitation":"(Brøgger, 2019; Cockburn, Romero, &amp; Lucci, 2015; Garland, Massoumi, Ruble, &amp; Tulchin, 2007; Guo, 2007)"},"properties":{"noteIndex":0},"schema":"https://github.com/citation-style-language/schema/raw/master/csl-citation.json"}</w:instrText>
      </w:r>
      <w:r w:rsidR="0042599E" w:rsidRPr="0042599E">
        <w:rPr>
          <w:rFonts w:eastAsiaTheme="minorHAnsi" w:cstheme="majorHAnsi"/>
          <w:color w:val="000000"/>
          <w:sz w:val="22"/>
          <w:szCs w:val="22"/>
          <w:lang w:val="en-GB"/>
        </w:rPr>
        <w:fldChar w:fldCharType="separate"/>
      </w:r>
      <w:r w:rsidR="0042599E" w:rsidRPr="0042599E">
        <w:rPr>
          <w:rFonts w:eastAsiaTheme="minorHAnsi" w:cstheme="majorHAnsi"/>
          <w:noProof/>
          <w:color w:val="000000"/>
          <w:sz w:val="22"/>
          <w:szCs w:val="22"/>
          <w:lang w:val="en-GB"/>
        </w:rPr>
        <w:t>(Brøgger, 2019; Cockburn, R</w:t>
      </w:r>
      <w:r w:rsidR="0042599E">
        <w:rPr>
          <w:rFonts w:eastAsiaTheme="minorHAnsi" w:cstheme="majorHAnsi"/>
          <w:noProof/>
          <w:color w:val="000000"/>
          <w:sz w:val="22"/>
          <w:szCs w:val="22"/>
          <w:lang w:val="en-GB"/>
        </w:rPr>
        <w:t>omero, &amp; Lucci, 2015; Garland et al</w:t>
      </w:r>
      <w:r w:rsidR="0042599E" w:rsidRPr="0042599E">
        <w:rPr>
          <w:rFonts w:eastAsiaTheme="minorHAnsi" w:cstheme="majorHAnsi"/>
          <w:noProof/>
          <w:color w:val="000000"/>
          <w:sz w:val="22"/>
          <w:szCs w:val="22"/>
          <w:lang w:val="en-GB"/>
        </w:rPr>
        <w:t>, 2007; Guo, 2007)</w:t>
      </w:r>
      <w:r w:rsidR="0042599E" w:rsidRPr="0042599E">
        <w:rPr>
          <w:rFonts w:eastAsiaTheme="minorHAnsi" w:cstheme="majorHAnsi"/>
          <w:color w:val="000000"/>
          <w:sz w:val="22"/>
          <w:szCs w:val="22"/>
          <w:lang w:val="en-GB"/>
        </w:rPr>
        <w:fldChar w:fldCharType="end"/>
      </w:r>
      <w:r w:rsidR="0042599E" w:rsidRPr="0042599E">
        <w:rPr>
          <w:rFonts w:eastAsiaTheme="minorHAnsi" w:cstheme="majorHAnsi"/>
          <w:color w:val="000000"/>
          <w:sz w:val="22"/>
          <w:szCs w:val="22"/>
          <w:lang w:val="en-GB"/>
        </w:rPr>
        <w:t>.</w:t>
      </w:r>
      <w:r w:rsidRPr="004E053C">
        <w:rPr>
          <w:rFonts w:eastAsiaTheme="minorHAnsi" w:cstheme="majorHAnsi"/>
          <w:color w:val="000000"/>
          <w:sz w:val="22"/>
          <w:szCs w:val="22"/>
          <w:lang w:val="en-GB"/>
        </w:rPr>
        <w:t xml:space="preserve"> The temporal frictions seen in Madre de Dios between those on different livelihood trajectories are perhaps symptomatic of a more general problem in localities with a dense migrant population.</w:t>
      </w:r>
    </w:p>
    <w:p w14:paraId="1E3C8A49" w14:textId="77777777" w:rsidR="00C929E4" w:rsidRPr="004E053C" w:rsidRDefault="00C929E4" w:rsidP="004E053C">
      <w:pPr>
        <w:spacing w:line="360" w:lineRule="auto"/>
        <w:contextualSpacing/>
        <w:jc w:val="both"/>
        <w:rPr>
          <w:rFonts w:eastAsiaTheme="minorHAnsi" w:cstheme="majorHAnsi"/>
          <w:b/>
          <w:color w:val="000000"/>
          <w:sz w:val="22"/>
          <w:szCs w:val="22"/>
          <w:lang w:val="en-GB"/>
        </w:rPr>
      </w:pPr>
    </w:p>
    <w:p w14:paraId="1391DD4D" w14:textId="77777777" w:rsidR="00C929E4" w:rsidRPr="004E053C" w:rsidRDefault="00C929E4" w:rsidP="004E053C">
      <w:pPr>
        <w:spacing w:line="360" w:lineRule="auto"/>
        <w:jc w:val="both"/>
        <w:rPr>
          <w:rFonts w:cstheme="majorHAnsi"/>
          <w:sz w:val="22"/>
          <w:szCs w:val="22"/>
          <w:lang w:val="en-GB" w:eastAsia="zh-CN"/>
        </w:rPr>
      </w:pPr>
      <w:r w:rsidRPr="004E053C">
        <w:rPr>
          <w:rFonts w:cstheme="majorHAnsi"/>
          <w:color w:val="000000"/>
          <w:sz w:val="22"/>
          <w:szCs w:val="22"/>
          <w:lang w:val="en-GB"/>
        </w:rPr>
        <w:t xml:space="preserve">This observation of divergent livelihood trajectories necessitates that a temporal dimension is incorporated into conceptualisations of translocality. To my knowledge this has not been previously explored and constitutes an important theoretical contribution of this research. The concept of translocality was initially defined </w:t>
      </w:r>
      <w:r w:rsidRPr="004E053C">
        <w:rPr>
          <w:rFonts w:cstheme="majorHAnsi"/>
          <w:sz w:val="22"/>
          <w:szCs w:val="22"/>
          <w:lang w:val="en-GB" w:eastAsia="zh-CN"/>
        </w:rPr>
        <w:t xml:space="preserve">as the embeddedness of people in more than one place and society </w:t>
      </w:r>
      <w:r w:rsidRPr="004E053C">
        <w:rPr>
          <w:rFonts w:cstheme="majorHAnsi"/>
          <w:sz w:val="22"/>
          <w:szCs w:val="22"/>
          <w:lang w:val="en-GB" w:eastAsia="zh-CN"/>
        </w:rPr>
        <w:fldChar w:fldCharType="begin" w:fldLock="1"/>
      </w:r>
      <w:r w:rsidRPr="004E053C">
        <w:rPr>
          <w:rFonts w:cstheme="majorHAnsi"/>
          <w:sz w:val="22"/>
          <w:szCs w:val="22"/>
          <w:lang w:val="en-GB" w:eastAsia="zh-CN"/>
        </w:rPr>
        <w:instrText>ADDIN CSL_CITATION {"citationItems":[{"id":"ITEM-1","itemData":{"author":[{"dropping-particle":"","family":"Appadurai","given":"Arjun","non-dropping-particle":"","parse-names":false,"suffix":""}],"id":"ITEM-1","issued":{"date-parts":[["1996"]]},"publisher":"University of Minnesota Press","publisher-place":"Minneapolis, MN","title":"Modernity at Large: Cultural Dimensions of Globalisation","type":"book"},"uris":["http://www.mendeley.com/documents/?uuid=125f5a1c-faf4-4145-9f5c-7b8bc853f973"]}],"mendeley":{"formattedCitation":"(Appadurai, 1996)","plainTextFormattedCitation":"(Appadurai, 1996)","previouslyFormattedCitation":"(Appadurai, 1996)"},"properties":{"noteIndex":0},"schema":"https://github.com/citation-style-language/schema/raw/master/csl-citation.json"}</w:instrText>
      </w:r>
      <w:r w:rsidRPr="004E053C">
        <w:rPr>
          <w:rFonts w:cstheme="majorHAnsi"/>
          <w:sz w:val="22"/>
          <w:szCs w:val="22"/>
          <w:lang w:val="en-GB" w:eastAsia="zh-CN"/>
        </w:rPr>
        <w:fldChar w:fldCharType="separate"/>
      </w:r>
      <w:r w:rsidRPr="004E053C">
        <w:rPr>
          <w:rFonts w:cstheme="majorHAnsi"/>
          <w:noProof/>
          <w:sz w:val="22"/>
          <w:szCs w:val="22"/>
          <w:lang w:val="en-GB" w:eastAsia="zh-CN"/>
        </w:rPr>
        <w:t>(Appadurai, 1996)</w:t>
      </w:r>
      <w:r w:rsidRPr="004E053C">
        <w:rPr>
          <w:rFonts w:cstheme="majorHAnsi"/>
          <w:sz w:val="22"/>
          <w:szCs w:val="22"/>
          <w:lang w:val="en-GB" w:eastAsia="zh-CN"/>
        </w:rPr>
        <w:fldChar w:fldCharType="end"/>
      </w:r>
      <w:r w:rsidRPr="004E053C">
        <w:rPr>
          <w:rFonts w:cstheme="majorHAnsi"/>
          <w:sz w:val="22"/>
          <w:szCs w:val="22"/>
          <w:lang w:val="en-GB" w:eastAsia="zh-CN"/>
        </w:rPr>
        <w:t>. When applied to livelihoods, it denotes an individual’s movement between multiple locations through the practice of his or her livelihood. There are therefore inherent spatial dynamics within this conceptualisation as the individual moves between various, discrete locations. Within the highly mobile social field of ASM then, relative embeddedness in these places can contribute to one’s position within the field just as much as their relative capital endowments. However, what we have seen throughout this thesis is that each individual’s relative embeddedness in these locations is not static, and is instead dependent on their livelihood trajectory. Moreover, these trajectories differ between individuals, leading to temporal frictions that come to characterise society in the most transient locations within the social field.</w:t>
      </w:r>
    </w:p>
    <w:p w14:paraId="0D706A2C" w14:textId="77777777" w:rsidR="00633F5B" w:rsidRPr="004E053C" w:rsidRDefault="00633F5B" w:rsidP="004E053C">
      <w:pPr>
        <w:spacing w:line="360" w:lineRule="auto"/>
        <w:jc w:val="both"/>
        <w:rPr>
          <w:rFonts w:cstheme="majorHAnsi"/>
          <w:sz w:val="22"/>
          <w:szCs w:val="22"/>
          <w:lang w:val="en-GB" w:eastAsia="zh-CN"/>
        </w:rPr>
      </w:pPr>
    </w:p>
    <w:p w14:paraId="7E41E915" w14:textId="5FABA957" w:rsidR="00C929E4" w:rsidRPr="004E053C" w:rsidRDefault="00633F5B" w:rsidP="004E053C">
      <w:pPr>
        <w:spacing w:line="360" w:lineRule="auto"/>
        <w:jc w:val="both"/>
        <w:rPr>
          <w:rFonts w:cstheme="majorHAnsi"/>
          <w:sz w:val="22"/>
          <w:szCs w:val="22"/>
          <w:lang w:val="en-GB" w:eastAsia="zh-CN"/>
        </w:rPr>
      </w:pPr>
      <w:r w:rsidRPr="004E053C">
        <w:rPr>
          <w:rFonts w:cstheme="majorHAnsi"/>
          <w:sz w:val="22"/>
          <w:szCs w:val="22"/>
          <w:lang w:val="en-GB" w:eastAsia="zh-CN"/>
        </w:rPr>
        <w:t>R</w:t>
      </w:r>
      <w:r w:rsidR="00C929E4" w:rsidRPr="004E053C">
        <w:rPr>
          <w:rFonts w:cstheme="majorHAnsi"/>
          <w:sz w:val="22"/>
          <w:szCs w:val="22"/>
          <w:lang w:val="en-GB" w:eastAsia="zh-CN"/>
        </w:rPr>
        <w:t>eturn</w:t>
      </w:r>
      <w:r w:rsidRPr="004E053C">
        <w:rPr>
          <w:rFonts w:cstheme="majorHAnsi"/>
          <w:sz w:val="22"/>
          <w:szCs w:val="22"/>
          <w:lang w:val="en-GB" w:eastAsia="zh-CN"/>
        </w:rPr>
        <w:t>ing</w:t>
      </w:r>
      <w:r w:rsidR="00C929E4" w:rsidRPr="004E053C">
        <w:rPr>
          <w:rFonts w:cstheme="majorHAnsi"/>
          <w:sz w:val="22"/>
          <w:szCs w:val="22"/>
          <w:lang w:val="en-GB" w:eastAsia="zh-CN"/>
        </w:rPr>
        <w:t xml:space="preserve"> to the migrant typo</w:t>
      </w:r>
      <w:r w:rsidRPr="004E053C">
        <w:rPr>
          <w:rFonts w:cstheme="majorHAnsi"/>
          <w:sz w:val="22"/>
          <w:szCs w:val="22"/>
          <w:lang w:val="en-GB" w:eastAsia="zh-CN"/>
        </w:rPr>
        <w:t xml:space="preserve">logies identified in chapter 6 - </w:t>
      </w:r>
      <w:r w:rsidR="00C929E4" w:rsidRPr="004E053C">
        <w:rPr>
          <w:rFonts w:cstheme="majorHAnsi"/>
          <w:sz w:val="22"/>
          <w:szCs w:val="22"/>
          <w:lang w:val="en-GB" w:eastAsia="zh-CN"/>
        </w:rPr>
        <w:t>permanent, temp</w:t>
      </w:r>
      <w:r w:rsidRPr="004E053C">
        <w:rPr>
          <w:rFonts w:cstheme="majorHAnsi"/>
          <w:sz w:val="22"/>
          <w:szCs w:val="22"/>
          <w:lang w:val="en-GB" w:eastAsia="zh-CN"/>
        </w:rPr>
        <w:t>orary, floating and non-migrant – it is worth noting that th</w:t>
      </w:r>
      <w:r w:rsidR="00C929E4" w:rsidRPr="004E053C">
        <w:rPr>
          <w:rFonts w:cstheme="majorHAnsi"/>
          <w:sz w:val="22"/>
          <w:szCs w:val="22"/>
          <w:lang w:val="en-GB" w:eastAsia="zh-CN"/>
        </w:rPr>
        <w:t xml:space="preserve">e permanent migrants were settled in Laberinto and had no desire to move anywhere. Instead, they were keen to invest in their local area and hoped to develop a strong community spirit amongst the residents. While these individuals remain within the translocal social field of ASM, they are no longer continuing their own livelihood in a translocal manner. We can think of them as having </w:t>
      </w:r>
      <w:r w:rsidR="00C929E4" w:rsidRPr="004E053C">
        <w:rPr>
          <w:rFonts w:cstheme="majorHAnsi"/>
          <w:i/>
          <w:sz w:val="22"/>
          <w:szCs w:val="22"/>
          <w:lang w:val="en-GB" w:eastAsia="zh-CN"/>
        </w:rPr>
        <w:t>diminishing translocality</w:t>
      </w:r>
      <w:r w:rsidR="00C929E4" w:rsidRPr="004E053C">
        <w:rPr>
          <w:rFonts w:cstheme="majorHAnsi"/>
          <w:sz w:val="22"/>
          <w:szCs w:val="22"/>
          <w:lang w:val="en-GB" w:eastAsia="zh-CN"/>
        </w:rPr>
        <w:t xml:space="preserve">. In a snapshot in time, both the temporary miners and the floating miners are highly translocal, regardless of whether they are part of a translocal household. Over time however, they may either return to their community of origin or choose to settle in the local area. This may be any number of reasons, but is particularly linked to </w:t>
      </w:r>
      <w:r w:rsidR="00C929E4" w:rsidRPr="004E053C">
        <w:rPr>
          <w:rFonts w:cstheme="majorHAnsi"/>
          <w:sz w:val="22"/>
          <w:szCs w:val="22"/>
          <w:lang w:val="en-GB" w:eastAsia="zh-CN"/>
        </w:rPr>
        <w:lastRenderedPageBreak/>
        <w:t xml:space="preserve">the stage of life they are at. In section 6.4.3 it was shown that the main reason that floating migrants choose to settle in a destination community is because they find a husband/wife and have a family, thus highlighting further nuances of translocal livelihoods. As they become more embedded in one or other location they also have </w:t>
      </w:r>
      <w:r w:rsidR="00C929E4" w:rsidRPr="004E053C">
        <w:rPr>
          <w:rFonts w:cstheme="majorHAnsi"/>
          <w:i/>
          <w:sz w:val="22"/>
          <w:szCs w:val="22"/>
          <w:lang w:val="en-GB" w:eastAsia="zh-CN"/>
        </w:rPr>
        <w:t>diminishing translocality</w:t>
      </w:r>
      <w:r w:rsidR="00C929E4" w:rsidRPr="004E053C">
        <w:rPr>
          <w:rFonts w:cstheme="majorHAnsi"/>
          <w:sz w:val="22"/>
          <w:szCs w:val="22"/>
          <w:lang w:val="en-GB" w:eastAsia="zh-CN"/>
        </w:rPr>
        <w:t xml:space="preserve">, but this may occur in either direction. I think it is therefore helpful to think of </w:t>
      </w:r>
      <w:r w:rsidR="00C929E4" w:rsidRPr="004E053C">
        <w:rPr>
          <w:rFonts w:cstheme="majorHAnsi"/>
          <w:i/>
          <w:sz w:val="22"/>
          <w:szCs w:val="22"/>
          <w:lang w:val="en-GB" w:eastAsia="zh-CN"/>
        </w:rPr>
        <w:t>diminishing-returning</w:t>
      </w:r>
      <w:r w:rsidR="00C929E4" w:rsidRPr="004E053C">
        <w:rPr>
          <w:rFonts w:cstheme="majorHAnsi"/>
          <w:sz w:val="22"/>
          <w:szCs w:val="22"/>
          <w:lang w:val="en-GB" w:eastAsia="zh-CN"/>
        </w:rPr>
        <w:t xml:space="preserve"> and </w:t>
      </w:r>
      <w:r w:rsidR="00C929E4" w:rsidRPr="004E053C">
        <w:rPr>
          <w:rFonts w:cstheme="majorHAnsi"/>
          <w:i/>
          <w:sz w:val="22"/>
          <w:szCs w:val="22"/>
          <w:lang w:val="en-GB" w:eastAsia="zh-CN"/>
        </w:rPr>
        <w:t xml:space="preserve">diminishing-settling translocality. </w:t>
      </w:r>
      <w:r w:rsidR="00C929E4" w:rsidRPr="004E053C">
        <w:rPr>
          <w:rFonts w:cstheme="majorHAnsi"/>
          <w:sz w:val="22"/>
          <w:szCs w:val="22"/>
          <w:lang w:val="en-GB" w:eastAsia="zh-CN"/>
        </w:rPr>
        <w:t xml:space="preserve">Finally, we have seen that many migrant miners in Madre de Dios eventually hope to move on to a new location entirely when they have saved enough money, usually in an urban centre. I refer to this as </w:t>
      </w:r>
      <w:r w:rsidR="00C929E4" w:rsidRPr="004E053C">
        <w:rPr>
          <w:rFonts w:cstheme="majorHAnsi"/>
          <w:i/>
          <w:sz w:val="22"/>
          <w:szCs w:val="22"/>
          <w:lang w:val="en-GB" w:eastAsia="zh-CN"/>
        </w:rPr>
        <w:t>reorientated traslocality</w:t>
      </w:r>
      <w:r w:rsidR="00C929E4" w:rsidRPr="004E053C">
        <w:rPr>
          <w:rFonts w:cstheme="majorHAnsi"/>
          <w:sz w:val="22"/>
          <w:szCs w:val="22"/>
          <w:lang w:val="en-GB" w:eastAsia="zh-CN"/>
        </w:rPr>
        <w:t xml:space="preserve">, which may or may not itself diminish over time. </w:t>
      </w:r>
    </w:p>
    <w:p w14:paraId="4197C0A4" w14:textId="77777777" w:rsidR="00C929E4" w:rsidRPr="004E053C" w:rsidRDefault="00C929E4" w:rsidP="004E053C">
      <w:pPr>
        <w:spacing w:line="360" w:lineRule="auto"/>
        <w:jc w:val="both"/>
        <w:rPr>
          <w:rFonts w:cstheme="majorHAnsi"/>
          <w:sz w:val="22"/>
          <w:szCs w:val="22"/>
          <w:lang w:val="en-GB" w:eastAsia="zh-CN"/>
        </w:rPr>
      </w:pPr>
    </w:p>
    <w:p w14:paraId="75C630B6" w14:textId="4D82DBC5" w:rsidR="00C929E4" w:rsidRPr="004E053C" w:rsidRDefault="00C929E4" w:rsidP="004E053C">
      <w:pPr>
        <w:spacing w:line="360" w:lineRule="auto"/>
        <w:jc w:val="both"/>
        <w:rPr>
          <w:rFonts w:cstheme="majorHAnsi"/>
          <w:sz w:val="22"/>
          <w:szCs w:val="22"/>
          <w:lang w:val="en-GB" w:eastAsia="zh-CN"/>
        </w:rPr>
      </w:pPr>
      <w:r w:rsidRPr="004E053C">
        <w:rPr>
          <w:rFonts w:cstheme="majorHAnsi"/>
          <w:sz w:val="22"/>
          <w:szCs w:val="22"/>
          <w:lang w:val="en-GB" w:eastAsia="zh-CN"/>
        </w:rPr>
        <w:t xml:space="preserve">In chapter 4 I introduced a very loose framework for conceptualising the translocal social field, which brought together ideas of translocality and translocal livelihoods and rooted them explicitly in </w:t>
      </w:r>
      <w:r w:rsidR="00C66190" w:rsidRPr="004E053C">
        <w:rPr>
          <w:rFonts w:cstheme="majorHAnsi"/>
          <w:sz w:val="22"/>
          <w:szCs w:val="22"/>
          <w:lang w:val="en-GB" w:eastAsia="zh-CN"/>
        </w:rPr>
        <w:t>Bourd</w:t>
      </w:r>
      <w:r w:rsidR="00C66190">
        <w:rPr>
          <w:rFonts w:cstheme="majorHAnsi"/>
          <w:sz w:val="22"/>
          <w:szCs w:val="22"/>
          <w:lang w:val="en-GB" w:eastAsia="zh-CN"/>
        </w:rPr>
        <w:t>i</w:t>
      </w:r>
      <w:r w:rsidR="00C66190" w:rsidRPr="004E053C">
        <w:rPr>
          <w:rFonts w:cstheme="majorHAnsi"/>
          <w:sz w:val="22"/>
          <w:szCs w:val="22"/>
          <w:lang w:val="en-GB" w:eastAsia="zh-CN"/>
        </w:rPr>
        <w:t>eusian</w:t>
      </w:r>
      <w:r w:rsidRPr="004E053C">
        <w:rPr>
          <w:rFonts w:cstheme="majorHAnsi"/>
          <w:sz w:val="22"/>
          <w:szCs w:val="22"/>
          <w:lang w:val="en-GB" w:eastAsia="zh-CN"/>
        </w:rPr>
        <w:t xml:space="preserve"> theory. However, not only are differentiations between migrants in terms of their relative spatial movement generally not considered in the translocality literature, neither is this temporal dimension of mobility. This is interesting, as Bourdieu’s conceptualisation of social fields allows for changes over time. In fact, the realities of divergent livelihood trajectories require us to think different about translocality and consider its temporal dimensions, which inherently brings it more in line with a Bourdieusian analysis. </w:t>
      </w:r>
      <w:r w:rsidR="004E053C">
        <w:rPr>
          <w:rFonts w:cstheme="majorHAnsi"/>
          <w:sz w:val="22"/>
          <w:szCs w:val="22"/>
          <w:lang w:val="en-GB" w:eastAsia="zh-CN"/>
        </w:rPr>
        <w:t>To illustrate this, in figure 5</w:t>
      </w:r>
      <w:r w:rsidRPr="004E053C">
        <w:rPr>
          <w:rFonts w:cstheme="majorHAnsi"/>
          <w:sz w:val="22"/>
          <w:szCs w:val="22"/>
          <w:lang w:val="en-GB" w:eastAsia="zh-CN"/>
        </w:rPr>
        <w:t xml:space="preserve"> below I have adapted the diagram that was presented earlier in section 4.3.2.</w:t>
      </w:r>
    </w:p>
    <w:p w14:paraId="4F47ADDA" w14:textId="77777777" w:rsidR="00C929E4" w:rsidRPr="004E053C" w:rsidRDefault="00C929E4" w:rsidP="004E053C">
      <w:pPr>
        <w:spacing w:line="360" w:lineRule="auto"/>
        <w:jc w:val="both"/>
        <w:rPr>
          <w:rFonts w:cstheme="majorHAnsi"/>
          <w:sz w:val="22"/>
          <w:szCs w:val="22"/>
          <w:lang w:val="en-GB" w:eastAsia="zh-CN"/>
        </w:rPr>
      </w:pPr>
    </w:p>
    <w:p w14:paraId="0BE5683A" w14:textId="36CFC861" w:rsidR="00C929E4" w:rsidRPr="004E053C" w:rsidRDefault="004E053C" w:rsidP="004E053C">
      <w:pPr>
        <w:spacing w:line="360" w:lineRule="auto"/>
        <w:jc w:val="both"/>
        <w:rPr>
          <w:rFonts w:cstheme="majorHAnsi"/>
          <w:b/>
          <w:sz w:val="22"/>
          <w:szCs w:val="22"/>
          <w:lang w:val="en-GB" w:eastAsia="zh-CN"/>
        </w:rPr>
      </w:pPr>
      <w:r>
        <w:rPr>
          <w:rFonts w:cstheme="majorHAnsi"/>
          <w:b/>
          <w:sz w:val="22"/>
          <w:szCs w:val="22"/>
          <w:lang w:val="en-GB" w:eastAsia="zh-CN"/>
        </w:rPr>
        <w:t>Figure 5</w:t>
      </w:r>
      <w:r w:rsidR="00C929E4" w:rsidRPr="004E053C">
        <w:rPr>
          <w:rFonts w:cstheme="majorHAnsi"/>
          <w:b/>
          <w:sz w:val="22"/>
          <w:szCs w:val="22"/>
          <w:lang w:val="en-GB" w:eastAsia="zh-CN"/>
        </w:rPr>
        <w:t>: The Translocal Community as a Social Field</w:t>
      </w:r>
    </w:p>
    <w:p w14:paraId="7ADC3F5A" w14:textId="77777777" w:rsidR="00C929E4" w:rsidRPr="004E053C" w:rsidRDefault="00C929E4" w:rsidP="004E053C">
      <w:pPr>
        <w:spacing w:line="360" w:lineRule="auto"/>
        <w:jc w:val="both"/>
        <w:rPr>
          <w:rFonts w:cstheme="majorHAnsi"/>
          <w:sz w:val="22"/>
          <w:szCs w:val="22"/>
          <w:lang w:val="en-GB" w:eastAsia="zh-CN"/>
        </w:rPr>
      </w:pPr>
      <w:r w:rsidRPr="004E053C">
        <w:rPr>
          <w:rFonts w:cstheme="majorHAnsi"/>
          <w:noProof/>
          <w:sz w:val="22"/>
          <w:szCs w:val="22"/>
          <w:lang w:val="en-GB" w:eastAsia="zh-CN"/>
        </w:rPr>
        <w:drawing>
          <wp:inline distT="0" distB="0" distL="0" distR="0" wp14:anchorId="3730062D" wp14:editId="79EFBE60">
            <wp:extent cx="4914106" cy="37147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04 at 17.13.31.png"/>
                    <pic:cNvPicPr/>
                  </pic:nvPicPr>
                  <pic:blipFill>
                    <a:blip r:embed="rId17">
                      <a:extLst>
                        <a:ext uri="{28A0092B-C50C-407E-A947-70E740481C1C}">
                          <a14:useLocalDpi xmlns:a14="http://schemas.microsoft.com/office/drawing/2010/main" val="0"/>
                        </a:ext>
                      </a:extLst>
                    </a:blip>
                    <a:stretch>
                      <a:fillRect/>
                    </a:stretch>
                  </pic:blipFill>
                  <pic:spPr>
                    <a:xfrm>
                      <a:off x="0" y="0"/>
                      <a:ext cx="4914882" cy="3715293"/>
                    </a:xfrm>
                    <a:prstGeom prst="rect">
                      <a:avLst/>
                    </a:prstGeom>
                  </pic:spPr>
                </pic:pic>
              </a:graphicData>
            </a:graphic>
          </wp:inline>
        </w:drawing>
      </w:r>
    </w:p>
    <w:p w14:paraId="6E774811" w14:textId="77777777" w:rsidR="00C929E4" w:rsidRPr="004E053C" w:rsidRDefault="00C929E4" w:rsidP="004E053C">
      <w:pPr>
        <w:spacing w:line="360" w:lineRule="auto"/>
        <w:jc w:val="both"/>
        <w:rPr>
          <w:sz w:val="22"/>
          <w:szCs w:val="22"/>
        </w:rPr>
      </w:pPr>
      <w:r w:rsidRPr="004E053C">
        <w:rPr>
          <w:sz w:val="22"/>
          <w:szCs w:val="22"/>
        </w:rPr>
        <w:lastRenderedPageBreak/>
        <w:t xml:space="preserve">Similar to the diagram presented earlier in section 4.3.2, here we can see the translocal social field encompasses both destination and origin communities and, crucially, both migrants and non-migrants. Also important to note is that not everyone who conducts their livelihood translocally is part of a translocal household, but those that are maintain an active orientation towards home. For this reason, I have added an additional box for translocal migrants, acknowledging that many migrants may not feel a strong connection to a household in their origin community. Furthermore, while the diagram in section 4.3.2 provided a static snapshot of the social field, here I have plotted the divergent livelihood trajectories that result in the temporal frictions that we see emerging in Madre de Dios. </w:t>
      </w:r>
    </w:p>
    <w:p w14:paraId="7114B56D" w14:textId="77777777" w:rsidR="00C929E4" w:rsidRPr="004E053C" w:rsidRDefault="00C929E4" w:rsidP="004E053C">
      <w:pPr>
        <w:spacing w:line="360" w:lineRule="auto"/>
        <w:jc w:val="both"/>
        <w:rPr>
          <w:rFonts w:cstheme="majorHAnsi"/>
          <w:sz w:val="22"/>
          <w:szCs w:val="22"/>
        </w:rPr>
      </w:pPr>
    </w:p>
    <w:p w14:paraId="4280FD2D" w14:textId="3617B931" w:rsidR="00C929E4" w:rsidRPr="004E053C" w:rsidRDefault="00C929E4" w:rsidP="004E053C">
      <w:pPr>
        <w:spacing w:line="360" w:lineRule="auto"/>
        <w:jc w:val="both"/>
        <w:rPr>
          <w:rFonts w:cstheme="majorHAnsi"/>
          <w:sz w:val="22"/>
          <w:szCs w:val="22"/>
        </w:rPr>
      </w:pPr>
      <w:r w:rsidRPr="004E053C">
        <w:rPr>
          <w:rFonts w:cstheme="majorHAnsi"/>
          <w:sz w:val="22"/>
          <w:szCs w:val="22"/>
        </w:rPr>
        <w:t>On</w:t>
      </w:r>
      <w:r w:rsidR="004E053C">
        <w:rPr>
          <w:rFonts w:cstheme="majorHAnsi"/>
          <w:sz w:val="22"/>
          <w:szCs w:val="22"/>
        </w:rPr>
        <w:t>e significant change in figure 5</w:t>
      </w:r>
      <w:r w:rsidRPr="004E053C">
        <w:rPr>
          <w:rFonts w:cstheme="majorHAnsi"/>
          <w:sz w:val="22"/>
          <w:szCs w:val="22"/>
        </w:rPr>
        <w:t xml:space="preserve"> from the diagram presented in section 4.3.2 is that I have added a box for translocal migrants. The people occupying the ‘translocal migrants’ box can be thought of as having a high level of translocality. Drawing on the typology introduced in chapter 6, this would include both temporary migrants and floating migrants. I have mapped these into the diagram. The diagram also has broad livelihood trajectories plotted on, which are coloured to correspond to the types of translocality discussed above; </w:t>
      </w:r>
      <w:r w:rsidRPr="004E053C">
        <w:rPr>
          <w:rFonts w:cstheme="majorHAnsi"/>
          <w:i/>
          <w:sz w:val="22"/>
          <w:szCs w:val="22"/>
        </w:rPr>
        <w:t>diminishing-settling</w:t>
      </w:r>
      <w:r w:rsidRPr="004E053C">
        <w:rPr>
          <w:rFonts w:cstheme="majorHAnsi"/>
          <w:sz w:val="22"/>
          <w:szCs w:val="22"/>
        </w:rPr>
        <w:t xml:space="preserve"> (grey), </w:t>
      </w:r>
      <w:r w:rsidRPr="004E053C">
        <w:rPr>
          <w:rFonts w:cstheme="majorHAnsi"/>
          <w:i/>
          <w:sz w:val="22"/>
          <w:szCs w:val="22"/>
        </w:rPr>
        <w:t>diminishing-returning</w:t>
      </w:r>
      <w:r w:rsidRPr="004E053C">
        <w:rPr>
          <w:rFonts w:cstheme="majorHAnsi"/>
          <w:sz w:val="22"/>
          <w:szCs w:val="22"/>
        </w:rPr>
        <w:t xml:space="preserve"> (red) and </w:t>
      </w:r>
      <w:r w:rsidRPr="004E053C">
        <w:rPr>
          <w:rFonts w:cstheme="majorHAnsi"/>
          <w:i/>
          <w:sz w:val="22"/>
          <w:szCs w:val="22"/>
        </w:rPr>
        <w:t>reorientated</w:t>
      </w:r>
      <w:r w:rsidRPr="004E053C">
        <w:rPr>
          <w:rFonts w:cstheme="majorHAnsi"/>
          <w:sz w:val="22"/>
          <w:szCs w:val="22"/>
        </w:rPr>
        <w:t xml:space="preserve"> (green). For example, we can see that floating migrants may choose to settle in the destination community, perhaps after meeting a husband/wife, to return home to their community of origin, or to eventually move on somewhere outside of the social field, such as to an urban center to start a new business. There may however be some years before they do any of these things, preferring instead to remain for some time as a translocal migrant. </w:t>
      </w:r>
    </w:p>
    <w:p w14:paraId="697D7472" w14:textId="77777777" w:rsidR="00C929E4" w:rsidRPr="004E053C" w:rsidRDefault="00C929E4" w:rsidP="004E053C">
      <w:pPr>
        <w:spacing w:line="360" w:lineRule="auto"/>
        <w:jc w:val="both"/>
        <w:rPr>
          <w:rFonts w:cstheme="majorHAnsi"/>
          <w:sz w:val="22"/>
          <w:szCs w:val="22"/>
        </w:rPr>
      </w:pPr>
    </w:p>
    <w:p w14:paraId="0CE93619" w14:textId="17964998" w:rsidR="00C929E4" w:rsidRPr="004E053C" w:rsidRDefault="00C929E4" w:rsidP="004E053C">
      <w:pPr>
        <w:spacing w:line="360" w:lineRule="auto"/>
        <w:jc w:val="both"/>
        <w:rPr>
          <w:rFonts w:cstheme="majorHAnsi"/>
          <w:sz w:val="22"/>
          <w:szCs w:val="22"/>
          <w:lang w:val="en-GB"/>
        </w:rPr>
      </w:pPr>
      <w:r w:rsidRPr="004E053C">
        <w:rPr>
          <w:rFonts w:cstheme="majorHAnsi"/>
          <w:sz w:val="22"/>
          <w:szCs w:val="22"/>
        </w:rPr>
        <w:t xml:space="preserve">The levels of crime and violence present </w:t>
      </w:r>
      <w:r w:rsidRPr="004E053C">
        <w:rPr>
          <w:rFonts w:cstheme="majorHAnsi"/>
          <w:color w:val="000000"/>
          <w:sz w:val="22"/>
          <w:szCs w:val="22"/>
          <w:lang w:val="en-GB"/>
        </w:rPr>
        <w:t>in the mine sites of Madre de Dios means that the area provides an interesting lens through which to view contestations</w:t>
      </w:r>
      <w:r w:rsidRPr="004E053C">
        <w:rPr>
          <w:rFonts w:cstheme="majorHAnsi"/>
          <w:sz w:val="22"/>
          <w:szCs w:val="22"/>
          <w:lang w:val="en-GB"/>
        </w:rPr>
        <w:t xml:space="preserve">. Although Bourdieu’s ideas about social practice have been applied to livelihoods in the past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{"citationItems":[{"id":"ITEM-1","itemData":{"author":[{"dropping-particle":"","family":"Sakdapolrak","given":"P","non-dropping-particle":"","parse-names":false,"suffix":""}],"container-title":"Geographica Helvetica","id":"ITEM-1","issued":{"date-parts":[["2014"]]},"page":"19-28","title":"Livelihoods as social practices: re-energising livelihoods research with Bordieu’s theory of practice","type":"article-journal","volume":"69"},"uris":["http://www.mendeley.com/documents/?uuid=5c558648-6b19-4867-92d5-24033fabb968"]},{"id":"ITEM-2","itemData":{"abstract":"Twelve years after the discussions on development and institutions at the meeting of the Geographischer Arbeitskreis Entwicklungstheorien (GAE 2000) in Z?rich, this paper seeks to put institutions back on the research agenda in development geography. The authors explore recent trends in institutional theory and propose a dialectic understanding of \"doing institutions\" that positions social actors and their everyday practices at the center of institutional analysis. Institutions are the socially (re-)produced rules that enable, constrain and give meaning to the social practices of actors. Actors make institutions; at the same time institutions make actors do certain things. Based on this foundation, three central aspects of the institutional debate are elaborated: Institutional plurality, the legitimacy of institutions, and the role of the state. Two case studies from recent research in South Asia illustrate aspects of the conceptual considerations. The article ends with an outlook on the implications of \"doing institutions\" for future research in development geography.","author":[{"dropping-particle":"","family":"Etzold","given":"Benjamin","non-dropping-particle":"","parse-names":false,"suffix":""},{"dropping-particle":"","family":"Jülich","given":"Sebastian","non-dropping-particle":"","parse-names":false,"suffix":""},{"dropping-particle":"","family":"Keck","given":"Markus","non-dropping-particle":"","parse-names":false,"suffix":""},{"dropping-particle":"","family":"Sakdapolrak","given":"Patrick","non-dropping-particle":"","parse-names":false,"suffix":""},{"dropping-particle":"","family":"Schmitt","given":"Thomas","non-dropping-particle":"","parse-names":false,"suffix":""},{"dropping-particle":"","family":"Zimmer","given":"Anna","non-dropping-particle":"","parse-names":false,"suffix":""}],"container-title":"Erdkunde","id":"ITEM-2","issue":"3","issued":{"date-parts":[["2012"]]},"page":"185-195","title":"Doing institutions: a dialectic reading of institutions and social practices and its relevance for development geography","type":"article-journal","volume":"66"},"uris":["http://www.mendeley.com/documents/?uuid=940c35f7-3268-3f8b-9eb7-0fc3320c0a7e"]}],"mendeley":{"formattedCitation":"(Etzold et al., 2012; P Sakdapolrak, 2014)","manualFormatting":"(Etzold et al., 2012; Sakdapolrak, 2014)","plainTextFormattedCitation":"(Etzold et al., 2012; P Sakdapolrak, 2014)","previouslyFormattedCitation":"(Etzold et al., 2012; P Sakdapolrak, 2014)"},"properties":{"noteIndex":0},"schema":"https://github.com/citation-style-language/schema/raw/master/csl-citation.json"}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(Etzold et al., 2012; Sakdapolrak, 2014)</w:t>
      </w:r>
      <w:r w:rsidRPr="004E053C">
        <w:rPr>
          <w:rFonts w:cstheme="majorHAnsi"/>
          <w:sz w:val="22"/>
          <w:szCs w:val="22"/>
          <w:lang w:val="en-GB"/>
        </w:rPr>
        <w:fldChar w:fldCharType="end"/>
      </w:r>
      <w:r w:rsidRPr="004E053C">
        <w:rPr>
          <w:rFonts w:cstheme="majorHAnsi"/>
          <w:sz w:val="22"/>
          <w:szCs w:val="22"/>
          <w:lang w:val="en-GB"/>
        </w:rPr>
        <w:t xml:space="preserve">, such analysis has not considered the emerging contestations to the extent that they have been explored in the criminality literature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2016)","plainTextFormattedCitation":"(Shammus &amp; Sandberg, 2016)","previouslyFormattedCitation":"(Shammus &amp; Sandberg, 2016)"},"properties":{"noteIndex":0},"schema":"https://github.com/citation-style-language/schema/raw/master/csl-citation.json"}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(Shammus &amp; Sandberg, 2016)</w:t>
      </w:r>
      <w:r w:rsidRPr="004E053C">
        <w:rPr>
          <w:rFonts w:cstheme="majorHAnsi"/>
          <w:sz w:val="22"/>
          <w:szCs w:val="22"/>
          <w:lang w:val="en-GB"/>
        </w:rPr>
        <w:fldChar w:fldCharType="end"/>
      </w:r>
      <w:r w:rsidRPr="004E053C">
        <w:rPr>
          <w:rFonts w:cstheme="majorHAnsi"/>
          <w:sz w:val="22"/>
          <w:szCs w:val="22"/>
          <w:lang w:val="en-GB"/>
        </w:rPr>
        <w:t xml:space="preserve">. I have found that concepts such as labelling and neutralisation are useful for understanding how these contestations manifest themselves within the translocal community. Furthermore, adding to work done by Sandberg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{"citationItems":[{"id":"ITEM-1","itemData":{"abstract":"Most of Pierre Bourdieu’s work describes struggles over symbolic capital and hierarchies among the economic and cultural elite. However, his theories and concepts are not exclusive to studies of those with power. By using Bourdieu’s conceptualizations of social space, capital and habitus, the article discusses the hierarchies and struggles over symbolic capital at the bottom of societies. The analysis is grounded in interviews and fieldwork with ethnic minority youths on the streets of Oslo, Norway. Analysing the violence among the young men, the article argues that marginalized ethnic minorities and certain groups of refugees use particular strategies in order to accumulate symbolic capital. They have embodied experiences that can be transformed into forms of ‘street capital’ favourable in a violent street culture.","author":[{"dropping-particle":"","family":"Sandberg","given":"Sveinung","non-dropping-particle":"","parse-names":false,"suffix":""}],"container-title":"Theoretical Criminology","id":"ITEM-1","issue":"2","issued":{"date-parts":[["2008"]]},"page":"153-171","title":"Street capital: ethnicity and violence on the streets of Oslo","type":"article-journal","volume":"12"},"uris":["http://www.mendeley.com/documents/?uuid=adef821f-3946-4c33-bdec-ac47eca11b5b"]}],"mendeley":{"formattedCitation":"(Sandberg, 2008)","manualFormatting":"(2008)","plainTextFormattedCitation":"(Sandberg, 2008)","previouslyFormattedCitation":"(Sandberg, 2008)"},"properties":{"noteIndex":0},"schema":"https://github.com/citation-style-language/schema/raw/master/csl-citation.json"}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(2008)</w:t>
      </w:r>
      <w:r w:rsidRPr="004E053C">
        <w:rPr>
          <w:rFonts w:cstheme="majorHAnsi"/>
          <w:sz w:val="22"/>
          <w:szCs w:val="22"/>
          <w:lang w:val="en-GB"/>
        </w:rPr>
        <w:fldChar w:fldCharType="end"/>
      </w:r>
      <w:r w:rsidRPr="004E053C">
        <w:rPr>
          <w:rFonts w:cstheme="majorHAnsi"/>
          <w:sz w:val="22"/>
          <w:szCs w:val="22"/>
          <w:lang w:val="en-GB"/>
        </w:rPr>
        <w:t xml:space="preserve"> and Sammus and Sandberg </w:t>
      </w:r>
      <w:r w:rsidRPr="004E053C">
        <w:rPr>
          <w:rFonts w:cstheme="majorHAnsi"/>
          <w:sz w:val="22"/>
          <w:szCs w:val="22"/>
          <w:lang w:val="en-GB"/>
        </w:rPr>
        <w:fldChar w:fldCharType="begin" w:fldLock="1"/>
      </w:r>
      <w:r w:rsidRPr="004E053C">
        <w:rPr>
          <w:rFonts w:cstheme="majorHAnsi"/>
          <w:sz w:val="22"/>
          <w:szCs w:val="22"/>
          <w:lang w:val="en-GB"/>
        </w:rPr>
        <w:instrText>ADDIN CSL_CITATION {"citationItems":[{"id":"ITEM-1","itemData":{"author":[{"dropping-particle":"","family":"Shammus","given":"Victor L","non-dropping-particle":"","parse-names":false,"suffix":""},{"dropping-particle":"","family":"Sandberg","given":"Sveinung","non-dropping-particle":"","parse-names":false,"suffix":""}],"container-title":"Criminology &amp; Criminal Justice","id":"ITEM-1","issue":"2","issued":{"date-parts":[["2016"]]},"page":"195-213","title":"Habitus, capital and conflict: bringing Bourdieusian field theory to criminoligy","type":"article-journal","volume":"16"},"uris":["http://www.mendeley.com/documents/?uuid=ee4a3f60-2227-491f-bc45-f9d879b301c5"]}],"mendeley":{"formattedCitation":"(Shammus &amp; Sandberg, 2016)","manualFormatting":"(2016)","plainTextFormattedCitation":"(Shammus &amp; Sandberg, 2016)","previouslyFormattedCitation":"(Shammus &amp; Sandberg, 2016)"},"properties":{"noteIndex":0},"schema":"https://github.com/citation-style-language/schema/raw/master/csl-citation.json"}</w:instrText>
      </w:r>
      <w:r w:rsidRPr="004E053C">
        <w:rPr>
          <w:rFonts w:cstheme="majorHAnsi"/>
          <w:sz w:val="22"/>
          <w:szCs w:val="22"/>
          <w:lang w:val="en-GB"/>
        </w:rPr>
        <w:fldChar w:fldCharType="separate"/>
      </w:r>
      <w:r w:rsidRPr="004E053C">
        <w:rPr>
          <w:rFonts w:cstheme="majorHAnsi"/>
          <w:noProof/>
          <w:sz w:val="22"/>
          <w:szCs w:val="22"/>
          <w:lang w:val="en-GB"/>
        </w:rPr>
        <w:t>(2016)</w:t>
      </w:r>
      <w:r w:rsidRPr="004E053C">
        <w:rPr>
          <w:rFonts w:cstheme="majorHAnsi"/>
          <w:sz w:val="22"/>
          <w:szCs w:val="22"/>
          <w:lang w:val="en-GB"/>
        </w:rPr>
        <w:fldChar w:fldCharType="end"/>
      </w:r>
      <w:r w:rsidRPr="004E053C">
        <w:rPr>
          <w:rFonts w:cstheme="majorHAnsi"/>
          <w:sz w:val="22"/>
          <w:szCs w:val="22"/>
          <w:lang w:val="en-GB"/>
        </w:rPr>
        <w:t xml:space="preserve">, I have shown that while social fields are ruled by their own internal logic, this does not mean that the internal norms cannot be broken. There are rewards and penalties available to those that break the rules, and this manifests itself in the crime and violence observed in mining communities. Thus again while academics have noted the gains that can be made </w:t>
      </w:r>
      <w:r w:rsidRPr="004E053C">
        <w:rPr>
          <w:rFonts w:cstheme="majorHAnsi"/>
          <w:sz w:val="22"/>
          <w:szCs w:val="22"/>
          <w:lang w:val="en-GB"/>
        </w:rPr>
        <w:lastRenderedPageBreak/>
        <w:t xml:space="preserve">by going against the dominant society </w:t>
      </w:r>
      <w:r w:rsidRPr="004E053C">
        <w:rPr>
          <w:rFonts w:cstheme="majorHAnsi"/>
          <w:sz w:val="22"/>
          <w:szCs w:val="22"/>
          <w:lang w:val="en-GB"/>
        </w:rPr>
        <w:fldChar w:fldCharType="begin" w:fldLock="1"/>
      </w:r>
      <w:r w:rsidR="007A757C" w:rsidRPr="004E053C">
        <w:rPr>
          <w:rFonts w:cstheme="majorHAnsi"/>
          <w:sz w:val="22"/>
          <w:szCs w:val="22"/>
          <w:lang w:val="en-GB"/>
        </w:rPr>
        <w:instrText>ADDIN CSL_CITATION {"citationItems":[{"id":"ITEM-1","itemData":{"author":[{"dropping-particle":"","family":"Boeck","given":"Filip","non-dropping-particle":"De","parse-names":false,"suffix":""}],"chapter-number":"8","container-title":"Globalization and Identity: Dialectics of Flow and Closure","id":"ITEM-1","issued":{"date-parts":[["1998"]]},"page":"177-210","publisher":"Blackwell Publishers","publisher-place":"Oxford","title":"Domesticating Diamonds and Dollars: Identity, Expenditure and Sharing in Southwestern Zaire (1984-1997)","type":"chapter"},"uris":["http://www.mendeley.com/documents/?uuid=a17c0819-d02e-34b6-8968-2c6b6f095216"]},{"id":"ITEM-2","itemData":{"abstract":"This article examines the marginal position of artisanal miners in sub-Saharan Africa, and considers how they are incorporated into mineral sector change in the context of institutional and legal integration. Taking the case of diamond and gold mining in Tanzania, the concept of social exclusion is used to explore the consequences of marginalization on people's access to mineral resources and ability to make a living from artisanal mining. Be-cause existing inequalities and forms of discrimination are ignored by the Tanzanian state, the institutionalization of mineral titles conceals social and power relations that perpetuate highly unequal access to resources. The arti-cle highlights the complexity of these processes, and shows that while legal integration can benefit certain wealthier categories of people, who fit into the model of an 'entrepreneurial small-scale miner', for others adverse incorpo-ration contributes to socio-economic dependence, exploitation and insecurity. For the issue of marginality to be addressed within integration processes, the existence of local forms of organization, institutions and relationships, which underpin inequalities and discrimination, need to be recognized.","author":[{"dropping-particle":"","family":"Fisher","given":"Eleanor","non-dropping-particle":"","parse-names":false,"suffix":""}],"container-title":"Development and Change","id":"ITEM-2","issue":"4","issued":{"date-parts":[["2007"]]},"page":"735-760","title":"Occupying the Margins: Labour Integration and Social Exclusion in Artisanal Mining in Tanzania","type":"article-journal","volume":"38"},"uris":["http://www.mendeley.com/documents/?uuid=ff3b0073-6334-3642-aaf4-12090b595d93"]}],"mendeley":{"formattedCitation":"(De Boeck, 1998; Fisher, 2007)","plainTextFormattedCitation":"(De Boeck, 1998; Fisher, 2007)","previouslyFormattedCitation":"(De Boeck, 1998; Fisher, 2007)"},"properties":{"noteIndex":0},"schema":"https://github.com/citation-style-language/schema/raw/master/csl-citation.json"}</w:instrText>
      </w:r>
      <w:r w:rsidRPr="004E053C">
        <w:rPr>
          <w:rFonts w:cstheme="majorHAnsi"/>
          <w:sz w:val="22"/>
          <w:szCs w:val="22"/>
          <w:lang w:val="en-GB"/>
        </w:rPr>
        <w:fldChar w:fldCharType="separate"/>
      </w:r>
      <w:r w:rsidR="007A757C" w:rsidRPr="004E053C">
        <w:rPr>
          <w:rFonts w:cstheme="majorHAnsi"/>
          <w:noProof/>
          <w:sz w:val="22"/>
          <w:szCs w:val="22"/>
          <w:lang w:val="en-GB"/>
        </w:rPr>
        <w:t>(De Boeck, 1998; Fisher, 2007)</w:t>
      </w:r>
      <w:r w:rsidRPr="004E053C">
        <w:rPr>
          <w:rFonts w:cstheme="majorHAnsi"/>
          <w:sz w:val="22"/>
          <w:szCs w:val="22"/>
          <w:lang w:val="en-GB"/>
        </w:rPr>
        <w:fldChar w:fldCharType="end"/>
      </w:r>
      <w:r w:rsidRPr="004E053C">
        <w:rPr>
          <w:rFonts w:cstheme="majorHAnsi"/>
          <w:sz w:val="22"/>
          <w:szCs w:val="22"/>
          <w:lang w:val="en-GB"/>
        </w:rPr>
        <w:t xml:space="preserve">, here we can see that this extends to the norms of the social field rather than just those external to it. </w:t>
      </w:r>
    </w:p>
    <w:p w14:paraId="69CD1A25" w14:textId="77777777" w:rsidR="00C929E4" w:rsidRPr="004E053C" w:rsidRDefault="00C929E4" w:rsidP="004E053C">
      <w:pPr>
        <w:spacing w:line="360" w:lineRule="auto"/>
        <w:jc w:val="both"/>
        <w:rPr>
          <w:rFonts w:eastAsiaTheme="minorHAnsi" w:cstheme="majorHAnsi"/>
          <w:color w:val="000000"/>
          <w:sz w:val="22"/>
          <w:szCs w:val="22"/>
          <w:lang w:val="en-GB"/>
        </w:rPr>
      </w:pPr>
    </w:p>
    <w:p w14:paraId="7C70FF10" w14:textId="77777777" w:rsidR="00C929E4" w:rsidRPr="004E053C" w:rsidRDefault="00C929E4" w:rsidP="004E053C">
      <w:pPr>
        <w:keepNext/>
        <w:keepLines/>
        <w:spacing w:line="360" w:lineRule="auto"/>
        <w:jc w:val="both"/>
        <w:outlineLvl w:val="1"/>
        <w:rPr>
          <w:rFonts w:eastAsiaTheme="majorEastAsia" w:cstheme="majorHAnsi"/>
          <w:color w:val="2E74B5" w:themeColor="accent1" w:themeShade="BF"/>
          <w:sz w:val="26"/>
          <w:szCs w:val="26"/>
          <w:lang w:val="en-GB"/>
        </w:rPr>
      </w:pPr>
      <w:bookmarkStart w:id="114" w:name="_Toc33293139"/>
      <w:r w:rsidRPr="004E053C">
        <w:rPr>
          <w:rFonts w:eastAsiaTheme="majorEastAsia" w:cstheme="majorHAnsi"/>
          <w:color w:val="2E74B5" w:themeColor="accent1" w:themeShade="BF"/>
          <w:sz w:val="26"/>
          <w:szCs w:val="26"/>
          <w:lang w:val="en-GB"/>
        </w:rPr>
        <w:t>10.2. Future research</w:t>
      </w:r>
      <w:bookmarkEnd w:id="114"/>
      <w:r w:rsidRPr="004E053C">
        <w:rPr>
          <w:rFonts w:eastAsiaTheme="majorEastAsia" w:cstheme="majorHAnsi"/>
          <w:color w:val="2E74B5" w:themeColor="accent1" w:themeShade="BF"/>
          <w:sz w:val="26"/>
          <w:szCs w:val="26"/>
          <w:lang w:val="en-GB"/>
        </w:rPr>
        <w:t xml:space="preserve"> </w:t>
      </w:r>
    </w:p>
    <w:p w14:paraId="15F61229" w14:textId="77777777" w:rsidR="00C929E4" w:rsidRPr="004E053C" w:rsidRDefault="00C929E4" w:rsidP="004E053C">
      <w:pPr>
        <w:spacing w:line="360" w:lineRule="auto"/>
        <w:jc w:val="both"/>
        <w:rPr>
          <w:rFonts w:cstheme="majorHAnsi"/>
          <w:sz w:val="22"/>
          <w:szCs w:val="22"/>
          <w:lang w:val="en-GB"/>
        </w:rPr>
      </w:pPr>
    </w:p>
    <w:p w14:paraId="1C23606D" w14:textId="77777777" w:rsidR="00C929E4" w:rsidRPr="004E053C" w:rsidRDefault="00C929E4" w:rsidP="004E053C">
      <w:pPr>
        <w:spacing w:line="360" w:lineRule="auto"/>
        <w:jc w:val="both"/>
        <w:rPr>
          <w:rFonts w:cstheme="majorHAnsi"/>
          <w:sz w:val="22"/>
          <w:szCs w:val="22"/>
          <w:lang w:val="en-GB"/>
        </w:rPr>
      </w:pPr>
      <w:r w:rsidRPr="004E053C">
        <w:rPr>
          <w:rFonts w:cstheme="majorHAnsi"/>
          <w:sz w:val="22"/>
          <w:szCs w:val="22"/>
          <w:lang w:val="en-GB"/>
        </w:rPr>
        <w:t xml:space="preserve">Although this research has added to our knowledge of ASM livelihoods and made important theoretical contributions to our knowledge of both translocality and social fields, many questions remain. This is mostly due to time and resource constraints which limited the scope of fieldwork but the dynamic and constantly evolving sector of ASM also continues evoke further questions. There are therefore several avenues for further research that would build on the findings of this thesis. I will present here first the theoretical ideas that could be explored and developed further through additional research, before considering the questions that remain about ASM in Madre de Dios. These questions have arisen both through the process of fieldwork and analysis, but also due to recent events which are likely to have had big impacts on the translocal ASM community. </w:t>
      </w:r>
    </w:p>
    <w:p w14:paraId="1436EB8D" w14:textId="77777777" w:rsidR="00C929E4" w:rsidRDefault="00C929E4" w:rsidP="004E053C">
      <w:pPr>
        <w:spacing w:line="360" w:lineRule="auto"/>
        <w:jc w:val="both"/>
        <w:rPr>
          <w:rFonts w:cstheme="majorHAnsi"/>
          <w:sz w:val="22"/>
          <w:szCs w:val="22"/>
          <w:lang w:val="en-GB"/>
        </w:rPr>
      </w:pPr>
    </w:p>
    <w:p w14:paraId="7D675F2F" w14:textId="2DDAD677" w:rsidR="003A5592" w:rsidRPr="004E053C" w:rsidRDefault="003A5592" w:rsidP="004E053C">
      <w:pPr>
        <w:spacing w:line="360" w:lineRule="auto"/>
        <w:jc w:val="both"/>
        <w:rPr>
          <w:rFonts w:cstheme="majorHAnsi"/>
          <w:sz w:val="22"/>
          <w:szCs w:val="22"/>
          <w:lang w:val="en-GB"/>
        </w:rPr>
      </w:pPr>
      <w:r>
        <w:rPr>
          <w:rFonts w:cstheme="majorHAnsi"/>
          <w:sz w:val="22"/>
          <w:szCs w:val="22"/>
          <w:lang w:val="en-GB"/>
        </w:rPr>
        <w:t>Given the theoretical contributions that have been made to the concept of translocality and translocal livelihoods, an important avenue of research would be exploring the extent to which this is generalizable to other contexts. There are three distinct contexts where this could be tested. The first is other ASM contexts, including else</w:t>
      </w:r>
      <w:r w:rsidR="00F80AD5">
        <w:rPr>
          <w:rFonts w:cstheme="majorHAnsi"/>
          <w:sz w:val="22"/>
          <w:szCs w:val="22"/>
          <w:lang w:val="en-GB"/>
        </w:rPr>
        <w:t>where in Peru as well as other countries with a high levels of mining activity</w:t>
      </w:r>
      <w:r>
        <w:rPr>
          <w:rFonts w:cstheme="majorHAnsi"/>
          <w:sz w:val="22"/>
          <w:szCs w:val="22"/>
          <w:lang w:val="en-GB"/>
        </w:rPr>
        <w:t>. However, it is also important to understa</w:t>
      </w:r>
      <w:r w:rsidR="00F80AD5">
        <w:rPr>
          <w:rFonts w:cstheme="majorHAnsi"/>
          <w:sz w:val="22"/>
          <w:szCs w:val="22"/>
          <w:lang w:val="en-GB"/>
        </w:rPr>
        <w:t>nd how far the theoretical concept</w:t>
      </w:r>
      <w:r>
        <w:rPr>
          <w:rFonts w:cstheme="majorHAnsi"/>
          <w:sz w:val="22"/>
          <w:szCs w:val="22"/>
          <w:lang w:val="en-GB"/>
        </w:rPr>
        <w:t xml:space="preserve"> of </w:t>
      </w:r>
      <w:r w:rsidR="00F80AD5">
        <w:rPr>
          <w:rFonts w:cstheme="majorHAnsi"/>
          <w:sz w:val="22"/>
          <w:szCs w:val="22"/>
          <w:lang w:val="en-GB"/>
        </w:rPr>
        <w:t xml:space="preserve">‘temporal frictions’ and the divergent forms of translocality identified here are generalizable to non-ASM contexts. For this reason, I suggest exploring them in the context of rural-urban migration, with a particular focus on the marginalised migrant communities that reside in slums, often on the edges of the city. Such a study could retain a focus on Peru and Latin America, but there are also many other contexts where migrants find themselves living together in precarious locations. In some cases, such as in the case of migrant rickshaw drivers in Bangladesh for example, they may even share a livelihood. </w:t>
      </w:r>
    </w:p>
    <w:p w14:paraId="3A453A2F" w14:textId="77777777" w:rsidR="00C929E4" w:rsidRPr="004E053C" w:rsidRDefault="00C929E4" w:rsidP="004E053C">
      <w:pPr>
        <w:spacing w:line="360" w:lineRule="auto"/>
        <w:jc w:val="both"/>
        <w:rPr>
          <w:rFonts w:cstheme="majorHAnsi"/>
          <w:sz w:val="22"/>
          <w:szCs w:val="22"/>
          <w:lang w:val="en-GB"/>
        </w:rPr>
      </w:pPr>
    </w:p>
    <w:p w14:paraId="0CD5F7AA" w14:textId="3F625F95" w:rsidR="00C929E4" w:rsidRPr="004E053C" w:rsidRDefault="003A5592" w:rsidP="004E053C">
      <w:pPr>
        <w:spacing w:line="360" w:lineRule="auto"/>
        <w:jc w:val="both"/>
        <w:rPr>
          <w:rFonts w:cstheme="majorHAnsi"/>
          <w:sz w:val="22"/>
          <w:szCs w:val="22"/>
          <w:lang w:val="en-GB"/>
        </w:rPr>
      </w:pPr>
      <w:r>
        <w:rPr>
          <w:rFonts w:cstheme="majorHAnsi"/>
          <w:sz w:val="22"/>
          <w:szCs w:val="22"/>
          <w:lang w:val="en-GB"/>
        </w:rPr>
        <w:t xml:space="preserve">The </w:t>
      </w:r>
      <w:r w:rsidR="00C929E4" w:rsidRPr="004E053C">
        <w:rPr>
          <w:rFonts w:cstheme="majorHAnsi"/>
          <w:sz w:val="22"/>
          <w:szCs w:val="22"/>
          <w:lang w:val="en-GB"/>
        </w:rPr>
        <w:t xml:space="preserve">recent developments outlined above and the impact on local people </w:t>
      </w:r>
      <w:r w:rsidR="00F80AD5">
        <w:rPr>
          <w:rFonts w:cstheme="majorHAnsi"/>
          <w:sz w:val="22"/>
          <w:szCs w:val="22"/>
          <w:lang w:val="en-GB"/>
        </w:rPr>
        <w:t xml:space="preserve">also </w:t>
      </w:r>
      <w:r w:rsidR="00C929E4" w:rsidRPr="004E053C">
        <w:rPr>
          <w:rFonts w:cstheme="majorHAnsi"/>
          <w:sz w:val="22"/>
          <w:szCs w:val="22"/>
          <w:lang w:val="en-GB"/>
        </w:rPr>
        <w:t xml:space="preserve">warrant further investigation. </w:t>
      </w:r>
      <w:r w:rsidR="00C929E4" w:rsidRPr="004E053C">
        <w:rPr>
          <w:rFonts w:eastAsia="Times New Roman" w:cstheme="majorHAnsi"/>
          <w:sz w:val="22"/>
          <w:szCs w:val="22"/>
          <w:shd w:val="clear" w:color="auto" w:fill="FFFFFF"/>
          <w:lang w:val="en-GB"/>
        </w:rPr>
        <w:t>Operación Mercurio</w:t>
      </w:r>
      <w:r w:rsidR="00C929E4" w:rsidRPr="004E053C">
        <w:rPr>
          <w:rFonts w:cstheme="majorHAnsi"/>
          <w:sz w:val="22"/>
          <w:szCs w:val="22"/>
          <w:lang w:val="en-GB"/>
        </w:rPr>
        <w:t xml:space="preserve"> undoubtedly changes the rules of the game within the social field with massive implications for the people that depend on the sector. </w:t>
      </w:r>
      <w:r w:rsidR="00C929E4" w:rsidRPr="004E053C">
        <w:rPr>
          <w:rFonts w:eastAsia="Times New Roman" w:cstheme="majorHAnsi"/>
          <w:sz w:val="22"/>
          <w:szCs w:val="22"/>
          <w:shd w:val="clear" w:color="auto" w:fill="FFFFFF"/>
          <w:lang w:val="en-GB" w:eastAsia="zh-CN"/>
        </w:rPr>
        <w:t>It would be particularly interesting to return to Laberinto and revisiting the interview respondents to ask for their reflections on what has changed. Although the Government’s intervention</w:t>
      </w:r>
      <w:r w:rsidR="00C929E4" w:rsidRPr="004E053C">
        <w:rPr>
          <w:rFonts w:cstheme="majorHAnsi"/>
          <w:sz w:val="22"/>
          <w:szCs w:val="22"/>
          <w:lang w:val="en-GB"/>
        </w:rPr>
        <w:t xml:space="preserve"> is aimed at clearing out mining activity that happens outside of the </w:t>
      </w:r>
      <w:r w:rsidR="00C929E4" w:rsidRPr="004E053C">
        <w:rPr>
          <w:rFonts w:cstheme="majorHAnsi"/>
          <w:i/>
          <w:sz w:val="22"/>
          <w:szCs w:val="22"/>
          <w:lang w:val="en-GB"/>
        </w:rPr>
        <w:t>Corridor Minero</w:t>
      </w:r>
      <w:r w:rsidR="00C929E4" w:rsidRPr="004E053C">
        <w:rPr>
          <w:rFonts w:cstheme="majorHAnsi"/>
          <w:sz w:val="22"/>
          <w:szCs w:val="22"/>
          <w:lang w:val="en-GB"/>
        </w:rPr>
        <w:t xml:space="preserve">, the residents of Laberinto, Boca Union and </w:t>
      </w:r>
      <w:r w:rsidR="00C929E4" w:rsidRPr="004E053C">
        <w:rPr>
          <w:rFonts w:cstheme="majorHAnsi"/>
          <w:sz w:val="22"/>
          <w:szCs w:val="22"/>
          <w:lang w:val="en-GB"/>
        </w:rPr>
        <w:lastRenderedPageBreak/>
        <w:t xml:space="preserve">numerous other settlements are likely to be affected in numerous ways. Firstly, the Government’s policy will still prohibit the use of mercury and working in rivers </w:t>
      </w:r>
      <w:r w:rsidR="00C929E4" w:rsidRPr="004E053C">
        <w:rPr>
          <w:rFonts w:cstheme="majorHAnsi"/>
          <w:sz w:val="22"/>
          <w:szCs w:val="22"/>
          <w:lang w:val="en-GB"/>
        </w:rPr>
        <w:fldChar w:fldCharType="begin" w:fldLock="1"/>
      </w:r>
      <w:r w:rsidR="00C929E4" w:rsidRPr="004E053C">
        <w:rPr>
          <w:rFonts w:cstheme="majorHAnsi"/>
          <w:sz w:val="22"/>
          <w:szCs w:val="22"/>
          <w:lang w:val="en-GB"/>
        </w:rPr>
        <w:instrText>ADDIN CSL_CITATION {"citationItems":[{"id":"ITEM-1","itemData":{"URL":"https://umdpolicyperu2016.wordpress.com/2019/04/03/operacion-mercurio-2019/","accessed":{"date-parts":[["2019","8","2"]]},"author":[{"dropping-particle":"","family":"Leas","given":"Stephen","non-dropping-particle":"","parse-names":false,"suffix":""}],"container-title":"University of Maryland School of Public Policy in Peru","id":"ITEM-1","issued":{"date-parts":[["2019"]]},"title":"Operación Mercurio 2019","type":"webpage"},"uris":["http://www.mendeley.com/documents/?uuid=59453b9c-6980-40fd-aba6-71662b43dddb"]}],"mendeley":{"formattedCitation":"(Leas, 2019)","plainTextFormattedCitation":"(Leas, 2019)","previouslyFormattedCitation":"(Leas, 2019)"},"properties":{"noteIndex":0},"schema":"https://github.com/citation-style-language/schema/raw/master/csl-citation.json"}</w:instrText>
      </w:r>
      <w:r w:rsidR="00C929E4" w:rsidRPr="004E053C">
        <w:rPr>
          <w:rFonts w:cstheme="majorHAnsi"/>
          <w:sz w:val="22"/>
          <w:szCs w:val="22"/>
          <w:lang w:val="en-GB"/>
        </w:rPr>
        <w:fldChar w:fldCharType="separate"/>
      </w:r>
      <w:r w:rsidR="00C929E4" w:rsidRPr="004E053C">
        <w:rPr>
          <w:rFonts w:cstheme="majorHAnsi"/>
          <w:noProof/>
          <w:sz w:val="22"/>
          <w:szCs w:val="22"/>
          <w:lang w:val="en-GB"/>
        </w:rPr>
        <w:t>(Leas, 2019)</w:t>
      </w:r>
      <w:r w:rsidR="00C929E4" w:rsidRPr="004E053C">
        <w:rPr>
          <w:rFonts w:cstheme="majorHAnsi"/>
          <w:sz w:val="22"/>
          <w:szCs w:val="22"/>
          <w:lang w:val="en-GB"/>
        </w:rPr>
        <w:fldChar w:fldCharType="end"/>
      </w:r>
      <w:r w:rsidR="00C929E4" w:rsidRPr="004E053C">
        <w:rPr>
          <w:rFonts w:cstheme="majorHAnsi"/>
          <w:sz w:val="22"/>
          <w:szCs w:val="22"/>
          <w:lang w:val="en-GB"/>
        </w:rPr>
        <w:t>, which many of the miners I interviewed o</w:t>
      </w:r>
      <w:r w:rsidR="00277027">
        <w:rPr>
          <w:rFonts w:cstheme="majorHAnsi"/>
          <w:sz w:val="22"/>
          <w:szCs w:val="22"/>
          <w:lang w:val="en-GB"/>
        </w:rPr>
        <w:t>bject to. Secondly, the formalis</w:t>
      </w:r>
      <w:r w:rsidR="00C929E4" w:rsidRPr="004E053C">
        <w:rPr>
          <w:rFonts w:cstheme="majorHAnsi"/>
          <w:sz w:val="22"/>
          <w:szCs w:val="22"/>
          <w:lang w:val="en-GB"/>
        </w:rPr>
        <w:t xml:space="preserve">ation processes is likely to continue to be long and difficult, particularly for temporary miners. Thirdly, the clampdown on mining in La Pampa is likely to lead to an influx of miners into the mining corridor. </w:t>
      </w:r>
      <w:r w:rsidR="00C929E4" w:rsidRPr="004E053C">
        <w:rPr>
          <w:rFonts w:eastAsia="Times New Roman" w:cstheme="majorHAnsi"/>
          <w:sz w:val="22"/>
          <w:szCs w:val="22"/>
          <w:shd w:val="clear" w:color="auto" w:fill="FFFFFF"/>
          <w:lang w:val="en-GB" w:eastAsia="zh-CN"/>
        </w:rPr>
        <w:t xml:space="preserve">In section 7.3, I noted that some of the permanent miners in Laberinto feared that the criminals currently residing in La Pampa would eventually find their way to their town and questioned what this would mean for the local community. It was also mentioned that previous clampdowns in La Pampa had led to an increase in crime rates, primarily because fewer employment opportunities meant that people had no other way to make money. This suggests a potentially negative outcome for the residents of Laberinto. It would also be interesting to see how the narratives and discourses discussed in chapter 9 have changed as a result of the intervention’s outcome. </w:t>
      </w:r>
    </w:p>
    <w:p w14:paraId="078AFF64" w14:textId="77777777" w:rsidR="00C929E4" w:rsidRPr="004E053C" w:rsidRDefault="00C929E4" w:rsidP="004E053C">
      <w:pPr>
        <w:spacing w:line="360" w:lineRule="auto"/>
        <w:jc w:val="both"/>
        <w:rPr>
          <w:rFonts w:eastAsia="Times New Roman" w:cstheme="majorHAnsi"/>
          <w:sz w:val="22"/>
          <w:szCs w:val="22"/>
          <w:shd w:val="clear" w:color="auto" w:fill="FFFFFF"/>
          <w:lang w:val="en-GB" w:eastAsia="zh-CN"/>
        </w:rPr>
      </w:pPr>
    </w:p>
    <w:p w14:paraId="7A744F81" w14:textId="4EE58EE8" w:rsidR="00C929E4" w:rsidRPr="004E053C" w:rsidRDefault="003A5592" w:rsidP="004E053C">
      <w:pPr>
        <w:spacing w:line="360" w:lineRule="auto"/>
        <w:jc w:val="both"/>
        <w:rPr>
          <w:rFonts w:eastAsia="Times New Roman" w:cs="Times New Roman"/>
          <w:sz w:val="20"/>
          <w:szCs w:val="20"/>
          <w:lang w:val="en-GB"/>
        </w:rPr>
      </w:pPr>
      <w:r>
        <w:rPr>
          <w:rFonts w:eastAsia="Times New Roman" w:cstheme="majorHAnsi"/>
          <w:sz w:val="22"/>
          <w:szCs w:val="22"/>
          <w:shd w:val="clear" w:color="auto" w:fill="FFFFFF"/>
          <w:lang w:val="en-GB" w:eastAsia="zh-CN"/>
        </w:rPr>
        <w:t>This</w:t>
      </w:r>
      <w:r w:rsidR="00C929E4" w:rsidRPr="004E053C">
        <w:rPr>
          <w:rFonts w:eastAsia="Times New Roman" w:cstheme="majorHAnsi"/>
          <w:sz w:val="22"/>
          <w:szCs w:val="22"/>
          <w:shd w:val="clear" w:color="auto" w:fill="FFFFFF"/>
          <w:lang w:val="en-GB" w:eastAsia="zh-CN"/>
        </w:rPr>
        <w:t xml:space="preserve"> research was restricted somewhat due to violence and insecurity in La Pampa. If </w:t>
      </w:r>
      <w:r w:rsidR="00C929E4" w:rsidRPr="004E053C">
        <w:rPr>
          <w:rFonts w:eastAsia="Times New Roman" w:cstheme="majorHAnsi"/>
          <w:sz w:val="22"/>
          <w:szCs w:val="22"/>
          <w:shd w:val="clear" w:color="auto" w:fill="FFFFFF"/>
          <w:lang w:val="en-GB"/>
        </w:rPr>
        <w:t>Operación Mercurio</w:t>
      </w:r>
      <w:r w:rsidR="00C929E4" w:rsidRPr="004E053C">
        <w:rPr>
          <w:rFonts w:cstheme="majorHAnsi"/>
          <w:sz w:val="22"/>
          <w:szCs w:val="22"/>
          <w:lang w:val="en-GB"/>
        </w:rPr>
        <w:t xml:space="preserve"> </w:t>
      </w:r>
      <w:r w:rsidR="00C929E4" w:rsidRPr="004E053C">
        <w:rPr>
          <w:rFonts w:eastAsia="Times New Roman" w:cstheme="majorHAnsi"/>
          <w:sz w:val="22"/>
          <w:szCs w:val="22"/>
          <w:shd w:val="clear" w:color="auto" w:fill="FFFFFF"/>
          <w:lang w:val="en-GB" w:eastAsia="zh-CN"/>
        </w:rPr>
        <w:t xml:space="preserve">is successful, we might expect many of the miners and other residents of La Pampa to start working within the </w:t>
      </w:r>
      <w:r w:rsidR="00C929E4" w:rsidRPr="004E053C">
        <w:rPr>
          <w:rFonts w:eastAsia="Times New Roman" w:cstheme="majorHAnsi"/>
          <w:i/>
          <w:sz w:val="22"/>
          <w:szCs w:val="22"/>
          <w:shd w:val="clear" w:color="auto" w:fill="FFFFFF"/>
          <w:lang w:val="en-GB" w:eastAsia="zh-CN"/>
        </w:rPr>
        <w:t xml:space="preserve">Corridor Minero. </w:t>
      </w:r>
      <w:r w:rsidR="00C929E4" w:rsidRPr="004E053C">
        <w:rPr>
          <w:rFonts w:cstheme="majorHAnsi"/>
          <w:sz w:val="22"/>
          <w:szCs w:val="22"/>
          <w:lang w:val="en-GB"/>
        </w:rPr>
        <w:t xml:space="preserve">Interviewing them would therefore become much easier. This would allow for a more thorough exploration of life within La Pampa and also an understanding of their reaction to being forced out. Understanding why people choose to relocate to another mining settlement rather than returning home or switching livelihoods is important for understanding the implications of policies and interventions aimed at reducing mining activity. There is however some cynicism around the potential the current intervention has for success. The structural factors that lead people to work in La Pampa in the first place have not been resolved.  Rather than eliminating mining activity, the presence of military and police forces is perhaps more likely to push illegal mining deeper into jungle </w:t>
      </w:r>
      <w:r w:rsidR="00C929E4" w:rsidRPr="004E053C">
        <w:rPr>
          <w:rFonts w:cstheme="majorHAnsi"/>
          <w:sz w:val="22"/>
          <w:szCs w:val="22"/>
          <w:lang w:val="en-GB"/>
        </w:rPr>
        <w:fldChar w:fldCharType="begin" w:fldLock="1"/>
      </w:r>
      <w:r w:rsidR="00C929E4" w:rsidRPr="004E053C">
        <w:rPr>
          <w:rFonts w:cstheme="majorHAnsi"/>
          <w:sz w:val="22"/>
          <w:szCs w:val="22"/>
          <w:lang w:val="en-GB"/>
        </w:rPr>
        <w:instrText>ADDIN CSL_CITATION {"citationItems":[{"id":"ITEM-1","itemData":{"URL":"https://www.worldpoliticsreview.com/articles/27679/peru-s-militarized-response-to-illegal-mining-isn-t-enough-to-protect-the-amazon","accessed":{"date-parts":[["2019","8","1"]]},"author":[{"dropping-particle":"","family":"DuPée","given":"Matthew C","non-dropping-particle":"","parse-names":false,"suffix":""}],"container-title":"World Politics Review","id":"ITEM-1","issued":{"date-parts":[["2019"]]},"title":"Peru’s militarized response to illegal mining isn’t enough to protect the Amazon","type":"webpage"},"uris":["http://www.mendeley.com/documents/?uuid=3b9724e1-8e5f-40fc-97db-f24876b275cc"]}],"mendeley":{"formattedCitation":"(DuPée, 2019)","plainTextFormattedCitation":"(DuPée, 2019)","previouslyFormattedCitation":"(DuPée, 2019)"},"properties":{"noteIndex":0},"schema":"https://github.com/citation-style-language/schema/raw/master/csl-citation.json"}</w:instrText>
      </w:r>
      <w:r w:rsidR="00C929E4" w:rsidRPr="004E053C">
        <w:rPr>
          <w:rFonts w:cstheme="majorHAnsi"/>
          <w:sz w:val="22"/>
          <w:szCs w:val="22"/>
          <w:lang w:val="en-GB"/>
        </w:rPr>
        <w:fldChar w:fldCharType="separate"/>
      </w:r>
      <w:r w:rsidR="00C929E4" w:rsidRPr="004E053C">
        <w:rPr>
          <w:rFonts w:cstheme="majorHAnsi"/>
          <w:noProof/>
          <w:sz w:val="22"/>
          <w:szCs w:val="22"/>
          <w:lang w:val="en-GB"/>
        </w:rPr>
        <w:t>(DuPée, 2019)</w:t>
      </w:r>
      <w:r w:rsidR="00C929E4" w:rsidRPr="004E053C">
        <w:rPr>
          <w:rFonts w:cstheme="majorHAnsi"/>
          <w:sz w:val="22"/>
          <w:szCs w:val="22"/>
          <w:lang w:val="en-GB"/>
        </w:rPr>
        <w:fldChar w:fldCharType="end"/>
      </w:r>
      <w:r w:rsidR="00C929E4" w:rsidRPr="004E053C">
        <w:rPr>
          <w:rFonts w:eastAsia="Times New Roman" w:cstheme="majorHAnsi"/>
          <w:iCs/>
          <w:sz w:val="22"/>
          <w:szCs w:val="22"/>
          <w:lang w:val="en-GB"/>
        </w:rPr>
        <w:t xml:space="preserve">. This also poses interesting questions for the success of such interventions that could be explored through further research. </w:t>
      </w:r>
    </w:p>
    <w:p w14:paraId="5B1B0032" w14:textId="77777777" w:rsidR="00C929E4" w:rsidRPr="004E053C" w:rsidRDefault="00C929E4" w:rsidP="004E053C">
      <w:pPr>
        <w:spacing w:line="360" w:lineRule="auto"/>
        <w:jc w:val="both"/>
        <w:rPr>
          <w:rFonts w:cstheme="majorHAnsi"/>
          <w:sz w:val="22"/>
          <w:szCs w:val="22"/>
          <w:lang w:val="en-GB"/>
        </w:rPr>
      </w:pPr>
    </w:p>
    <w:p w14:paraId="35E37394" w14:textId="6912AFE2" w:rsidR="00C929E4" w:rsidRPr="004E053C" w:rsidRDefault="003A5592" w:rsidP="004E053C">
      <w:pPr>
        <w:spacing w:line="360" w:lineRule="auto"/>
        <w:jc w:val="both"/>
        <w:rPr>
          <w:rFonts w:eastAsia="Times New Roman" w:cstheme="majorHAnsi"/>
          <w:sz w:val="22"/>
          <w:szCs w:val="22"/>
          <w:shd w:val="clear" w:color="auto" w:fill="FFFFFF"/>
          <w:lang w:val="en-GB" w:eastAsia="zh-CN"/>
        </w:rPr>
      </w:pPr>
      <w:r>
        <w:rPr>
          <w:rFonts w:cstheme="majorHAnsi"/>
          <w:sz w:val="22"/>
          <w:szCs w:val="22"/>
          <w:lang w:val="en-GB"/>
        </w:rPr>
        <w:t>The</w:t>
      </w:r>
      <w:r w:rsidR="00C929E4" w:rsidRPr="004E053C">
        <w:rPr>
          <w:rFonts w:cstheme="majorHAnsi"/>
          <w:sz w:val="22"/>
          <w:szCs w:val="22"/>
          <w:lang w:val="en-GB"/>
        </w:rPr>
        <w:t xml:space="preserve"> possibility of failure for </w:t>
      </w:r>
      <w:r w:rsidR="00C929E4" w:rsidRPr="004E053C">
        <w:rPr>
          <w:rFonts w:eastAsia="Times New Roman" w:cstheme="majorHAnsi"/>
          <w:sz w:val="22"/>
          <w:szCs w:val="22"/>
          <w:shd w:val="clear" w:color="auto" w:fill="FFFFFF"/>
          <w:lang w:val="en-GB"/>
        </w:rPr>
        <w:t>Operación Mercurio</w:t>
      </w:r>
      <w:r w:rsidR="00C929E4" w:rsidRPr="004E053C">
        <w:rPr>
          <w:rFonts w:cstheme="majorHAnsi"/>
          <w:sz w:val="22"/>
          <w:szCs w:val="22"/>
          <w:lang w:val="en-GB"/>
        </w:rPr>
        <w:t xml:space="preserve"> reinforces the need to take a translocal approach when both problematising ASM and looking for solutions. As noted above, the intervention does not address poor economic development in the Andes and the structural inequalities that lead to so many people migrating to the Amazon’s ASM sector </w:t>
      </w:r>
      <w:r w:rsidR="00C929E4" w:rsidRPr="004E053C">
        <w:rPr>
          <w:rFonts w:cstheme="majorHAnsi"/>
          <w:sz w:val="22"/>
          <w:szCs w:val="22"/>
          <w:lang w:val="en-GB"/>
        </w:rPr>
        <w:fldChar w:fldCharType="begin" w:fldLock="1"/>
      </w:r>
      <w:r w:rsidR="00C929E4" w:rsidRPr="004E053C">
        <w:rPr>
          <w:rFonts w:cstheme="majorHAnsi"/>
          <w:sz w:val="22"/>
          <w:szCs w:val="22"/>
          <w:lang w:val="en-GB"/>
        </w:rPr>
        <w:instrText>ADDIN CSL_CITATION {"citationItems":[{"id":"ITEM-1","itemData":{"URL":"https://umdpolicyperu2016.wordpress.com/2019/04/03/operacion-mercurio-2019/","accessed":{"date-parts":[["2019","8","2"]]},"author":[{"dropping-particle":"","family":"Leas","given":"Stephen","non-dropping-particle":"","parse-names":false,"suffix":""}],"container-title":"University of Maryland School of Public Policy in Peru","id":"ITEM-1","issued":{"date-parts":[["2019"]]},"title":"Operación Mercurio 2019","type":"webpage"},"uris":["http://www.mendeley.com/documents/?uuid=59453b9c-6980-40fd-aba6-71662b43dddb"]}],"mendeley":{"formattedCitation":"(Leas, 2019)","plainTextFormattedCitation":"(Leas, 2019)","previouslyFormattedCitation":"(Leas, 2019)"},"properties":{"noteIndex":0},"schema":"https://github.com/citation-style-language/schema/raw/master/csl-citation.json"}</w:instrText>
      </w:r>
      <w:r w:rsidR="00C929E4" w:rsidRPr="004E053C">
        <w:rPr>
          <w:rFonts w:cstheme="majorHAnsi"/>
          <w:sz w:val="22"/>
          <w:szCs w:val="22"/>
          <w:lang w:val="en-GB"/>
        </w:rPr>
        <w:fldChar w:fldCharType="separate"/>
      </w:r>
      <w:r w:rsidR="00C929E4" w:rsidRPr="004E053C">
        <w:rPr>
          <w:rFonts w:cstheme="majorHAnsi"/>
          <w:noProof/>
          <w:sz w:val="22"/>
          <w:szCs w:val="22"/>
          <w:lang w:val="en-GB"/>
        </w:rPr>
        <w:t>(Leas, 2019)</w:t>
      </w:r>
      <w:r w:rsidR="00C929E4" w:rsidRPr="004E053C">
        <w:rPr>
          <w:rFonts w:cstheme="majorHAnsi"/>
          <w:sz w:val="22"/>
          <w:szCs w:val="22"/>
          <w:lang w:val="en-GB"/>
        </w:rPr>
        <w:fldChar w:fldCharType="end"/>
      </w:r>
      <w:r w:rsidR="00C929E4" w:rsidRPr="004E053C">
        <w:rPr>
          <w:rFonts w:cstheme="majorHAnsi"/>
          <w:sz w:val="22"/>
          <w:szCs w:val="22"/>
          <w:lang w:val="en-GB"/>
        </w:rPr>
        <w:t xml:space="preserve">. Although the provision of alternative livelihoods is suggested, the success of these has been shown elsewhere to be limited </w:t>
      </w:r>
      <w:r w:rsidR="00C929E4" w:rsidRPr="004E053C">
        <w:rPr>
          <w:rFonts w:cstheme="majorHAnsi"/>
          <w:sz w:val="22"/>
          <w:szCs w:val="22"/>
          <w:lang w:val="en-GB"/>
        </w:rPr>
        <w:fldChar w:fldCharType="begin" w:fldLock="1"/>
      </w:r>
      <w:r w:rsidR="00C929E4" w:rsidRPr="004E053C">
        <w:rPr>
          <w:rFonts w:cstheme="majorHAnsi"/>
          <w:sz w:val="22"/>
          <w:szCs w:val="22"/>
          <w:lang w:val="en-GB"/>
        </w:rPr>
        <w:instrText>ADDIN CSL_CITATION {"citationItems":[{"id":"ITEM-1","itemData":{"abstract":"Much of the discourse and literature on artisanal and small-scale mining (ASM) in sub-Saharan Africa has inherently prescriptive recommendations on how the sector should develop. Devaluation, misrecognition, and criminalization of artisanal, largely illegal miners hamper their participation not only in environmental and political decision-making but also in negotiating potential alternative livelihoods. This article addresses the following three questions: (a) what are the pull and push factors in Ghana's artisanal and small-scale mining (ASM) sector?; (b) what concrete livelihood options exist for unregistered miners when regularization is impeded and undermined?; and (c) in the absence of promising alternative livelihoods, how can the ASM sector be re-imagined to allow poor men and women miners to flourish as recognized and valued members of their society? The findings suggest that as long as currently illegal miners have some expectation that they will legitimately acquire even small parcels of land for gold extraction, they are very unlikely to commit to any of the fashionable, yet short-lived alternative livelihood options that are introduced by external agencies. What Ghana's ASM sector needs is more success stories that demonstrate that small operators can and want to be good environmental stewards, and that they can flourish as recognized and valued citizens. © 2008.","author":[{"dropping-particle":"","family":"Tschakert","given":"Petra","non-dropping-particle":"","parse-names":false,"suffix":""}],"container-title":"Resources Policy","id":"ITEM-1","issue":"1-2","issued":{"date-parts":[["2009"]]},"page":"24-31","title":"Recognizing and nurturing artisanal mining as a viable livelihood","type":"article-journal","volume":"34"},"uris":["http://www.mendeley.com/documents/?uuid=5831bb71-6055-493f-9a5a-64dcd06bad59"]},{"id":"ITEM-2","itemData":{"abstract":"This paper argues that artisanal mining communities are somewhat bound to their operations, and helps explain why formalisation, alternative livelihood projects and military intervention-the traditional strategies employed by governments to tackle illegal mining-have proved ineffective. Findings from recent research carried out in Noyem (Eastern Region of Ghana) are used to illustrate why illegal artisanal mining is such a deeply rooted activity in sub-Saharan Africa. The analysis provides four explanations in support of this: a heavy involvement of traditional leaders in operations; the mindsets of many operators toward alternative income-earning activities; the numerous and diverse range of employment opportunities provided by the sector; and the level of investment in operations. © 2007 Elsevier Ltd. All rights reserved.","author":[{"dropping-particle":"","family":"Banchirigah","given":"Sadia Mohammed","non-dropping-particle":"","parse-names":false,"suffix":""}],"container-title":"Resources Policy","id":"ITEM-2","issue":"1","issued":{"date-parts":[["2008"]]},"page":"29-38","title":"Challenges with eradicating illegal mining in Ghana: a perspective from the grassroots","type":"article-journal","volume":"33"},"uris":["http://www.mendeley.com/documents/?uuid=2da23185-b489-444d-82dd-fb3c99389883"]},{"id":"ITEM-3","itemData":{"abstract":"This paper critiques the approach being taken in Ghana to implement Alternative Livelihood (AL) projects in mining communities. The rapid insurgence of illegal artisanal gold mining has forced policymakers to think more creatively about ways in which to deal with mounting unemployment in the country’s rural areas. Most of the economic activities being promoted, however, have proved highly unpopular with target groups. The adopted policy approaches reflect how little in tune the organisations championing AL activities are with the mindsets and ambitions of rural populations.","author":[{"dropping-particle":"","family":"Hilson","given":"Gavin","non-dropping-particle":"","parse-names":false,"suffix":""},{"dropping-particle":"","family":"Banchirigah","given":"Sadia Mohammed","non-dropping-particle":"","parse-names":false,"suffix":""}],"container-title":"Journal of Development Studies","id":"ITEM-3","issue":"2","issued":{"date-parts":[["2009"]]},"page":"172-196","title":"Are alternative livelihood projects alleviating poverty in mining communities? Experiences from Ghana","type":"article-journal","volume":"45"},"uris":["http://www.mendeley.com/documents/?uuid=2620f817-3676-4358-afd5-01c808524c5d"]},{"id":"ITEM-4","itemData":{"abstract":"This article is one of three synthesis reports resulting from an integrated assessment (IA) of artisanal and small-scale gold mining (ASGM) in Ghana. Given the complexities that involve multiple drivers and diverse disciplines influencing ASGM, an IA framework was used to analyze economic, social, health, and environmental data and to co-develop evidence-based responses in collaboration with pertinent stakeholders. We look at both micro- and macro-economic processes surrounding ASGM, including causes, challenges, and consequences. At the micro-level, social and economic evidence suggests that the principal reasons whereby most people engage in ASGM involve “push” factors aimed at meeting livelihood goals. ASGM provides an important source of income for both proximate and distant communities, representing a means of survival for impoverished farmers as well as an engine for small business growth. However, miners and their families often end up in a “poverty trap” of low productivity and indebtedness, which reduce even further their economic options. At a macro level, Ghana’s ASGM activities contribute significantly to the national economy even though they are sometimes operating illegally and at a disadvantage compared to large-scale industrial mining companies. Nevertheless, complex issues of land tenure, social stability, mining regulation and taxation, and environmental degradation undermine the viability and sustainability of ASGM as a livelihood strategy. Although more research is needed to understand these complex relationships, we point to key findings and insights from social science and economics research that can guide policies and actions aimed to address the unique challenges of ASGM in Ghana and elsewhere.","author":[{"dropping-particle":"","family":"Wilson","given":"Mark L.","non-dropping-particle":"","parse-names":false,"suffix":""},{"dropping-particle":"","family":"Renne","given":"Elisha","non-dropping-particle":"","parse-names":false,"suffix":""},{"dropping-particle":"","family":"Roncoli","given":"Carla","non-dropping-particle":"","parse-names":false,"suffix":""},{"dropping-particle":"","family":"Agyei-Baffour","given":"Peter","non-dropping-particle":"","parse-names":false,"suffix":""},{"dropping-particle":"","family":"Tenkorang","given":"Emmanuel Yamoah","non-dropping-particle":"","parse-names":false,"suffix":""}],"container-title":"International Journal of Environmental Research and Public Health","id":"ITEM-4","issue":"7","issued":{"date-parts":[["2015"]]},"page":"8133–8156","title":"Integrated Assessment of Artisanal and Small-Scale gold mining in Ghana – Part 3: Social Sciences and Economics","type":"article-journal","volume":"27"},"uris":["http://www.mendeley.com/documents/?uuid=1bc895b5-8895-4a70-8044-6ee95aceb669"]}],"mendeley":{"formattedCitation":"(Banchirigah, 2008; Gavin Hilson &amp; Banchirigah, 2009; Tschakert, 2009; Wilson et al., 2015)","manualFormatting":"(Banchirigah, 2008; Hilson &amp; Banchirigah, 2009; Tschakert, 2009; Wilson et al., 2015)","plainTextFormattedCitation":"(Banchirigah, 2008; Gavin Hilson &amp; Banchirigah, 2009; Tschakert, 2009; Wilson et al., 2015)","previouslyFormattedCitation":"(Banchirigah, 2008; Gavin Hilson &amp; Banchirigah, 2009; Tschakert, 2009; Wilson et al., 2015)"},"properties":{"noteIndex":0},"schema":"https://github.com/citation-style-language/schema/raw/master/csl-citation.json"}</w:instrText>
      </w:r>
      <w:r w:rsidR="00C929E4" w:rsidRPr="004E053C">
        <w:rPr>
          <w:rFonts w:cstheme="majorHAnsi"/>
          <w:sz w:val="22"/>
          <w:szCs w:val="22"/>
          <w:lang w:val="en-GB"/>
        </w:rPr>
        <w:fldChar w:fldCharType="separate"/>
      </w:r>
      <w:r w:rsidR="00C929E4" w:rsidRPr="004E053C">
        <w:rPr>
          <w:rFonts w:cstheme="majorHAnsi"/>
          <w:noProof/>
          <w:sz w:val="22"/>
          <w:szCs w:val="22"/>
          <w:lang w:val="en-GB"/>
        </w:rPr>
        <w:t>(Banchirigah, 2008; Hilson &amp; Banchirigah, 2009; Tschakert, 2009; Wilson et al., 2015)</w:t>
      </w:r>
      <w:r w:rsidR="00C929E4" w:rsidRPr="004E053C">
        <w:rPr>
          <w:rFonts w:cstheme="majorHAnsi"/>
          <w:sz w:val="22"/>
          <w:szCs w:val="22"/>
          <w:lang w:val="en-GB"/>
        </w:rPr>
        <w:fldChar w:fldCharType="end"/>
      </w:r>
      <w:r w:rsidR="00C929E4" w:rsidRPr="004E053C">
        <w:rPr>
          <w:rFonts w:cstheme="majorHAnsi"/>
          <w:sz w:val="22"/>
          <w:szCs w:val="22"/>
          <w:lang w:val="en-GB"/>
        </w:rPr>
        <w:t xml:space="preserve">. Furthermore, the governor of Madre de Dios has openly acknowledged that it is not possible to provide jobs for all of the 20-30,000 people residing in La Pampa </w:t>
      </w:r>
      <w:r w:rsidR="00C929E4" w:rsidRPr="004E053C">
        <w:rPr>
          <w:rFonts w:cstheme="majorHAnsi"/>
          <w:sz w:val="22"/>
          <w:szCs w:val="22"/>
          <w:lang w:val="en-GB"/>
        </w:rPr>
        <w:fldChar w:fldCharType="begin" w:fldLock="1"/>
      </w:r>
      <w:r w:rsidR="00C929E4" w:rsidRPr="004E053C">
        <w:rPr>
          <w:rFonts w:cstheme="majorHAnsi"/>
          <w:sz w:val="22"/>
          <w:szCs w:val="22"/>
          <w:lang w:val="en-GB"/>
        </w:rPr>
        <w:instrText>ADDIN CSL_CITATION {"citationItems":[{"id":"ITEM-1","itemData":{"URL":"https://www.theguardian.com/cities/2019/mar/25/la-pampa-the-illegal-mining-city-peru-wants-wiped-out","accessed":{"date-parts":[["2019","3","27"]]},"author":[{"dropping-particle":"","family":"Collyns","given":"Dan","non-dropping-particle":"","parse-names":false,"suffix":""}],"container-title":"The Guardian","id":"ITEM-1","issued":{"date-parts":[["2019"]]},"title":"Inside La Pampa: the illegal mining city Peru is trying to wipe out","type":"webpage"},"uris":["http://www.mendeley.com/documents/?uuid=763db26c-3221-435d-a1e5-2986756c7f4e"]}],"mendeley":{"formattedCitation":"(Collyns, 2019)","plainTextFormattedCitation":"(Collyns, 2019)","previouslyFormattedCitation":"(Collyns, 2019)"},"properties":{"noteIndex":0},"schema":"https://github.com/citation-style-language/schema/raw/master/csl-citation.json"}</w:instrText>
      </w:r>
      <w:r w:rsidR="00C929E4" w:rsidRPr="004E053C">
        <w:rPr>
          <w:rFonts w:cstheme="majorHAnsi"/>
          <w:sz w:val="22"/>
          <w:szCs w:val="22"/>
          <w:lang w:val="en-GB"/>
        </w:rPr>
        <w:fldChar w:fldCharType="separate"/>
      </w:r>
      <w:r w:rsidR="00C929E4" w:rsidRPr="004E053C">
        <w:rPr>
          <w:rFonts w:cstheme="majorHAnsi"/>
          <w:noProof/>
          <w:sz w:val="22"/>
          <w:szCs w:val="22"/>
          <w:lang w:val="en-GB"/>
        </w:rPr>
        <w:t>(Collyns, 2019)</w:t>
      </w:r>
      <w:r w:rsidR="00C929E4" w:rsidRPr="004E053C">
        <w:rPr>
          <w:rFonts w:cstheme="majorHAnsi"/>
          <w:sz w:val="22"/>
          <w:szCs w:val="22"/>
          <w:lang w:val="en-GB"/>
        </w:rPr>
        <w:fldChar w:fldCharType="end"/>
      </w:r>
      <w:r w:rsidR="00C929E4" w:rsidRPr="004E053C">
        <w:rPr>
          <w:rFonts w:cstheme="majorHAnsi"/>
          <w:sz w:val="22"/>
          <w:szCs w:val="22"/>
          <w:lang w:val="en-GB"/>
        </w:rPr>
        <w:t xml:space="preserve">. While this will inevitably have an </w:t>
      </w:r>
      <w:r w:rsidR="00C929E4" w:rsidRPr="004E053C">
        <w:rPr>
          <w:rFonts w:cstheme="majorHAnsi"/>
          <w:sz w:val="22"/>
          <w:szCs w:val="22"/>
          <w:lang w:val="en-GB"/>
        </w:rPr>
        <w:lastRenderedPageBreak/>
        <w:t xml:space="preserve">impact on mining settlements in Madre de Dios, it will also be felt in Andean towns and villages. A separate strand of research could look in more detail at this, understanding how households recover when a ‘shock’ occurs to their ASM livelihood. Regardless of the ultimate success or failure of </w:t>
      </w:r>
      <w:r w:rsidR="00C929E4" w:rsidRPr="004E053C">
        <w:rPr>
          <w:rFonts w:eastAsia="Times New Roman" w:cstheme="majorHAnsi"/>
          <w:sz w:val="22"/>
          <w:szCs w:val="22"/>
          <w:shd w:val="clear" w:color="auto" w:fill="FFFFFF"/>
          <w:lang w:val="en-GB"/>
        </w:rPr>
        <w:t>Operación Mercurio</w:t>
      </w:r>
      <w:r w:rsidR="00C929E4" w:rsidRPr="004E053C">
        <w:rPr>
          <w:rFonts w:cstheme="majorHAnsi"/>
          <w:sz w:val="22"/>
          <w:szCs w:val="22"/>
          <w:lang w:val="en-GB"/>
        </w:rPr>
        <w:t xml:space="preserve">, ASM is an inherently unsustainable activity and many of the temporary miners in Laberinto particular were already aware of the decreasing profitability of the sector. </w:t>
      </w:r>
    </w:p>
    <w:p w14:paraId="71D5C071" w14:textId="77777777" w:rsidR="00C929E4" w:rsidRPr="004E053C" w:rsidRDefault="00C929E4" w:rsidP="004E053C">
      <w:pPr>
        <w:spacing w:line="360" w:lineRule="auto"/>
        <w:jc w:val="both"/>
        <w:rPr>
          <w:rFonts w:cstheme="majorHAnsi"/>
          <w:sz w:val="22"/>
          <w:szCs w:val="22"/>
          <w:lang w:val="en-GB"/>
        </w:rPr>
      </w:pPr>
    </w:p>
    <w:p w14:paraId="30449A6D" w14:textId="77777777" w:rsidR="00C929E4" w:rsidRPr="004E053C" w:rsidRDefault="00C929E4" w:rsidP="004E053C">
      <w:pPr>
        <w:spacing w:line="360" w:lineRule="auto"/>
        <w:jc w:val="both"/>
        <w:rPr>
          <w:rFonts w:cstheme="majorHAnsi"/>
          <w:sz w:val="22"/>
          <w:szCs w:val="22"/>
          <w:lang w:val="en-GB"/>
        </w:rPr>
      </w:pPr>
      <w:r w:rsidRPr="004E053C">
        <w:rPr>
          <w:rFonts w:cstheme="majorHAnsi"/>
          <w:sz w:val="22"/>
          <w:szCs w:val="22"/>
          <w:lang w:val="en-GB"/>
        </w:rPr>
        <w:t xml:space="preserve">A related point here, although one not necessarily linked to the impact of </w:t>
      </w:r>
      <w:r w:rsidRPr="004E053C">
        <w:rPr>
          <w:rFonts w:eastAsia="Times New Roman" w:cstheme="majorHAnsi"/>
          <w:sz w:val="22"/>
          <w:szCs w:val="22"/>
          <w:shd w:val="clear" w:color="auto" w:fill="FFFFFF"/>
          <w:lang w:val="en-GB"/>
        </w:rPr>
        <w:t>Operación Mercurio</w:t>
      </w:r>
      <w:r w:rsidRPr="004E053C">
        <w:rPr>
          <w:rFonts w:cstheme="majorHAnsi"/>
          <w:sz w:val="22"/>
          <w:szCs w:val="22"/>
          <w:lang w:val="en-GB"/>
        </w:rPr>
        <w:t xml:space="preserve">, is the links between mining areas. Although this research focused on Madre de Dios, Peru’s other large zone for informal mining is the town of La Rinconada. At 5,100m above sea level in the Andean region of Puno, the town is home to a population of around 30,000 people and is the highest permanent settlement in the world. Although I was able to take a short visit to La Rinconada I did not have the logistical support necessary to conduct research. However, several households in Ocongate incorporated migration to both La Rinconada and La Pampa into their livelihood and the connections between these places have not been explored. La Rinconada remains under researched, due to a combination of high insecurity, inaccessibility and the relatively low interest of the area for conservationists when compared with the Amazon. </w:t>
      </w:r>
    </w:p>
    <w:p w14:paraId="32F44650" w14:textId="77777777" w:rsidR="00D12AE9" w:rsidRPr="00C10E4A" w:rsidRDefault="00D12AE9" w:rsidP="00206FDD">
      <w:pPr>
        <w:spacing w:line="360" w:lineRule="auto"/>
        <w:jc w:val="both"/>
        <w:rPr>
          <w:rFonts w:ascii="Calibri" w:hAnsi="Calibri" w:cstheme="majorHAnsi"/>
          <w:color w:val="FF0000"/>
          <w:sz w:val="22"/>
          <w:szCs w:val="22"/>
          <w:lang w:val="en-GB"/>
        </w:rPr>
      </w:pPr>
    </w:p>
    <w:p w14:paraId="603A3756" w14:textId="3469DB00" w:rsidR="00D12AE9" w:rsidRPr="00C10E4A" w:rsidRDefault="00D12AE9" w:rsidP="00DE57E8">
      <w:pPr>
        <w:spacing w:line="360" w:lineRule="auto"/>
        <w:jc w:val="center"/>
        <w:rPr>
          <w:rFonts w:ascii="Calibri" w:hAnsi="Calibri" w:cstheme="majorHAnsi"/>
          <w:sz w:val="22"/>
          <w:szCs w:val="22"/>
          <w:lang w:val="en-GB"/>
        </w:rPr>
      </w:pPr>
      <w:r w:rsidRPr="00C10E4A">
        <w:rPr>
          <w:rFonts w:ascii="Calibri" w:hAnsi="Calibri" w:cstheme="majorHAnsi"/>
          <w:sz w:val="22"/>
          <w:szCs w:val="22"/>
          <w:lang w:val="en-GB"/>
        </w:rPr>
        <w:t>END</w:t>
      </w:r>
    </w:p>
    <w:p w14:paraId="41D74B14" w14:textId="77777777" w:rsidR="00054F7D" w:rsidRPr="00C10E4A" w:rsidRDefault="00054F7D" w:rsidP="0060034B">
      <w:pPr>
        <w:spacing w:line="360" w:lineRule="auto"/>
        <w:jc w:val="both"/>
        <w:rPr>
          <w:rFonts w:ascii="Calibri" w:eastAsia="Times New Roman" w:hAnsi="Calibri" w:cstheme="majorHAnsi"/>
          <w:sz w:val="22"/>
          <w:szCs w:val="22"/>
          <w:shd w:val="clear" w:color="auto" w:fill="FFFFFF"/>
          <w:lang w:val="en-GB" w:eastAsia="zh-CN"/>
        </w:rPr>
      </w:pPr>
    </w:p>
    <w:p w14:paraId="796CD2E3" w14:textId="758E05AF" w:rsidR="00F80AD5" w:rsidRDefault="00F80AD5">
      <w:pPr>
        <w:spacing w:after="160" w:line="259" w:lineRule="auto"/>
        <w:rPr>
          <w:rFonts w:ascii="Calibri" w:hAnsi="Calibri" w:cstheme="majorHAnsi"/>
          <w:b/>
          <w:sz w:val="22"/>
          <w:szCs w:val="22"/>
          <w:lang w:val="en-GB"/>
        </w:rPr>
      </w:pPr>
      <w:r>
        <w:rPr>
          <w:rFonts w:ascii="Calibri" w:hAnsi="Calibri" w:cstheme="majorHAnsi"/>
          <w:b/>
          <w:sz w:val="22"/>
          <w:szCs w:val="22"/>
          <w:lang w:val="en-GB"/>
        </w:rPr>
        <w:br w:type="page"/>
      </w:r>
    </w:p>
    <w:p w14:paraId="647D0874" w14:textId="2BBA29FA" w:rsidR="006F3349" w:rsidRDefault="00F80AD5" w:rsidP="00F80AD5">
      <w:pPr>
        <w:pStyle w:val="Heading1"/>
        <w:rPr>
          <w:lang w:val="en-GB"/>
        </w:rPr>
      </w:pPr>
      <w:r>
        <w:rPr>
          <w:lang w:val="en-GB"/>
        </w:rPr>
        <w:lastRenderedPageBreak/>
        <w:t xml:space="preserve">References </w:t>
      </w:r>
    </w:p>
    <w:p w14:paraId="1FE91B83" w14:textId="77777777" w:rsidR="00F80AD5" w:rsidRDefault="00F80AD5" w:rsidP="00F80AD5"/>
    <w:p w14:paraId="61145BDA" w14:textId="0E17AF36"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Pr>
          <w:rFonts w:ascii="Calibri" w:hAnsi="Calibri" w:cstheme="majorHAnsi"/>
          <w:sz w:val="22"/>
          <w:szCs w:val="22"/>
          <w:lang w:val="en-GB"/>
        </w:rPr>
        <w:fldChar w:fldCharType="begin" w:fldLock="1"/>
      </w:r>
      <w:r>
        <w:rPr>
          <w:rFonts w:ascii="Calibri" w:hAnsi="Calibri" w:cstheme="majorHAnsi"/>
          <w:sz w:val="22"/>
          <w:szCs w:val="22"/>
          <w:lang w:val="en-GB"/>
        </w:rPr>
        <w:instrText xml:space="preserve">ADDIN Mendeley Bibliography CSL_BIBLIOGRAPHY </w:instrText>
      </w:r>
      <w:r>
        <w:rPr>
          <w:rFonts w:ascii="Calibri" w:hAnsi="Calibri" w:cstheme="majorHAnsi"/>
          <w:sz w:val="22"/>
          <w:szCs w:val="22"/>
          <w:lang w:val="en-GB"/>
        </w:rPr>
        <w:fldChar w:fldCharType="separate"/>
      </w:r>
      <w:r w:rsidRPr="005D0B08">
        <w:rPr>
          <w:rFonts w:ascii="Calibri" w:hAnsi="Calibri"/>
          <w:noProof/>
          <w:sz w:val="22"/>
        </w:rPr>
        <w:t xml:space="preserve">Abbots, E. J. (2012). In the absence of men? Gender, migration and domestic labour in the Southern Ecuadorean Andes. </w:t>
      </w:r>
      <w:r w:rsidRPr="005D0B08">
        <w:rPr>
          <w:rFonts w:ascii="Calibri" w:hAnsi="Calibri"/>
          <w:i/>
          <w:iCs/>
          <w:noProof/>
          <w:sz w:val="22"/>
        </w:rPr>
        <w:t>Journal of Latin American Studies</w:t>
      </w:r>
      <w:r w:rsidRPr="005D0B08">
        <w:rPr>
          <w:rFonts w:ascii="Calibri" w:hAnsi="Calibri"/>
          <w:noProof/>
          <w:sz w:val="22"/>
        </w:rPr>
        <w:t xml:space="preserve">, </w:t>
      </w:r>
      <w:r w:rsidRPr="005D0B08">
        <w:rPr>
          <w:rFonts w:ascii="Calibri" w:hAnsi="Calibri"/>
          <w:i/>
          <w:iCs/>
          <w:noProof/>
          <w:sz w:val="22"/>
        </w:rPr>
        <w:t>44</w:t>
      </w:r>
      <w:r w:rsidRPr="005D0B08">
        <w:rPr>
          <w:rFonts w:ascii="Calibri" w:hAnsi="Calibri"/>
          <w:noProof/>
          <w:sz w:val="22"/>
        </w:rPr>
        <w:t>(1), 71–96.</w:t>
      </w:r>
    </w:p>
    <w:p w14:paraId="6514A20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Acuña, R. M. (2015). The politics of extractive governance: indigenous peoples and socio-environmental conflicts.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2</w:t>
      </w:r>
      <w:r w:rsidRPr="005D0B08">
        <w:rPr>
          <w:rFonts w:ascii="Calibri" w:hAnsi="Calibri"/>
          <w:noProof/>
          <w:sz w:val="22"/>
        </w:rPr>
        <w:t>(1), 85–92.</w:t>
      </w:r>
    </w:p>
    <w:p w14:paraId="639976C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Adams, H. (2012). </w:t>
      </w:r>
      <w:r w:rsidRPr="005D0B08">
        <w:rPr>
          <w:rFonts w:ascii="Calibri" w:hAnsi="Calibri"/>
          <w:i/>
          <w:iCs/>
          <w:noProof/>
          <w:sz w:val="22"/>
        </w:rPr>
        <w:t>Migration decision-making under environmental change: place utility, mobility and ecosystem services in highland Peru</w:t>
      </w:r>
      <w:r w:rsidRPr="005D0B08">
        <w:rPr>
          <w:rFonts w:ascii="Calibri" w:hAnsi="Calibri"/>
          <w:noProof/>
          <w:sz w:val="22"/>
        </w:rPr>
        <w:t>. University of East Anglia. Retrieved from https://ueaeprints.uea.ac.uk/42352/1/2012AdamsHPhD.pdf</w:t>
      </w:r>
    </w:p>
    <w:p w14:paraId="116DC67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Adger, W. N. (2006). Vulnerability. </w:t>
      </w:r>
      <w:r w:rsidRPr="005D0B08">
        <w:rPr>
          <w:rFonts w:ascii="Calibri" w:hAnsi="Calibri"/>
          <w:i/>
          <w:iCs/>
          <w:noProof/>
          <w:sz w:val="22"/>
        </w:rPr>
        <w:t>Global Environmental Change</w:t>
      </w:r>
      <w:r w:rsidRPr="005D0B08">
        <w:rPr>
          <w:rFonts w:ascii="Calibri" w:hAnsi="Calibri"/>
          <w:noProof/>
          <w:sz w:val="22"/>
        </w:rPr>
        <w:t xml:space="preserve">, </w:t>
      </w:r>
      <w:r w:rsidRPr="005D0B08">
        <w:rPr>
          <w:rFonts w:ascii="Calibri" w:hAnsi="Calibri"/>
          <w:i/>
          <w:iCs/>
          <w:noProof/>
          <w:sz w:val="22"/>
        </w:rPr>
        <w:t>16</w:t>
      </w:r>
      <w:r w:rsidRPr="005D0B08">
        <w:rPr>
          <w:rFonts w:ascii="Calibri" w:hAnsi="Calibri"/>
          <w:noProof/>
          <w:sz w:val="22"/>
        </w:rPr>
        <w:t>(3), 268–281.</w:t>
      </w:r>
    </w:p>
    <w:p w14:paraId="3B64BDB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Agrawal, A. (2005). </w:t>
      </w:r>
      <w:r w:rsidRPr="005D0B08">
        <w:rPr>
          <w:rFonts w:ascii="Calibri" w:hAnsi="Calibri"/>
          <w:i/>
          <w:iCs/>
          <w:noProof/>
          <w:sz w:val="22"/>
        </w:rPr>
        <w:t>Environmentality: Technologies of Government and the Making of Subjects</w:t>
      </w:r>
      <w:r w:rsidRPr="005D0B08">
        <w:rPr>
          <w:rFonts w:ascii="Calibri" w:hAnsi="Calibri"/>
          <w:noProof/>
          <w:sz w:val="22"/>
        </w:rPr>
        <w:t>. Duke University Press.</w:t>
      </w:r>
    </w:p>
    <w:p w14:paraId="22CE1B0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Alusala, N. (2016). </w:t>
      </w:r>
      <w:r w:rsidRPr="005D0B08">
        <w:rPr>
          <w:rFonts w:ascii="Calibri" w:hAnsi="Calibri"/>
          <w:i/>
          <w:iCs/>
          <w:noProof/>
          <w:sz w:val="22"/>
        </w:rPr>
        <w:t>Managing the Battle Space: Women on the Frontline in Eastern DRC</w:t>
      </w:r>
      <w:r w:rsidRPr="005D0B08">
        <w:rPr>
          <w:rFonts w:ascii="Calibri" w:hAnsi="Calibri"/>
          <w:noProof/>
          <w:sz w:val="22"/>
        </w:rPr>
        <w:t>.</w:t>
      </w:r>
    </w:p>
    <w:p w14:paraId="57F07CD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Appadurai, A. (1996). </w:t>
      </w:r>
      <w:r w:rsidRPr="005D0B08">
        <w:rPr>
          <w:rFonts w:ascii="Calibri" w:hAnsi="Calibri"/>
          <w:i/>
          <w:iCs/>
          <w:noProof/>
          <w:sz w:val="22"/>
        </w:rPr>
        <w:t>Modernity at Large: Cultural Dimensions of Globalisation</w:t>
      </w:r>
      <w:r w:rsidRPr="005D0B08">
        <w:rPr>
          <w:rFonts w:ascii="Calibri" w:hAnsi="Calibri"/>
          <w:noProof/>
          <w:sz w:val="22"/>
        </w:rPr>
        <w:t>. Minneapolis, MN: University of Minnesota Press.</w:t>
      </w:r>
    </w:p>
    <w:p w14:paraId="3FF22A0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Appadurai, A. (2004). The capacity to aspire: culture and the terms of recognition. In V. Rao &amp; M. Walton (Eds.), </w:t>
      </w:r>
      <w:r w:rsidRPr="005D0B08">
        <w:rPr>
          <w:rFonts w:ascii="Calibri" w:hAnsi="Calibri"/>
          <w:i/>
          <w:iCs/>
          <w:noProof/>
          <w:sz w:val="22"/>
        </w:rPr>
        <w:t>Culture and Public Action</w:t>
      </w:r>
      <w:r w:rsidRPr="005D0B08">
        <w:rPr>
          <w:rFonts w:ascii="Calibri" w:hAnsi="Calibri"/>
          <w:noProof/>
          <w:sz w:val="22"/>
        </w:rPr>
        <w:t xml:space="preserve"> (pp. 59–84). Stanford, CA: Stanford University Press.</w:t>
      </w:r>
    </w:p>
    <w:p w14:paraId="484269C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Arce, M. (2014). </w:t>
      </w:r>
      <w:r w:rsidRPr="005D0B08">
        <w:rPr>
          <w:rFonts w:ascii="Calibri" w:hAnsi="Calibri"/>
          <w:i/>
          <w:iCs/>
          <w:noProof/>
          <w:sz w:val="22"/>
        </w:rPr>
        <w:t>Resource Extraction and Protest in Peru</w:t>
      </w:r>
      <w:r w:rsidRPr="005D0B08">
        <w:rPr>
          <w:rFonts w:ascii="Calibri" w:hAnsi="Calibri"/>
          <w:noProof/>
          <w:sz w:val="22"/>
        </w:rPr>
        <w:t xml:space="preserve"> (First). Pittsburgh, PA.: University of Pittsburgh Press.</w:t>
      </w:r>
    </w:p>
    <w:p w14:paraId="36E0524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Arellano-Yanguas, J. (2008). </w:t>
      </w:r>
      <w:r w:rsidRPr="005D0B08">
        <w:rPr>
          <w:rFonts w:ascii="Calibri" w:hAnsi="Calibri"/>
          <w:i/>
          <w:iCs/>
          <w:noProof/>
          <w:sz w:val="22"/>
        </w:rPr>
        <w:t>A Thoroughly Modern Resource Curse? The New Natural Resource Policy Agenda and the Mining Revival in Peru</w:t>
      </w:r>
      <w:r w:rsidRPr="005D0B08">
        <w:rPr>
          <w:rFonts w:ascii="Calibri" w:hAnsi="Calibri"/>
          <w:noProof/>
          <w:sz w:val="22"/>
        </w:rPr>
        <w:t xml:space="preserve"> (IDS No. 300). Brighton.</w:t>
      </w:r>
    </w:p>
    <w:p w14:paraId="56C151F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Arellano-Yanguas, J. (2011). Aggravating the resource curse: Decentralisation, mining and conflict in Peru. </w:t>
      </w:r>
      <w:r w:rsidRPr="005D0B08">
        <w:rPr>
          <w:rFonts w:ascii="Calibri" w:hAnsi="Calibri"/>
          <w:i/>
          <w:iCs/>
          <w:noProof/>
          <w:sz w:val="22"/>
        </w:rPr>
        <w:t>Journal of Development Studies</w:t>
      </w:r>
      <w:r w:rsidRPr="005D0B08">
        <w:rPr>
          <w:rFonts w:ascii="Calibri" w:hAnsi="Calibri"/>
          <w:noProof/>
          <w:sz w:val="22"/>
        </w:rPr>
        <w:t xml:space="preserve">, </w:t>
      </w:r>
      <w:r w:rsidRPr="005D0B08">
        <w:rPr>
          <w:rFonts w:ascii="Calibri" w:hAnsi="Calibri"/>
          <w:i/>
          <w:iCs/>
          <w:noProof/>
          <w:sz w:val="22"/>
        </w:rPr>
        <w:t>47</w:t>
      </w:r>
      <w:r w:rsidRPr="005D0B08">
        <w:rPr>
          <w:rFonts w:ascii="Calibri" w:hAnsi="Calibri"/>
          <w:noProof/>
          <w:sz w:val="22"/>
        </w:rPr>
        <w:t>(4), 617–638.</w:t>
      </w:r>
    </w:p>
    <w:p w14:paraId="517291A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Arsel, M., Hogenboom, B., &amp; Pellegrini, L. (2016). The extractive imperative and the boom in environmental conflicts at the end of the progressive cycle in Latin America.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3</w:t>
      </w:r>
      <w:r w:rsidRPr="005D0B08">
        <w:rPr>
          <w:rFonts w:ascii="Calibri" w:hAnsi="Calibri"/>
          <w:noProof/>
          <w:sz w:val="22"/>
        </w:rPr>
        <w:t>(4), 877–879.</w:t>
      </w:r>
    </w:p>
    <w:p w14:paraId="334B79F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Aubynn, A. (2009). Sustainable solution or a marriage of inconvenience? The coexistence of large-scale mining and artisanal and small-scale mining on the Abosso Goldfields concession in Western Ghana.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(1–2), 64–70.</w:t>
      </w:r>
    </w:p>
    <w:p w14:paraId="71936DB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Baker, S., &amp; Edwards, R. (2012). </w:t>
      </w:r>
      <w:r w:rsidRPr="005D0B08">
        <w:rPr>
          <w:rFonts w:ascii="Calibri" w:hAnsi="Calibri"/>
          <w:i/>
          <w:iCs/>
          <w:noProof/>
          <w:sz w:val="22"/>
        </w:rPr>
        <w:t>How many qualitative interviews is enough? Expert voices and early career reflections on sampling and cases in qualitative research</w:t>
      </w:r>
      <w:r w:rsidRPr="005D0B08">
        <w:rPr>
          <w:rFonts w:ascii="Calibri" w:hAnsi="Calibri"/>
          <w:noProof/>
          <w:sz w:val="22"/>
        </w:rPr>
        <w:t>. Southampton.</w:t>
      </w:r>
    </w:p>
    <w:p w14:paraId="3FE610E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Banchirigah, S. M. (2008). Challenges with eradicating illegal mining in Ghana: a perspective from the grassroots.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33</w:t>
      </w:r>
      <w:r w:rsidRPr="005D0B08">
        <w:rPr>
          <w:rFonts w:ascii="Calibri" w:hAnsi="Calibri"/>
          <w:noProof/>
          <w:sz w:val="22"/>
        </w:rPr>
        <w:t>(1), 29–38.</w:t>
      </w:r>
    </w:p>
    <w:p w14:paraId="78224F2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Barrett, C. B., Reardon, T., &amp; Webb, P. (2001). Nonfarm income diversification and household livelihood strategies in rural Africa: concepts, dynamics, and policy implications. </w:t>
      </w:r>
      <w:r w:rsidRPr="005D0B08">
        <w:rPr>
          <w:rFonts w:ascii="Calibri" w:hAnsi="Calibri"/>
          <w:i/>
          <w:iCs/>
          <w:noProof/>
          <w:sz w:val="22"/>
        </w:rPr>
        <w:t>Food Policy</w:t>
      </w:r>
      <w:r w:rsidRPr="005D0B08">
        <w:rPr>
          <w:rFonts w:ascii="Calibri" w:hAnsi="Calibri"/>
          <w:noProof/>
          <w:sz w:val="22"/>
        </w:rPr>
        <w:t xml:space="preserve">, </w:t>
      </w:r>
      <w:r w:rsidRPr="005D0B08">
        <w:rPr>
          <w:rFonts w:ascii="Calibri" w:hAnsi="Calibri"/>
          <w:i/>
          <w:iCs/>
          <w:noProof/>
          <w:sz w:val="22"/>
        </w:rPr>
        <w:lastRenderedPageBreak/>
        <w:t>26</w:t>
      </w:r>
      <w:r w:rsidRPr="005D0B08">
        <w:rPr>
          <w:rFonts w:ascii="Calibri" w:hAnsi="Calibri"/>
          <w:noProof/>
          <w:sz w:val="22"/>
        </w:rPr>
        <w:t>(4), 315–331.</w:t>
      </w:r>
    </w:p>
    <w:p w14:paraId="57431C4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Baser, B., &amp; Toivanen, M. (2018). Politicized and depoliticized ethnicities, power relations and temporality: insights to outsider research from comparative and transnational fieldwork. </w:t>
      </w:r>
      <w:r w:rsidRPr="005D0B08">
        <w:rPr>
          <w:rFonts w:ascii="Calibri" w:hAnsi="Calibri"/>
          <w:i/>
          <w:iCs/>
          <w:noProof/>
          <w:sz w:val="22"/>
        </w:rPr>
        <w:t>Ethnic and Racial Studies</w:t>
      </w:r>
      <w:r w:rsidRPr="005D0B08">
        <w:rPr>
          <w:rFonts w:ascii="Calibri" w:hAnsi="Calibri"/>
          <w:noProof/>
          <w:sz w:val="22"/>
        </w:rPr>
        <w:t xml:space="preserve">, </w:t>
      </w:r>
      <w:r w:rsidRPr="005D0B08">
        <w:rPr>
          <w:rFonts w:ascii="Calibri" w:hAnsi="Calibri"/>
          <w:i/>
          <w:iCs/>
          <w:noProof/>
          <w:sz w:val="22"/>
        </w:rPr>
        <w:t>41</w:t>
      </w:r>
      <w:r w:rsidRPr="005D0B08">
        <w:rPr>
          <w:rFonts w:ascii="Calibri" w:hAnsi="Calibri"/>
          <w:noProof/>
          <w:sz w:val="22"/>
        </w:rPr>
        <w:t>(11), 2067–2084.</w:t>
      </w:r>
    </w:p>
    <w:p w14:paraId="449FACF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Bashwira, M. R., Cuvelier, J., Hilhorst, D., &amp; van der Haar, G. (2014). Not only a man’s world: women’s involvement in artisanal mining in eastern DRC.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41</w:t>
      </w:r>
      <w:r w:rsidRPr="005D0B08">
        <w:rPr>
          <w:rFonts w:ascii="Calibri" w:hAnsi="Calibri"/>
          <w:noProof/>
          <w:sz w:val="22"/>
        </w:rPr>
        <w:t>(1), 109–116.</w:t>
      </w:r>
    </w:p>
    <w:p w14:paraId="3CBBB19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Bebbington, A. (2011). </w:t>
      </w:r>
      <w:r w:rsidRPr="005D0B08">
        <w:rPr>
          <w:rFonts w:ascii="Calibri" w:hAnsi="Calibri"/>
          <w:i/>
          <w:iCs/>
          <w:noProof/>
          <w:sz w:val="22"/>
        </w:rPr>
        <w:t>Social Conflict, Economic Development and Extractive Industry: Evidence from South America</w:t>
      </w:r>
      <w:r w:rsidRPr="005D0B08">
        <w:rPr>
          <w:rFonts w:ascii="Calibri" w:hAnsi="Calibri"/>
          <w:noProof/>
          <w:sz w:val="22"/>
        </w:rPr>
        <w:t>.</w:t>
      </w:r>
    </w:p>
    <w:p w14:paraId="07998FC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Bebbington, A. (2013). </w:t>
      </w:r>
      <w:r w:rsidRPr="005D0B08">
        <w:rPr>
          <w:rFonts w:ascii="Calibri" w:hAnsi="Calibri"/>
          <w:i/>
          <w:iCs/>
          <w:noProof/>
          <w:sz w:val="22"/>
        </w:rPr>
        <w:t>Natural resource extraction and the possibilities of inclusive development: politics across space and time</w:t>
      </w:r>
      <w:r w:rsidRPr="005D0B08">
        <w:rPr>
          <w:rFonts w:ascii="Calibri" w:hAnsi="Calibri"/>
          <w:noProof/>
          <w:sz w:val="22"/>
        </w:rPr>
        <w:t xml:space="preserve"> (ESID Working Paper No. 21). Manchester.</w:t>
      </w:r>
    </w:p>
    <w:p w14:paraId="292CB00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Bebbington, A., &amp; Bebbington, D. H. (2011). An Andean Avatar: post-neoliberal and neoliberal strategies for securing the unobtainable. </w:t>
      </w:r>
      <w:r w:rsidRPr="005D0B08">
        <w:rPr>
          <w:rFonts w:ascii="Calibri" w:hAnsi="Calibri"/>
          <w:i/>
          <w:iCs/>
          <w:noProof/>
          <w:sz w:val="22"/>
        </w:rPr>
        <w:t>New Political Economy</w:t>
      </w:r>
      <w:r w:rsidRPr="005D0B08">
        <w:rPr>
          <w:rFonts w:ascii="Calibri" w:hAnsi="Calibri"/>
          <w:noProof/>
          <w:sz w:val="22"/>
        </w:rPr>
        <w:t xml:space="preserve">, </w:t>
      </w:r>
      <w:r w:rsidRPr="005D0B08">
        <w:rPr>
          <w:rFonts w:ascii="Calibri" w:hAnsi="Calibri"/>
          <w:i/>
          <w:iCs/>
          <w:noProof/>
          <w:sz w:val="22"/>
        </w:rPr>
        <w:t>16</w:t>
      </w:r>
      <w:r w:rsidRPr="005D0B08">
        <w:rPr>
          <w:rFonts w:ascii="Calibri" w:hAnsi="Calibri"/>
          <w:noProof/>
          <w:sz w:val="22"/>
        </w:rPr>
        <w:t>(1), 131–145.</w:t>
      </w:r>
    </w:p>
    <w:p w14:paraId="326A29B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Bebbington, A., Bebbington, D. H., Bury, J., Lingan, J., Munoz, J. P., &amp; Scurrah, M. (2008). Mining and social movements: struggles over livelihood and rural territory development in the Andes. </w:t>
      </w:r>
      <w:r w:rsidRPr="005D0B08">
        <w:rPr>
          <w:rFonts w:ascii="Calibri" w:hAnsi="Calibri"/>
          <w:i/>
          <w:iCs/>
          <w:noProof/>
          <w:sz w:val="22"/>
        </w:rPr>
        <w:t>World Development</w:t>
      </w:r>
      <w:r w:rsidRPr="005D0B08">
        <w:rPr>
          <w:rFonts w:ascii="Calibri" w:hAnsi="Calibri"/>
          <w:noProof/>
          <w:sz w:val="22"/>
        </w:rPr>
        <w:t xml:space="preserve">, </w:t>
      </w:r>
      <w:r w:rsidRPr="005D0B08">
        <w:rPr>
          <w:rFonts w:ascii="Calibri" w:hAnsi="Calibri"/>
          <w:i/>
          <w:iCs/>
          <w:noProof/>
          <w:sz w:val="22"/>
        </w:rPr>
        <w:t>36</w:t>
      </w:r>
      <w:r w:rsidRPr="005D0B08">
        <w:rPr>
          <w:rFonts w:ascii="Calibri" w:hAnsi="Calibri"/>
          <w:noProof/>
          <w:sz w:val="22"/>
        </w:rPr>
        <w:t>(12), 2888–2905.</w:t>
      </w:r>
    </w:p>
    <w:p w14:paraId="2DCEAF7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Bebbington, A., &amp; Bury, J. (2009). Institutional challenges for mining and sustainability in Peru. </w:t>
      </w:r>
      <w:r w:rsidRPr="005D0B08">
        <w:rPr>
          <w:rFonts w:ascii="Calibri" w:hAnsi="Calibri"/>
          <w:i/>
          <w:iCs/>
          <w:noProof/>
          <w:sz w:val="22"/>
        </w:rPr>
        <w:t>Proceedings of the National Academy of Sciences</w:t>
      </w:r>
      <w:r w:rsidRPr="005D0B08">
        <w:rPr>
          <w:rFonts w:ascii="Calibri" w:hAnsi="Calibri"/>
          <w:noProof/>
          <w:sz w:val="22"/>
        </w:rPr>
        <w:t xml:space="preserve">, </w:t>
      </w:r>
      <w:r w:rsidRPr="005D0B08">
        <w:rPr>
          <w:rFonts w:ascii="Calibri" w:hAnsi="Calibri"/>
          <w:i/>
          <w:iCs/>
          <w:noProof/>
          <w:sz w:val="22"/>
        </w:rPr>
        <w:t>106</w:t>
      </w:r>
      <w:r w:rsidRPr="005D0B08">
        <w:rPr>
          <w:rFonts w:ascii="Calibri" w:hAnsi="Calibri"/>
          <w:noProof/>
          <w:sz w:val="22"/>
        </w:rPr>
        <w:t>(41), 17296–17301.</w:t>
      </w:r>
    </w:p>
    <w:p w14:paraId="6D2E303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Bebbington, A., &amp; Bury, J. (2013). Political ecologies of the subsoil. In A. Bebbington &amp; J. Bury (Eds.), </w:t>
      </w:r>
      <w:r w:rsidRPr="005D0B08">
        <w:rPr>
          <w:rFonts w:ascii="Calibri" w:hAnsi="Calibri"/>
          <w:i/>
          <w:iCs/>
          <w:noProof/>
          <w:sz w:val="22"/>
        </w:rPr>
        <w:t>Subterranean Struggles: New Dynamics of Mining, Oil, and Gas in Latin America</w:t>
      </w:r>
      <w:r w:rsidRPr="005D0B08">
        <w:rPr>
          <w:rFonts w:ascii="Calibri" w:hAnsi="Calibri"/>
          <w:noProof/>
          <w:sz w:val="22"/>
        </w:rPr>
        <w:t xml:space="preserve"> (pp. 1–26). Austin, TX: University of Texas Press.</w:t>
      </w:r>
    </w:p>
    <w:p w14:paraId="1FFD5CF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Bebbington, A., Hinojosa, L., Bebbington, D. H., Burneo, M. L., &amp; Warnaars, X. (2008). Contention and ambiguity: mining and the possibilities of development. </w:t>
      </w:r>
      <w:r w:rsidRPr="005D0B08">
        <w:rPr>
          <w:rFonts w:ascii="Calibri" w:hAnsi="Calibri"/>
          <w:i/>
          <w:iCs/>
          <w:noProof/>
          <w:sz w:val="22"/>
        </w:rPr>
        <w:t>Development and Change</w:t>
      </w:r>
      <w:r w:rsidRPr="005D0B08">
        <w:rPr>
          <w:rFonts w:ascii="Calibri" w:hAnsi="Calibri"/>
          <w:noProof/>
          <w:sz w:val="22"/>
        </w:rPr>
        <w:t xml:space="preserve">, </w:t>
      </w:r>
      <w:r w:rsidRPr="005D0B08">
        <w:rPr>
          <w:rFonts w:ascii="Calibri" w:hAnsi="Calibri"/>
          <w:i/>
          <w:iCs/>
          <w:noProof/>
          <w:sz w:val="22"/>
        </w:rPr>
        <w:t>39</w:t>
      </w:r>
      <w:r w:rsidRPr="005D0B08">
        <w:rPr>
          <w:rFonts w:ascii="Calibri" w:hAnsi="Calibri"/>
          <w:noProof/>
          <w:sz w:val="22"/>
        </w:rPr>
        <w:t>(6), 887–914.</w:t>
      </w:r>
    </w:p>
    <w:p w14:paraId="55E5450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Becker, D. G. (1983). </w:t>
      </w:r>
      <w:r w:rsidRPr="005D0B08">
        <w:rPr>
          <w:rFonts w:ascii="Calibri" w:hAnsi="Calibri"/>
          <w:i/>
          <w:iCs/>
          <w:noProof/>
          <w:sz w:val="22"/>
        </w:rPr>
        <w:t>The New Bourgeoisie and the Limits of Dependency: Mining, Class and Power in “Revolutionary” Peru</w:t>
      </w:r>
      <w:r w:rsidRPr="005D0B08">
        <w:rPr>
          <w:rFonts w:ascii="Calibri" w:hAnsi="Calibri"/>
          <w:noProof/>
          <w:sz w:val="22"/>
        </w:rPr>
        <w:t>. Princeton, NJ: Princeton University Press.</w:t>
      </w:r>
    </w:p>
    <w:p w14:paraId="579605B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Becker, H. S. (1963). </w:t>
      </w:r>
      <w:r w:rsidRPr="005D0B08">
        <w:rPr>
          <w:rFonts w:ascii="Calibri" w:hAnsi="Calibri"/>
          <w:i/>
          <w:iCs/>
          <w:noProof/>
          <w:sz w:val="22"/>
        </w:rPr>
        <w:t>Outsiders: Studies in the Sociology of Deviance</w:t>
      </w:r>
      <w:r w:rsidRPr="005D0B08">
        <w:rPr>
          <w:rFonts w:ascii="Calibri" w:hAnsi="Calibri"/>
          <w:noProof/>
          <w:sz w:val="22"/>
        </w:rPr>
        <w:t>. New York: The Free Press.</w:t>
      </w:r>
    </w:p>
    <w:p w14:paraId="3165439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Becker, H. S. (1982). Culture: a sociological view. </w:t>
      </w:r>
      <w:r w:rsidRPr="005D0B08">
        <w:rPr>
          <w:rFonts w:ascii="Calibri" w:hAnsi="Calibri"/>
          <w:i/>
          <w:iCs/>
          <w:noProof/>
          <w:sz w:val="22"/>
        </w:rPr>
        <w:t>The Yale Review</w:t>
      </w:r>
      <w:r w:rsidRPr="005D0B08">
        <w:rPr>
          <w:rFonts w:ascii="Calibri" w:hAnsi="Calibri"/>
          <w:noProof/>
          <w:sz w:val="22"/>
        </w:rPr>
        <w:t xml:space="preserve">, </w:t>
      </w:r>
      <w:r w:rsidRPr="005D0B08">
        <w:rPr>
          <w:rFonts w:ascii="Calibri" w:hAnsi="Calibri"/>
          <w:i/>
          <w:iCs/>
          <w:noProof/>
          <w:sz w:val="22"/>
        </w:rPr>
        <w:t>71</w:t>
      </w:r>
      <w:r w:rsidRPr="005D0B08">
        <w:rPr>
          <w:rFonts w:ascii="Calibri" w:hAnsi="Calibri"/>
          <w:noProof/>
          <w:sz w:val="22"/>
        </w:rPr>
        <w:t>, 513–528.</w:t>
      </w:r>
    </w:p>
    <w:p w14:paraId="14DE23F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Benz, A. (2014). Mobility, multilocality and translocal development: changing livelihoods in the Karakoram. </w:t>
      </w:r>
      <w:r w:rsidRPr="005D0B08">
        <w:rPr>
          <w:rFonts w:ascii="Calibri" w:hAnsi="Calibri"/>
          <w:i/>
          <w:iCs/>
          <w:noProof/>
          <w:sz w:val="22"/>
        </w:rPr>
        <w:t>Geographica Helvetica</w:t>
      </w:r>
      <w:r w:rsidRPr="005D0B08">
        <w:rPr>
          <w:rFonts w:ascii="Calibri" w:hAnsi="Calibri"/>
          <w:noProof/>
          <w:sz w:val="22"/>
        </w:rPr>
        <w:t xml:space="preserve">, </w:t>
      </w:r>
      <w:r w:rsidRPr="005D0B08">
        <w:rPr>
          <w:rFonts w:ascii="Calibri" w:hAnsi="Calibri"/>
          <w:i/>
          <w:iCs/>
          <w:noProof/>
          <w:sz w:val="22"/>
        </w:rPr>
        <w:t>69</w:t>
      </w:r>
      <w:r w:rsidRPr="005D0B08">
        <w:rPr>
          <w:rFonts w:ascii="Calibri" w:hAnsi="Calibri"/>
          <w:noProof/>
          <w:sz w:val="22"/>
        </w:rPr>
        <w:t>, 259–270.</w:t>
      </w:r>
    </w:p>
    <w:p w14:paraId="2915773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Berman, R., &amp; Tyyskä, V. (2011). A critical reflection on the use of translators/interpreters in a qualitative cross-language research project. </w:t>
      </w:r>
      <w:r w:rsidRPr="005D0B08">
        <w:rPr>
          <w:rFonts w:ascii="Calibri" w:hAnsi="Calibri"/>
          <w:i/>
          <w:iCs/>
          <w:noProof/>
          <w:sz w:val="22"/>
        </w:rPr>
        <w:t>International Journal of Qualitative Methods</w:t>
      </w:r>
      <w:r w:rsidRPr="005D0B08">
        <w:rPr>
          <w:rFonts w:ascii="Calibri" w:hAnsi="Calibri"/>
          <w:noProof/>
          <w:sz w:val="22"/>
        </w:rPr>
        <w:t xml:space="preserve">, </w:t>
      </w:r>
      <w:r w:rsidRPr="005D0B08">
        <w:rPr>
          <w:rFonts w:ascii="Calibri" w:hAnsi="Calibri"/>
          <w:i/>
          <w:iCs/>
          <w:noProof/>
          <w:sz w:val="22"/>
        </w:rPr>
        <w:t>10</w:t>
      </w:r>
      <w:r w:rsidRPr="005D0B08">
        <w:rPr>
          <w:rFonts w:ascii="Calibri" w:hAnsi="Calibri"/>
          <w:noProof/>
          <w:sz w:val="22"/>
        </w:rPr>
        <w:t>(2), 178–190.</w:t>
      </w:r>
    </w:p>
    <w:p w14:paraId="378C632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Bloch, R., &amp; Owusu, G. (2012). Linkages in Ghana’s gold mining industry: challenging the enclave thesis.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(4), 434–442.</w:t>
      </w:r>
    </w:p>
    <w:p w14:paraId="1FC5DDD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Boelens, R. (2015). </w:t>
      </w:r>
      <w:r w:rsidRPr="005D0B08">
        <w:rPr>
          <w:rFonts w:ascii="Calibri" w:hAnsi="Calibri"/>
          <w:i/>
          <w:iCs/>
          <w:noProof/>
          <w:sz w:val="22"/>
        </w:rPr>
        <w:t>Water, Power and Identity: The Cultural Politics of Water in the Andes</w:t>
      </w:r>
      <w:r w:rsidRPr="005D0B08">
        <w:rPr>
          <w:rFonts w:ascii="Calibri" w:hAnsi="Calibri"/>
          <w:noProof/>
          <w:sz w:val="22"/>
        </w:rPr>
        <w:t>. Oxford, UK: Routledge.</w:t>
      </w:r>
    </w:p>
    <w:p w14:paraId="04DD2E5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Bolay, M. (2014). When miners become “foreigners”: competing categorizations within gold mining spaces in Guinea.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40</w:t>
      </w:r>
      <w:r w:rsidRPr="005D0B08">
        <w:rPr>
          <w:rFonts w:ascii="Calibri" w:hAnsi="Calibri"/>
          <w:noProof/>
          <w:sz w:val="22"/>
        </w:rPr>
        <w:t>, 117–127.</w:t>
      </w:r>
    </w:p>
    <w:p w14:paraId="3446BAC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Bork‐Hüffer, T. (2016). Migrants’ agency and the making of transient urban spaces. </w:t>
      </w:r>
      <w:r w:rsidRPr="005D0B08">
        <w:rPr>
          <w:rFonts w:ascii="Calibri" w:hAnsi="Calibri"/>
          <w:i/>
          <w:iCs/>
          <w:noProof/>
          <w:sz w:val="22"/>
        </w:rPr>
        <w:t>Population, Space and Place</w:t>
      </w:r>
      <w:r w:rsidRPr="005D0B08">
        <w:rPr>
          <w:rFonts w:ascii="Calibri" w:hAnsi="Calibri"/>
          <w:noProof/>
          <w:sz w:val="22"/>
        </w:rPr>
        <w:t xml:space="preserve">, </w:t>
      </w:r>
      <w:r w:rsidRPr="005D0B08">
        <w:rPr>
          <w:rFonts w:ascii="Calibri" w:hAnsi="Calibri"/>
          <w:i/>
          <w:iCs/>
          <w:noProof/>
          <w:sz w:val="22"/>
        </w:rPr>
        <w:t>22</w:t>
      </w:r>
      <w:r w:rsidRPr="005D0B08">
        <w:rPr>
          <w:rFonts w:ascii="Calibri" w:hAnsi="Calibri"/>
          <w:noProof/>
          <w:sz w:val="22"/>
        </w:rPr>
        <w:t>(2), 124–127.</w:t>
      </w:r>
    </w:p>
    <w:p w14:paraId="18777C7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Bourdieu, P. (1977). </w:t>
      </w:r>
      <w:r w:rsidRPr="005D0B08">
        <w:rPr>
          <w:rFonts w:ascii="Calibri" w:hAnsi="Calibri"/>
          <w:i/>
          <w:iCs/>
          <w:noProof/>
          <w:sz w:val="22"/>
        </w:rPr>
        <w:t>Outline of a Theory of Practice</w:t>
      </w:r>
      <w:r w:rsidRPr="005D0B08">
        <w:rPr>
          <w:rFonts w:ascii="Calibri" w:hAnsi="Calibri"/>
          <w:noProof/>
          <w:sz w:val="22"/>
        </w:rPr>
        <w:t>. Cambridge: Cambridge University Press.</w:t>
      </w:r>
    </w:p>
    <w:p w14:paraId="3AEDDE5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Bourdieu, P. (1983). The field of cultural production, or: the economic world reversed. </w:t>
      </w:r>
      <w:r w:rsidRPr="005D0B08">
        <w:rPr>
          <w:rFonts w:ascii="Calibri" w:hAnsi="Calibri"/>
          <w:i/>
          <w:iCs/>
          <w:noProof/>
          <w:sz w:val="22"/>
        </w:rPr>
        <w:t>Poetics</w:t>
      </w:r>
      <w:r w:rsidRPr="005D0B08">
        <w:rPr>
          <w:rFonts w:ascii="Calibri" w:hAnsi="Calibri"/>
          <w:noProof/>
          <w:sz w:val="22"/>
        </w:rPr>
        <w:t xml:space="preserve">, </w:t>
      </w:r>
      <w:r w:rsidRPr="005D0B08">
        <w:rPr>
          <w:rFonts w:ascii="Calibri" w:hAnsi="Calibri"/>
          <w:i/>
          <w:iCs/>
          <w:noProof/>
          <w:sz w:val="22"/>
        </w:rPr>
        <w:t>12</w:t>
      </w:r>
      <w:r w:rsidRPr="005D0B08">
        <w:rPr>
          <w:rFonts w:ascii="Calibri" w:hAnsi="Calibri"/>
          <w:noProof/>
          <w:sz w:val="22"/>
        </w:rPr>
        <w:t>, 311–356.</w:t>
      </w:r>
    </w:p>
    <w:p w14:paraId="5277303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Bourdieu, P. (1985). </w:t>
      </w:r>
      <w:r w:rsidRPr="005D0B08">
        <w:rPr>
          <w:rFonts w:ascii="Calibri" w:hAnsi="Calibri"/>
          <w:i/>
          <w:iCs/>
          <w:noProof/>
          <w:sz w:val="22"/>
        </w:rPr>
        <w:t>The Social Space and the Genesis of Groups</w:t>
      </w:r>
      <w:r w:rsidRPr="005D0B08">
        <w:rPr>
          <w:rFonts w:ascii="Calibri" w:hAnsi="Calibri"/>
          <w:noProof/>
          <w:sz w:val="22"/>
        </w:rPr>
        <w:t xml:space="preserve">. </w:t>
      </w:r>
      <w:r w:rsidRPr="005D0B08">
        <w:rPr>
          <w:rFonts w:ascii="Calibri" w:hAnsi="Calibri"/>
          <w:i/>
          <w:iCs/>
          <w:noProof/>
          <w:sz w:val="22"/>
        </w:rPr>
        <w:t>Source: Theory and Society</w:t>
      </w:r>
      <w:r w:rsidRPr="005D0B08">
        <w:rPr>
          <w:rFonts w:ascii="Calibri" w:hAnsi="Calibri"/>
          <w:noProof/>
          <w:sz w:val="22"/>
        </w:rPr>
        <w:t xml:space="preserve"> (Vol. 14).</w:t>
      </w:r>
    </w:p>
    <w:p w14:paraId="4181261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Bourdieu, P. (1986). The Forms of Capital. In J. G. Richardson (Ed.), </w:t>
      </w:r>
      <w:r w:rsidRPr="005D0B08">
        <w:rPr>
          <w:rFonts w:ascii="Calibri" w:hAnsi="Calibri"/>
          <w:i/>
          <w:iCs/>
          <w:noProof/>
          <w:sz w:val="22"/>
        </w:rPr>
        <w:t>Handbook of Theory and Research for the Sociology of Education</w:t>
      </w:r>
      <w:r w:rsidRPr="005D0B08">
        <w:rPr>
          <w:rFonts w:ascii="Calibri" w:hAnsi="Calibri"/>
          <w:noProof/>
          <w:sz w:val="22"/>
        </w:rPr>
        <w:t xml:space="preserve"> (pp. 241–258). New York, NY: Greenwood Press.</w:t>
      </w:r>
    </w:p>
    <w:p w14:paraId="129FFD9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Bourdieu, P. (1990). </w:t>
      </w:r>
      <w:r w:rsidRPr="005D0B08">
        <w:rPr>
          <w:rFonts w:ascii="Calibri" w:hAnsi="Calibri"/>
          <w:i/>
          <w:iCs/>
          <w:noProof/>
          <w:sz w:val="22"/>
        </w:rPr>
        <w:t>The Logic of Practice</w:t>
      </w:r>
      <w:r w:rsidRPr="005D0B08">
        <w:rPr>
          <w:rFonts w:ascii="Calibri" w:hAnsi="Calibri"/>
          <w:noProof/>
          <w:sz w:val="22"/>
        </w:rPr>
        <w:t>. Stanford, CA: Stanford University Press.</w:t>
      </w:r>
    </w:p>
    <w:p w14:paraId="1ED0D95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Bourdieu, P. (1996). </w:t>
      </w:r>
      <w:r w:rsidRPr="005D0B08">
        <w:rPr>
          <w:rFonts w:ascii="Calibri" w:hAnsi="Calibri"/>
          <w:i/>
          <w:iCs/>
          <w:noProof/>
          <w:sz w:val="22"/>
        </w:rPr>
        <w:t>Rules of Art: Genesis and Structure of the Literary Field</w:t>
      </w:r>
      <w:r w:rsidRPr="005D0B08">
        <w:rPr>
          <w:rFonts w:ascii="Calibri" w:hAnsi="Calibri"/>
          <w:noProof/>
          <w:sz w:val="22"/>
        </w:rPr>
        <w:t>. Palo Alto, CA: Stanford University Press.</w:t>
      </w:r>
    </w:p>
    <w:p w14:paraId="4D2E6A4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Bourdieu, P. (1999). Rethinking the State: Genesis and structure of the bureaucratic field. In </w:t>
      </w:r>
      <w:r w:rsidRPr="005D0B08">
        <w:rPr>
          <w:rFonts w:ascii="Calibri" w:hAnsi="Calibri"/>
          <w:i/>
          <w:iCs/>
          <w:noProof/>
          <w:sz w:val="22"/>
        </w:rPr>
        <w:t>The Study of State Formation After the Cultural Turn</w:t>
      </w:r>
      <w:r w:rsidRPr="005D0B08">
        <w:rPr>
          <w:rFonts w:ascii="Calibri" w:hAnsi="Calibri"/>
          <w:noProof/>
          <w:sz w:val="22"/>
        </w:rPr>
        <w:t xml:space="preserve"> (pp. 53–75). Ithaca, NY: Cornell University Press.</w:t>
      </w:r>
    </w:p>
    <w:p w14:paraId="08B0A5F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Bourdieu, P., &amp; Wacquant, L. (1992). </w:t>
      </w:r>
      <w:r w:rsidRPr="005D0B08">
        <w:rPr>
          <w:rFonts w:ascii="Calibri" w:hAnsi="Calibri"/>
          <w:i/>
          <w:iCs/>
          <w:noProof/>
          <w:sz w:val="22"/>
        </w:rPr>
        <w:t>An Invitation to Reflexive Sociology</w:t>
      </w:r>
      <w:r w:rsidRPr="005D0B08">
        <w:rPr>
          <w:rFonts w:ascii="Calibri" w:hAnsi="Calibri"/>
          <w:noProof/>
          <w:sz w:val="22"/>
        </w:rPr>
        <w:t>. Chicago: University of Chicago Press.</w:t>
      </w:r>
    </w:p>
    <w:p w14:paraId="7BDC1C6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Brack, A., Ipenza, C. and Alvarez, J. (2011). </w:t>
      </w:r>
      <w:r w:rsidRPr="005D0B08">
        <w:rPr>
          <w:rFonts w:ascii="Calibri" w:hAnsi="Calibri"/>
          <w:i/>
          <w:iCs/>
          <w:noProof/>
          <w:sz w:val="22"/>
        </w:rPr>
        <w:t>Informe Sobre Mineria Aurifera en Madre de Dios y Contaminacion Con Mercurio – una Bomba de Tiempo</w:t>
      </w:r>
      <w:r w:rsidRPr="005D0B08">
        <w:rPr>
          <w:rFonts w:ascii="Calibri" w:hAnsi="Calibri"/>
          <w:noProof/>
          <w:sz w:val="22"/>
        </w:rPr>
        <w:t>. Lima, Peru.</w:t>
      </w:r>
    </w:p>
    <w:p w14:paraId="463B225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Brain, K. A. (2017). The impacts of mining on livelihoods in the Andes: a critical overview.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4</w:t>
      </w:r>
      <w:r w:rsidRPr="005D0B08">
        <w:rPr>
          <w:rFonts w:ascii="Calibri" w:hAnsi="Calibri"/>
          <w:noProof/>
          <w:sz w:val="22"/>
        </w:rPr>
        <w:t>(2), 410–418.</w:t>
      </w:r>
    </w:p>
    <w:p w14:paraId="65A14BF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Brickell, K., &amp; Datta, A. (2011). Introduction: Translocal Geographies. In </w:t>
      </w:r>
      <w:r w:rsidRPr="005D0B08">
        <w:rPr>
          <w:rFonts w:ascii="Calibri" w:hAnsi="Calibri"/>
          <w:i/>
          <w:iCs/>
          <w:noProof/>
          <w:sz w:val="22"/>
        </w:rPr>
        <w:t>Translocal Geographies: Spaces, Places, Connectionsspaces, places, connections</w:t>
      </w:r>
      <w:r w:rsidRPr="005D0B08">
        <w:rPr>
          <w:rFonts w:ascii="Calibri" w:hAnsi="Calibri"/>
          <w:noProof/>
          <w:sz w:val="22"/>
        </w:rPr>
        <w:t xml:space="preserve"> (pp. 3–22). Farnham, UK: Ashgate Publishing Limited.</w:t>
      </w:r>
    </w:p>
    <w:p w14:paraId="77ECB6F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Brockington, D., &amp; Sullivan, S. (2003). Qualitative research. In R. Scheyvens &amp; D. Storey (Eds.), </w:t>
      </w:r>
      <w:r w:rsidRPr="005D0B08">
        <w:rPr>
          <w:rFonts w:ascii="Calibri" w:hAnsi="Calibri"/>
          <w:i/>
          <w:iCs/>
          <w:noProof/>
          <w:sz w:val="22"/>
        </w:rPr>
        <w:t>Development Fieldwork: A Practical Guide</w:t>
      </w:r>
      <w:r w:rsidRPr="005D0B08">
        <w:rPr>
          <w:rFonts w:ascii="Calibri" w:hAnsi="Calibri"/>
          <w:noProof/>
          <w:sz w:val="22"/>
        </w:rPr>
        <w:t xml:space="preserve"> (pp. 57–72). London, UK: Sage.</w:t>
      </w:r>
    </w:p>
    <w:p w14:paraId="4F35342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Brøgger, D. (2019). Urban diaspora space: Rural–urban migration and the production of unequal urban spaces.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102</w:t>
      </w:r>
      <w:r w:rsidRPr="005D0B08">
        <w:rPr>
          <w:rFonts w:ascii="Calibri" w:hAnsi="Calibri"/>
          <w:noProof/>
          <w:sz w:val="22"/>
        </w:rPr>
        <w:t>(April), 97–105.</w:t>
      </w:r>
    </w:p>
    <w:p w14:paraId="471F463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Brottem, L. V., &amp; Ba, L. (2019). Gendered livelihoods and land tenure: The case of artisanal gold miners in Mali, West Africa.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105</w:t>
      </w:r>
      <w:r w:rsidRPr="005D0B08">
        <w:rPr>
          <w:rFonts w:ascii="Calibri" w:hAnsi="Calibri"/>
          <w:noProof/>
          <w:sz w:val="22"/>
        </w:rPr>
        <w:t>, 54–62.</w:t>
      </w:r>
    </w:p>
    <w:p w14:paraId="15D66C3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Bryceson, D. F., &amp; Jønsson, J. B. (2010). Gold digging careers in rural East Africa: small-scale miners livelihood choices. </w:t>
      </w:r>
      <w:r w:rsidRPr="005D0B08">
        <w:rPr>
          <w:rFonts w:ascii="Calibri" w:hAnsi="Calibri"/>
          <w:i/>
          <w:iCs/>
          <w:noProof/>
          <w:sz w:val="22"/>
        </w:rPr>
        <w:t>World Development</w:t>
      </w:r>
      <w:r w:rsidRPr="005D0B08">
        <w:rPr>
          <w:rFonts w:ascii="Calibri" w:hAnsi="Calibri"/>
          <w:noProof/>
          <w:sz w:val="22"/>
        </w:rPr>
        <w:t xml:space="preserve">, </w:t>
      </w:r>
      <w:r w:rsidRPr="005D0B08">
        <w:rPr>
          <w:rFonts w:ascii="Calibri" w:hAnsi="Calibri"/>
          <w:i/>
          <w:iCs/>
          <w:noProof/>
          <w:sz w:val="22"/>
        </w:rPr>
        <w:t>38</w:t>
      </w:r>
      <w:r w:rsidRPr="005D0B08">
        <w:rPr>
          <w:rFonts w:ascii="Calibri" w:hAnsi="Calibri"/>
          <w:noProof/>
          <w:sz w:val="22"/>
        </w:rPr>
        <w:t>(3), 379–392.</w:t>
      </w:r>
    </w:p>
    <w:p w14:paraId="5E02AD4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Bryceson, D. F., Jonsson, J. B., &amp; Verbrugge, H. (2013). Prostitution or partnership? Wifestyles in Tanzanian artisanal gold-mining settlements. </w:t>
      </w:r>
      <w:r w:rsidRPr="005D0B08">
        <w:rPr>
          <w:rFonts w:ascii="Calibri" w:hAnsi="Calibri"/>
          <w:i/>
          <w:iCs/>
          <w:noProof/>
          <w:sz w:val="22"/>
        </w:rPr>
        <w:t>Journal of Modern African Studies</w:t>
      </w:r>
      <w:r w:rsidRPr="005D0B08">
        <w:rPr>
          <w:rFonts w:ascii="Calibri" w:hAnsi="Calibri"/>
          <w:noProof/>
          <w:sz w:val="22"/>
        </w:rPr>
        <w:t xml:space="preserve">, </w:t>
      </w:r>
      <w:r w:rsidRPr="005D0B08">
        <w:rPr>
          <w:rFonts w:ascii="Calibri" w:hAnsi="Calibri"/>
          <w:i/>
          <w:iCs/>
          <w:noProof/>
          <w:sz w:val="22"/>
        </w:rPr>
        <w:t>51</w:t>
      </w:r>
      <w:r w:rsidRPr="005D0B08">
        <w:rPr>
          <w:rFonts w:ascii="Calibri" w:hAnsi="Calibri"/>
          <w:noProof/>
          <w:sz w:val="22"/>
        </w:rPr>
        <w:t>(1), 33–56.</w:t>
      </w:r>
    </w:p>
    <w:p w14:paraId="27BE968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Bryceson, D. F., Jønsson, J. B., &amp; Verbrugge, H. (2014). For richer, for poorer: marriage and casualized sex in East African artisanal mining settlements. </w:t>
      </w:r>
      <w:r w:rsidRPr="005D0B08">
        <w:rPr>
          <w:rFonts w:ascii="Calibri" w:hAnsi="Calibri"/>
          <w:i/>
          <w:iCs/>
          <w:noProof/>
          <w:sz w:val="22"/>
        </w:rPr>
        <w:t>Development and Change</w:t>
      </w:r>
      <w:r w:rsidRPr="005D0B08">
        <w:rPr>
          <w:rFonts w:ascii="Calibri" w:hAnsi="Calibri"/>
          <w:noProof/>
          <w:sz w:val="22"/>
        </w:rPr>
        <w:t xml:space="preserve">, </w:t>
      </w:r>
      <w:r w:rsidRPr="005D0B08">
        <w:rPr>
          <w:rFonts w:ascii="Calibri" w:hAnsi="Calibri"/>
          <w:i/>
          <w:iCs/>
          <w:noProof/>
          <w:sz w:val="22"/>
        </w:rPr>
        <w:t>45</w:t>
      </w:r>
      <w:r w:rsidRPr="005D0B08">
        <w:rPr>
          <w:rFonts w:ascii="Calibri" w:hAnsi="Calibri"/>
          <w:noProof/>
          <w:sz w:val="22"/>
        </w:rPr>
        <w:t>(1), 79–104.</w:t>
      </w:r>
    </w:p>
    <w:p w14:paraId="55A2483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Bryceson, D., &amp; Geenen, S. (2016). Artisanal frontier mining of gold in Africa: Labour transformation in Tanzania and the Democratic Republic of Congo. </w:t>
      </w:r>
      <w:r w:rsidRPr="005D0B08">
        <w:rPr>
          <w:rFonts w:ascii="Calibri" w:hAnsi="Calibri"/>
          <w:i/>
          <w:iCs/>
          <w:noProof/>
          <w:sz w:val="22"/>
        </w:rPr>
        <w:t>African Affairs</w:t>
      </w:r>
      <w:r w:rsidRPr="005D0B08">
        <w:rPr>
          <w:rFonts w:ascii="Calibri" w:hAnsi="Calibri"/>
          <w:noProof/>
          <w:sz w:val="22"/>
        </w:rPr>
        <w:t xml:space="preserve">, </w:t>
      </w:r>
      <w:r w:rsidRPr="005D0B08">
        <w:rPr>
          <w:rFonts w:ascii="Calibri" w:hAnsi="Calibri"/>
          <w:i/>
          <w:iCs/>
          <w:noProof/>
          <w:sz w:val="22"/>
        </w:rPr>
        <w:t>115</w:t>
      </w:r>
      <w:r w:rsidRPr="005D0B08">
        <w:rPr>
          <w:rFonts w:ascii="Calibri" w:hAnsi="Calibri"/>
          <w:noProof/>
          <w:sz w:val="22"/>
        </w:rPr>
        <w:t>(459), 296–317.</w:t>
      </w:r>
    </w:p>
    <w:p w14:paraId="4DB900C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Bryman, A. (2001). </w:t>
      </w:r>
      <w:r w:rsidRPr="005D0B08">
        <w:rPr>
          <w:rFonts w:ascii="Calibri" w:hAnsi="Calibri"/>
          <w:i/>
          <w:iCs/>
          <w:noProof/>
          <w:sz w:val="22"/>
        </w:rPr>
        <w:t>Social Research Methods</w:t>
      </w:r>
      <w:r w:rsidRPr="005D0B08">
        <w:rPr>
          <w:rFonts w:ascii="Calibri" w:hAnsi="Calibri"/>
          <w:noProof/>
          <w:sz w:val="22"/>
        </w:rPr>
        <w:t xml:space="preserve"> (4th ed.). Oxford: Oxford University Press.</w:t>
      </w:r>
    </w:p>
    <w:p w14:paraId="4D60B9B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Buccella, A. (2014). Can the Minamata Convention on Mercury Solve Peru’s Illegal Artisanal Gold Mining Problem? </w:t>
      </w:r>
      <w:r w:rsidRPr="005D0B08">
        <w:rPr>
          <w:rFonts w:ascii="Calibri" w:hAnsi="Calibri"/>
          <w:i/>
          <w:iCs/>
          <w:noProof/>
          <w:sz w:val="22"/>
        </w:rPr>
        <w:t>Yearbook of International Environmental Law</w:t>
      </w:r>
      <w:r w:rsidRPr="005D0B08">
        <w:rPr>
          <w:rFonts w:ascii="Calibri" w:hAnsi="Calibri"/>
          <w:noProof/>
          <w:sz w:val="22"/>
        </w:rPr>
        <w:t xml:space="preserve">, </w:t>
      </w:r>
      <w:r w:rsidRPr="005D0B08">
        <w:rPr>
          <w:rFonts w:ascii="Calibri" w:hAnsi="Calibri"/>
          <w:i/>
          <w:iCs/>
          <w:noProof/>
          <w:sz w:val="22"/>
        </w:rPr>
        <w:t>24</w:t>
      </w:r>
      <w:r w:rsidRPr="005D0B08">
        <w:rPr>
          <w:rFonts w:ascii="Calibri" w:hAnsi="Calibri"/>
          <w:noProof/>
          <w:sz w:val="22"/>
        </w:rPr>
        <w:t>(1), 166–187.</w:t>
      </w:r>
    </w:p>
    <w:p w14:paraId="12C1D4B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Bury, J. (2004). Livelihoods in transition: transnational gold mining operations and local change in Cajamarca, Peru. </w:t>
      </w:r>
      <w:r w:rsidRPr="005D0B08">
        <w:rPr>
          <w:rFonts w:ascii="Calibri" w:hAnsi="Calibri"/>
          <w:i/>
          <w:iCs/>
          <w:noProof/>
          <w:sz w:val="22"/>
        </w:rPr>
        <w:t>The Geographical Journal</w:t>
      </w:r>
      <w:r w:rsidRPr="005D0B08">
        <w:rPr>
          <w:rFonts w:ascii="Calibri" w:hAnsi="Calibri"/>
          <w:noProof/>
          <w:sz w:val="22"/>
        </w:rPr>
        <w:t xml:space="preserve">, </w:t>
      </w:r>
      <w:r w:rsidRPr="005D0B08">
        <w:rPr>
          <w:rFonts w:ascii="Calibri" w:hAnsi="Calibri"/>
          <w:i/>
          <w:iCs/>
          <w:noProof/>
          <w:sz w:val="22"/>
        </w:rPr>
        <w:t>170</w:t>
      </w:r>
      <w:r w:rsidRPr="005D0B08">
        <w:rPr>
          <w:rFonts w:ascii="Calibri" w:hAnsi="Calibri"/>
          <w:noProof/>
          <w:sz w:val="22"/>
        </w:rPr>
        <w:t>(1), 78–91.</w:t>
      </w:r>
    </w:p>
    <w:p w14:paraId="310A102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Bury, J. (2005). Mining mountains: neoliberalism, land tenure, livelihoods, and the new Peruvian industry in Cajamarca. </w:t>
      </w:r>
      <w:r w:rsidRPr="005D0B08">
        <w:rPr>
          <w:rFonts w:ascii="Calibri" w:hAnsi="Calibri"/>
          <w:i/>
          <w:iCs/>
          <w:noProof/>
          <w:sz w:val="22"/>
        </w:rPr>
        <w:t>Environment and Planning A: Economy and Space</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(2), 221–239.</w:t>
      </w:r>
    </w:p>
    <w:p w14:paraId="6A1B61D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Bush, R. (2009). 'Soon there will be no-one left to take the corpses to the morgue’: accumulation and abjection in Ghana’s mining communities.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(1–2), 57–63.</w:t>
      </w:r>
    </w:p>
    <w:p w14:paraId="3784761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Buss, D. (2018). Conflict minerals and sexual violence in Central Africa: troubling research. </w:t>
      </w:r>
      <w:r w:rsidRPr="005D0B08">
        <w:rPr>
          <w:rFonts w:ascii="Calibri" w:hAnsi="Calibri"/>
          <w:i/>
          <w:iCs/>
          <w:noProof/>
          <w:sz w:val="22"/>
        </w:rPr>
        <w:t>Social Politics</w:t>
      </w:r>
      <w:r w:rsidRPr="005D0B08">
        <w:rPr>
          <w:rFonts w:ascii="Calibri" w:hAnsi="Calibri"/>
          <w:noProof/>
          <w:sz w:val="22"/>
        </w:rPr>
        <w:t xml:space="preserve">, </w:t>
      </w:r>
      <w:r w:rsidRPr="005D0B08">
        <w:rPr>
          <w:rFonts w:ascii="Calibri" w:hAnsi="Calibri"/>
          <w:i/>
          <w:iCs/>
          <w:noProof/>
          <w:sz w:val="22"/>
        </w:rPr>
        <w:t>25</w:t>
      </w:r>
      <w:r w:rsidRPr="005D0B08">
        <w:rPr>
          <w:rFonts w:ascii="Calibri" w:hAnsi="Calibri"/>
          <w:noProof/>
          <w:sz w:val="22"/>
        </w:rPr>
        <w:t>(4), 545–567.</w:t>
      </w:r>
    </w:p>
    <w:p w14:paraId="6FB3A1D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Buss, D., Rutherford, B., Hinton, J., Stewart, J., Lebert, J., Cote, G. ., … Kisekka, F. (2017). </w:t>
      </w:r>
      <w:r w:rsidRPr="005D0B08">
        <w:rPr>
          <w:rFonts w:ascii="Calibri" w:hAnsi="Calibri"/>
          <w:i/>
          <w:iCs/>
          <w:noProof/>
          <w:sz w:val="22"/>
        </w:rPr>
        <w:t>Gender and artisanal and small-scale mining in Central and East Africa: barriers and benefits</w:t>
      </w:r>
      <w:r w:rsidRPr="005D0B08">
        <w:rPr>
          <w:rFonts w:ascii="Calibri" w:hAnsi="Calibri"/>
          <w:noProof/>
          <w:sz w:val="22"/>
        </w:rPr>
        <w:t xml:space="preserve"> (No. Working Paper GWP-2017-2). Ottawa.</w:t>
      </w:r>
    </w:p>
    <w:p w14:paraId="5955234D" w14:textId="0214F288"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Buss, D., Rutherford, B., Stewart, J., Côté, G. E., Sebina-Zziwa, A., Kibombo, R., … Lebert, J. (2019). Gender and artisanal and small-scale mining: implications for formalization.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6</w:t>
      </w:r>
      <w:r w:rsidRPr="005D0B08">
        <w:rPr>
          <w:rFonts w:ascii="Calibri" w:hAnsi="Calibri"/>
          <w:noProof/>
          <w:sz w:val="22"/>
        </w:rPr>
        <w:t>(4), 1101–</w:t>
      </w:r>
      <w:r>
        <w:rPr>
          <w:rFonts w:ascii="Calibri" w:hAnsi="Calibri"/>
          <w:noProof/>
          <w:sz w:val="22"/>
        </w:rPr>
        <w:t xml:space="preserve">1112. </w:t>
      </w:r>
    </w:p>
    <w:p w14:paraId="32382B9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Butler, P. (2015). </w:t>
      </w:r>
      <w:r w:rsidRPr="005D0B08">
        <w:rPr>
          <w:rFonts w:ascii="Calibri" w:hAnsi="Calibri"/>
          <w:i/>
          <w:iCs/>
          <w:noProof/>
          <w:sz w:val="22"/>
        </w:rPr>
        <w:t>Colonial Extractions: Race and Canadian Mining in Contemporary Africa</w:t>
      </w:r>
      <w:r w:rsidRPr="005D0B08">
        <w:rPr>
          <w:rFonts w:ascii="Calibri" w:hAnsi="Calibri"/>
          <w:noProof/>
          <w:sz w:val="22"/>
        </w:rPr>
        <w:t>. Toronto: University of Toronto Press.</w:t>
      </w:r>
    </w:p>
    <w:p w14:paraId="2FED524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Cameron, M. A. (2011). Peru: the left turn that wasn’t. In </w:t>
      </w:r>
      <w:r w:rsidRPr="005D0B08">
        <w:rPr>
          <w:rFonts w:ascii="Calibri" w:hAnsi="Calibri"/>
          <w:i/>
          <w:iCs/>
          <w:noProof/>
          <w:sz w:val="22"/>
        </w:rPr>
        <w:t>The Resurgence of the Latin American Left</w:t>
      </w:r>
      <w:r w:rsidRPr="005D0B08">
        <w:rPr>
          <w:rFonts w:ascii="Calibri" w:hAnsi="Calibri"/>
          <w:noProof/>
          <w:sz w:val="22"/>
        </w:rPr>
        <w:t xml:space="preserve"> (pp. 375–398). Baltimore, MD: Johns Hopkins University Press.</w:t>
      </w:r>
    </w:p>
    <w:p w14:paraId="3E79D1B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Campbell, J. M. (2015). </w:t>
      </w:r>
      <w:r w:rsidRPr="005D0B08">
        <w:rPr>
          <w:rFonts w:ascii="Calibri" w:hAnsi="Calibri"/>
          <w:i/>
          <w:iCs/>
          <w:noProof/>
          <w:sz w:val="22"/>
        </w:rPr>
        <w:t>Conjuring Property: Speculation and Environmental Futures in the Brazilian Amazon</w:t>
      </w:r>
      <w:r w:rsidRPr="005D0B08">
        <w:rPr>
          <w:rFonts w:ascii="Calibri" w:hAnsi="Calibri"/>
          <w:noProof/>
          <w:sz w:val="22"/>
        </w:rPr>
        <w:t>. Seattle, WA: University of Washington Press.</w:t>
      </w:r>
    </w:p>
    <w:p w14:paraId="626E6F1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Caretta, M. A. (2015). Situated knowledge in cross-cultural, cross-language research: a collaborative reflexive analysis of researcher, assistant and participant subjectivities. </w:t>
      </w:r>
      <w:r w:rsidRPr="005D0B08">
        <w:rPr>
          <w:rFonts w:ascii="Calibri" w:hAnsi="Calibri"/>
          <w:i/>
          <w:iCs/>
          <w:noProof/>
          <w:sz w:val="22"/>
        </w:rPr>
        <w:t>Qualitative Research</w:t>
      </w:r>
      <w:r w:rsidRPr="005D0B08">
        <w:rPr>
          <w:rFonts w:ascii="Calibri" w:hAnsi="Calibri"/>
          <w:noProof/>
          <w:sz w:val="22"/>
        </w:rPr>
        <w:t xml:space="preserve">, </w:t>
      </w:r>
      <w:r w:rsidRPr="005D0B08">
        <w:rPr>
          <w:rFonts w:ascii="Calibri" w:hAnsi="Calibri"/>
          <w:i/>
          <w:iCs/>
          <w:noProof/>
          <w:sz w:val="22"/>
        </w:rPr>
        <w:t>15</w:t>
      </w:r>
      <w:r w:rsidRPr="005D0B08">
        <w:rPr>
          <w:rFonts w:ascii="Calibri" w:hAnsi="Calibri"/>
          <w:noProof/>
          <w:sz w:val="22"/>
        </w:rPr>
        <w:t>(4), 489–505.</w:t>
      </w:r>
    </w:p>
    <w:p w14:paraId="41A8552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Carling, J. (2008). The human dynamics of transnationalism. </w:t>
      </w:r>
      <w:r w:rsidRPr="005D0B08">
        <w:rPr>
          <w:rFonts w:ascii="Calibri" w:hAnsi="Calibri"/>
          <w:i/>
          <w:iCs/>
          <w:noProof/>
          <w:sz w:val="22"/>
        </w:rPr>
        <w:t>Ethnic and Racial Studies</w:t>
      </w:r>
      <w:r w:rsidRPr="005D0B08">
        <w:rPr>
          <w:rFonts w:ascii="Calibri" w:hAnsi="Calibri"/>
          <w:noProof/>
          <w:sz w:val="22"/>
        </w:rPr>
        <w:t xml:space="preserve">, </w:t>
      </w:r>
      <w:r w:rsidRPr="005D0B08">
        <w:rPr>
          <w:rFonts w:ascii="Calibri" w:hAnsi="Calibri"/>
          <w:i/>
          <w:iCs/>
          <w:noProof/>
          <w:sz w:val="22"/>
        </w:rPr>
        <w:t>31</w:t>
      </w:r>
      <w:r w:rsidRPr="005D0B08">
        <w:rPr>
          <w:rFonts w:ascii="Calibri" w:hAnsi="Calibri"/>
          <w:noProof/>
          <w:sz w:val="22"/>
        </w:rPr>
        <w:t>(8), 1452–1477.</w:t>
      </w:r>
    </w:p>
    <w:p w14:paraId="71D8129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Carrier, N., &amp; Klantschnig, G. (2016). Illicit livelihoods: drug crops and development in Africa. </w:t>
      </w:r>
      <w:r w:rsidRPr="005D0B08">
        <w:rPr>
          <w:rFonts w:ascii="Calibri" w:hAnsi="Calibri"/>
          <w:i/>
          <w:iCs/>
          <w:noProof/>
          <w:sz w:val="22"/>
        </w:rPr>
        <w:t>Review of African Political Economy</w:t>
      </w:r>
      <w:r w:rsidRPr="005D0B08">
        <w:rPr>
          <w:rFonts w:ascii="Calibri" w:hAnsi="Calibri"/>
          <w:noProof/>
          <w:sz w:val="22"/>
        </w:rPr>
        <w:t xml:space="preserve">, </w:t>
      </w:r>
      <w:r w:rsidRPr="005D0B08">
        <w:rPr>
          <w:rFonts w:ascii="Calibri" w:hAnsi="Calibri"/>
          <w:i/>
          <w:iCs/>
          <w:noProof/>
          <w:sz w:val="22"/>
        </w:rPr>
        <w:t>43</w:t>
      </w:r>
      <w:r w:rsidRPr="005D0B08">
        <w:rPr>
          <w:rFonts w:ascii="Calibri" w:hAnsi="Calibri"/>
          <w:noProof/>
          <w:sz w:val="22"/>
        </w:rPr>
        <w:t>(148), 174–189.</w:t>
      </w:r>
    </w:p>
    <w:p w14:paraId="094EC92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Carson, M., Cottrell, S., Dickman, J., Gummerson, E., Lee, T., Miao, Y., … Uregian, C. (2005). </w:t>
      </w:r>
      <w:r w:rsidRPr="005D0B08">
        <w:rPr>
          <w:rFonts w:ascii="Calibri" w:hAnsi="Calibri"/>
          <w:i/>
          <w:iCs/>
          <w:noProof/>
          <w:sz w:val="22"/>
        </w:rPr>
        <w:t>Managing Mineral Resources through Public – Private Partnerships: Mitigating Conflict in Ghanaian Gold Mining</w:t>
      </w:r>
      <w:r w:rsidRPr="005D0B08">
        <w:rPr>
          <w:rFonts w:ascii="Calibri" w:hAnsi="Calibri"/>
          <w:noProof/>
          <w:sz w:val="22"/>
        </w:rPr>
        <w:t>. Princeton, NJ: Woodrow Wilson School of Public and International Affairs.</w:t>
      </w:r>
    </w:p>
    <w:p w14:paraId="2E87DF5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Cartier, L., &amp; Bürge, M. (2011). Agriculture and artisanal gold mining in Sierra Leone: alternatives or complements? </w:t>
      </w:r>
      <w:r w:rsidRPr="005D0B08">
        <w:rPr>
          <w:rFonts w:ascii="Calibri" w:hAnsi="Calibri"/>
          <w:i/>
          <w:iCs/>
          <w:noProof/>
          <w:sz w:val="22"/>
        </w:rPr>
        <w:t>Journal of International Development</w:t>
      </w:r>
      <w:r w:rsidRPr="005D0B08">
        <w:rPr>
          <w:rFonts w:ascii="Calibri" w:hAnsi="Calibri"/>
          <w:noProof/>
          <w:sz w:val="22"/>
        </w:rPr>
        <w:t xml:space="preserve">, </w:t>
      </w:r>
      <w:r w:rsidRPr="005D0B08">
        <w:rPr>
          <w:rFonts w:ascii="Calibri" w:hAnsi="Calibri"/>
          <w:i/>
          <w:iCs/>
          <w:noProof/>
          <w:sz w:val="22"/>
        </w:rPr>
        <w:t>23</w:t>
      </w:r>
      <w:r w:rsidRPr="005D0B08">
        <w:rPr>
          <w:rFonts w:ascii="Calibri" w:hAnsi="Calibri"/>
          <w:noProof/>
          <w:sz w:val="22"/>
        </w:rPr>
        <w:t>(8), 1080–1099.</w:t>
      </w:r>
    </w:p>
    <w:p w14:paraId="2D8F13D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Castillo, G., &amp; Brereton, D. (2018). Large-scale mining, spatial mobility, place-making and development in the Peruvian Andes. </w:t>
      </w:r>
      <w:r w:rsidRPr="005D0B08">
        <w:rPr>
          <w:rFonts w:ascii="Calibri" w:hAnsi="Calibri"/>
          <w:i/>
          <w:iCs/>
          <w:noProof/>
          <w:sz w:val="22"/>
        </w:rPr>
        <w:t>Sustainable Development</w:t>
      </w:r>
      <w:r w:rsidRPr="005D0B08">
        <w:rPr>
          <w:rFonts w:ascii="Calibri" w:hAnsi="Calibri"/>
          <w:noProof/>
          <w:sz w:val="22"/>
        </w:rPr>
        <w:t xml:space="preserve">, </w:t>
      </w:r>
      <w:r w:rsidRPr="005D0B08">
        <w:rPr>
          <w:rFonts w:ascii="Calibri" w:hAnsi="Calibri"/>
          <w:i/>
          <w:iCs/>
          <w:noProof/>
          <w:sz w:val="22"/>
        </w:rPr>
        <w:t>26</w:t>
      </w:r>
      <w:r w:rsidRPr="005D0B08">
        <w:rPr>
          <w:rFonts w:ascii="Calibri" w:hAnsi="Calibri"/>
          <w:noProof/>
          <w:sz w:val="22"/>
        </w:rPr>
        <w:t>(5), 461–470.</w:t>
      </w:r>
    </w:p>
    <w:p w14:paraId="64F8409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Castree, N. (2004). Differential geographies: place, indigenous rights and “local” resources. </w:t>
      </w:r>
      <w:r w:rsidRPr="005D0B08">
        <w:rPr>
          <w:rFonts w:ascii="Calibri" w:hAnsi="Calibri"/>
          <w:i/>
          <w:iCs/>
          <w:noProof/>
          <w:sz w:val="22"/>
        </w:rPr>
        <w:t>Political Geography</w:t>
      </w:r>
      <w:r w:rsidRPr="005D0B08">
        <w:rPr>
          <w:rFonts w:ascii="Calibri" w:hAnsi="Calibri"/>
          <w:noProof/>
          <w:sz w:val="22"/>
        </w:rPr>
        <w:t xml:space="preserve">, </w:t>
      </w:r>
      <w:r w:rsidRPr="005D0B08">
        <w:rPr>
          <w:rFonts w:ascii="Calibri" w:hAnsi="Calibri"/>
          <w:i/>
          <w:iCs/>
          <w:noProof/>
          <w:sz w:val="22"/>
        </w:rPr>
        <w:t>23</w:t>
      </w:r>
      <w:r w:rsidRPr="005D0B08">
        <w:rPr>
          <w:rFonts w:ascii="Calibri" w:hAnsi="Calibri"/>
          <w:noProof/>
          <w:sz w:val="22"/>
        </w:rPr>
        <w:t>(2), pp.133-167.</w:t>
      </w:r>
    </w:p>
    <w:p w14:paraId="22D3EBB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Centro de Innovacion Cientifica Amazonica (CINCIA). (2018). </w:t>
      </w:r>
      <w:r w:rsidRPr="005D0B08">
        <w:rPr>
          <w:rFonts w:ascii="Calibri" w:hAnsi="Calibri"/>
          <w:i/>
          <w:iCs/>
          <w:noProof/>
          <w:sz w:val="22"/>
        </w:rPr>
        <w:t>Three Decades of Deforestation from Artisanal Gold Mining in the Peruvian Amazon</w:t>
      </w:r>
      <w:r w:rsidRPr="005D0B08">
        <w:rPr>
          <w:rFonts w:ascii="Calibri" w:hAnsi="Calibri"/>
          <w:noProof/>
          <w:sz w:val="22"/>
        </w:rPr>
        <w:t>. Puerto Maldonado.</w:t>
      </w:r>
    </w:p>
    <w:p w14:paraId="370721D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Cerrutti, M., &amp; Massey, D. (2001). On the auspices of female migration from Mexico to the United States. </w:t>
      </w:r>
      <w:r w:rsidRPr="005D0B08">
        <w:rPr>
          <w:rFonts w:ascii="Calibri" w:hAnsi="Calibri"/>
          <w:i/>
          <w:iCs/>
          <w:noProof/>
          <w:sz w:val="22"/>
        </w:rPr>
        <w:t>Demography</w:t>
      </w:r>
      <w:r w:rsidRPr="005D0B08">
        <w:rPr>
          <w:rFonts w:ascii="Calibri" w:hAnsi="Calibri"/>
          <w:noProof/>
          <w:sz w:val="22"/>
        </w:rPr>
        <w:t xml:space="preserve">, </w:t>
      </w:r>
      <w:r w:rsidRPr="005D0B08">
        <w:rPr>
          <w:rFonts w:ascii="Calibri" w:hAnsi="Calibri"/>
          <w:i/>
          <w:iCs/>
          <w:noProof/>
          <w:sz w:val="22"/>
        </w:rPr>
        <w:t>38</w:t>
      </w:r>
      <w:r w:rsidRPr="005D0B08">
        <w:rPr>
          <w:rFonts w:ascii="Calibri" w:hAnsi="Calibri"/>
          <w:noProof/>
          <w:sz w:val="22"/>
        </w:rPr>
        <w:t>, 187–200.</w:t>
      </w:r>
    </w:p>
    <w:p w14:paraId="27AA758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Cerulo, K. A. (1997). Identity construction: new issues, new directions. </w:t>
      </w:r>
      <w:r w:rsidRPr="005D0B08">
        <w:rPr>
          <w:rFonts w:ascii="Calibri" w:hAnsi="Calibri"/>
          <w:i/>
          <w:iCs/>
          <w:noProof/>
          <w:sz w:val="22"/>
        </w:rPr>
        <w:t>Annual Review of Sociology</w:t>
      </w:r>
      <w:r w:rsidRPr="005D0B08">
        <w:rPr>
          <w:rFonts w:ascii="Calibri" w:hAnsi="Calibri"/>
          <w:noProof/>
          <w:sz w:val="22"/>
        </w:rPr>
        <w:t xml:space="preserve">, </w:t>
      </w:r>
      <w:r w:rsidRPr="005D0B08">
        <w:rPr>
          <w:rFonts w:ascii="Calibri" w:hAnsi="Calibri"/>
          <w:i/>
          <w:iCs/>
          <w:noProof/>
          <w:sz w:val="22"/>
        </w:rPr>
        <w:t>23</w:t>
      </w:r>
      <w:r w:rsidRPr="005D0B08">
        <w:rPr>
          <w:rFonts w:ascii="Calibri" w:hAnsi="Calibri"/>
          <w:noProof/>
          <w:sz w:val="22"/>
        </w:rPr>
        <w:t>, 385–409.</w:t>
      </w:r>
    </w:p>
    <w:p w14:paraId="516B5A8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Chambers, R. (2008). </w:t>
      </w:r>
      <w:r w:rsidRPr="005D0B08">
        <w:rPr>
          <w:rFonts w:ascii="Calibri" w:hAnsi="Calibri"/>
          <w:i/>
          <w:iCs/>
          <w:noProof/>
          <w:sz w:val="22"/>
        </w:rPr>
        <w:t>Revolutions in Development Inquiry</w:t>
      </w:r>
      <w:r w:rsidRPr="005D0B08">
        <w:rPr>
          <w:rFonts w:ascii="Calibri" w:hAnsi="Calibri"/>
          <w:noProof/>
          <w:sz w:val="22"/>
        </w:rPr>
        <w:t>. London, UK: Earthscan.</w:t>
      </w:r>
    </w:p>
    <w:p w14:paraId="1E7D373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Clifford, J. (1994). Diasporas. </w:t>
      </w:r>
      <w:r w:rsidRPr="005D0B08">
        <w:rPr>
          <w:rFonts w:ascii="Calibri" w:hAnsi="Calibri"/>
          <w:i/>
          <w:iCs/>
          <w:noProof/>
          <w:sz w:val="22"/>
        </w:rPr>
        <w:t>Cultural Anthropology</w:t>
      </w:r>
      <w:r w:rsidRPr="005D0B08">
        <w:rPr>
          <w:rFonts w:ascii="Calibri" w:hAnsi="Calibri"/>
          <w:noProof/>
          <w:sz w:val="22"/>
        </w:rPr>
        <w:t xml:space="preserve">, </w:t>
      </w:r>
      <w:r w:rsidRPr="005D0B08">
        <w:rPr>
          <w:rFonts w:ascii="Calibri" w:hAnsi="Calibri"/>
          <w:i/>
          <w:iCs/>
          <w:noProof/>
          <w:sz w:val="22"/>
        </w:rPr>
        <w:t>9</w:t>
      </w:r>
      <w:r w:rsidRPr="005D0B08">
        <w:rPr>
          <w:rFonts w:ascii="Calibri" w:hAnsi="Calibri"/>
          <w:noProof/>
          <w:sz w:val="22"/>
        </w:rPr>
        <w:t>(3), 302–338.</w:t>
      </w:r>
    </w:p>
    <w:p w14:paraId="44BB7BE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Coatsworth, J. H., &amp; Williamson, J. (2004). Always protectionist? Latin American tariffs from independence to Great Depression. </w:t>
      </w:r>
      <w:r w:rsidRPr="005D0B08">
        <w:rPr>
          <w:rFonts w:ascii="Calibri" w:hAnsi="Calibri"/>
          <w:i/>
          <w:iCs/>
          <w:noProof/>
          <w:sz w:val="22"/>
        </w:rPr>
        <w:t>Journal of Latin American Studies</w:t>
      </w:r>
      <w:r w:rsidRPr="005D0B08">
        <w:rPr>
          <w:rFonts w:ascii="Calibri" w:hAnsi="Calibri"/>
          <w:noProof/>
          <w:sz w:val="22"/>
        </w:rPr>
        <w:t xml:space="preserve">, </w:t>
      </w:r>
      <w:r w:rsidRPr="005D0B08">
        <w:rPr>
          <w:rFonts w:ascii="Calibri" w:hAnsi="Calibri"/>
          <w:i/>
          <w:iCs/>
          <w:noProof/>
          <w:sz w:val="22"/>
        </w:rPr>
        <w:t>36</w:t>
      </w:r>
      <w:r w:rsidRPr="005D0B08">
        <w:rPr>
          <w:rFonts w:ascii="Calibri" w:hAnsi="Calibri"/>
          <w:noProof/>
          <w:sz w:val="22"/>
        </w:rPr>
        <w:t>(2), 205–232.</w:t>
      </w:r>
    </w:p>
    <w:p w14:paraId="678D986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Cockburn, J. C., Romero, J. Q., &amp; Lucci, P. (2015). </w:t>
      </w:r>
      <w:r w:rsidRPr="005D0B08">
        <w:rPr>
          <w:rFonts w:ascii="Calibri" w:hAnsi="Calibri"/>
          <w:i/>
          <w:iCs/>
          <w:noProof/>
          <w:sz w:val="22"/>
        </w:rPr>
        <w:t>On the Path to Progress: Improving living conditions in Peru’s slum settlements to the expansion of basic services</w:t>
      </w:r>
      <w:r w:rsidRPr="005D0B08">
        <w:rPr>
          <w:rFonts w:ascii="Calibri" w:hAnsi="Calibri"/>
          <w:noProof/>
          <w:sz w:val="22"/>
        </w:rPr>
        <w:t>. London, UK.</w:t>
      </w:r>
    </w:p>
    <w:p w14:paraId="3E1D4DF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Cohen, A. K. (1965). The sociology of the deviant act: anomie theory and beyond. </w:t>
      </w:r>
      <w:r w:rsidRPr="005D0B08">
        <w:rPr>
          <w:rFonts w:ascii="Calibri" w:hAnsi="Calibri"/>
          <w:i/>
          <w:iCs/>
          <w:noProof/>
          <w:sz w:val="22"/>
        </w:rPr>
        <w:t>American Sociological Review</w:t>
      </w:r>
      <w:r w:rsidRPr="005D0B08">
        <w:rPr>
          <w:rFonts w:ascii="Calibri" w:hAnsi="Calibri"/>
          <w:noProof/>
          <w:sz w:val="22"/>
        </w:rPr>
        <w:t xml:space="preserve">, </w:t>
      </w:r>
      <w:r w:rsidRPr="005D0B08">
        <w:rPr>
          <w:rFonts w:ascii="Calibri" w:hAnsi="Calibri"/>
          <w:i/>
          <w:iCs/>
          <w:noProof/>
          <w:sz w:val="22"/>
        </w:rPr>
        <w:t>30</w:t>
      </w:r>
      <w:r w:rsidRPr="005D0B08">
        <w:rPr>
          <w:rFonts w:ascii="Calibri" w:hAnsi="Calibri"/>
          <w:noProof/>
          <w:sz w:val="22"/>
        </w:rPr>
        <w:t>(1), 5–14.</w:t>
      </w:r>
    </w:p>
    <w:p w14:paraId="0544B15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Collier, P., &amp; Hoeffler, A. (2004). Greed and grievance in civil war. </w:t>
      </w:r>
      <w:r w:rsidRPr="005D0B08">
        <w:rPr>
          <w:rFonts w:ascii="Calibri" w:hAnsi="Calibri"/>
          <w:i/>
          <w:iCs/>
          <w:noProof/>
          <w:sz w:val="22"/>
        </w:rPr>
        <w:t>Oxford Economic Papers</w:t>
      </w:r>
      <w:r w:rsidRPr="005D0B08">
        <w:rPr>
          <w:rFonts w:ascii="Calibri" w:hAnsi="Calibri"/>
          <w:noProof/>
          <w:sz w:val="22"/>
        </w:rPr>
        <w:t xml:space="preserve">, </w:t>
      </w:r>
      <w:r w:rsidRPr="005D0B08">
        <w:rPr>
          <w:rFonts w:ascii="Calibri" w:hAnsi="Calibri"/>
          <w:i/>
          <w:iCs/>
          <w:noProof/>
          <w:sz w:val="22"/>
        </w:rPr>
        <w:t>56</w:t>
      </w:r>
      <w:r w:rsidRPr="005D0B08">
        <w:rPr>
          <w:rFonts w:ascii="Calibri" w:hAnsi="Calibri"/>
          <w:noProof/>
          <w:sz w:val="22"/>
        </w:rPr>
        <w:t>(4), 563–395.</w:t>
      </w:r>
    </w:p>
    <w:p w14:paraId="3753D0F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Collier, P., &amp; Hoeffler, A. (2005). Resource rents, governance and conflict. </w:t>
      </w:r>
      <w:r w:rsidRPr="005D0B08">
        <w:rPr>
          <w:rFonts w:ascii="Calibri" w:hAnsi="Calibri"/>
          <w:i/>
          <w:iCs/>
          <w:noProof/>
          <w:sz w:val="22"/>
        </w:rPr>
        <w:t>Journal of Conflict Resolution</w:t>
      </w:r>
      <w:r w:rsidRPr="005D0B08">
        <w:rPr>
          <w:rFonts w:ascii="Calibri" w:hAnsi="Calibri"/>
          <w:noProof/>
          <w:sz w:val="22"/>
        </w:rPr>
        <w:t xml:space="preserve">, </w:t>
      </w:r>
      <w:r w:rsidRPr="005D0B08">
        <w:rPr>
          <w:rFonts w:ascii="Calibri" w:hAnsi="Calibri"/>
          <w:i/>
          <w:iCs/>
          <w:noProof/>
          <w:sz w:val="22"/>
        </w:rPr>
        <w:t>49</w:t>
      </w:r>
      <w:r w:rsidRPr="005D0B08">
        <w:rPr>
          <w:rFonts w:ascii="Calibri" w:hAnsi="Calibri"/>
          <w:noProof/>
          <w:sz w:val="22"/>
        </w:rPr>
        <w:t>(4), 625–633.</w:t>
      </w:r>
    </w:p>
    <w:p w14:paraId="25853BD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Collins, P. (1990). </w:t>
      </w:r>
      <w:r w:rsidRPr="005D0B08">
        <w:rPr>
          <w:rFonts w:ascii="Calibri" w:hAnsi="Calibri"/>
          <w:i/>
          <w:iCs/>
          <w:noProof/>
          <w:sz w:val="22"/>
        </w:rPr>
        <w:t>Black Feminist Thought: Knowledge, Consciousness, and the Politics of Empowerment</w:t>
      </w:r>
      <w:r w:rsidRPr="005D0B08">
        <w:rPr>
          <w:rFonts w:ascii="Calibri" w:hAnsi="Calibri"/>
          <w:noProof/>
          <w:sz w:val="22"/>
        </w:rPr>
        <w:t>. Boston, MA.: Uwin Hyman.</w:t>
      </w:r>
    </w:p>
    <w:p w14:paraId="0355C7A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Collyns, D. (2019). Inside La Pampa: the illegal mining city Peru is trying to wipe out. Retrieved March 27, 2019, from https://www.theguardian.com/cities/2019/mar/25/la-pampa-the-illegal-mining-city-peru-wants-wiped-out</w:t>
      </w:r>
    </w:p>
    <w:p w14:paraId="0CDA1B8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Comaroff, J., &amp; Comaroff, J. (2003). Ethnograpy on an awkward scale: postcolonial anthropology and the violence of abstraction. </w:t>
      </w:r>
      <w:r w:rsidRPr="005D0B08">
        <w:rPr>
          <w:rFonts w:ascii="Calibri" w:hAnsi="Calibri"/>
          <w:i/>
          <w:iCs/>
          <w:noProof/>
          <w:sz w:val="22"/>
        </w:rPr>
        <w:t>Ethnography</w:t>
      </w:r>
      <w:r w:rsidRPr="005D0B08">
        <w:rPr>
          <w:rFonts w:ascii="Calibri" w:hAnsi="Calibri"/>
          <w:noProof/>
          <w:sz w:val="22"/>
        </w:rPr>
        <w:t xml:space="preserve">, </w:t>
      </w:r>
      <w:r w:rsidRPr="005D0B08">
        <w:rPr>
          <w:rFonts w:ascii="Calibri" w:hAnsi="Calibri"/>
          <w:i/>
          <w:iCs/>
          <w:noProof/>
          <w:sz w:val="22"/>
        </w:rPr>
        <w:t>4</w:t>
      </w:r>
      <w:r w:rsidRPr="005D0B08">
        <w:rPr>
          <w:rFonts w:ascii="Calibri" w:hAnsi="Calibri"/>
          <w:noProof/>
          <w:sz w:val="22"/>
        </w:rPr>
        <w:t>(2), 147–179.</w:t>
      </w:r>
    </w:p>
    <w:p w14:paraId="265DEDA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Conradson, D., &amp; Mckay, D. (2007). Translocal subjectivities: mobility, connection, emotion. </w:t>
      </w:r>
      <w:r w:rsidRPr="005D0B08">
        <w:rPr>
          <w:rFonts w:ascii="Calibri" w:hAnsi="Calibri"/>
          <w:i/>
          <w:iCs/>
          <w:noProof/>
          <w:sz w:val="22"/>
        </w:rPr>
        <w:t>Mobilities</w:t>
      </w:r>
      <w:r w:rsidRPr="005D0B08">
        <w:rPr>
          <w:rFonts w:ascii="Calibri" w:hAnsi="Calibri"/>
          <w:noProof/>
          <w:sz w:val="22"/>
        </w:rPr>
        <w:t xml:space="preserve">, </w:t>
      </w:r>
      <w:r w:rsidRPr="005D0B08">
        <w:rPr>
          <w:rFonts w:ascii="Calibri" w:hAnsi="Calibri"/>
          <w:i/>
          <w:iCs/>
          <w:noProof/>
          <w:sz w:val="22"/>
        </w:rPr>
        <w:t>2</w:t>
      </w:r>
      <w:r w:rsidRPr="005D0B08">
        <w:rPr>
          <w:rFonts w:ascii="Calibri" w:hAnsi="Calibri"/>
          <w:noProof/>
          <w:sz w:val="22"/>
        </w:rPr>
        <w:t>(2), 167–174.</w:t>
      </w:r>
    </w:p>
    <w:p w14:paraId="7C738FB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Contreras, C. (1988). </w:t>
      </w:r>
      <w:r w:rsidRPr="005D0B08">
        <w:rPr>
          <w:rFonts w:ascii="Calibri" w:hAnsi="Calibri"/>
          <w:i/>
          <w:iCs/>
          <w:noProof/>
          <w:sz w:val="22"/>
        </w:rPr>
        <w:t>Mineros y Campesinos en los Andes</w:t>
      </w:r>
      <w:r w:rsidRPr="005D0B08">
        <w:rPr>
          <w:rFonts w:ascii="Calibri" w:hAnsi="Calibri"/>
          <w:noProof/>
          <w:sz w:val="22"/>
        </w:rPr>
        <w:t>. Lima, Peru: IEP.</w:t>
      </w:r>
    </w:p>
    <w:p w14:paraId="785E1E9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Conway, D., &amp; Cohen, J. H. (1998). Consequences of migration and remittances for mexican transnational communities. </w:t>
      </w:r>
      <w:r w:rsidRPr="005D0B08">
        <w:rPr>
          <w:rFonts w:ascii="Calibri" w:hAnsi="Calibri"/>
          <w:i/>
          <w:iCs/>
          <w:noProof/>
          <w:sz w:val="22"/>
        </w:rPr>
        <w:t>Economic Geography</w:t>
      </w:r>
      <w:r w:rsidRPr="005D0B08">
        <w:rPr>
          <w:rFonts w:ascii="Calibri" w:hAnsi="Calibri"/>
          <w:noProof/>
          <w:sz w:val="22"/>
        </w:rPr>
        <w:t xml:space="preserve">, </w:t>
      </w:r>
      <w:r w:rsidRPr="005D0B08">
        <w:rPr>
          <w:rFonts w:ascii="Calibri" w:hAnsi="Calibri"/>
          <w:i/>
          <w:iCs/>
          <w:noProof/>
          <w:sz w:val="22"/>
        </w:rPr>
        <w:t>74</w:t>
      </w:r>
      <w:r w:rsidRPr="005D0B08">
        <w:rPr>
          <w:rFonts w:ascii="Calibri" w:hAnsi="Calibri"/>
          <w:noProof/>
          <w:sz w:val="22"/>
        </w:rPr>
        <w:t>(1), pp.26-44.</w:t>
      </w:r>
    </w:p>
    <w:p w14:paraId="4DC8C4C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Cortés-McPherson, D. (2019). Expansion of small-scale gold mining in Madre de Dios: ‘capital interests’ and the emergence of a new elite of entrepreneurs in the Peruvian Amazon. </w:t>
      </w:r>
      <w:r w:rsidRPr="005D0B08">
        <w:rPr>
          <w:rFonts w:ascii="Calibri" w:hAnsi="Calibri"/>
          <w:i/>
          <w:iCs/>
          <w:noProof/>
          <w:sz w:val="22"/>
        </w:rPr>
        <w:t>The Extractive Industries and Society</w:t>
      </w:r>
      <w:r w:rsidRPr="005D0B08">
        <w:rPr>
          <w:rFonts w:ascii="Calibri" w:hAnsi="Calibri"/>
          <w:noProof/>
          <w:sz w:val="22"/>
        </w:rPr>
        <w:t xml:space="preserve">, </w:t>
      </w:r>
      <w:r w:rsidRPr="005D0B08">
        <w:rPr>
          <w:rFonts w:ascii="Calibri" w:hAnsi="Calibri"/>
          <w:i/>
          <w:iCs/>
          <w:noProof/>
          <w:sz w:val="22"/>
        </w:rPr>
        <w:t>6</w:t>
      </w:r>
      <w:r w:rsidRPr="005D0B08">
        <w:rPr>
          <w:rFonts w:ascii="Calibri" w:hAnsi="Calibri"/>
          <w:noProof/>
          <w:sz w:val="22"/>
        </w:rPr>
        <w:t>(2), 382–389.</w:t>
      </w:r>
    </w:p>
    <w:p w14:paraId="2A32B1A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Crabtree, J., &amp; Crabtree-Condor, I. (2012). The politics of extractive industries in the Central Andes. In A. Bebbington (Ed.), </w:t>
      </w:r>
      <w:r w:rsidRPr="005D0B08">
        <w:rPr>
          <w:rFonts w:ascii="Calibri" w:hAnsi="Calibri"/>
          <w:i/>
          <w:iCs/>
          <w:noProof/>
          <w:sz w:val="22"/>
        </w:rPr>
        <w:t>Social Conflict, Economic Development and Extractive Industries - Evidence from South America</w:t>
      </w:r>
      <w:r w:rsidRPr="005D0B08">
        <w:rPr>
          <w:rFonts w:ascii="Calibri" w:hAnsi="Calibri"/>
          <w:noProof/>
          <w:sz w:val="22"/>
        </w:rPr>
        <w:t xml:space="preserve"> (pp. 46–64). London, UK: Routledge.</w:t>
      </w:r>
    </w:p>
    <w:p w14:paraId="75D5606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Cremers, L., &amp; de Theije, M. (2013). Small-scale gold mining in the Amazon. In L. Cremers, J. Kolen, &amp; M. de Theije (Eds.), </w:t>
      </w:r>
      <w:r w:rsidRPr="005D0B08">
        <w:rPr>
          <w:rFonts w:ascii="Calibri" w:hAnsi="Calibri"/>
          <w:i/>
          <w:iCs/>
          <w:noProof/>
          <w:sz w:val="22"/>
        </w:rPr>
        <w:t>Small-scale Gold Mining in the Amazon: The Cases of Bolivia, Brazil, Colombia, Peru and Suriname</w:t>
      </w:r>
      <w:r w:rsidRPr="005D0B08">
        <w:rPr>
          <w:rFonts w:ascii="Calibri" w:hAnsi="Calibri"/>
          <w:noProof/>
          <w:sz w:val="22"/>
        </w:rPr>
        <w:t xml:space="preserve"> (pp. 1–17). Amsterdam: Cuadernos del CEDLA no.26.</w:t>
      </w:r>
    </w:p>
    <w:p w14:paraId="15E127D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Cresswell, T. (1996). </w:t>
      </w:r>
      <w:r w:rsidRPr="005D0B08">
        <w:rPr>
          <w:rFonts w:ascii="Calibri" w:hAnsi="Calibri"/>
          <w:i/>
          <w:iCs/>
          <w:noProof/>
          <w:sz w:val="22"/>
        </w:rPr>
        <w:t>In Place/Out of Place: Geography, Ideology and Transgression</w:t>
      </w:r>
      <w:r w:rsidRPr="005D0B08">
        <w:rPr>
          <w:rFonts w:ascii="Calibri" w:hAnsi="Calibri"/>
          <w:noProof/>
          <w:sz w:val="22"/>
        </w:rPr>
        <w:t>. Minneapolis, MN: University of Minnesota Press.</w:t>
      </w:r>
    </w:p>
    <w:p w14:paraId="79C3234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Cresswell, T. (1999). Embodiment, power and the politics of mobility: The case of female tramps and hobos. </w:t>
      </w:r>
      <w:r w:rsidRPr="005D0B08">
        <w:rPr>
          <w:rFonts w:ascii="Calibri" w:hAnsi="Calibri"/>
          <w:i/>
          <w:iCs/>
          <w:noProof/>
          <w:sz w:val="22"/>
        </w:rPr>
        <w:t>Transactions of the Institute of British Geographers</w:t>
      </w:r>
      <w:r w:rsidRPr="005D0B08">
        <w:rPr>
          <w:rFonts w:ascii="Calibri" w:hAnsi="Calibri"/>
          <w:noProof/>
          <w:sz w:val="22"/>
        </w:rPr>
        <w:t xml:space="preserve">, </w:t>
      </w:r>
      <w:r w:rsidRPr="005D0B08">
        <w:rPr>
          <w:rFonts w:ascii="Calibri" w:hAnsi="Calibri"/>
          <w:i/>
          <w:iCs/>
          <w:noProof/>
          <w:sz w:val="22"/>
        </w:rPr>
        <w:t>24</w:t>
      </w:r>
      <w:r w:rsidRPr="005D0B08">
        <w:rPr>
          <w:rFonts w:ascii="Calibri" w:hAnsi="Calibri"/>
          <w:noProof/>
          <w:sz w:val="22"/>
        </w:rPr>
        <w:t>(2), 175–192.</w:t>
      </w:r>
    </w:p>
    <w:p w14:paraId="4E2D140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Cresswell, T. (2004). </w:t>
      </w:r>
      <w:r w:rsidRPr="005D0B08">
        <w:rPr>
          <w:rFonts w:ascii="Calibri" w:hAnsi="Calibri"/>
          <w:i/>
          <w:iCs/>
          <w:noProof/>
          <w:sz w:val="22"/>
        </w:rPr>
        <w:t>Place: A Short Introduction</w:t>
      </w:r>
      <w:r w:rsidRPr="005D0B08">
        <w:rPr>
          <w:rFonts w:ascii="Calibri" w:hAnsi="Calibri"/>
          <w:noProof/>
          <w:sz w:val="22"/>
        </w:rPr>
        <w:t>. Oxford, UK: Blackwell Publishers.</w:t>
      </w:r>
    </w:p>
    <w:p w14:paraId="326694C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Cresswell, T. (2010). Towards a politics of mobility. </w:t>
      </w:r>
      <w:r w:rsidRPr="005D0B08">
        <w:rPr>
          <w:rFonts w:ascii="Calibri" w:hAnsi="Calibri"/>
          <w:i/>
          <w:iCs/>
          <w:noProof/>
          <w:sz w:val="22"/>
        </w:rPr>
        <w:t>Environment and Planning D: Society and Space</w:t>
      </w:r>
      <w:r w:rsidRPr="005D0B08">
        <w:rPr>
          <w:rFonts w:ascii="Calibri" w:hAnsi="Calibri"/>
          <w:noProof/>
          <w:sz w:val="22"/>
        </w:rPr>
        <w:t xml:space="preserve">, </w:t>
      </w:r>
      <w:r w:rsidRPr="005D0B08">
        <w:rPr>
          <w:rFonts w:ascii="Calibri" w:hAnsi="Calibri"/>
          <w:i/>
          <w:iCs/>
          <w:noProof/>
          <w:sz w:val="22"/>
        </w:rPr>
        <w:t>28</w:t>
      </w:r>
      <w:r w:rsidRPr="005D0B08">
        <w:rPr>
          <w:rFonts w:ascii="Calibri" w:hAnsi="Calibri"/>
          <w:noProof/>
          <w:sz w:val="22"/>
        </w:rPr>
        <w:t>, 17–31.</w:t>
      </w:r>
    </w:p>
    <w:p w14:paraId="24668BA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Creswell, J. (2013). </w:t>
      </w:r>
      <w:r w:rsidRPr="005D0B08">
        <w:rPr>
          <w:rFonts w:ascii="Calibri" w:hAnsi="Calibri"/>
          <w:i/>
          <w:iCs/>
          <w:noProof/>
          <w:sz w:val="22"/>
        </w:rPr>
        <w:t>Qualitative Inquiry and Research Design: Choosing Among Five Approaches</w:t>
      </w:r>
      <w:r w:rsidRPr="005D0B08">
        <w:rPr>
          <w:rFonts w:ascii="Calibri" w:hAnsi="Calibri"/>
          <w:noProof/>
          <w:sz w:val="22"/>
        </w:rPr>
        <w:t>. Los Angeles, CA: Sage Publications Ltd.</w:t>
      </w:r>
    </w:p>
    <w:p w14:paraId="0D078A9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Creswell, J. (2014). </w:t>
      </w:r>
      <w:r w:rsidRPr="005D0B08">
        <w:rPr>
          <w:rFonts w:ascii="Calibri" w:hAnsi="Calibri"/>
          <w:i/>
          <w:iCs/>
          <w:noProof/>
          <w:sz w:val="22"/>
        </w:rPr>
        <w:t>Research Design: Qualitative, Quantitative and Mixed Methods Approaches</w:t>
      </w:r>
      <w:r w:rsidRPr="005D0B08">
        <w:rPr>
          <w:rFonts w:ascii="Calibri" w:hAnsi="Calibri"/>
          <w:noProof/>
          <w:sz w:val="22"/>
        </w:rPr>
        <w:t xml:space="preserve"> (4th ed.). Los Angeles, CA: Sage Publications Ltd.</w:t>
      </w:r>
    </w:p>
    <w:p w14:paraId="755B7F7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Crinis, V. (2012). The challenges of fieldwork: researchers, clothing manufacturers and migrant workers. </w:t>
      </w:r>
      <w:r w:rsidRPr="005D0B08">
        <w:rPr>
          <w:rFonts w:ascii="Calibri" w:hAnsi="Calibri"/>
          <w:i/>
          <w:iCs/>
          <w:noProof/>
          <w:sz w:val="22"/>
        </w:rPr>
        <w:t>Journal of Social Issues in Southeast Asia</w:t>
      </w:r>
      <w:r w:rsidRPr="005D0B08">
        <w:rPr>
          <w:rFonts w:ascii="Calibri" w:hAnsi="Calibri"/>
          <w:noProof/>
          <w:sz w:val="22"/>
        </w:rPr>
        <w:t xml:space="preserve">, </w:t>
      </w:r>
      <w:r w:rsidRPr="005D0B08">
        <w:rPr>
          <w:rFonts w:ascii="Calibri" w:hAnsi="Calibri"/>
          <w:i/>
          <w:iCs/>
          <w:noProof/>
          <w:sz w:val="22"/>
        </w:rPr>
        <w:t>27</w:t>
      </w:r>
      <w:r w:rsidRPr="005D0B08">
        <w:rPr>
          <w:rFonts w:ascii="Calibri" w:hAnsi="Calibri"/>
          <w:noProof/>
          <w:sz w:val="22"/>
        </w:rPr>
        <w:t>(1), 168–189.</w:t>
      </w:r>
    </w:p>
    <w:p w14:paraId="5234F6A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Cross, J. C., &amp; Hernández, A. H. (2011). Place, identity, and deviance: a community-based approach to understanding the relationship between deviance and place. </w:t>
      </w:r>
      <w:r w:rsidRPr="005D0B08">
        <w:rPr>
          <w:rFonts w:ascii="Calibri" w:hAnsi="Calibri"/>
          <w:i/>
          <w:iCs/>
          <w:noProof/>
          <w:sz w:val="22"/>
        </w:rPr>
        <w:t>Deviant Behavior</w:t>
      </w:r>
      <w:r w:rsidRPr="005D0B08">
        <w:rPr>
          <w:rFonts w:ascii="Calibri" w:hAnsi="Calibri"/>
          <w:noProof/>
          <w:sz w:val="22"/>
        </w:rPr>
        <w:t xml:space="preserve">, </w:t>
      </w:r>
      <w:r w:rsidRPr="005D0B08">
        <w:rPr>
          <w:rFonts w:ascii="Calibri" w:hAnsi="Calibri"/>
          <w:i/>
          <w:iCs/>
          <w:noProof/>
          <w:sz w:val="22"/>
        </w:rPr>
        <w:t>32</w:t>
      </w:r>
      <w:r w:rsidRPr="005D0B08">
        <w:rPr>
          <w:rFonts w:ascii="Calibri" w:hAnsi="Calibri"/>
          <w:noProof/>
          <w:sz w:val="22"/>
        </w:rPr>
        <w:t>(6), 503–</w:t>
      </w:r>
      <w:r w:rsidRPr="005D0B08">
        <w:rPr>
          <w:rFonts w:ascii="Calibri" w:hAnsi="Calibri"/>
          <w:noProof/>
          <w:sz w:val="22"/>
        </w:rPr>
        <w:lastRenderedPageBreak/>
        <w:t>537.</w:t>
      </w:r>
    </w:p>
    <w:p w14:paraId="54E848F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Cross, John. (2007). Pirates on the high streets: The street as a site of local resistance to globalization. In J Cross &amp; N. Morales (Eds.), </w:t>
      </w:r>
      <w:r w:rsidRPr="005D0B08">
        <w:rPr>
          <w:rFonts w:ascii="Calibri" w:hAnsi="Calibri"/>
          <w:i/>
          <w:iCs/>
          <w:noProof/>
          <w:sz w:val="22"/>
        </w:rPr>
        <w:t>Street Entrepreneurs: People, Place and Politics in Local and Global Perspectives</w:t>
      </w:r>
      <w:r w:rsidRPr="005D0B08">
        <w:rPr>
          <w:rFonts w:ascii="Calibri" w:hAnsi="Calibri"/>
          <w:noProof/>
          <w:sz w:val="22"/>
        </w:rPr>
        <w:t xml:space="preserve"> (pp. 125–143). London, UK: Routledge.</w:t>
      </w:r>
    </w:p>
    <w:p w14:paraId="6E43870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Crossley, N. (2002). </w:t>
      </w:r>
      <w:r w:rsidRPr="005D0B08">
        <w:rPr>
          <w:rFonts w:ascii="Calibri" w:hAnsi="Calibri"/>
          <w:i/>
          <w:iCs/>
          <w:noProof/>
          <w:sz w:val="22"/>
        </w:rPr>
        <w:t>Making Sense of Social Movements</w:t>
      </w:r>
      <w:r w:rsidRPr="005D0B08">
        <w:rPr>
          <w:rFonts w:ascii="Calibri" w:hAnsi="Calibri"/>
          <w:noProof/>
          <w:sz w:val="22"/>
        </w:rPr>
        <w:t>. Buckingham, UK: Open University Press.</w:t>
      </w:r>
    </w:p>
    <w:p w14:paraId="2F9F7E2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Crotty, M. (1998). </w:t>
      </w:r>
      <w:r w:rsidRPr="005D0B08">
        <w:rPr>
          <w:rFonts w:ascii="Calibri" w:hAnsi="Calibri"/>
          <w:i/>
          <w:iCs/>
          <w:noProof/>
          <w:sz w:val="22"/>
        </w:rPr>
        <w:t>The Foundations of Social Research: Meaning and Perspective in the Research Proces</w:t>
      </w:r>
      <w:r w:rsidRPr="005D0B08">
        <w:rPr>
          <w:rFonts w:ascii="Calibri" w:hAnsi="Calibri"/>
          <w:noProof/>
          <w:sz w:val="22"/>
        </w:rPr>
        <w:t>. London, UK: Sage Publications Ltd.</w:t>
      </w:r>
    </w:p>
    <w:p w14:paraId="14B7154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Cuba, L., &amp; Hummon, D. M. (1993). A place to call home: identitication with dwelling, community and region. </w:t>
      </w:r>
      <w:r w:rsidRPr="005D0B08">
        <w:rPr>
          <w:rFonts w:ascii="Calibri" w:hAnsi="Calibri"/>
          <w:i/>
          <w:iCs/>
          <w:noProof/>
          <w:sz w:val="22"/>
        </w:rPr>
        <w:t>Sociological Quarterly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(1), 111–131.</w:t>
      </w:r>
    </w:p>
    <w:p w14:paraId="4EB720D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Cuvelier, J. (2017). Money, migration and masculinity among artisanal miners in Katanga (DR Congo). </w:t>
      </w:r>
      <w:r w:rsidRPr="005D0B08">
        <w:rPr>
          <w:rFonts w:ascii="Calibri" w:hAnsi="Calibri"/>
          <w:i/>
          <w:iCs/>
          <w:noProof/>
          <w:sz w:val="22"/>
        </w:rPr>
        <w:t>Review of African Political Economy</w:t>
      </w:r>
      <w:r w:rsidRPr="005D0B08">
        <w:rPr>
          <w:rFonts w:ascii="Calibri" w:hAnsi="Calibri"/>
          <w:noProof/>
          <w:sz w:val="22"/>
        </w:rPr>
        <w:t xml:space="preserve">, </w:t>
      </w:r>
      <w:r w:rsidRPr="005D0B08">
        <w:rPr>
          <w:rFonts w:ascii="Calibri" w:hAnsi="Calibri"/>
          <w:i/>
          <w:iCs/>
          <w:noProof/>
          <w:sz w:val="22"/>
        </w:rPr>
        <w:t>44</w:t>
      </w:r>
      <w:r w:rsidRPr="005D0B08">
        <w:rPr>
          <w:rFonts w:ascii="Calibri" w:hAnsi="Calibri"/>
          <w:noProof/>
          <w:sz w:val="22"/>
        </w:rPr>
        <w:t>(152), 204–219.</w:t>
      </w:r>
    </w:p>
    <w:p w14:paraId="6274148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Dame, J. (2018). Food security and translocal livelihoods in high mountains: evidence from Ladakh, India. </w:t>
      </w:r>
      <w:r w:rsidRPr="005D0B08">
        <w:rPr>
          <w:rFonts w:ascii="Calibri" w:hAnsi="Calibri"/>
          <w:i/>
          <w:iCs/>
          <w:noProof/>
          <w:sz w:val="22"/>
        </w:rPr>
        <w:t>Mountain Research and Development</w:t>
      </w:r>
      <w:r w:rsidRPr="005D0B08">
        <w:rPr>
          <w:rFonts w:ascii="Calibri" w:hAnsi="Calibri"/>
          <w:noProof/>
          <w:sz w:val="22"/>
        </w:rPr>
        <w:t xml:space="preserve">, </w:t>
      </w:r>
      <w:r w:rsidRPr="005D0B08">
        <w:rPr>
          <w:rFonts w:ascii="Calibri" w:hAnsi="Calibri"/>
          <w:i/>
          <w:iCs/>
          <w:noProof/>
          <w:sz w:val="22"/>
        </w:rPr>
        <w:t>38</w:t>
      </w:r>
      <w:r w:rsidRPr="005D0B08">
        <w:rPr>
          <w:rFonts w:ascii="Calibri" w:hAnsi="Calibri"/>
          <w:noProof/>
          <w:sz w:val="22"/>
        </w:rPr>
        <w:t>(4), 310–322.</w:t>
      </w:r>
    </w:p>
    <w:p w14:paraId="1A45386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Damonte, G. (2016). The “blind” state: Government quest for formalization and conflict with small-scale miners in the Peruvian Amazon. </w:t>
      </w:r>
      <w:r w:rsidRPr="005D0B08">
        <w:rPr>
          <w:rFonts w:ascii="Calibri" w:hAnsi="Calibri"/>
          <w:i/>
          <w:iCs/>
          <w:noProof/>
          <w:sz w:val="22"/>
        </w:rPr>
        <w:t>Antipode</w:t>
      </w:r>
      <w:r w:rsidRPr="005D0B08">
        <w:rPr>
          <w:rFonts w:ascii="Calibri" w:hAnsi="Calibri"/>
          <w:noProof/>
          <w:sz w:val="22"/>
        </w:rPr>
        <w:t xml:space="preserve">, </w:t>
      </w:r>
      <w:r w:rsidRPr="005D0B08">
        <w:rPr>
          <w:rFonts w:ascii="Calibri" w:hAnsi="Calibri"/>
          <w:i/>
          <w:iCs/>
          <w:noProof/>
          <w:sz w:val="22"/>
        </w:rPr>
        <w:t>48</w:t>
      </w:r>
      <w:r w:rsidRPr="005D0B08">
        <w:rPr>
          <w:rFonts w:ascii="Calibri" w:hAnsi="Calibri"/>
          <w:noProof/>
          <w:sz w:val="22"/>
        </w:rPr>
        <w:t>(4), 956–976.</w:t>
      </w:r>
    </w:p>
    <w:p w14:paraId="6C9145F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Damonte, G. (2018). Mining formalization at the margins of the state: small-scale miners and state governance in the Peruvian Amazon. </w:t>
      </w:r>
      <w:r w:rsidRPr="005D0B08">
        <w:rPr>
          <w:rFonts w:ascii="Calibri" w:hAnsi="Calibri"/>
          <w:i/>
          <w:iCs/>
          <w:noProof/>
          <w:sz w:val="22"/>
        </w:rPr>
        <w:t>Development and Change</w:t>
      </w:r>
      <w:r w:rsidRPr="005D0B08">
        <w:rPr>
          <w:rFonts w:ascii="Calibri" w:hAnsi="Calibri"/>
          <w:noProof/>
          <w:sz w:val="22"/>
        </w:rPr>
        <w:t xml:space="preserve">, </w:t>
      </w:r>
      <w:r w:rsidRPr="005D0B08">
        <w:rPr>
          <w:rFonts w:ascii="Calibri" w:hAnsi="Calibri"/>
          <w:i/>
          <w:iCs/>
          <w:noProof/>
          <w:sz w:val="22"/>
        </w:rPr>
        <w:t>49</w:t>
      </w:r>
      <w:r w:rsidRPr="005D0B08">
        <w:rPr>
          <w:rFonts w:ascii="Calibri" w:hAnsi="Calibri"/>
          <w:noProof/>
          <w:sz w:val="22"/>
        </w:rPr>
        <w:t>(5), 1314–1335.</w:t>
      </w:r>
    </w:p>
    <w:p w14:paraId="1C37102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Damonte, G., Bueno de Mesquita, M., Pachas, V. H., &amp; Chávez, M. (2013). Small-scale gold mining and social and environmental conflict in the Peruvian Amazon. In K. Leontien, J. Cremers, &amp;  de T. Marjo (Eds.), </w:t>
      </w:r>
      <w:r w:rsidRPr="005D0B08">
        <w:rPr>
          <w:rFonts w:ascii="Calibri" w:hAnsi="Calibri"/>
          <w:i/>
          <w:iCs/>
          <w:noProof/>
          <w:sz w:val="22"/>
        </w:rPr>
        <w:t>Small-Scale Gold Mining in the Amazon: The cases of Bolivia, Brazil, Colombia, Peru and Suriname</w:t>
      </w:r>
      <w:r w:rsidRPr="005D0B08">
        <w:rPr>
          <w:rFonts w:ascii="Calibri" w:hAnsi="Calibri"/>
          <w:noProof/>
          <w:sz w:val="22"/>
        </w:rPr>
        <w:t xml:space="preserve"> (pp. 68–84). Amsterdam: Cuadernos del CEDLA no.26.</w:t>
      </w:r>
    </w:p>
    <w:p w14:paraId="077414D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Das, V., &amp; Poole, D. (2004). State and its margins: comparative ethnographies. In </w:t>
      </w:r>
      <w:r w:rsidRPr="005D0B08">
        <w:rPr>
          <w:rFonts w:ascii="Calibri" w:hAnsi="Calibri"/>
          <w:i/>
          <w:iCs/>
          <w:noProof/>
          <w:sz w:val="22"/>
        </w:rPr>
        <w:t>Anthropology at the Margins of the State</w:t>
      </w:r>
      <w:r w:rsidRPr="005D0B08">
        <w:rPr>
          <w:rFonts w:ascii="Calibri" w:hAnsi="Calibri"/>
          <w:noProof/>
          <w:sz w:val="22"/>
        </w:rPr>
        <w:t xml:space="preserve"> (pp. 3–34). Oxford, UK: James Currey.</w:t>
      </w:r>
    </w:p>
    <w:p w14:paraId="0B515AE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Davidson, J., Bondi, L., &amp; Smith, M. (2005). </w:t>
      </w:r>
      <w:r w:rsidRPr="005D0B08">
        <w:rPr>
          <w:rFonts w:ascii="Calibri" w:hAnsi="Calibri"/>
          <w:i/>
          <w:iCs/>
          <w:noProof/>
          <w:sz w:val="22"/>
        </w:rPr>
        <w:t>Emotional Geographies</w:t>
      </w:r>
      <w:r w:rsidRPr="005D0B08">
        <w:rPr>
          <w:rFonts w:ascii="Calibri" w:hAnsi="Calibri"/>
          <w:noProof/>
          <w:sz w:val="22"/>
        </w:rPr>
        <w:t>. Aldershot, UK: Ashgate.</w:t>
      </w:r>
    </w:p>
    <w:p w14:paraId="4B19D42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Davis, G. A., &amp; Tilton, J. E. (2005). The resource curse. </w:t>
      </w:r>
      <w:r w:rsidRPr="005D0B08">
        <w:rPr>
          <w:rFonts w:ascii="Calibri" w:hAnsi="Calibri"/>
          <w:i/>
          <w:iCs/>
          <w:noProof/>
          <w:sz w:val="22"/>
        </w:rPr>
        <w:t>Natural Resources Forum</w:t>
      </w:r>
      <w:r w:rsidRPr="005D0B08">
        <w:rPr>
          <w:rFonts w:ascii="Calibri" w:hAnsi="Calibri"/>
          <w:noProof/>
          <w:sz w:val="22"/>
        </w:rPr>
        <w:t xml:space="preserve">, </w:t>
      </w:r>
      <w:r w:rsidRPr="005D0B08">
        <w:rPr>
          <w:rFonts w:ascii="Calibri" w:hAnsi="Calibri"/>
          <w:i/>
          <w:iCs/>
          <w:noProof/>
          <w:sz w:val="22"/>
        </w:rPr>
        <w:t>29</w:t>
      </w:r>
      <w:r w:rsidRPr="005D0B08">
        <w:rPr>
          <w:rFonts w:ascii="Calibri" w:hAnsi="Calibri"/>
          <w:noProof/>
          <w:sz w:val="22"/>
        </w:rPr>
        <w:t>, 233–242.</w:t>
      </w:r>
    </w:p>
    <w:p w14:paraId="38EC631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Day, S., Papataxiarchis, E., &amp; Stewart, M. (1999). </w:t>
      </w:r>
      <w:r w:rsidRPr="005D0B08">
        <w:rPr>
          <w:rFonts w:ascii="Calibri" w:hAnsi="Calibri"/>
          <w:i/>
          <w:iCs/>
          <w:noProof/>
          <w:sz w:val="22"/>
        </w:rPr>
        <w:t>Lilies of the Field: Marginal People Who Live for the Moment</w:t>
      </w:r>
      <w:r w:rsidRPr="005D0B08">
        <w:rPr>
          <w:rFonts w:ascii="Calibri" w:hAnsi="Calibri"/>
          <w:noProof/>
          <w:sz w:val="22"/>
        </w:rPr>
        <w:t>. Boulder: Westview Press.</w:t>
      </w:r>
    </w:p>
    <w:p w14:paraId="5FA12B8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Andrade Filho, L. (2008). The dynamics of drug-related organized crime and corruption in Brazil from a development perspective. </w:t>
      </w:r>
      <w:r w:rsidRPr="005D0B08">
        <w:rPr>
          <w:rFonts w:ascii="Calibri" w:hAnsi="Calibri"/>
          <w:i/>
          <w:iCs/>
          <w:noProof/>
          <w:sz w:val="22"/>
        </w:rPr>
        <w:t>Journal of Financial Crime</w:t>
      </w:r>
      <w:r w:rsidRPr="005D0B08">
        <w:rPr>
          <w:rFonts w:ascii="Calibri" w:hAnsi="Calibri"/>
          <w:noProof/>
          <w:sz w:val="22"/>
        </w:rPr>
        <w:t xml:space="preserve">, </w:t>
      </w:r>
      <w:r w:rsidRPr="005D0B08">
        <w:rPr>
          <w:rFonts w:ascii="Calibri" w:hAnsi="Calibri"/>
          <w:i/>
          <w:iCs/>
          <w:noProof/>
          <w:sz w:val="22"/>
        </w:rPr>
        <w:t>15</w:t>
      </w:r>
      <w:r w:rsidRPr="005D0B08">
        <w:rPr>
          <w:rFonts w:ascii="Calibri" w:hAnsi="Calibri"/>
          <w:noProof/>
          <w:sz w:val="22"/>
        </w:rPr>
        <w:t>(91), 49–59.</w:t>
      </w:r>
    </w:p>
    <w:p w14:paraId="4511097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Boeck, F. (1998). Domesticating Diamonds and Dollars: Identity, Expenditure and Sharing in Southwestern Zaire (1984-1997). In </w:t>
      </w:r>
      <w:r w:rsidRPr="005D0B08">
        <w:rPr>
          <w:rFonts w:ascii="Calibri" w:hAnsi="Calibri"/>
          <w:i/>
          <w:iCs/>
          <w:noProof/>
          <w:sz w:val="22"/>
        </w:rPr>
        <w:t>Globalization and Identity: Dialectics of Flow and Closure</w:t>
      </w:r>
      <w:r w:rsidRPr="005D0B08">
        <w:rPr>
          <w:rFonts w:ascii="Calibri" w:hAnsi="Calibri"/>
          <w:noProof/>
          <w:sz w:val="22"/>
        </w:rPr>
        <w:t xml:space="preserve"> (pp. 177–210). Oxford: Blackwell Publishers.</w:t>
      </w:r>
    </w:p>
    <w:p w14:paraId="39A5892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Boeck, F. (2001). Garimpeiro worlds: digging, dying and “hunting” for diamonds in Angola. </w:t>
      </w:r>
      <w:r w:rsidRPr="005D0B08">
        <w:rPr>
          <w:rFonts w:ascii="Calibri" w:hAnsi="Calibri"/>
          <w:i/>
          <w:iCs/>
          <w:noProof/>
          <w:sz w:val="22"/>
        </w:rPr>
        <w:t>Review of African Political Economy</w:t>
      </w:r>
      <w:r w:rsidRPr="005D0B08">
        <w:rPr>
          <w:rFonts w:ascii="Calibri" w:hAnsi="Calibri"/>
          <w:noProof/>
          <w:sz w:val="22"/>
        </w:rPr>
        <w:t xml:space="preserve">, </w:t>
      </w:r>
      <w:r w:rsidRPr="005D0B08">
        <w:rPr>
          <w:rFonts w:ascii="Calibri" w:hAnsi="Calibri"/>
          <w:i/>
          <w:iCs/>
          <w:noProof/>
          <w:sz w:val="22"/>
        </w:rPr>
        <w:t>90</w:t>
      </w:r>
      <w:r w:rsidRPr="005D0B08">
        <w:rPr>
          <w:rFonts w:ascii="Calibri" w:hAnsi="Calibri"/>
          <w:noProof/>
          <w:sz w:val="22"/>
        </w:rPr>
        <w:t>, 549–562.</w:t>
      </w:r>
    </w:p>
    <w:p w14:paraId="1E8C66D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De Bruijn, M., &amp; van Dijk, H. (2003). </w:t>
      </w:r>
      <w:r w:rsidRPr="005D0B08">
        <w:rPr>
          <w:rFonts w:ascii="Calibri" w:hAnsi="Calibri"/>
          <w:i/>
          <w:iCs/>
          <w:noProof/>
          <w:sz w:val="22"/>
        </w:rPr>
        <w:t>Pathways and Habitus: A Framework for the Analysis of Decision-making in High Risk Environments</w:t>
      </w:r>
      <w:r w:rsidRPr="005D0B08">
        <w:rPr>
          <w:rFonts w:ascii="Calibri" w:hAnsi="Calibri"/>
          <w:noProof/>
          <w:sz w:val="22"/>
        </w:rPr>
        <w:t>. Leiden: African Studies Centre.</w:t>
      </w:r>
    </w:p>
    <w:p w14:paraId="0B529B6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Certeau, M. (1984). </w:t>
      </w:r>
      <w:r w:rsidRPr="005D0B08">
        <w:rPr>
          <w:rFonts w:ascii="Calibri" w:hAnsi="Calibri"/>
          <w:i/>
          <w:iCs/>
          <w:noProof/>
          <w:sz w:val="22"/>
        </w:rPr>
        <w:t>The Practice of Everyday Life</w:t>
      </w:r>
      <w:r w:rsidRPr="005D0B08">
        <w:rPr>
          <w:rFonts w:ascii="Calibri" w:hAnsi="Calibri"/>
          <w:noProof/>
          <w:sz w:val="22"/>
        </w:rPr>
        <w:t>. Berkeley, CA: University of California Press.</w:t>
      </w:r>
    </w:p>
    <w:p w14:paraId="7B21837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Echave, J. (2016). La minería ilegal en Perú: entre la informalidad y el delito. </w:t>
      </w:r>
      <w:r w:rsidRPr="005D0B08">
        <w:rPr>
          <w:rFonts w:ascii="Calibri" w:hAnsi="Calibri"/>
          <w:i/>
          <w:iCs/>
          <w:noProof/>
          <w:sz w:val="22"/>
        </w:rPr>
        <w:t>Nueva Sociedad</w:t>
      </w:r>
      <w:r w:rsidRPr="005D0B08">
        <w:rPr>
          <w:rFonts w:ascii="Calibri" w:hAnsi="Calibri"/>
          <w:noProof/>
          <w:sz w:val="22"/>
        </w:rPr>
        <w:t xml:space="preserve">, </w:t>
      </w:r>
      <w:r w:rsidRPr="005D0B08">
        <w:rPr>
          <w:rFonts w:ascii="Calibri" w:hAnsi="Calibri"/>
          <w:i/>
          <w:iCs/>
          <w:noProof/>
          <w:sz w:val="22"/>
        </w:rPr>
        <w:t>263</w:t>
      </w:r>
      <w:r w:rsidRPr="005D0B08">
        <w:rPr>
          <w:rFonts w:ascii="Calibri" w:hAnsi="Calibri"/>
          <w:noProof/>
          <w:sz w:val="22"/>
        </w:rPr>
        <w:t>, 131–144.</w:t>
      </w:r>
    </w:p>
    <w:p w14:paraId="4FBCF7B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Haan, L., &amp; Zoomers, A. (2005). Exploring the frontier of livelihoods research. </w:t>
      </w:r>
      <w:r w:rsidRPr="005D0B08">
        <w:rPr>
          <w:rFonts w:ascii="Calibri" w:hAnsi="Calibri"/>
          <w:i/>
          <w:iCs/>
          <w:noProof/>
          <w:sz w:val="22"/>
        </w:rPr>
        <w:t>Development and Change</w:t>
      </w:r>
      <w:r w:rsidRPr="005D0B08">
        <w:rPr>
          <w:rFonts w:ascii="Calibri" w:hAnsi="Calibri"/>
          <w:noProof/>
          <w:sz w:val="22"/>
        </w:rPr>
        <w:t xml:space="preserve">, </w:t>
      </w:r>
      <w:r w:rsidRPr="005D0B08">
        <w:rPr>
          <w:rFonts w:ascii="Calibri" w:hAnsi="Calibri"/>
          <w:i/>
          <w:iCs/>
          <w:noProof/>
          <w:sz w:val="22"/>
        </w:rPr>
        <w:t>36</w:t>
      </w:r>
      <w:r w:rsidRPr="005D0B08">
        <w:rPr>
          <w:rFonts w:ascii="Calibri" w:hAnsi="Calibri"/>
          <w:noProof/>
          <w:sz w:val="22"/>
        </w:rPr>
        <w:t>(1), 27–47.</w:t>
      </w:r>
    </w:p>
    <w:p w14:paraId="1F77399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la Cadena, M. (1998). From race to class: insurgent intellectuals de provincia in Peru 1910-1970. In S. Stern (Ed.), </w:t>
      </w:r>
      <w:r w:rsidRPr="005D0B08">
        <w:rPr>
          <w:rFonts w:ascii="Calibri" w:hAnsi="Calibri"/>
          <w:i/>
          <w:iCs/>
          <w:noProof/>
          <w:sz w:val="22"/>
        </w:rPr>
        <w:t>Shining and Other Paths: War and Society in Peru, 1980-1995</w:t>
      </w:r>
      <w:r w:rsidRPr="005D0B08">
        <w:rPr>
          <w:rFonts w:ascii="Calibri" w:hAnsi="Calibri"/>
          <w:noProof/>
          <w:sz w:val="22"/>
        </w:rPr>
        <w:t>. Durham and London: Duke University Press.</w:t>
      </w:r>
    </w:p>
    <w:p w14:paraId="3BE8113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Soto, H. (1988). </w:t>
      </w:r>
      <w:r w:rsidRPr="005D0B08">
        <w:rPr>
          <w:rFonts w:ascii="Calibri" w:hAnsi="Calibri"/>
          <w:i/>
          <w:iCs/>
          <w:noProof/>
          <w:sz w:val="22"/>
        </w:rPr>
        <w:t>The Other Path: The Invisible Revolution in the Third World</w:t>
      </w:r>
      <w:r w:rsidRPr="005D0B08">
        <w:rPr>
          <w:rFonts w:ascii="Calibri" w:hAnsi="Calibri"/>
          <w:noProof/>
          <w:sz w:val="22"/>
        </w:rPr>
        <w:t>. New York: Harper and Row Publishers.</w:t>
      </w:r>
    </w:p>
    <w:p w14:paraId="50EA5FB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Theije, M. (2014). Small-scale gold mining and trans-frontier commerce on the Lawa River. In E. B. Carlin, I. Léglise, B. Migge, &amp; P. B. Tjon Sie Fat (Eds.), </w:t>
      </w:r>
      <w:r w:rsidRPr="005D0B08">
        <w:rPr>
          <w:rFonts w:ascii="Calibri" w:hAnsi="Calibri"/>
          <w:i/>
          <w:iCs/>
          <w:noProof/>
          <w:sz w:val="22"/>
        </w:rPr>
        <w:t>In and Out of Suriname: Language, Mobility and Identity</w:t>
      </w:r>
      <w:r w:rsidRPr="005D0B08">
        <w:rPr>
          <w:rFonts w:ascii="Calibri" w:hAnsi="Calibri"/>
          <w:noProof/>
          <w:sz w:val="22"/>
        </w:rPr>
        <w:t xml:space="preserve"> (pp. 58–75). Leiden, Boston: Brill.</w:t>
      </w:r>
    </w:p>
    <w:p w14:paraId="4A6815A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Theije, M., &amp; Bal, E. (2010). Flexible migrants. Brazilian gold miners and their quest for human security in Surinam. In T. H. Eriksen, E. Bal, &amp; O. Salemink (Eds.), </w:t>
      </w:r>
      <w:r w:rsidRPr="005D0B08">
        <w:rPr>
          <w:rFonts w:ascii="Calibri" w:hAnsi="Calibri"/>
          <w:i/>
          <w:iCs/>
          <w:noProof/>
          <w:sz w:val="22"/>
        </w:rPr>
        <w:t>A World of Insecurity: Anthropological Perspectives on Human Security</w:t>
      </w:r>
      <w:r w:rsidRPr="005D0B08">
        <w:rPr>
          <w:rFonts w:ascii="Calibri" w:hAnsi="Calibri"/>
          <w:noProof/>
          <w:sz w:val="22"/>
        </w:rPr>
        <w:t xml:space="preserve"> (pp. 66–88). London, UK: Pluto Press.</w:t>
      </w:r>
    </w:p>
    <w:p w14:paraId="161282E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Theije, M., &amp; Heemskerk, M. (2009). Moving Frontiers in the Amazon: Brazilian Small-Scale Gold Miners in Suriname. </w:t>
      </w:r>
      <w:r w:rsidRPr="005D0B08">
        <w:rPr>
          <w:rFonts w:ascii="Calibri" w:hAnsi="Calibri"/>
          <w:i/>
          <w:iCs/>
          <w:noProof/>
          <w:sz w:val="22"/>
        </w:rPr>
        <w:t>European Review of Latin American and Caribbean Studies | Revista Europea de Estudios Latinoamericanos y Del Caribe</w:t>
      </w:r>
      <w:r w:rsidRPr="005D0B08">
        <w:rPr>
          <w:rFonts w:ascii="Calibri" w:hAnsi="Calibri"/>
          <w:noProof/>
          <w:sz w:val="22"/>
        </w:rPr>
        <w:t xml:space="preserve">, </w:t>
      </w:r>
      <w:r w:rsidRPr="005D0B08">
        <w:rPr>
          <w:rFonts w:ascii="Calibri" w:hAnsi="Calibri"/>
          <w:i/>
          <w:iCs/>
          <w:noProof/>
          <w:sz w:val="22"/>
        </w:rPr>
        <w:t>87</w:t>
      </w:r>
      <w:r w:rsidRPr="005D0B08">
        <w:rPr>
          <w:rFonts w:ascii="Calibri" w:hAnsi="Calibri"/>
          <w:noProof/>
          <w:sz w:val="22"/>
        </w:rPr>
        <w:t>, 5–25.</w:t>
      </w:r>
    </w:p>
    <w:p w14:paraId="5F34A15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 Theije, M., Kolen, J., Heemskerk, M., Duijves, C., Sarmiento, M., Urán, A., … Mathis, A. (2014). Engaging Legal Systems in Small-Scale Gold Mining Conflicts in Three South American Countries. In M. Bavinck, L. Pellegrini, &amp; E. Mostert (Eds.), </w:t>
      </w:r>
      <w:r w:rsidRPr="005D0B08">
        <w:rPr>
          <w:rFonts w:ascii="Calibri" w:hAnsi="Calibri"/>
          <w:i/>
          <w:iCs/>
          <w:noProof/>
          <w:sz w:val="22"/>
        </w:rPr>
        <w:t>Conflicts over Natural Resources in the Global South</w:t>
      </w:r>
      <w:r w:rsidRPr="005D0B08">
        <w:rPr>
          <w:rFonts w:ascii="Calibri" w:hAnsi="Calibri"/>
          <w:noProof/>
          <w:sz w:val="22"/>
        </w:rPr>
        <w:t xml:space="preserve"> (pp. 129–146). Leiden, The Netherlands: CRC Press.</w:t>
      </w:r>
    </w:p>
    <w:p w14:paraId="011EAD7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Delgado-Wise, R. (2014). A critical overview of migration and development: the Latin American challenge. </w:t>
      </w:r>
      <w:r w:rsidRPr="005D0B08">
        <w:rPr>
          <w:rFonts w:ascii="Calibri" w:hAnsi="Calibri"/>
          <w:i/>
          <w:iCs/>
          <w:noProof/>
          <w:sz w:val="22"/>
        </w:rPr>
        <w:t>Annual Review of Sociology</w:t>
      </w:r>
      <w:r w:rsidRPr="005D0B08">
        <w:rPr>
          <w:rFonts w:ascii="Calibri" w:hAnsi="Calibri"/>
          <w:noProof/>
          <w:sz w:val="22"/>
        </w:rPr>
        <w:t xml:space="preserve">, </w:t>
      </w:r>
      <w:r w:rsidRPr="005D0B08">
        <w:rPr>
          <w:rFonts w:ascii="Calibri" w:hAnsi="Calibri"/>
          <w:i/>
          <w:iCs/>
          <w:noProof/>
          <w:sz w:val="22"/>
        </w:rPr>
        <w:t>40</w:t>
      </w:r>
      <w:r w:rsidRPr="005D0B08">
        <w:rPr>
          <w:rFonts w:ascii="Calibri" w:hAnsi="Calibri"/>
          <w:noProof/>
          <w:sz w:val="22"/>
        </w:rPr>
        <w:t>, 643–663.</w:t>
      </w:r>
    </w:p>
    <w:p w14:paraId="10F1C22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Dell, M. (2013). Undermining the ‘local’: migration, development and gold in southern Kayes. </w:t>
      </w:r>
      <w:r w:rsidRPr="005D0B08">
        <w:rPr>
          <w:rFonts w:ascii="Calibri" w:hAnsi="Calibri"/>
          <w:i/>
          <w:iCs/>
          <w:noProof/>
          <w:sz w:val="22"/>
        </w:rPr>
        <w:t>Journal of Intercultural Studies</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(5), 584–603.</w:t>
      </w:r>
    </w:p>
    <w:p w14:paraId="25B1A7F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Denscombe, M. (2014). </w:t>
      </w:r>
      <w:r w:rsidRPr="005D0B08">
        <w:rPr>
          <w:rFonts w:ascii="Calibri" w:hAnsi="Calibri"/>
          <w:i/>
          <w:iCs/>
          <w:noProof/>
          <w:sz w:val="22"/>
        </w:rPr>
        <w:t>The Good Research Guide: For Small-scale Social Research Projects</w:t>
      </w:r>
      <w:r w:rsidRPr="005D0B08">
        <w:rPr>
          <w:rFonts w:ascii="Calibri" w:hAnsi="Calibri"/>
          <w:noProof/>
          <w:sz w:val="22"/>
        </w:rPr>
        <w:t>. Maidenhead: Open University Press.</w:t>
      </w:r>
    </w:p>
    <w:p w14:paraId="2B8649C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Denzin, Norman. K. (1989). </w:t>
      </w:r>
      <w:r w:rsidRPr="005D0B08">
        <w:rPr>
          <w:rFonts w:ascii="Calibri" w:hAnsi="Calibri"/>
          <w:i/>
          <w:iCs/>
          <w:noProof/>
          <w:sz w:val="22"/>
        </w:rPr>
        <w:t>Interpretive Ethnography: Ethnographic Practices for the 21st Century</w:t>
      </w:r>
      <w:r w:rsidRPr="005D0B08">
        <w:rPr>
          <w:rFonts w:ascii="Calibri" w:hAnsi="Calibri"/>
          <w:noProof/>
          <w:sz w:val="22"/>
        </w:rPr>
        <w:t>. London: Sage Publications Ltd.</w:t>
      </w:r>
    </w:p>
    <w:p w14:paraId="59C8FD3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Dondeyne, S., Ndunguru, E., Rafael, P., &amp; Bannerman, J. (2009). Artisanal mining in central </w:t>
      </w:r>
      <w:r w:rsidRPr="005D0B08">
        <w:rPr>
          <w:rFonts w:ascii="Calibri" w:hAnsi="Calibri"/>
          <w:noProof/>
          <w:sz w:val="22"/>
        </w:rPr>
        <w:lastRenderedPageBreak/>
        <w:t xml:space="preserve">Mozambique: policy and environmental issues of concern.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(1), 45–50.</w:t>
      </w:r>
    </w:p>
    <w:p w14:paraId="0EA8209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Douglass, W. A. (1998). The mining camp as community. In A. B. Knapp, V. C. Pigott, &amp; E. W. Herbert (Eds.), </w:t>
      </w:r>
      <w:r w:rsidRPr="005D0B08">
        <w:rPr>
          <w:rFonts w:ascii="Calibri" w:hAnsi="Calibri"/>
          <w:i/>
          <w:iCs/>
          <w:noProof/>
          <w:sz w:val="22"/>
        </w:rPr>
        <w:t>Social Approaches to an Industrial Past: the Archaeology and Anthropology of Mining</w:t>
      </w:r>
      <w:r w:rsidRPr="005D0B08">
        <w:rPr>
          <w:rFonts w:ascii="Calibri" w:hAnsi="Calibri"/>
          <w:noProof/>
          <w:sz w:val="22"/>
        </w:rPr>
        <w:t xml:space="preserve"> (p. 306). London: Routledge.</w:t>
      </w:r>
    </w:p>
    <w:p w14:paraId="62F6C93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Duff, P. M., &amp; Downs, T. J. (2019). Frontline narratives on sustainable development challenges/opportuntiies in the “illegal” gold mining region of Madre de Dios, Peru: informing an integrative colaborative response. </w:t>
      </w:r>
      <w:r w:rsidRPr="005D0B08">
        <w:rPr>
          <w:rFonts w:ascii="Calibri" w:hAnsi="Calibri"/>
          <w:i/>
          <w:iCs/>
          <w:noProof/>
          <w:sz w:val="22"/>
        </w:rPr>
        <w:t>The Extractive Industries and Society</w:t>
      </w:r>
      <w:r w:rsidRPr="005D0B08">
        <w:rPr>
          <w:rFonts w:ascii="Calibri" w:hAnsi="Calibri"/>
          <w:noProof/>
          <w:sz w:val="22"/>
        </w:rPr>
        <w:t xml:space="preserve">, </w:t>
      </w:r>
      <w:r w:rsidRPr="005D0B08">
        <w:rPr>
          <w:rFonts w:ascii="Calibri" w:hAnsi="Calibri"/>
          <w:i/>
          <w:iCs/>
          <w:noProof/>
          <w:sz w:val="22"/>
        </w:rPr>
        <w:t>6</w:t>
      </w:r>
      <w:r w:rsidRPr="005D0B08">
        <w:rPr>
          <w:rFonts w:ascii="Calibri" w:hAnsi="Calibri"/>
          <w:noProof/>
          <w:sz w:val="22"/>
        </w:rPr>
        <w:t>(2), 552–561.</w:t>
      </w:r>
    </w:p>
    <w:p w14:paraId="30935CE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DuPée, M. C. (2019). Peru’s militarized response to illegal mining isn’t enough to protect the Amazon. Retrieved August 1, 2019, from https://www.worldpoliticsreview.com/articles/27679/peru-s-militarized-response-to-illegal-mining-isn-t-enough-to-protect-the-amazon</w:t>
      </w:r>
    </w:p>
    <w:p w14:paraId="20604D7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Durand, J., Kandel, W., Parrado, E. A., &amp; Massey, D. (1996). International migration and development in Mexican sending communities. </w:t>
      </w:r>
      <w:r w:rsidRPr="005D0B08">
        <w:rPr>
          <w:rFonts w:ascii="Calibri" w:hAnsi="Calibri"/>
          <w:i/>
          <w:iCs/>
          <w:noProof/>
          <w:sz w:val="22"/>
        </w:rPr>
        <w:t>Demography</w:t>
      </w:r>
      <w:r w:rsidRPr="005D0B08">
        <w:rPr>
          <w:rFonts w:ascii="Calibri" w:hAnsi="Calibri"/>
          <w:noProof/>
          <w:sz w:val="22"/>
        </w:rPr>
        <w:t xml:space="preserve">, </w:t>
      </w:r>
      <w:r w:rsidRPr="005D0B08">
        <w:rPr>
          <w:rFonts w:ascii="Calibri" w:hAnsi="Calibri"/>
          <w:i/>
          <w:iCs/>
          <w:noProof/>
          <w:sz w:val="22"/>
        </w:rPr>
        <w:t>33</w:t>
      </w:r>
      <w:r w:rsidRPr="005D0B08">
        <w:rPr>
          <w:rFonts w:ascii="Calibri" w:hAnsi="Calibri"/>
          <w:noProof/>
          <w:sz w:val="22"/>
        </w:rPr>
        <w:t>(2), 249–264.</w:t>
      </w:r>
    </w:p>
    <w:p w14:paraId="298944A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Edwards, P., Roberts, I., Clarke, M., DiGuiseppi, C., Pratap, S., Wentz, R., &amp; Kwan, I. (2002). Increasing response rates to postal questionnaires: systematic review. </w:t>
      </w:r>
      <w:r w:rsidRPr="005D0B08">
        <w:rPr>
          <w:rFonts w:ascii="Calibri" w:hAnsi="Calibri"/>
          <w:i/>
          <w:iCs/>
          <w:noProof/>
          <w:sz w:val="22"/>
        </w:rPr>
        <w:t>British Medical Journal</w:t>
      </w:r>
      <w:r w:rsidRPr="005D0B08">
        <w:rPr>
          <w:rFonts w:ascii="Calibri" w:hAnsi="Calibri"/>
          <w:noProof/>
          <w:sz w:val="22"/>
        </w:rPr>
        <w:t xml:space="preserve">, </w:t>
      </w:r>
      <w:r w:rsidRPr="005D0B08">
        <w:rPr>
          <w:rFonts w:ascii="Calibri" w:hAnsi="Calibri"/>
          <w:i/>
          <w:iCs/>
          <w:noProof/>
          <w:sz w:val="22"/>
        </w:rPr>
        <w:t>324</w:t>
      </w:r>
      <w:r w:rsidRPr="005D0B08">
        <w:rPr>
          <w:rFonts w:ascii="Calibri" w:hAnsi="Calibri"/>
          <w:noProof/>
          <w:sz w:val="22"/>
        </w:rPr>
        <w:t>, 1183–1185.</w:t>
      </w:r>
    </w:p>
    <w:p w14:paraId="121C3DE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Eftimie, A., Heller, K., Strongman, J., Hinton, J., Lahiri-Dutt, K., &amp; Mutemeri, N. (2012). </w:t>
      </w:r>
      <w:r w:rsidRPr="005D0B08">
        <w:rPr>
          <w:rFonts w:ascii="Calibri" w:hAnsi="Calibri"/>
          <w:i/>
          <w:iCs/>
          <w:noProof/>
          <w:sz w:val="22"/>
        </w:rPr>
        <w:t>Gender Dimensions of Artisanal and Small-scale Mining: A Rapid Assessment Toolkit</w:t>
      </w:r>
      <w:r w:rsidRPr="005D0B08">
        <w:rPr>
          <w:rFonts w:ascii="Calibri" w:hAnsi="Calibri"/>
          <w:noProof/>
          <w:sz w:val="22"/>
        </w:rPr>
        <w:t>. Washington D.C.</w:t>
      </w:r>
    </w:p>
    <w:p w14:paraId="60804C7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Elias, L. (1991). </w:t>
      </w:r>
      <w:r w:rsidRPr="005D0B08">
        <w:rPr>
          <w:rFonts w:ascii="Calibri" w:hAnsi="Calibri"/>
          <w:i/>
          <w:iCs/>
          <w:noProof/>
          <w:sz w:val="22"/>
        </w:rPr>
        <w:t>La Politica Macroeconomica en los ’80: Resena de un Debacle</w:t>
      </w:r>
      <w:r w:rsidRPr="005D0B08">
        <w:rPr>
          <w:rFonts w:ascii="Calibri" w:hAnsi="Calibri"/>
          <w:noProof/>
          <w:sz w:val="22"/>
        </w:rPr>
        <w:t>. Lima, Peru.</w:t>
      </w:r>
    </w:p>
    <w:p w14:paraId="35035BB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Elias, N. (1974). Towards a theory of communities. In C. Bell &amp; H. Newby (Eds.), </w:t>
      </w:r>
      <w:r w:rsidRPr="005D0B08">
        <w:rPr>
          <w:rFonts w:ascii="Calibri" w:hAnsi="Calibri"/>
          <w:i/>
          <w:iCs/>
          <w:noProof/>
          <w:sz w:val="22"/>
        </w:rPr>
        <w:t>The Sociology of Community</w:t>
      </w:r>
      <w:r w:rsidRPr="005D0B08">
        <w:rPr>
          <w:rFonts w:ascii="Calibri" w:hAnsi="Calibri"/>
          <w:noProof/>
          <w:sz w:val="22"/>
        </w:rPr>
        <w:t xml:space="preserve"> (pp. IX–XLI). London, UK: Frank Cass.</w:t>
      </w:r>
    </w:p>
    <w:p w14:paraId="5CE30C9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Ellis, F. (2003). </w:t>
      </w:r>
      <w:r w:rsidRPr="005D0B08">
        <w:rPr>
          <w:rFonts w:ascii="Calibri" w:hAnsi="Calibri"/>
          <w:i/>
          <w:iCs/>
          <w:noProof/>
          <w:sz w:val="22"/>
        </w:rPr>
        <w:t>A livelihoods Approach to Migration and Poverty Reduction</w:t>
      </w:r>
      <w:r w:rsidRPr="005D0B08">
        <w:rPr>
          <w:rFonts w:ascii="Calibri" w:hAnsi="Calibri"/>
          <w:noProof/>
          <w:sz w:val="22"/>
        </w:rPr>
        <w:t>. London, UK.</w:t>
      </w:r>
    </w:p>
    <w:p w14:paraId="0D67002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Etzold, B. (2011). </w:t>
      </w:r>
      <w:r w:rsidRPr="005D0B08">
        <w:rPr>
          <w:rFonts w:ascii="Calibri" w:hAnsi="Calibri"/>
          <w:i/>
          <w:iCs/>
          <w:noProof/>
          <w:sz w:val="22"/>
        </w:rPr>
        <w:t>Street food goverenance in Dhaka (Bangladesh): the appropriation of street vending spaces and the informal politics of exploitation</w:t>
      </w:r>
      <w:r w:rsidRPr="005D0B08">
        <w:rPr>
          <w:rFonts w:ascii="Calibri" w:hAnsi="Calibri"/>
          <w:noProof/>
          <w:sz w:val="22"/>
        </w:rPr>
        <w:t>. Amsterdam.</w:t>
      </w:r>
    </w:p>
    <w:p w14:paraId="437CD4D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Etzold, B. (2017). Mobility, space and livelihood trajectories: new perspectives on migration, translocality and place-making for livelihood studies. In Leo de Haan (Ed.), </w:t>
      </w:r>
      <w:r w:rsidRPr="005D0B08">
        <w:rPr>
          <w:rFonts w:ascii="Calibri" w:hAnsi="Calibri"/>
          <w:i/>
          <w:iCs/>
          <w:noProof/>
          <w:sz w:val="22"/>
        </w:rPr>
        <w:t>Livelihoods and Development: New Perspectives</w:t>
      </w:r>
      <w:r w:rsidRPr="005D0B08">
        <w:rPr>
          <w:rFonts w:ascii="Calibri" w:hAnsi="Calibri"/>
          <w:noProof/>
          <w:sz w:val="22"/>
        </w:rPr>
        <w:t xml:space="preserve"> (pp. 44–68). Leiden: Brill.</w:t>
      </w:r>
    </w:p>
    <w:p w14:paraId="26FD462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Etzold, B., Jülich, S., Keck, M., Sakdapolrak, P., Schmitt, T., &amp; Zimmer, A. (2012). Doing institutions: a dialectic reading of institutions and social practices and its relevance for development geography. </w:t>
      </w:r>
      <w:r w:rsidRPr="005D0B08">
        <w:rPr>
          <w:rFonts w:ascii="Calibri" w:hAnsi="Calibri"/>
          <w:i/>
          <w:iCs/>
          <w:noProof/>
          <w:sz w:val="22"/>
        </w:rPr>
        <w:t>Erdkunde</w:t>
      </w:r>
      <w:r w:rsidRPr="005D0B08">
        <w:rPr>
          <w:rFonts w:ascii="Calibri" w:hAnsi="Calibri"/>
          <w:noProof/>
          <w:sz w:val="22"/>
        </w:rPr>
        <w:t xml:space="preserve">, </w:t>
      </w:r>
      <w:r w:rsidRPr="005D0B08">
        <w:rPr>
          <w:rFonts w:ascii="Calibri" w:hAnsi="Calibri"/>
          <w:i/>
          <w:iCs/>
          <w:noProof/>
          <w:sz w:val="22"/>
        </w:rPr>
        <w:t>66</w:t>
      </w:r>
      <w:r w:rsidRPr="005D0B08">
        <w:rPr>
          <w:rFonts w:ascii="Calibri" w:hAnsi="Calibri"/>
          <w:noProof/>
          <w:sz w:val="22"/>
        </w:rPr>
        <w:t>(3), 185–195.</w:t>
      </w:r>
    </w:p>
    <w:p w14:paraId="5D79BD3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Faist, T. (1999). Developing transnational social spaces: the Turkish German example. In Ludger Pries (Ed.), </w:t>
      </w:r>
      <w:r w:rsidRPr="005D0B08">
        <w:rPr>
          <w:rFonts w:ascii="Calibri" w:hAnsi="Calibri"/>
          <w:i/>
          <w:iCs/>
          <w:noProof/>
          <w:sz w:val="22"/>
        </w:rPr>
        <w:t>Migration and Transnational Social Spaces</w:t>
      </w:r>
      <w:r w:rsidRPr="005D0B08">
        <w:rPr>
          <w:rFonts w:ascii="Calibri" w:hAnsi="Calibri"/>
          <w:noProof/>
          <w:sz w:val="22"/>
        </w:rPr>
        <w:t xml:space="preserve"> (pp. 36–72). Aldershot: Ashgate.</w:t>
      </w:r>
    </w:p>
    <w:p w14:paraId="225C6F1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Faist, T. (2000). </w:t>
      </w:r>
      <w:r w:rsidRPr="005D0B08">
        <w:rPr>
          <w:rFonts w:ascii="Calibri" w:hAnsi="Calibri"/>
          <w:i/>
          <w:iCs/>
          <w:noProof/>
          <w:sz w:val="22"/>
        </w:rPr>
        <w:t>The Volume and Dynamics of International Migration and Transnational Social Spaces</w:t>
      </w:r>
      <w:r w:rsidRPr="005D0B08">
        <w:rPr>
          <w:rFonts w:ascii="Calibri" w:hAnsi="Calibri"/>
          <w:noProof/>
          <w:sz w:val="22"/>
        </w:rPr>
        <w:t>. Oxford, UK: Oxford University Press.</w:t>
      </w:r>
    </w:p>
    <w:p w14:paraId="4F1DF70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Favre, H. (1977). The dynamics of Indian peasant society and migration to coastal plantations in Central Peru. In K. Duncan &amp; I. Rutledge (Eds.), </w:t>
      </w:r>
      <w:r w:rsidRPr="005D0B08">
        <w:rPr>
          <w:rFonts w:ascii="Calibri" w:hAnsi="Calibri"/>
          <w:i/>
          <w:iCs/>
          <w:noProof/>
          <w:sz w:val="22"/>
        </w:rPr>
        <w:t>Land and Labour in Latin America: Essays on the Development of Agrarian Capitalism in the Nineteenth and Twentieth Centuries</w:t>
      </w:r>
      <w:r w:rsidRPr="005D0B08">
        <w:rPr>
          <w:rFonts w:ascii="Calibri" w:hAnsi="Calibri"/>
          <w:noProof/>
          <w:sz w:val="22"/>
        </w:rPr>
        <w:t xml:space="preserve"> (pp. 253–267). Cambridge: Cambridge University Press.</w:t>
      </w:r>
    </w:p>
    <w:p w14:paraId="4B9BB50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Ferguson, J. (1999). </w:t>
      </w:r>
      <w:r w:rsidRPr="005D0B08">
        <w:rPr>
          <w:rFonts w:ascii="Calibri" w:hAnsi="Calibri"/>
          <w:i/>
          <w:iCs/>
          <w:noProof/>
          <w:sz w:val="22"/>
        </w:rPr>
        <w:t>Expectations of Modernity: Myths and Meanings of Urban Life on the Zambian Copperbelt</w:t>
      </w:r>
      <w:r w:rsidRPr="005D0B08">
        <w:rPr>
          <w:rFonts w:ascii="Calibri" w:hAnsi="Calibri"/>
          <w:noProof/>
          <w:sz w:val="22"/>
        </w:rPr>
        <w:t>. University of California Press.</w:t>
      </w:r>
    </w:p>
    <w:p w14:paraId="2F7D427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Ferguson, J. (2005). Seeing like an oil company: space, security and global capital in neoliberal Africa. </w:t>
      </w:r>
      <w:r w:rsidRPr="005D0B08">
        <w:rPr>
          <w:rFonts w:ascii="Calibri" w:hAnsi="Calibri"/>
          <w:i/>
          <w:iCs/>
          <w:noProof/>
          <w:sz w:val="22"/>
        </w:rPr>
        <w:t>American Anthropologist</w:t>
      </w:r>
      <w:r w:rsidRPr="005D0B08">
        <w:rPr>
          <w:rFonts w:ascii="Calibri" w:hAnsi="Calibri"/>
          <w:noProof/>
          <w:sz w:val="22"/>
        </w:rPr>
        <w:t xml:space="preserve">, </w:t>
      </w:r>
      <w:r w:rsidRPr="005D0B08">
        <w:rPr>
          <w:rFonts w:ascii="Calibri" w:hAnsi="Calibri"/>
          <w:i/>
          <w:iCs/>
          <w:noProof/>
          <w:sz w:val="22"/>
        </w:rPr>
        <w:t>107</w:t>
      </w:r>
      <w:r w:rsidRPr="005D0B08">
        <w:rPr>
          <w:rFonts w:ascii="Calibri" w:hAnsi="Calibri"/>
          <w:noProof/>
          <w:sz w:val="22"/>
        </w:rPr>
        <w:t>(3), 377–382.</w:t>
      </w:r>
    </w:p>
    <w:p w14:paraId="736C609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Field, A. J., &amp; Field, E. (2010). Globalization, crop choice and property rights in rural Pery, 1994-2004. In M. Nissanke &amp; E. Thorbecke (Eds.), </w:t>
      </w:r>
      <w:r w:rsidRPr="005D0B08">
        <w:rPr>
          <w:rFonts w:ascii="Calibri" w:hAnsi="Calibri"/>
          <w:i/>
          <w:iCs/>
          <w:noProof/>
          <w:sz w:val="22"/>
        </w:rPr>
        <w:t>The Poor under Globalization in Asia, Latin America and Africa</w:t>
      </w:r>
      <w:r w:rsidRPr="005D0B08">
        <w:rPr>
          <w:rFonts w:ascii="Calibri" w:hAnsi="Calibri"/>
          <w:noProof/>
          <w:sz w:val="22"/>
        </w:rPr>
        <w:t xml:space="preserve"> (pp. 285–324). Oxford, UK: Oxford Scholarship Online.</w:t>
      </w:r>
    </w:p>
    <w:p w14:paraId="1FC18C7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Figueroa, A. (2008). </w:t>
      </w:r>
      <w:r w:rsidRPr="005D0B08">
        <w:rPr>
          <w:rFonts w:ascii="Calibri" w:hAnsi="Calibri"/>
          <w:i/>
          <w:iCs/>
          <w:noProof/>
          <w:sz w:val="22"/>
        </w:rPr>
        <w:t>Education, Labour Markets and Inequality in Peru</w:t>
      </w:r>
      <w:r w:rsidRPr="005D0B08">
        <w:rPr>
          <w:rFonts w:ascii="Calibri" w:hAnsi="Calibri"/>
          <w:noProof/>
          <w:sz w:val="22"/>
        </w:rPr>
        <w:t>.</w:t>
      </w:r>
    </w:p>
    <w:p w14:paraId="5F37945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Fisher, E. (2007). Occupying the Margins: Labour Integration and Social Exclusion in Artisanal Mining in Tanzania. </w:t>
      </w:r>
      <w:r w:rsidRPr="005D0B08">
        <w:rPr>
          <w:rFonts w:ascii="Calibri" w:hAnsi="Calibri"/>
          <w:i/>
          <w:iCs/>
          <w:noProof/>
          <w:sz w:val="22"/>
        </w:rPr>
        <w:t>Development and Change</w:t>
      </w:r>
      <w:r w:rsidRPr="005D0B08">
        <w:rPr>
          <w:rFonts w:ascii="Calibri" w:hAnsi="Calibri"/>
          <w:noProof/>
          <w:sz w:val="22"/>
        </w:rPr>
        <w:t xml:space="preserve">, </w:t>
      </w:r>
      <w:r w:rsidRPr="005D0B08">
        <w:rPr>
          <w:rFonts w:ascii="Calibri" w:hAnsi="Calibri"/>
          <w:i/>
          <w:iCs/>
          <w:noProof/>
          <w:sz w:val="22"/>
        </w:rPr>
        <w:t>38</w:t>
      </w:r>
      <w:r w:rsidRPr="005D0B08">
        <w:rPr>
          <w:rFonts w:ascii="Calibri" w:hAnsi="Calibri"/>
          <w:noProof/>
          <w:sz w:val="22"/>
        </w:rPr>
        <w:t>(4), 735–760.</w:t>
      </w:r>
    </w:p>
    <w:p w14:paraId="7241B96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Fisher, E. (2008). Artisanal gold mining at the margins of mineral resource governance: a case from Tanzania. </w:t>
      </w:r>
      <w:r w:rsidRPr="005D0B08">
        <w:rPr>
          <w:rFonts w:ascii="Calibri" w:hAnsi="Calibri"/>
          <w:i/>
          <w:iCs/>
          <w:noProof/>
          <w:sz w:val="22"/>
        </w:rPr>
        <w:t>Development Southern Africa</w:t>
      </w:r>
      <w:r w:rsidRPr="005D0B08">
        <w:rPr>
          <w:rFonts w:ascii="Calibri" w:hAnsi="Calibri"/>
          <w:noProof/>
          <w:sz w:val="22"/>
        </w:rPr>
        <w:t xml:space="preserve">, </w:t>
      </w:r>
      <w:r w:rsidRPr="005D0B08">
        <w:rPr>
          <w:rFonts w:ascii="Calibri" w:hAnsi="Calibri"/>
          <w:i/>
          <w:iCs/>
          <w:noProof/>
          <w:sz w:val="22"/>
        </w:rPr>
        <w:t>25</w:t>
      </w:r>
      <w:r w:rsidRPr="005D0B08">
        <w:rPr>
          <w:rFonts w:ascii="Calibri" w:hAnsi="Calibri"/>
          <w:noProof/>
          <w:sz w:val="22"/>
        </w:rPr>
        <w:t>(2), 199–213.</w:t>
      </w:r>
    </w:p>
    <w:p w14:paraId="5E724CF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Fisher, E., Mwaipopo, R., Mutagwaba, W., Nyange, D., &amp; Yaron, G. (2009). “The ladder that sends us to wealth”: artisanal mining and poverty reduction in Tanzania.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(1–2), 32–38.</w:t>
      </w:r>
    </w:p>
    <w:p w14:paraId="61FF10D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Fleetwood, J. (2016). Narrative habitus: thinking through structure/agency in the narratives of offenders. </w:t>
      </w:r>
      <w:r w:rsidRPr="005D0B08">
        <w:rPr>
          <w:rFonts w:ascii="Calibri" w:hAnsi="Calibri"/>
          <w:i/>
          <w:iCs/>
          <w:noProof/>
          <w:sz w:val="22"/>
        </w:rPr>
        <w:t>Crime, Media, Culture</w:t>
      </w:r>
      <w:r w:rsidRPr="005D0B08">
        <w:rPr>
          <w:rFonts w:ascii="Calibri" w:hAnsi="Calibri"/>
          <w:noProof/>
          <w:sz w:val="22"/>
        </w:rPr>
        <w:t xml:space="preserve">, </w:t>
      </w:r>
      <w:r w:rsidRPr="005D0B08">
        <w:rPr>
          <w:rFonts w:ascii="Calibri" w:hAnsi="Calibri"/>
          <w:i/>
          <w:iCs/>
          <w:noProof/>
          <w:sz w:val="22"/>
        </w:rPr>
        <w:t>12</w:t>
      </w:r>
      <w:r w:rsidRPr="005D0B08">
        <w:rPr>
          <w:rFonts w:ascii="Calibri" w:hAnsi="Calibri"/>
          <w:noProof/>
          <w:sz w:val="22"/>
        </w:rPr>
        <w:t>(2), 173–192.</w:t>
      </w:r>
    </w:p>
    <w:p w14:paraId="11351C8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Fold, N., Jønsson, J. B., &amp; Yankson, P. (2014). Buying into formalization? State institutions and interlocked markets in African small-scale gold mining. </w:t>
      </w:r>
      <w:r w:rsidRPr="005D0B08">
        <w:rPr>
          <w:rFonts w:ascii="Calibri" w:hAnsi="Calibri"/>
          <w:i/>
          <w:iCs/>
          <w:noProof/>
          <w:sz w:val="22"/>
        </w:rPr>
        <w:t>Futures</w:t>
      </w:r>
      <w:r w:rsidRPr="005D0B08">
        <w:rPr>
          <w:rFonts w:ascii="Calibri" w:hAnsi="Calibri"/>
          <w:noProof/>
          <w:sz w:val="22"/>
        </w:rPr>
        <w:t xml:space="preserve">, </w:t>
      </w:r>
      <w:r w:rsidRPr="005D0B08">
        <w:rPr>
          <w:rFonts w:ascii="Calibri" w:hAnsi="Calibri"/>
          <w:i/>
          <w:iCs/>
          <w:noProof/>
          <w:sz w:val="22"/>
        </w:rPr>
        <w:t>62</w:t>
      </w:r>
      <w:r w:rsidRPr="005D0B08">
        <w:rPr>
          <w:rFonts w:ascii="Calibri" w:hAnsi="Calibri"/>
          <w:noProof/>
          <w:sz w:val="22"/>
        </w:rPr>
        <w:t>, 128–139.</w:t>
      </w:r>
    </w:p>
    <w:p w14:paraId="3D93875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Fontana, A., &amp; Frey, J. (2005). The interview: from neutral stance to political involvement. In N.K. Denzin &amp; Y. S. Lincoln (Eds.), </w:t>
      </w:r>
      <w:r w:rsidRPr="005D0B08">
        <w:rPr>
          <w:rFonts w:ascii="Calibri" w:hAnsi="Calibri"/>
          <w:i/>
          <w:iCs/>
          <w:noProof/>
          <w:sz w:val="22"/>
        </w:rPr>
        <w:t>The Sage Handbook of Qualitative Research</w:t>
      </w:r>
      <w:r w:rsidRPr="005D0B08">
        <w:rPr>
          <w:rFonts w:ascii="Calibri" w:hAnsi="Calibri"/>
          <w:noProof/>
          <w:sz w:val="22"/>
        </w:rPr>
        <w:t xml:space="preserve"> (3rd ed., pp. 695–728). London, UK: Sage Publications Ltd.</w:t>
      </w:r>
    </w:p>
    <w:p w14:paraId="5FBCAFF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Foote, K. (1997). </w:t>
      </w:r>
      <w:r w:rsidRPr="005D0B08">
        <w:rPr>
          <w:rFonts w:ascii="Calibri" w:hAnsi="Calibri"/>
          <w:i/>
          <w:iCs/>
          <w:noProof/>
          <w:sz w:val="22"/>
        </w:rPr>
        <w:t>Shadowed Ground: America’s Landscapes of Violence and Tragedy</w:t>
      </w:r>
      <w:r w:rsidRPr="005D0B08">
        <w:rPr>
          <w:rFonts w:ascii="Calibri" w:hAnsi="Calibri"/>
          <w:noProof/>
          <w:sz w:val="22"/>
        </w:rPr>
        <w:t>. Austin, TX: University of Texas Press.</w:t>
      </w:r>
    </w:p>
    <w:p w14:paraId="64B82F0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Foresight. (2011). Migration and Global Environmental Change. Future Challenges and Opportunities. </w:t>
      </w:r>
      <w:r w:rsidRPr="005D0B08">
        <w:rPr>
          <w:rFonts w:ascii="Calibri" w:hAnsi="Calibri"/>
          <w:i/>
          <w:iCs/>
          <w:noProof/>
          <w:sz w:val="22"/>
        </w:rPr>
        <w:t>Government Office for Science - Forsight</w:t>
      </w:r>
      <w:r w:rsidRPr="005D0B08">
        <w:rPr>
          <w:rFonts w:ascii="Calibri" w:hAnsi="Calibri"/>
          <w:noProof/>
          <w:sz w:val="22"/>
        </w:rPr>
        <w:t>, 234. Retrieved from https://www.gov.uk/government/uploads/system/uploads/attachment_data/file/287717/11-1116-migration-and-global-environmental-change.pdf</w:t>
      </w:r>
    </w:p>
    <w:p w14:paraId="08F159F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Frank, A. G. (1966). The development of underdevelopment. </w:t>
      </w:r>
      <w:r w:rsidRPr="005D0B08">
        <w:rPr>
          <w:rFonts w:ascii="Calibri" w:hAnsi="Calibri"/>
          <w:i/>
          <w:iCs/>
          <w:noProof/>
          <w:sz w:val="22"/>
        </w:rPr>
        <w:t>Monthly Review</w:t>
      </w:r>
      <w:r w:rsidRPr="005D0B08">
        <w:rPr>
          <w:rFonts w:ascii="Calibri" w:hAnsi="Calibri"/>
          <w:noProof/>
          <w:sz w:val="22"/>
        </w:rPr>
        <w:t xml:space="preserve">, </w:t>
      </w:r>
      <w:r w:rsidRPr="005D0B08">
        <w:rPr>
          <w:rFonts w:ascii="Calibri" w:hAnsi="Calibri"/>
          <w:i/>
          <w:iCs/>
          <w:noProof/>
          <w:sz w:val="22"/>
        </w:rPr>
        <w:t>18</w:t>
      </w:r>
      <w:r w:rsidRPr="005D0B08">
        <w:rPr>
          <w:rFonts w:ascii="Calibri" w:hAnsi="Calibri"/>
          <w:noProof/>
          <w:sz w:val="22"/>
        </w:rPr>
        <w:t>(4), 17–31.</w:t>
      </w:r>
    </w:p>
    <w:p w14:paraId="2E152F9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Fraser, A., &amp; Atkinson, C. (2014). Making up gangs: looping, labelling and the new politics of </w:t>
      </w:r>
      <w:r w:rsidRPr="005D0B08">
        <w:rPr>
          <w:rFonts w:ascii="Calibri" w:hAnsi="Calibri"/>
          <w:noProof/>
          <w:sz w:val="22"/>
        </w:rPr>
        <w:lastRenderedPageBreak/>
        <w:t xml:space="preserve">intelligence-led policing. </w:t>
      </w:r>
      <w:r w:rsidRPr="005D0B08">
        <w:rPr>
          <w:rFonts w:ascii="Calibri" w:hAnsi="Calibri"/>
          <w:i/>
          <w:iCs/>
          <w:noProof/>
          <w:sz w:val="22"/>
        </w:rPr>
        <w:t>Youth Justice</w:t>
      </w:r>
      <w:r w:rsidRPr="005D0B08">
        <w:rPr>
          <w:rFonts w:ascii="Calibri" w:hAnsi="Calibri"/>
          <w:noProof/>
          <w:sz w:val="22"/>
        </w:rPr>
        <w:t xml:space="preserve">, </w:t>
      </w:r>
      <w:r w:rsidRPr="005D0B08">
        <w:rPr>
          <w:rFonts w:ascii="Calibri" w:hAnsi="Calibri"/>
          <w:i/>
          <w:iCs/>
          <w:noProof/>
          <w:sz w:val="22"/>
        </w:rPr>
        <w:t>14</w:t>
      </w:r>
      <w:r w:rsidRPr="005D0B08">
        <w:rPr>
          <w:rFonts w:ascii="Calibri" w:hAnsi="Calibri"/>
          <w:noProof/>
          <w:sz w:val="22"/>
        </w:rPr>
        <w:t>(2), 154–170.</w:t>
      </w:r>
    </w:p>
    <w:p w14:paraId="7DCEE1E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Friedland, R., &amp; Boden, D. (1994). </w:t>
      </w:r>
      <w:r w:rsidRPr="005D0B08">
        <w:rPr>
          <w:rFonts w:ascii="Calibri" w:hAnsi="Calibri"/>
          <w:i/>
          <w:iCs/>
          <w:noProof/>
          <w:sz w:val="22"/>
        </w:rPr>
        <w:t>NowHere: Space, Time and Modernity</w:t>
      </w:r>
      <w:r w:rsidRPr="005D0B08">
        <w:rPr>
          <w:rFonts w:ascii="Calibri" w:hAnsi="Calibri"/>
          <w:noProof/>
          <w:sz w:val="22"/>
        </w:rPr>
        <w:t>. Berkeley: University of California Press.</w:t>
      </w:r>
    </w:p>
    <w:p w14:paraId="04BC7FE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Gade, D. W. (1967). The guinea pig in Andean folk culture. </w:t>
      </w:r>
      <w:r w:rsidRPr="005D0B08">
        <w:rPr>
          <w:rFonts w:ascii="Calibri" w:hAnsi="Calibri"/>
          <w:i/>
          <w:iCs/>
          <w:noProof/>
          <w:sz w:val="22"/>
        </w:rPr>
        <w:t>Geographical Review</w:t>
      </w:r>
      <w:r w:rsidRPr="005D0B08">
        <w:rPr>
          <w:rFonts w:ascii="Calibri" w:hAnsi="Calibri"/>
          <w:noProof/>
          <w:sz w:val="22"/>
        </w:rPr>
        <w:t xml:space="preserve">, </w:t>
      </w:r>
      <w:r w:rsidRPr="005D0B08">
        <w:rPr>
          <w:rFonts w:ascii="Calibri" w:hAnsi="Calibri"/>
          <w:i/>
          <w:iCs/>
          <w:noProof/>
          <w:sz w:val="22"/>
        </w:rPr>
        <w:t>57</w:t>
      </w:r>
      <w:r w:rsidRPr="005D0B08">
        <w:rPr>
          <w:rFonts w:ascii="Calibri" w:hAnsi="Calibri"/>
          <w:noProof/>
          <w:sz w:val="22"/>
        </w:rPr>
        <w:t>(2), 213–224.</w:t>
      </w:r>
    </w:p>
    <w:p w14:paraId="4E82C06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Galarza, F. B., &amp; Yamada, G. (2014). Labor market discrimination in Lima, Peru: evidence from a field experiment. </w:t>
      </w:r>
      <w:r w:rsidRPr="005D0B08">
        <w:rPr>
          <w:rFonts w:ascii="Calibri" w:hAnsi="Calibri"/>
          <w:i/>
          <w:iCs/>
          <w:noProof/>
          <w:sz w:val="22"/>
        </w:rPr>
        <w:t>World Development</w:t>
      </w:r>
      <w:r w:rsidRPr="005D0B08">
        <w:rPr>
          <w:rFonts w:ascii="Calibri" w:hAnsi="Calibri"/>
          <w:noProof/>
          <w:sz w:val="22"/>
        </w:rPr>
        <w:t xml:space="preserve">, </w:t>
      </w:r>
      <w:r w:rsidRPr="005D0B08">
        <w:rPr>
          <w:rFonts w:ascii="Calibri" w:hAnsi="Calibri"/>
          <w:i/>
          <w:iCs/>
          <w:noProof/>
          <w:sz w:val="22"/>
        </w:rPr>
        <w:t>58</w:t>
      </w:r>
      <w:r w:rsidRPr="005D0B08">
        <w:rPr>
          <w:rFonts w:ascii="Calibri" w:hAnsi="Calibri"/>
          <w:noProof/>
          <w:sz w:val="22"/>
        </w:rPr>
        <w:t>, 83–94.</w:t>
      </w:r>
    </w:p>
    <w:p w14:paraId="091C8F0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Galarza, F., Kogan, L., &amp; Tamada, G. (2011). </w:t>
      </w:r>
      <w:r w:rsidRPr="005D0B08">
        <w:rPr>
          <w:rFonts w:ascii="Calibri" w:hAnsi="Calibri"/>
          <w:i/>
          <w:iCs/>
          <w:noProof/>
          <w:sz w:val="22"/>
        </w:rPr>
        <w:t>¿Existe discriminacion en el mercado laboral de Lima Metropolitana? Un analisis experimental</w:t>
      </w:r>
      <w:r w:rsidRPr="005D0B08">
        <w:rPr>
          <w:rFonts w:ascii="Calibri" w:hAnsi="Calibri"/>
          <w:noProof/>
          <w:sz w:val="22"/>
        </w:rPr>
        <w:t>.</w:t>
      </w:r>
    </w:p>
    <w:p w14:paraId="27A6F3C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Galdo, J. (2013). The long-run labor-market consequences of civil war: evidence from the shining path in peru. </w:t>
      </w:r>
      <w:r w:rsidRPr="005D0B08">
        <w:rPr>
          <w:rFonts w:ascii="Calibri" w:hAnsi="Calibri"/>
          <w:i/>
          <w:iCs/>
          <w:noProof/>
          <w:sz w:val="22"/>
        </w:rPr>
        <w:t>Economic Development and Cultural Change</w:t>
      </w:r>
      <w:r w:rsidRPr="005D0B08">
        <w:rPr>
          <w:rFonts w:ascii="Calibri" w:hAnsi="Calibri"/>
          <w:noProof/>
          <w:sz w:val="22"/>
        </w:rPr>
        <w:t xml:space="preserve">, </w:t>
      </w:r>
      <w:r w:rsidRPr="005D0B08">
        <w:rPr>
          <w:rFonts w:ascii="Calibri" w:hAnsi="Calibri"/>
          <w:i/>
          <w:iCs/>
          <w:noProof/>
          <w:sz w:val="22"/>
        </w:rPr>
        <w:t>61</w:t>
      </w:r>
      <w:r w:rsidRPr="005D0B08">
        <w:rPr>
          <w:rFonts w:ascii="Calibri" w:hAnsi="Calibri"/>
          <w:noProof/>
          <w:sz w:val="22"/>
        </w:rPr>
        <w:t>(4), 789–823.</w:t>
      </w:r>
    </w:p>
    <w:p w14:paraId="4AE3E28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Galeano, E. (1971). </w:t>
      </w:r>
      <w:r w:rsidRPr="005D0B08">
        <w:rPr>
          <w:rFonts w:ascii="Calibri" w:hAnsi="Calibri"/>
          <w:i/>
          <w:iCs/>
          <w:noProof/>
          <w:sz w:val="22"/>
        </w:rPr>
        <w:t>Open Veins of Latin America: Five Centuries of the Pillage of a Continent</w:t>
      </w:r>
      <w:r w:rsidRPr="005D0B08">
        <w:rPr>
          <w:rFonts w:ascii="Calibri" w:hAnsi="Calibri"/>
          <w:noProof/>
          <w:sz w:val="22"/>
        </w:rPr>
        <w:t>. New York, NY: Monthly Review Press.</w:t>
      </w:r>
    </w:p>
    <w:p w14:paraId="237633D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Garland, A., Massoumi, M., Ruble, B. A., &amp; Tulchin, J. S. (2007). Poverty and the Periphery: Cities in Latin America and the Former Soviet Union. </w:t>
      </w:r>
      <w:r w:rsidRPr="005D0B08">
        <w:rPr>
          <w:rFonts w:ascii="Calibri" w:hAnsi="Calibri"/>
          <w:i/>
          <w:iCs/>
          <w:noProof/>
          <w:sz w:val="22"/>
        </w:rPr>
        <w:t>Georgetown Journal of International Affairs</w:t>
      </w:r>
      <w:r w:rsidRPr="005D0B08">
        <w:rPr>
          <w:rFonts w:ascii="Calibri" w:hAnsi="Calibri"/>
          <w:noProof/>
          <w:sz w:val="22"/>
        </w:rPr>
        <w:t xml:space="preserve">, </w:t>
      </w:r>
      <w:r w:rsidRPr="005D0B08">
        <w:rPr>
          <w:rFonts w:ascii="Calibri" w:hAnsi="Calibri"/>
          <w:i/>
          <w:iCs/>
          <w:noProof/>
          <w:sz w:val="22"/>
        </w:rPr>
        <w:t>8</w:t>
      </w:r>
      <w:r w:rsidRPr="005D0B08">
        <w:rPr>
          <w:rFonts w:ascii="Calibri" w:hAnsi="Calibri"/>
          <w:noProof/>
          <w:sz w:val="22"/>
        </w:rPr>
        <w:t>(2), 5–11.</w:t>
      </w:r>
    </w:p>
    <w:p w14:paraId="08AF1D3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Geenen, S. (2011). Relations and regulations in local gold trade networks in South Kivu, Democratic Republic of Congo. </w:t>
      </w:r>
      <w:r w:rsidRPr="005D0B08">
        <w:rPr>
          <w:rFonts w:ascii="Calibri" w:hAnsi="Calibri"/>
          <w:i/>
          <w:iCs/>
          <w:noProof/>
          <w:sz w:val="22"/>
        </w:rPr>
        <w:t>Journal of Eastern African Studies</w:t>
      </w:r>
      <w:r w:rsidRPr="005D0B08">
        <w:rPr>
          <w:rFonts w:ascii="Calibri" w:hAnsi="Calibri"/>
          <w:noProof/>
          <w:sz w:val="22"/>
        </w:rPr>
        <w:t xml:space="preserve">, </w:t>
      </w:r>
      <w:r w:rsidRPr="005D0B08">
        <w:rPr>
          <w:rFonts w:ascii="Calibri" w:hAnsi="Calibri"/>
          <w:i/>
          <w:iCs/>
          <w:noProof/>
          <w:sz w:val="22"/>
        </w:rPr>
        <w:t>5</w:t>
      </w:r>
      <w:r w:rsidRPr="005D0B08">
        <w:rPr>
          <w:rFonts w:ascii="Calibri" w:hAnsi="Calibri"/>
          <w:noProof/>
          <w:sz w:val="22"/>
        </w:rPr>
        <w:t>(3), 427–446.</w:t>
      </w:r>
    </w:p>
    <w:p w14:paraId="4101831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Geenen, S. (2012). A dangerous bet: the challenges of formalizing artisanal mining in the Democratic Republic of Congo.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(3), 322–330.</w:t>
      </w:r>
    </w:p>
    <w:p w14:paraId="720F636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Germani, G. (1969). </w:t>
      </w:r>
      <w:r w:rsidRPr="005D0B08">
        <w:rPr>
          <w:rFonts w:ascii="Calibri" w:hAnsi="Calibri"/>
          <w:i/>
          <w:iCs/>
          <w:noProof/>
          <w:sz w:val="22"/>
        </w:rPr>
        <w:t>Sociologia de la Modernizacion</w:t>
      </w:r>
      <w:r w:rsidRPr="005D0B08">
        <w:rPr>
          <w:rFonts w:ascii="Calibri" w:hAnsi="Calibri"/>
          <w:noProof/>
          <w:sz w:val="22"/>
        </w:rPr>
        <w:t>. Buenos Aires: Paidos.</w:t>
      </w:r>
    </w:p>
    <w:p w14:paraId="5365098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Gerring, J. (2007). </w:t>
      </w:r>
      <w:r w:rsidRPr="005D0B08">
        <w:rPr>
          <w:rFonts w:ascii="Calibri" w:hAnsi="Calibri"/>
          <w:i/>
          <w:iCs/>
          <w:noProof/>
          <w:sz w:val="22"/>
        </w:rPr>
        <w:t>Case Study Research: Principles and Practices</w:t>
      </w:r>
      <w:r w:rsidRPr="005D0B08">
        <w:rPr>
          <w:rFonts w:ascii="Calibri" w:hAnsi="Calibri"/>
          <w:noProof/>
          <w:sz w:val="22"/>
        </w:rPr>
        <w:t>. New York, NY: Cambridge University Press.</w:t>
      </w:r>
    </w:p>
    <w:p w14:paraId="662C942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GIATOC. (2016). </w:t>
      </w:r>
      <w:r w:rsidRPr="005D0B08">
        <w:rPr>
          <w:rFonts w:ascii="Calibri" w:hAnsi="Calibri"/>
          <w:i/>
          <w:iCs/>
          <w:noProof/>
          <w:sz w:val="22"/>
        </w:rPr>
        <w:t>Organized Crime and Illegally Mined Gold in Latin America</w:t>
      </w:r>
      <w:r w:rsidRPr="005D0B08">
        <w:rPr>
          <w:rFonts w:ascii="Calibri" w:hAnsi="Calibri"/>
          <w:noProof/>
          <w:sz w:val="22"/>
        </w:rPr>
        <w:t>. Geneva.</w:t>
      </w:r>
    </w:p>
    <w:p w14:paraId="573BA66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Gieryn, T. F. (2000). A space for place in sociology. </w:t>
      </w:r>
      <w:r w:rsidRPr="005D0B08">
        <w:rPr>
          <w:rFonts w:ascii="Calibri" w:hAnsi="Calibri"/>
          <w:i/>
          <w:iCs/>
          <w:noProof/>
          <w:sz w:val="22"/>
        </w:rPr>
        <w:t>Annual Review of Sociology</w:t>
      </w:r>
      <w:r w:rsidRPr="005D0B08">
        <w:rPr>
          <w:rFonts w:ascii="Calibri" w:hAnsi="Calibri"/>
          <w:noProof/>
          <w:sz w:val="22"/>
        </w:rPr>
        <w:t xml:space="preserve">, </w:t>
      </w:r>
      <w:r w:rsidRPr="005D0B08">
        <w:rPr>
          <w:rFonts w:ascii="Calibri" w:hAnsi="Calibri"/>
          <w:i/>
          <w:iCs/>
          <w:noProof/>
          <w:sz w:val="22"/>
        </w:rPr>
        <w:t>26</w:t>
      </w:r>
      <w:r w:rsidRPr="005D0B08">
        <w:rPr>
          <w:rFonts w:ascii="Calibri" w:hAnsi="Calibri"/>
          <w:noProof/>
          <w:sz w:val="22"/>
        </w:rPr>
        <w:t>, 463–496.</w:t>
      </w:r>
    </w:p>
    <w:p w14:paraId="266AC2C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Ginnetti, J. (2009). </w:t>
      </w:r>
      <w:r w:rsidRPr="005D0B08">
        <w:rPr>
          <w:rFonts w:ascii="Calibri" w:hAnsi="Calibri"/>
          <w:i/>
          <w:iCs/>
          <w:noProof/>
          <w:sz w:val="22"/>
        </w:rPr>
        <w:t>Climate change, livelihoods, and forced migration: a systems dynamical analysis of rural out-migration in Wollo, Ethiopia</w:t>
      </w:r>
      <w:r w:rsidRPr="005D0B08">
        <w:rPr>
          <w:rFonts w:ascii="Calibri" w:hAnsi="Calibri"/>
          <w:noProof/>
          <w:sz w:val="22"/>
        </w:rPr>
        <w:t>. The Fletcher School.</w:t>
      </w:r>
    </w:p>
    <w:p w14:paraId="68BE7F6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Glewwe, P., &amp; Hall, G. (1992). </w:t>
      </w:r>
      <w:r w:rsidRPr="005D0B08">
        <w:rPr>
          <w:rFonts w:ascii="Calibri" w:hAnsi="Calibri"/>
          <w:i/>
          <w:iCs/>
          <w:noProof/>
          <w:sz w:val="22"/>
        </w:rPr>
        <w:t>Poverty and Inequality During Unorthodox Adjustment: The Case of Peru, 1985-1990</w:t>
      </w:r>
      <w:r w:rsidRPr="005D0B08">
        <w:rPr>
          <w:rFonts w:ascii="Calibri" w:hAnsi="Calibri"/>
          <w:noProof/>
          <w:sz w:val="22"/>
        </w:rPr>
        <w:t>. New York, NY: World Bank.</w:t>
      </w:r>
    </w:p>
    <w:p w14:paraId="6F2AF7C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Glewwe, Paul, &amp; de Tray, D. (1991). The poor in Latin America during adjustment: a case study of Peru. </w:t>
      </w:r>
      <w:r w:rsidRPr="005D0B08">
        <w:rPr>
          <w:rFonts w:ascii="Calibri" w:hAnsi="Calibri"/>
          <w:i/>
          <w:iCs/>
          <w:noProof/>
          <w:sz w:val="22"/>
        </w:rPr>
        <w:t>Economic Development and Cultural Change</w:t>
      </w:r>
      <w:r w:rsidRPr="005D0B08">
        <w:rPr>
          <w:rFonts w:ascii="Calibri" w:hAnsi="Calibri"/>
          <w:noProof/>
          <w:sz w:val="22"/>
        </w:rPr>
        <w:t xml:space="preserve">, </w:t>
      </w:r>
      <w:r w:rsidRPr="005D0B08">
        <w:rPr>
          <w:rFonts w:ascii="Calibri" w:hAnsi="Calibri"/>
          <w:i/>
          <w:iCs/>
          <w:noProof/>
          <w:sz w:val="22"/>
        </w:rPr>
        <w:t>40</w:t>
      </w:r>
      <w:r w:rsidRPr="005D0B08">
        <w:rPr>
          <w:rFonts w:ascii="Calibri" w:hAnsi="Calibri"/>
          <w:noProof/>
          <w:sz w:val="22"/>
        </w:rPr>
        <w:t>(1), 27–54.</w:t>
      </w:r>
    </w:p>
    <w:p w14:paraId="5E7040D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Glick Schiller, N. (2007). </w:t>
      </w:r>
      <w:r w:rsidRPr="005D0B08">
        <w:rPr>
          <w:rFonts w:ascii="Calibri" w:hAnsi="Calibri"/>
          <w:i/>
          <w:iCs/>
          <w:noProof/>
          <w:sz w:val="22"/>
        </w:rPr>
        <w:t>Beyond the nation-state and its unit of analysis: towards a new research agenda for migration studies.</w:t>
      </w:r>
      <w:r w:rsidRPr="005D0B08">
        <w:rPr>
          <w:rFonts w:ascii="Calibri" w:hAnsi="Calibri"/>
          <w:noProof/>
          <w:sz w:val="22"/>
        </w:rPr>
        <w:t xml:space="preserve"> (No. 33).</w:t>
      </w:r>
    </w:p>
    <w:p w14:paraId="1374771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Glick Schiller, N., Basch, L., &amp; Blanc-Szanton, C. (1992). Transnationalism: A new analytic framework for understanding migration. In N. Glick Schiller, L. Basch, &amp; C. Blanc-Szanton (Eds.), </w:t>
      </w:r>
      <w:r w:rsidRPr="005D0B08">
        <w:rPr>
          <w:rFonts w:ascii="Calibri" w:hAnsi="Calibri"/>
          <w:i/>
          <w:iCs/>
          <w:noProof/>
          <w:sz w:val="22"/>
        </w:rPr>
        <w:t xml:space="preserve">Towards a </w:t>
      </w:r>
      <w:r w:rsidRPr="005D0B08">
        <w:rPr>
          <w:rFonts w:ascii="Calibri" w:hAnsi="Calibri"/>
          <w:i/>
          <w:iCs/>
          <w:noProof/>
          <w:sz w:val="22"/>
        </w:rPr>
        <w:lastRenderedPageBreak/>
        <w:t>Transnational Perspective on Migration: Race, Class, Ethnicity, and Nationalism Reconsidered</w:t>
      </w:r>
      <w:r w:rsidRPr="005D0B08">
        <w:rPr>
          <w:rFonts w:ascii="Calibri" w:hAnsi="Calibri"/>
          <w:noProof/>
          <w:sz w:val="22"/>
        </w:rPr>
        <w:t xml:space="preserve"> (pp. 1–24). New York, NY: New York Academy of Sciences.</w:t>
      </w:r>
    </w:p>
    <w:p w14:paraId="760A427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Glick Schiller, N., &amp; Fouron, G. E. (1999). Terrains of blood and nation: Haitian transnational social fields. </w:t>
      </w:r>
      <w:r w:rsidRPr="005D0B08">
        <w:rPr>
          <w:rFonts w:ascii="Calibri" w:hAnsi="Calibri"/>
          <w:i/>
          <w:iCs/>
          <w:noProof/>
          <w:sz w:val="22"/>
        </w:rPr>
        <w:t>Ethnic and Racial Studies</w:t>
      </w:r>
      <w:r w:rsidRPr="005D0B08">
        <w:rPr>
          <w:rFonts w:ascii="Calibri" w:hAnsi="Calibri"/>
          <w:noProof/>
          <w:sz w:val="22"/>
        </w:rPr>
        <w:t xml:space="preserve">, </w:t>
      </w:r>
      <w:r w:rsidRPr="005D0B08">
        <w:rPr>
          <w:rFonts w:ascii="Calibri" w:hAnsi="Calibri"/>
          <w:i/>
          <w:iCs/>
          <w:noProof/>
          <w:sz w:val="22"/>
        </w:rPr>
        <w:t>22</w:t>
      </w:r>
      <w:r w:rsidRPr="005D0B08">
        <w:rPr>
          <w:rFonts w:ascii="Calibri" w:hAnsi="Calibri"/>
          <w:noProof/>
          <w:sz w:val="22"/>
        </w:rPr>
        <w:t>(2), 340–366.</w:t>
      </w:r>
    </w:p>
    <w:p w14:paraId="02A3B7A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Glick Schiller, N., &amp; Salazar, N. B. (2013). Regimes of mobility: imaginaries and relationalities of power. </w:t>
      </w:r>
      <w:r w:rsidRPr="005D0B08">
        <w:rPr>
          <w:rFonts w:ascii="Calibri" w:hAnsi="Calibri"/>
          <w:i/>
          <w:iCs/>
          <w:noProof/>
          <w:sz w:val="22"/>
        </w:rPr>
        <w:t>Journal of Ethnic and Migration Studies</w:t>
      </w:r>
      <w:r w:rsidRPr="005D0B08">
        <w:rPr>
          <w:rFonts w:ascii="Calibri" w:hAnsi="Calibri"/>
          <w:noProof/>
          <w:sz w:val="22"/>
        </w:rPr>
        <w:t xml:space="preserve">, </w:t>
      </w:r>
      <w:r w:rsidRPr="005D0B08">
        <w:rPr>
          <w:rFonts w:ascii="Calibri" w:hAnsi="Calibri"/>
          <w:i/>
          <w:iCs/>
          <w:noProof/>
          <w:sz w:val="22"/>
        </w:rPr>
        <w:t>39</w:t>
      </w:r>
      <w:r w:rsidRPr="005D0B08">
        <w:rPr>
          <w:rFonts w:ascii="Calibri" w:hAnsi="Calibri"/>
          <w:noProof/>
          <w:sz w:val="22"/>
        </w:rPr>
        <w:t>(2), 183–200.</w:t>
      </w:r>
    </w:p>
    <w:p w14:paraId="5DC949F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Gonzales de Olarte, E., &amp; Sammame, L. (1991). </w:t>
      </w:r>
      <w:r w:rsidRPr="005D0B08">
        <w:rPr>
          <w:rFonts w:ascii="Calibri" w:hAnsi="Calibri"/>
          <w:i/>
          <w:iCs/>
          <w:noProof/>
          <w:sz w:val="22"/>
        </w:rPr>
        <w:t>El Péndulo Peruano: Políticas Económicas, Gobernabilidad y Subdesarrollo, 1963-1990</w:t>
      </w:r>
      <w:r w:rsidRPr="005D0B08">
        <w:rPr>
          <w:rFonts w:ascii="Calibri" w:hAnsi="Calibri"/>
          <w:noProof/>
          <w:sz w:val="22"/>
        </w:rPr>
        <w:t>. Lima, Peru: Instituto de Estudios Peruanos.</w:t>
      </w:r>
    </w:p>
    <w:p w14:paraId="0E27BA2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González Casanova, P. (1963). Sociedad plural, colonialismo interno y desarrollo. </w:t>
      </w:r>
      <w:r w:rsidRPr="005D0B08">
        <w:rPr>
          <w:rFonts w:ascii="Calibri" w:hAnsi="Calibri"/>
          <w:i/>
          <w:iCs/>
          <w:noProof/>
          <w:sz w:val="22"/>
        </w:rPr>
        <w:t>América Latina</w:t>
      </w:r>
      <w:r w:rsidRPr="005D0B08">
        <w:rPr>
          <w:rFonts w:ascii="Calibri" w:hAnsi="Calibri"/>
          <w:noProof/>
          <w:sz w:val="22"/>
        </w:rPr>
        <w:t xml:space="preserve">, </w:t>
      </w:r>
      <w:r w:rsidRPr="005D0B08">
        <w:rPr>
          <w:rFonts w:ascii="Calibri" w:hAnsi="Calibri"/>
          <w:i/>
          <w:iCs/>
          <w:noProof/>
          <w:sz w:val="22"/>
        </w:rPr>
        <w:t>6</w:t>
      </w:r>
      <w:r w:rsidRPr="005D0B08">
        <w:rPr>
          <w:rFonts w:ascii="Calibri" w:hAnsi="Calibri"/>
          <w:noProof/>
          <w:sz w:val="22"/>
        </w:rPr>
        <w:t>(3), 15–32.</w:t>
      </w:r>
    </w:p>
    <w:p w14:paraId="251DAC8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Grätz, T. (2003). Gold-mining and risk management: A case study from northern Benin. </w:t>
      </w:r>
      <w:r w:rsidRPr="005D0B08">
        <w:rPr>
          <w:rFonts w:ascii="Calibri" w:hAnsi="Calibri"/>
          <w:i/>
          <w:iCs/>
          <w:noProof/>
          <w:sz w:val="22"/>
        </w:rPr>
        <w:t>Ethnos</w:t>
      </w:r>
      <w:r w:rsidRPr="005D0B08">
        <w:rPr>
          <w:rFonts w:ascii="Calibri" w:hAnsi="Calibri"/>
          <w:noProof/>
          <w:sz w:val="22"/>
        </w:rPr>
        <w:t xml:space="preserve">, </w:t>
      </w:r>
      <w:r w:rsidRPr="005D0B08">
        <w:rPr>
          <w:rFonts w:ascii="Calibri" w:hAnsi="Calibri"/>
          <w:i/>
          <w:iCs/>
          <w:noProof/>
          <w:sz w:val="22"/>
        </w:rPr>
        <w:t>68</w:t>
      </w:r>
      <w:r w:rsidRPr="005D0B08">
        <w:rPr>
          <w:rFonts w:ascii="Calibri" w:hAnsi="Calibri"/>
          <w:noProof/>
          <w:sz w:val="22"/>
        </w:rPr>
        <w:t>(2), 92–208.</w:t>
      </w:r>
    </w:p>
    <w:p w14:paraId="7E70BDF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Grätz, T. (2004a). Friendship ties among young artisanal gold miners in northern Benin. </w:t>
      </w:r>
      <w:r w:rsidRPr="005D0B08">
        <w:rPr>
          <w:rFonts w:ascii="Calibri" w:hAnsi="Calibri"/>
          <w:i/>
          <w:iCs/>
          <w:noProof/>
          <w:sz w:val="22"/>
        </w:rPr>
        <w:t>Africa Spectrum</w:t>
      </w:r>
      <w:r w:rsidRPr="005D0B08">
        <w:rPr>
          <w:rFonts w:ascii="Calibri" w:hAnsi="Calibri"/>
          <w:noProof/>
          <w:sz w:val="22"/>
        </w:rPr>
        <w:t xml:space="preserve">, </w:t>
      </w:r>
      <w:r w:rsidRPr="005D0B08">
        <w:rPr>
          <w:rFonts w:ascii="Calibri" w:hAnsi="Calibri"/>
          <w:i/>
          <w:iCs/>
          <w:noProof/>
          <w:sz w:val="22"/>
        </w:rPr>
        <w:t>39</w:t>
      </w:r>
      <w:r w:rsidRPr="005D0B08">
        <w:rPr>
          <w:rFonts w:ascii="Calibri" w:hAnsi="Calibri"/>
          <w:noProof/>
          <w:sz w:val="22"/>
        </w:rPr>
        <w:t>(1), 95–117.</w:t>
      </w:r>
    </w:p>
    <w:p w14:paraId="463571E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Grätz, T. (2004b). Gold Trading Networks and the Creation of Trust: A Case Study from Northern Benin. </w:t>
      </w:r>
      <w:r w:rsidRPr="005D0B08">
        <w:rPr>
          <w:rFonts w:ascii="Calibri" w:hAnsi="Calibri"/>
          <w:i/>
          <w:iCs/>
          <w:noProof/>
          <w:sz w:val="22"/>
        </w:rPr>
        <w:t>Africa: Journal of the International African Institute</w:t>
      </w:r>
      <w:r w:rsidRPr="005D0B08">
        <w:rPr>
          <w:rFonts w:ascii="Calibri" w:hAnsi="Calibri"/>
          <w:noProof/>
          <w:sz w:val="22"/>
        </w:rPr>
        <w:t xml:space="preserve">, </w:t>
      </w:r>
      <w:r w:rsidRPr="005D0B08">
        <w:rPr>
          <w:rFonts w:ascii="Calibri" w:hAnsi="Calibri"/>
          <w:i/>
          <w:iCs/>
          <w:noProof/>
          <w:sz w:val="22"/>
        </w:rPr>
        <w:t>74</w:t>
      </w:r>
      <w:r w:rsidRPr="005D0B08">
        <w:rPr>
          <w:rFonts w:ascii="Calibri" w:hAnsi="Calibri"/>
          <w:noProof/>
          <w:sz w:val="22"/>
        </w:rPr>
        <w:t>(2), 146–172.</w:t>
      </w:r>
    </w:p>
    <w:p w14:paraId="0B602A8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Grätz, T. (2009). Moralities, risk and rules in West African artisanal gold mining communities: A case study of Northern Benin. </w:t>
      </w:r>
      <w:r w:rsidRPr="005D0B08">
        <w:rPr>
          <w:rFonts w:ascii="Calibri" w:hAnsi="Calibri"/>
          <w:i/>
          <w:iCs/>
          <w:noProof/>
          <w:sz w:val="22"/>
        </w:rPr>
        <w:t>Resources Policy</w:t>
      </w:r>
      <w:r w:rsidRPr="005D0B08">
        <w:rPr>
          <w:rFonts w:ascii="Calibri" w:hAnsi="Calibri"/>
          <w:noProof/>
          <w:sz w:val="22"/>
        </w:rPr>
        <w:t>.</w:t>
      </w:r>
    </w:p>
    <w:p w14:paraId="034B3A1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Grätz, T. (2013). </w:t>
      </w:r>
      <w:r w:rsidRPr="005D0B08">
        <w:rPr>
          <w:rFonts w:ascii="Calibri" w:hAnsi="Calibri"/>
          <w:i/>
          <w:iCs/>
          <w:noProof/>
          <w:sz w:val="22"/>
        </w:rPr>
        <w:t>The “frontier” revisited: gold mining camps and mining communities in West Africa</w:t>
      </w:r>
      <w:r w:rsidRPr="005D0B08">
        <w:rPr>
          <w:rFonts w:ascii="Calibri" w:hAnsi="Calibri"/>
          <w:noProof/>
          <w:sz w:val="22"/>
        </w:rPr>
        <w:t xml:space="preserve"> (ZMO Working Paper Series No. 10). Berlin.</w:t>
      </w:r>
    </w:p>
    <w:p w14:paraId="77FFF95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Graulau, J. (2001). Peasant Mining Production as a Development Strategy: The Case of Women in Gold Mining in the Brazilian Amazon. </w:t>
      </w:r>
      <w:r w:rsidRPr="005D0B08">
        <w:rPr>
          <w:rFonts w:ascii="Calibri" w:hAnsi="Calibri"/>
          <w:i/>
          <w:iCs/>
          <w:noProof/>
          <w:sz w:val="22"/>
        </w:rPr>
        <w:t>Estudios Latinoamericanos y Del Caribe</w:t>
      </w:r>
      <w:r w:rsidRPr="005D0B08">
        <w:rPr>
          <w:rFonts w:ascii="Calibri" w:hAnsi="Calibri"/>
          <w:noProof/>
          <w:sz w:val="22"/>
        </w:rPr>
        <w:t xml:space="preserve">, </w:t>
      </w:r>
      <w:r w:rsidRPr="005D0B08">
        <w:rPr>
          <w:rFonts w:ascii="Calibri" w:hAnsi="Calibri"/>
          <w:i/>
          <w:iCs/>
          <w:noProof/>
          <w:sz w:val="22"/>
        </w:rPr>
        <w:t>71</w:t>
      </w:r>
      <w:r w:rsidRPr="005D0B08">
        <w:rPr>
          <w:rFonts w:ascii="Calibri" w:hAnsi="Calibri"/>
          <w:noProof/>
          <w:sz w:val="22"/>
        </w:rPr>
        <w:t>, 71–106.</w:t>
      </w:r>
    </w:p>
    <w:p w14:paraId="320D63E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Gray, D. (2014). </w:t>
      </w:r>
      <w:r w:rsidRPr="005D0B08">
        <w:rPr>
          <w:rFonts w:ascii="Calibri" w:hAnsi="Calibri"/>
          <w:i/>
          <w:iCs/>
          <w:noProof/>
          <w:sz w:val="22"/>
        </w:rPr>
        <w:t>Doing Research in the Real World</w:t>
      </w:r>
      <w:r w:rsidRPr="005D0B08">
        <w:rPr>
          <w:rFonts w:ascii="Calibri" w:hAnsi="Calibri"/>
          <w:noProof/>
          <w:sz w:val="22"/>
        </w:rPr>
        <w:t>. London, UK: Sage Publications Ltd.</w:t>
      </w:r>
    </w:p>
    <w:p w14:paraId="46BEC26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Green, D. (1999). A trip to the market: the impact of neoliberalism in Latin America. In </w:t>
      </w:r>
      <w:r w:rsidRPr="005D0B08">
        <w:rPr>
          <w:rFonts w:ascii="Calibri" w:hAnsi="Calibri"/>
          <w:i/>
          <w:iCs/>
          <w:noProof/>
          <w:sz w:val="22"/>
        </w:rPr>
        <w:t>Developments in Latin American Political Economy: States, Markets and Actors</w:t>
      </w:r>
      <w:r w:rsidRPr="005D0B08">
        <w:rPr>
          <w:rFonts w:ascii="Calibri" w:hAnsi="Calibri"/>
          <w:noProof/>
          <w:sz w:val="22"/>
        </w:rPr>
        <w:t xml:space="preserve"> (pp. 13–32). Manchester, UK: Manchester University Press.</w:t>
      </w:r>
    </w:p>
    <w:p w14:paraId="1F33C9D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Green, D. (2003). </w:t>
      </w:r>
      <w:r w:rsidRPr="005D0B08">
        <w:rPr>
          <w:rFonts w:ascii="Calibri" w:hAnsi="Calibri"/>
          <w:i/>
          <w:iCs/>
          <w:noProof/>
          <w:sz w:val="22"/>
        </w:rPr>
        <w:t>The Silent Revolution: The Rise of Market Economics in Latin America</w:t>
      </w:r>
      <w:r w:rsidRPr="005D0B08">
        <w:rPr>
          <w:rFonts w:ascii="Calibri" w:hAnsi="Calibri"/>
          <w:noProof/>
          <w:sz w:val="22"/>
        </w:rPr>
        <w:t>. London, UK: Latin American Bureau and Cassell.</w:t>
      </w:r>
    </w:p>
    <w:p w14:paraId="20D25B2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Gregory, S., &amp; Lewis, J. (1988). Symbols of collective memory: the social process of memorializing. </w:t>
      </w:r>
      <w:r w:rsidRPr="005D0B08">
        <w:rPr>
          <w:rFonts w:ascii="Calibri" w:hAnsi="Calibri"/>
          <w:i/>
          <w:iCs/>
          <w:noProof/>
          <w:sz w:val="22"/>
        </w:rPr>
        <w:t>Symbolic Interact</w:t>
      </w:r>
      <w:r w:rsidRPr="005D0B08">
        <w:rPr>
          <w:rFonts w:ascii="Calibri" w:hAnsi="Calibri"/>
          <w:noProof/>
          <w:sz w:val="22"/>
        </w:rPr>
        <w:t xml:space="preserve">, </w:t>
      </w:r>
      <w:r w:rsidRPr="005D0B08">
        <w:rPr>
          <w:rFonts w:ascii="Calibri" w:hAnsi="Calibri"/>
          <w:i/>
          <w:iCs/>
          <w:noProof/>
          <w:sz w:val="22"/>
        </w:rPr>
        <w:t>11</w:t>
      </w:r>
      <w:r w:rsidRPr="005D0B08">
        <w:rPr>
          <w:rFonts w:ascii="Calibri" w:hAnsi="Calibri"/>
          <w:noProof/>
          <w:sz w:val="22"/>
        </w:rPr>
        <w:t>, 213–233.</w:t>
      </w:r>
    </w:p>
    <w:p w14:paraId="410097A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Greiner, C. (2010). Patterns of translocality: migration, livelihoods and identities in Northwest Namibia. </w:t>
      </w:r>
      <w:r w:rsidRPr="005D0B08">
        <w:rPr>
          <w:rFonts w:ascii="Calibri" w:hAnsi="Calibri"/>
          <w:i/>
          <w:iCs/>
          <w:noProof/>
          <w:sz w:val="22"/>
        </w:rPr>
        <w:t>Sociologus</w:t>
      </w:r>
      <w:r w:rsidRPr="005D0B08">
        <w:rPr>
          <w:rFonts w:ascii="Calibri" w:hAnsi="Calibri"/>
          <w:noProof/>
          <w:sz w:val="22"/>
        </w:rPr>
        <w:t xml:space="preserve">, </w:t>
      </w:r>
      <w:r w:rsidRPr="005D0B08">
        <w:rPr>
          <w:rFonts w:ascii="Calibri" w:hAnsi="Calibri"/>
          <w:i/>
          <w:iCs/>
          <w:noProof/>
          <w:sz w:val="22"/>
        </w:rPr>
        <w:t>60</w:t>
      </w:r>
      <w:r w:rsidRPr="005D0B08">
        <w:rPr>
          <w:rFonts w:ascii="Calibri" w:hAnsi="Calibri"/>
          <w:noProof/>
          <w:sz w:val="22"/>
        </w:rPr>
        <w:t>(2), 131–161.</w:t>
      </w:r>
    </w:p>
    <w:p w14:paraId="4EC7A8E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Greiner, C. (2011). Migration, translocal networks and socio-economic stratification in Namibia. </w:t>
      </w:r>
      <w:r w:rsidRPr="005D0B08">
        <w:rPr>
          <w:rFonts w:ascii="Calibri" w:hAnsi="Calibri"/>
          <w:i/>
          <w:iCs/>
          <w:noProof/>
          <w:sz w:val="22"/>
        </w:rPr>
        <w:t>Africa: The Journal of the International African Institute</w:t>
      </w:r>
      <w:r w:rsidRPr="005D0B08">
        <w:rPr>
          <w:rFonts w:ascii="Calibri" w:hAnsi="Calibri"/>
          <w:noProof/>
          <w:sz w:val="22"/>
        </w:rPr>
        <w:t xml:space="preserve">, </w:t>
      </w:r>
      <w:r w:rsidRPr="005D0B08">
        <w:rPr>
          <w:rFonts w:ascii="Calibri" w:hAnsi="Calibri"/>
          <w:i/>
          <w:iCs/>
          <w:noProof/>
          <w:sz w:val="22"/>
        </w:rPr>
        <w:t>81</w:t>
      </w:r>
      <w:r w:rsidRPr="005D0B08">
        <w:rPr>
          <w:rFonts w:ascii="Calibri" w:hAnsi="Calibri"/>
          <w:noProof/>
          <w:sz w:val="22"/>
        </w:rPr>
        <w:t>(4), 606–627.</w:t>
      </w:r>
    </w:p>
    <w:p w14:paraId="5CA6A23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Greiner, C., &amp; Sakdapolrak, P. (2013). Translocality: concepts, applications and emerging research perspectives. </w:t>
      </w:r>
      <w:r w:rsidRPr="005D0B08">
        <w:rPr>
          <w:rFonts w:ascii="Calibri" w:hAnsi="Calibri"/>
          <w:i/>
          <w:iCs/>
          <w:noProof/>
          <w:sz w:val="22"/>
        </w:rPr>
        <w:t>Geography Compass</w:t>
      </w:r>
      <w:r w:rsidRPr="005D0B08">
        <w:rPr>
          <w:rFonts w:ascii="Calibri" w:hAnsi="Calibri"/>
          <w:noProof/>
          <w:sz w:val="22"/>
        </w:rPr>
        <w:t xml:space="preserve">, </w:t>
      </w:r>
      <w:r w:rsidRPr="005D0B08">
        <w:rPr>
          <w:rFonts w:ascii="Calibri" w:hAnsi="Calibri"/>
          <w:i/>
          <w:iCs/>
          <w:noProof/>
          <w:sz w:val="22"/>
        </w:rPr>
        <w:t>7</w:t>
      </w:r>
      <w:r w:rsidRPr="005D0B08">
        <w:rPr>
          <w:rFonts w:ascii="Calibri" w:hAnsi="Calibri"/>
          <w:noProof/>
          <w:sz w:val="22"/>
        </w:rPr>
        <w:t>(5), 373–384.</w:t>
      </w:r>
    </w:p>
    <w:p w14:paraId="7FA9259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Gujit, I., &amp; Shah, M. . (1999). </w:t>
      </w:r>
      <w:r w:rsidRPr="005D0B08">
        <w:rPr>
          <w:rFonts w:ascii="Calibri" w:hAnsi="Calibri"/>
          <w:i/>
          <w:iCs/>
          <w:noProof/>
          <w:sz w:val="22"/>
        </w:rPr>
        <w:t>The Myth of Community: Gender Issues in Participatory Development</w:t>
      </w:r>
      <w:r w:rsidRPr="005D0B08">
        <w:rPr>
          <w:rFonts w:ascii="Calibri" w:hAnsi="Calibri"/>
          <w:noProof/>
          <w:sz w:val="22"/>
        </w:rPr>
        <w:t>. London, UK: Intermediate Technology Publication.</w:t>
      </w:r>
    </w:p>
    <w:p w14:paraId="1712F78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Guo, F. (2007). The impact of temporary migration on migrant communities. In Z. Zhao &amp; F. Guo (Eds.), </w:t>
      </w:r>
      <w:r w:rsidRPr="005D0B08">
        <w:rPr>
          <w:rFonts w:ascii="Calibri" w:hAnsi="Calibri"/>
          <w:i/>
          <w:iCs/>
          <w:noProof/>
          <w:sz w:val="22"/>
        </w:rPr>
        <w:t>Transition and Challenge: China’s Population at the Beginning of the 21st Century</w:t>
      </w:r>
      <w:r w:rsidRPr="005D0B08">
        <w:rPr>
          <w:rFonts w:ascii="Calibri" w:hAnsi="Calibri"/>
          <w:noProof/>
          <w:sz w:val="22"/>
        </w:rPr>
        <w:t xml:space="preserve"> (pp. 216–232). New York, NY: Oxford University Press.</w:t>
      </w:r>
    </w:p>
    <w:p w14:paraId="4DADE2C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Gupta, A., &amp; Ferguson, J. (1997). Beyond “culture”: space, identity and the politics of difference. In A. Gupta &amp; J. Ferguson (Eds.), </w:t>
      </w:r>
      <w:r w:rsidRPr="005D0B08">
        <w:rPr>
          <w:rFonts w:ascii="Calibri" w:hAnsi="Calibri"/>
          <w:i/>
          <w:iCs/>
          <w:noProof/>
          <w:sz w:val="22"/>
        </w:rPr>
        <w:t>Culture, Power, Place: Explorations in Critical Anthropology</w:t>
      </w:r>
      <w:r w:rsidRPr="005D0B08">
        <w:rPr>
          <w:rFonts w:ascii="Calibri" w:hAnsi="Calibri"/>
          <w:noProof/>
          <w:sz w:val="22"/>
        </w:rPr>
        <w:t xml:space="preserve"> (pp. 31–51). Durham, NC: Duke University Press.</w:t>
      </w:r>
    </w:p>
    <w:p w14:paraId="22E2FBF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Gustafsson, M. T. (2015). Historic state-society relations and mobilisations surrounding extractive industries: Lessons from Peru. </w:t>
      </w:r>
      <w:r w:rsidRPr="005D0B08">
        <w:rPr>
          <w:rFonts w:ascii="Calibri" w:hAnsi="Calibri"/>
          <w:i/>
          <w:iCs/>
          <w:noProof/>
          <w:sz w:val="22"/>
        </w:rPr>
        <w:t>Canadian Journal of Development Studies</w:t>
      </w:r>
      <w:r w:rsidRPr="005D0B08">
        <w:rPr>
          <w:rFonts w:ascii="Calibri" w:hAnsi="Calibri"/>
          <w:noProof/>
          <w:sz w:val="22"/>
        </w:rPr>
        <w:t xml:space="preserve">, </w:t>
      </w:r>
      <w:r w:rsidRPr="005D0B08">
        <w:rPr>
          <w:rFonts w:ascii="Calibri" w:hAnsi="Calibri"/>
          <w:i/>
          <w:iCs/>
          <w:noProof/>
          <w:sz w:val="22"/>
        </w:rPr>
        <w:t>36</w:t>
      </w:r>
      <w:r w:rsidRPr="005D0B08">
        <w:rPr>
          <w:rFonts w:ascii="Calibri" w:hAnsi="Calibri"/>
          <w:noProof/>
          <w:sz w:val="22"/>
        </w:rPr>
        <w:t>(3), 313–329.</w:t>
      </w:r>
    </w:p>
    <w:p w14:paraId="78E8E14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Gutmann, M. (1996). </w:t>
      </w:r>
      <w:r w:rsidRPr="005D0B08">
        <w:rPr>
          <w:rFonts w:ascii="Calibri" w:hAnsi="Calibri"/>
          <w:i/>
          <w:iCs/>
          <w:noProof/>
          <w:sz w:val="22"/>
        </w:rPr>
        <w:t>The Meanings of Macho. Being a Man in Mexico City</w:t>
      </w:r>
      <w:r w:rsidRPr="005D0B08">
        <w:rPr>
          <w:rFonts w:ascii="Calibri" w:hAnsi="Calibri"/>
          <w:noProof/>
          <w:sz w:val="22"/>
        </w:rPr>
        <w:t>. Berkeley: University of California Press.</w:t>
      </w:r>
    </w:p>
    <w:p w14:paraId="1916997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Habermas, J. (1987). </w:t>
      </w:r>
      <w:r w:rsidRPr="005D0B08">
        <w:rPr>
          <w:rFonts w:ascii="Calibri" w:hAnsi="Calibri"/>
          <w:i/>
          <w:iCs/>
          <w:noProof/>
          <w:sz w:val="22"/>
        </w:rPr>
        <w:t>The Theory of Communicative Action (vol.2): System and Lifeworld</w:t>
      </w:r>
      <w:r w:rsidRPr="005D0B08">
        <w:rPr>
          <w:rFonts w:ascii="Calibri" w:hAnsi="Calibri"/>
          <w:noProof/>
          <w:sz w:val="22"/>
        </w:rPr>
        <w:t>. Cambridge: Polity Press.</w:t>
      </w:r>
    </w:p>
    <w:p w14:paraId="130A20B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Hage, G. (2005). A not so multi-sited ethnography of a not so imagined community. </w:t>
      </w:r>
      <w:r w:rsidRPr="005D0B08">
        <w:rPr>
          <w:rFonts w:ascii="Calibri" w:hAnsi="Calibri"/>
          <w:i/>
          <w:iCs/>
          <w:noProof/>
          <w:sz w:val="22"/>
        </w:rPr>
        <w:t>Anthropological Theory</w:t>
      </w:r>
      <w:r w:rsidRPr="005D0B08">
        <w:rPr>
          <w:rFonts w:ascii="Calibri" w:hAnsi="Calibri"/>
          <w:noProof/>
          <w:sz w:val="22"/>
        </w:rPr>
        <w:t xml:space="preserve">, </w:t>
      </w:r>
      <w:r w:rsidRPr="005D0B08">
        <w:rPr>
          <w:rFonts w:ascii="Calibri" w:hAnsi="Calibri"/>
          <w:i/>
          <w:iCs/>
          <w:noProof/>
          <w:sz w:val="22"/>
        </w:rPr>
        <w:t>5</w:t>
      </w:r>
      <w:r w:rsidRPr="005D0B08">
        <w:rPr>
          <w:rFonts w:ascii="Calibri" w:hAnsi="Calibri"/>
          <w:noProof/>
          <w:sz w:val="22"/>
        </w:rPr>
        <w:t>(4), 463–475.</w:t>
      </w:r>
    </w:p>
    <w:p w14:paraId="0695754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Hall, D., Hirsch, P., &amp; Li, T. (2011). </w:t>
      </w:r>
      <w:r w:rsidRPr="005D0B08">
        <w:rPr>
          <w:rFonts w:ascii="Calibri" w:hAnsi="Calibri"/>
          <w:i/>
          <w:iCs/>
          <w:noProof/>
          <w:sz w:val="22"/>
        </w:rPr>
        <w:t>Powers of Exclusion: Land Dilemmas in Southeast Asia</w:t>
      </w:r>
      <w:r w:rsidRPr="005D0B08">
        <w:rPr>
          <w:rFonts w:ascii="Calibri" w:hAnsi="Calibri"/>
          <w:noProof/>
          <w:sz w:val="22"/>
        </w:rPr>
        <w:t>. Singapore: NUS Press.</w:t>
      </w:r>
    </w:p>
    <w:p w14:paraId="2EC00C9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Hamilton, G. G. (1985). Temporary migration and the institutionalization of strategy. </w:t>
      </w:r>
      <w:r w:rsidRPr="005D0B08">
        <w:rPr>
          <w:rFonts w:ascii="Calibri" w:hAnsi="Calibri"/>
          <w:i/>
          <w:iCs/>
          <w:noProof/>
          <w:sz w:val="22"/>
        </w:rPr>
        <w:t>International Journal of Intercultural Relations</w:t>
      </w:r>
      <w:r w:rsidRPr="005D0B08">
        <w:rPr>
          <w:rFonts w:ascii="Calibri" w:hAnsi="Calibri"/>
          <w:noProof/>
          <w:sz w:val="22"/>
        </w:rPr>
        <w:t xml:space="preserve">, </w:t>
      </w:r>
      <w:r w:rsidRPr="005D0B08">
        <w:rPr>
          <w:rFonts w:ascii="Calibri" w:hAnsi="Calibri"/>
          <w:i/>
          <w:iCs/>
          <w:noProof/>
          <w:sz w:val="22"/>
        </w:rPr>
        <w:t>9</w:t>
      </w:r>
      <w:r w:rsidRPr="005D0B08">
        <w:rPr>
          <w:rFonts w:ascii="Calibri" w:hAnsi="Calibri"/>
          <w:noProof/>
          <w:sz w:val="22"/>
        </w:rPr>
        <w:t>(4), 405–425.</w:t>
      </w:r>
    </w:p>
    <w:p w14:paraId="18B0C04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Hannerz, U. (1998). </w:t>
      </w:r>
      <w:r w:rsidRPr="005D0B08">
        <w:rPr>
          <w:rFonts w:ascii="Calibri" w:hAnsi="Calibri"/>
          <w:i/>
          <w:iCs/>
          <w:noProof/>
          <w:sz w:val="22"/>
        </w:rPr>
        <w:t>Transnational Research</w:t>
      </w:r>
      <w:r w:rsidRPr="005D0B08">
        <w:rPr>
          <w:rFonts w:ascii="Calibri" w:hAnsi="Calibri"/>
          <w:noProof/>
          <w:sz w:val="22"/>
        </w:rPr>
        <w:t xml:space="preserve">. </w:t>
      </w:r>
      <w:r w:rsidRPr="005D0B08">
        <w:rPr>
          <w:rFonts w:ascii="Calibri" w:hAnsi="Calibri"/>
          <w:i/>
          <w:iCs/>
          <w:noProof/>
          <w:sz w:val="22"/>
        </w:rPr>
        <w:t>Handbook of Methods in Cultural Anthropology</w:t>
      </w:r>
      <w:r w:rsidRPr="005D0B08">
        <w:rPr>
          <w:rFonts w:ascii="Calibri" w:hAnsi="Calibri"/>
          <w:noProof/>
          <w:sz w:val="22"/>
        </w:rPr>
        <w:t>. Walnut Creek, CA: AltaMira Press.</w:t>
      </w:r>
    </w:p>
    <w:p w14:paraId="4FCC093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Harriss, J. (2006). Social Capital. In K. . Jomo &amp; B. Fine (Eds.), </w:t>
      </w:r>
      <w:r w:rsidRPr="005D0B08">
        <w:rPr>
          <w:rFonts w:ascii="Calibri" w:hAnsi="Calibri"/>
          <w:i/>
          <w:iCs/>
          <w:noProof/>
          <w:sz w:val="22"/>
        </w:rPr>
        <w:t>The New Development Economics: After the Washington Consensus</w:t>
      </w:r>
      <w:r w:rsidRPr="005D0B08">
        <w:rPr>
          <w:rFonts w:ascii="Calibri" w:hAnsi="Calibri"/>
          <w:noProof/>
          <w:sz w:val="22"/>
        </w:rPr>
        <w:t>. London, UK: Zed Books.</w:t>
      </w:r>
    </w:p>
    <w:p w14:paraId="618AD5D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Harvey, D. (2003). </w:t>
      </w:r>
      <w:r w:rsidRPr="005D0B08">
        <w:rPr>
          <w:rFonts w:ascii="Calibri" w:hAnsi="Calibri"/>
          <w:i/>
          <w:iCs/>
          <w:noProof/>
          <w:sz w:val="22"/>
        </w:rPr>
        <w:t>The New Imperialism</w:t>
      </w:r>
      <w:r w:rsidRPr="005D0B08">
        <w:rPr>
          <w:rFonts w:ascii="Calibri" w:hAnsi="Calibri"/>
          <w:noProof/>
          <w:sz w:val="22"/>
        </w:rPr>
        <w:t>. Oxford, UK: Oxford University Press.</w:t>
      </w:r>
    </w:p>
    <w:p w14:paraId="263A051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Haslam, P. A., &amp; Ary Tanimoune, N. (2016). The determinants of social conflict in the Latin American mining sector: new evidence with quantitative data. </w:t>
      </w:r>
      <w:r w:rsidRPr="005D0B08">
        <w:rPr>
          <w:rFonts w:ascii="Calibri" w:hAnsi="Calibri"/>
          <w:i/>
          <w:iCs/>
          <w:noProof/>
          <w:sz w:val="22"/>
        </w:rPr>
        <w:t>World Development</w:t>
      </w:r>
      <w:r w:rsidRPr="005D0B08">
        <w:rPr>
          <w:rFonts w:ascii="Calibri" w:hAnsi="Calibri"/>
          <w:noProof/>
          <w:sz w:val="22"/>
        </w:rPr>
        <w:t xml:space="preserve">, </w:t>
      </w:r>
      <w:r w:rsidRPr="005D0B08">
        <w:rPr>
          <w:rFonts w:ascii="Calibri" w:hAnsi="Calibri"/>
          <w:i/>
          <w:iCs/>
          <w:noProof/>
          <w:sz w:val="22"/>
        </w:rPr>
        <w:t>78</w:t>
      </w:r>
      <w:r w:rsidRPr="005D0B08">
        <w:rPr>
          <w:rFonts w:ascii="Calibri" w:hAnsi="Calibri"/>
          <w:noProof/>
          <w:sz w:val="22"/>
        </w:rPr>
        <w:t>, 401–419.</w:t>
      </w:r>
    </w:p>
    <w:p w14:paraId="1AE27D2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Havnevik, K., Bryceson, D., Birgega°rd, L., Matondi, P., &amp; Beyene, A. (2007). </w:t>
      </w:r>
      <w:r w:rsidRPr="005D0B08">
        <w:rPr>
          <w:rFonts w:ascii="Calibri" w:hAnsi="Calibri"/>
          <w:i/>
          <w:iCs/>
          <w:noProof/>
          <w:sz w:val="22"/>
        </w:rPr>
        <w:t>African agriculture and the World Bank development or impoverishment?</w:t>
      </w:r>
      <w:r w:rsidRPr="005D0B08">
        <w:rPr>
          <w:rFonts w:ascii="Calibri" w:hAnsi="Calibri"/>
          <w:noProof/>
          <w:sz w:val="22"/>
        </w:rPr>
        <w:t xml:space="preserve"> Stockholm.</w:t>
      </w:r>
    </w:p>
    <w:p w14:paraId="7DE9132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Hays-Mitchell, M. (2002). Resisting austerity: A gendered perspective on neo-liberal restructing in Peru. </w:t>
      </w:r>
      <w:r w:rsidRPr="005D0B08">
        <w:rPr>
          <w:rFonts w:ascii="Calibri" w:hAnsi="Calibri"/>
          <w:i/>
          <w:iCs/>
          <w:noProof/>
          <w:sz w:val="22"/>
        </w:rPr>
        <w:t>Gender and Development</w:t>
      </w:r>
      <w:r w:rsidRPr="005D0B08">
        <w:rPr>
          <w:rFonts w:ascii="Calibri" w:hAnsi="Calibri"/>
          <w:noProof/>
          <w:sz w:val="22"/>
        </w:rPr>
        <w:t xml:space="preserve">, </w:t>
      </w:r>
      <w:r w:rsidRPr="005D0B08">
        <w:rPr>
          <w:rFonts w:ascii="Calibri" w:hAnsi="Calibri"/>
          <w:i/>
          <w:iCs/>
          <w:noProof/>
          <w:sz w:val="22"/>
        </w:rPr>
        <w:t>10</w:t>
      </w:r>
      <w:r w:rsidRPr="005D0B08">
        <w:rPr>
          <w:rFonts w:ascii="Calibri" w:hAnsi="Calibri"/>
          <w:noProof/>
          <w:sz w:val="22"/>
        </w:rPr>
        <w:t>(3), 71–81.</w:t>
      </w:r>
    </w:p>
    <w:p w14:paraId="7191411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Head, E. (2009). The ethics and implications of paying participants in qualitative research. </w:t>
      </w:r>
      <w:r w:rsidRPr="005D0B08">
        <w:rPr>
          <w:rFonts w:ascii="Calibri" w:hAnsi="Calibri"/>
          <w:i/>
          <w:iCs/>
          <w:noProof/>
          <w:sz w:val="22"/>
        </w:rPr>
        <w:lastRenderedPageBreak/>
        <w:t>International Journal of Social Research Methods</w:t>
      </w:r>
      <w:r w:rsidRPr="005D0B08">
        <w:rPr>
          <w:rFonts w:ascii="Calibri" w:hAnsi="Calibri"/>
          <w:noProof/>
          <w:sz w:val="22"/>
        </w:rPr>
        <w:t xml:space="preserve">, </w:t>
      </w:r>
      <w:r w:rsidRPr="005D0B08">
        <w:rPr>
          <w:rFonts w:ascii="Calibri" w:hAnsi="Calibri"/>
          <w:i/>
          <w:iCs/>
          <w:noProof/>
          <w:sz w:val="22"/>
        </w:rPr>
        <w:t>12</w:t>
      </w:r>
      <w:r w:rsidRPr="005D0B08">
        <w:rPr>
          <w:rFonts w:ascii="Calibri" w:hAnsi="Calibri"/>
          <w:noProof/>
          <w:sz w:val="22"/>
        </w:rPr>
        <w:t>(4), 335–344.</w:t>
      </w:r>
    </w:p>
    <w:p w14:paraId="6C7A317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Heeks, R. (1998). </w:t>
      </w:r>
      <w:r w:rsidRPr="005D0B08">
        <w:rPr>
          <w:rFonts w:ascii="Calibri" w:hAnsi="Calibri"/>
          <w:i/>
          <w:iCs/>
          <w:noProof/>
          <w:sz w:val="22"/>
        </w:rPr>
        <w:t>Small Enterprise Development and the ‘Dutch Disease’ in a Small Economy: The Case of Brunei</w:t>
      </w:r>
      <w:r w:rsidRPr="005D0B08">
        <w:rPr>
          <w:rFonts w:ascii="Calibri" w:hAnsi="Calibri"/>
          <w:noProof/>
          <w:sz w:val="22"/>
        </w:rPr>
        <w:t xml:space="preserve"> (Discussion Paper No. 56). Manchester, UK.</w:t>
      </w:r>
    </w:p>
    <w:p w14:paraId="26C8B20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Heemskerek, M. (2000). </w:t>
      </w:r>
      <w:r w:rsidRPr="005D0B08">
        <w:rPr>
          <w:rFonts w:ascii="Calibri" w:hAnsi="Calibri"/>
          <w:i/>
          <w:iCs/>
          <w:noProof/>
          <w:sz w:val="22"/>
        </w:rPr>
        <w:t>Gender and Gold Mining: The Case of the Maroons of Suriname</w:t>
      </w:r>
      <w:r w:rsidRPr="005D0B08">
        <w:rPr>
          <w:rFonts w:ascii="Calibri" w:hAnsi="Calibri"/>
          <w:noProof/>
          <w:sz w:val="22"/>
        </w:rPr>
        <w:t xml:space="preserve"> (Women and International Development No. 269). East Lansing, MI.</w:t>
      </w:r>
    </w:p>
    <w:p w14:paraId="7C62332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Heemskerk, M. (2005). Collecting data in artisanal and small-scale mining communities: Measuring progress towards more sustainable livelihoods. </w:t>
      </w:r>
      <w:r w:rsidRPr="005D0B08">
        <w:rPr>
          <w:rFonts w:ascii="Calibri" w:hAnsi="Calibri"/>
          <w:i/>
          <w:iCs/>
          <w:noProof/>
          <w:sz w:val="22"/>
        </w:rPr>
        <w:t>Natural Resources Forum</w:t>
      </w:r>
      <w:r w:rsidRPr="005D0B08">
        <w:rPr>
          <w:rFonts w:ascii="Calibri" w:hAnsi="Calibri"/>
          <w:noProof/>
          <w:sz w:val="22"/>
        </w:rPr>
        <w:t xml:space="preserve">, </w:t>
      </w:r>
      <w:r w:rsidRPr="005D0B08">
        <w:rPr>
          <w:rFonts w:ascii="Calibri" w:hAnsi="Calibri"/>
          <w:i/>
          <w:iCs/>
          <w:noProof/>
          <w:sz w:val="22"/>
        </w:rPr>
        <w:t>29</w:t>
      </w:r>
      <w:r w:rsidRPr="005D0B08">
        <w:rPr>
          <w:rFonts w:ascii="Calibri" w:hAnsi="Calibri"/>
          <w:noProof/>
          <w:sz w:val="22"/>
        </w:rPr>
        <w:t>(1), 82–87.</w:t>
      </w:r>
    </w:p>
    <w:p w14:paraId="5E51F22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Heemskerk, M., &amp; de Theije, M. (2010). Transforming land tenure systems in the quest for gold: Aluku, Wayana, and the State in the Suriname – French Guiana border region. In E. B. Visigalli &amp; A. Roosevelt (Eds.), </w:t>
      </w:r>
      <w:r w:rsidRPr="005D0B08">
        <w:rPr>
          <w:rFonts w:ascii="Calibri" w:hAnsi="Calibri"/>
          <w:i/>
          <w:iCs/>
          <w:noProof/>
          <w:sz w:val="22"/>
        </w:rPr>
        <w:t>L’acte De Colloque Amaz’hommes</w:t>
      </w:r>
      <w:r w:rsidRPr="005D0B08">
        <w:rPr>
          <w:rFonts w:ascii="Calibri" w:hAnsi="Calibri"/>
          <w:noProof/>
          <w:sz w:val="22"/>
        </w:rPr>
        <w:t xml:space="preserve"> (pp. 353–365). Cayenne: Ibis Rouge.</w:t>
      </w:r>
    </w:p>
    <w:p w14:paraId="08C3B3F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Heemskerk, M., &amp; Duijves, C. (2013). Small-scale gold mining and conflict in Suriname. In L. Cremers, J. Kolen, &amp; M. de Theije (Eds.), </w:t>
      </w:r>
      <w:r w:rsidRPr="005D0B08">
        <w:rPr>
          <w:rFonts w:ascii="Calibri" w:hAnsi="Calibri"/>
          <w:i/>
          <w:iCs/>
          <w:noProof/>
          <w:sz w:val="22"/>
        </w:rPr>
        <w:t>Small-scale Gold Mining in the Amazon: The Cases of Bolivia, Brazil, Colombia, Peru and Suriname</w:t>
      </w:r>
      <w:r w:rsidRPr="005D0B08">
        <w:rPr>
          <w:rFonts w:ascii="Calibri" w:hAnsi="Calibri"/>
          <w:noProof/>
          <w:sz w:val="22"/>
        </w:rPr>
        <w:t>. Amsterdam: CEDLA.</w:t>
      </w:r>
    </w:p>
    <w:p w14:paraId="56DCA10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Heemskerk, M., Duijves, C., &amp; Pinas, M. (2015). Interpersonal and institutional distrust as disabling factors in natural resources management: small-scale gold miners and the Government in Suriname. </w:t>
      </w:r>
      <w:r w:rsidRPr="005D0B08">
        <w:rPr>
          <w:rFonts w:ascii="Calibri" w:hAnsi="Calibri"/>
          <w:i/>
          <w:iCs/>
          <w:noProof/>
          <w:sz w:val="22"/>
        </w:rPr>
        <w:t>Society and Natural Resources</w:t>
      </w:r>
      <w:r w:rsidRPr="005D0B08">
        <w:rPr>
          <w:rFonts w:ascii="Calibri" w:hAnsi="Calibri"/>
          <w:noProof/>
          <w:sz w:val="22"/>
        </w:rPr>
        <w:t xml:space="preserve">, </w:t>
      </w:r>
      <w:r w:rsidRPr="005D0B08">
        <w:rPr>
          <w:rFonts w:ascii="Calibri" w:hAnsi="Calibri"/>
          <w:i/>
          <w:iCs/>
          <w:noProof/>
          <w:sz w:val="22"/>
        </w:rPr>
        <w:t>28</w:t>
      </w:r>
      <w:r w:rsidRPr="005D0B08">
        <w:rPr>
          <w:rFonts w:ascii="Calibri" w:hAnsi="Calibri"/>
          <w:noProof/>
          <w:sz w:val="22"/>
        </w:rPr>
        <w:t>(2), 133–148.</w:t>
      </w:r>
    </w:p>
    <w:p w14:paraId="6919E17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Heemskerk, M., &amp; Oliveira, M. (2004). </w:t>
      </w:r>
      <w:r w:rsidRPr="005D0B08">
        <w:rPr>
          <w:rFonts w:ascii="Calibri" w:hAnsi="Calibri"/>
          <w:i/>
          <w:iCs/>
          <w:noProof/>
          <w:sz w:val="22"/>
        </w:rPr>
        <w:t>Perceptions of small-scale gold miners miners on self-organizartion and formalization in Suriname, South America</w:t>
      </w:r>
      <w:r w:rsidRPr="005D0B08">
        <w:rPr>
          <w:rFonts w:ascii="Calibri" w:hAnsi="Calibri"/>
          <w:noProof/>
          <w:sz w:val="22"/>
        </w:rPr>
        <w:t>. Paramaribo.</w:t>
      </w:r>
    </w:p>
    <w:p w14:paraId="20EB1887" w14:textId="78A90925"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Helwege, A. (2015). Challenges with resolving mining conflicts in Latin America.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2</w:t>
      </w:r>
      <w:r w:rsidRPr="005D0B08">
        <w:rPr>
          <w:rFonts w:ascii="Calibri" w:hAnsi="Calibri"/>
          <w:noProof/>
          <w:sz w:val="22"/>
        </w:rPr>
        <w:t xml:space="preserve">(1), 73–84. </w:t>
      </w:r>
    </w:p>
    <w:p w14:paraId="7618B06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Henry, S., Boyle, P., &amp; Lambin, E. (2003). Modelling inter-provincial migration in Burkina Faso, West Africa: the role of socio-demographic and environmental factors. </w:t>
      </w:r>
      <w:r w:rsidRPr="005D0B08">
        <w:rPr>
          <w:rFonts w:ascii="Calibri" w:hAnsi="Calibri"/>
          <w:i/>
          <w:iCs/>
          <w:noProof/>
          <w:sz w:val="22"/>
        </w:rPr>
        <w:t>Applied Geography</w:t>
      </w:r>
      <w:r w:rsidRPr="005D0B08">
        <w:rPr>
          <w:rFonts w:ascii="Calibri" w:hAnsi="Calibri"/>
          <w:noProof/>
          <w:sz w:val="22"/>
        </w:rPr>
        <w:t xml:space="preserve">, </w:t>
      </w:r>
      <w:r w:rsidRPr="005D0B08">
        <w:rPr>
          <w:rFonts w:ascii="Calibri" w:hAnsi="Calibri"/>
          <w:i/>
          <w:iCs/>
          <w:noProof/>
          <w:sz w:val="22"/>
        </w:rPr>
        <w:t>23</w:t>
      </w:r>
      <w:r w:rsidRPr="005D0B08">
        <w:rPr>
          <w:rFonts w:ascii="Calibri" w:hAnsi="Calibri"/>
          <w:noProof/>
          <w:sz w:val="22"/>
        </w:rPr>
        <w:t>(04), 115–136.</w:t>
      </w:r>
    </w:p>
    <w:p w14:paraId="2C347CE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Hentschel, T., Hruschka, F., &amp; Priester, M. (2002). </w:t>
      </w:r>
      <w:r w:rsidRPr="005D0B08">
        <w:rPr>
          <w:rFonts w:ascii="Calibri" w:hAnsi="Calibri"/>
          <w:i/>
          <w:iCs/>
          <w:noProof/>
          <w:sz w:val="22"/>
        </w:rPr>
        <w:t>Global Report on Artisanal and Small-Scale Mining</w:t>
      </w:r>
      <w:r w:rsidRPr="005D0B08">
        <w:rPr>
          <w:rFonts w:ascii="Calibri" w:hAnsi="Calibri"/>
          <w:noProof/>
          <w:sz w:val="22"/>
        </w:rPr>
        <w:t>. London.</w:t>
      </w:r>
    </w:p>
    <w:p w14:paraId="74A9160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Herrera, J. (2017). Poverty and economic inequalities in Peru during the boom in growth: 2004-14. In </w:t>
      </w:r>
      <w:r w:rsidRPr="005D0B08">
        <w:rPr>
          <w:rFonts w:ascii="Calibri" w:hAnsi="Calibri"/>
          <w:i/>
          <w:iCs/>
          <w:noProof/>
          <w:sz w:val="22"/>
        </w:rPr>
        <w:t>Alternative Pathways to Sustainable Development: Lessons from Latin America</w:t>
      </w:r>
      <w:r w:rsidRPr="005D0B08">
        <w:rPr>
          <w:rFonts w:ascii="Calibri" w:hAnsi="Calibri"/>
          <w:noProof/>
          <w:sz w:val="22"/>
        </w:rPr>
        <w:t xml:space="preserve"> (pp. 138–173). Geneva: Graduate Institute Publications, Brill-Nijhoff.</w:t>
      </w:r>
    </w:p>
    <w:p w14:paraId="15BE7EB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Hilgers, M., &amp; Manguez, E. (2015). Introduction to Pierre Bourdieu’s theory of social fields. In M. Hilgers &amp; E. Manguez (Eds.), </w:t>
      </w:r>
      <w:r w:rsidRPr="005D0B08">
        <w:rPr>
          <w:rFonts w:ascii="Calibri" w:hAnsi="Calibri"/>
          <w:i/>
          <w:iCs/>
          <w:noProof/>
          <w:sz w:val="22"/>
        </w:rPr>
        <w:t>Bourdieu’s Theory of Social Fields: Concepts and Applications</w:t>
      </w:r>
      <w:r w:rsidRPr="005D0B08">
        <w:rPr>
          <w:rFonts w:ascii="Calibri" w:hAnsi="Calibri"/>
          <w:noProof/>
          <w:sz w:val="22"/>
        </w:rPr>
        <w:t xml:space="preserve"> (pp. 1–36). Abingdon, UK: Routledge.</w:t>
      </w:r>
    </w:p>
    <w:p w14:paraId="480FA4E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Hilson, G., Yakovleva, N., &amp; Banchirigah, S. M. (2007). To move or not to move’: reflections on the resettlement of artisanal miners in the western region of Ghana. </w:t>
      </w:r>
      <w:r w:rsidRPr="005D0B08">
        <w:rPr>
          <w:rFonts w:ascii="Calibri" w:hAnsi="Calibri"/>
          <w:i/>
          <w:iCs/>
          <w:noProof/>
          <w:sz w:val="22"/>
        </w:rPr>
        <w:t>African Affairs</w:t>
      </w:r>
      <w:r w:rsidRPr="005D0B08">
        <w:rPr>
          <w:rFonts w:ascii="Calibri" w:hAnsi="Calibri"/>
          <w:noProof/>
          <w:sz w:val="22"/>
        </w:rPr>
        <w:t xml:space="preserve">, </w:t>
      </w:r>
      <w:r w:rsidRPr="005D0B08">
        <w:rPr>
          <w:rFonts w:ascii="Calibri" w:hAnsi="Calibri"/>
          <w:i/>
          <w:iCs/>
          <w:noProof/>
          <w:sz w:val="22"/>
        </w:rPr>
        <w:t>106</w:t>
      </w:r>
      <w:r w:rsidRPr="005D0B08">
        <w:rPr>
          <w:rFonts w:ascii="Calibri" w:hAnsi="Calibri"/>
          <w:noProof/>
          <w:sz w:val="22"/>
        </w:rPr>
        <w:t>(424), 413–436.</w:t>
      </w:r>
    </w:p>
    <w:p w14:paraId="1B36A9E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Hilson, G. (2005). Strengthening artisanal mining research and policy through baseline census activities. </w:t>
      </w:r>
      <w:r w:rsidRPr="005D0B08">
        <w:rPr>
          <w:rFonts w:ascii="Calibri" w:hAnsi="Calibri"/>
          <w:i/>
          <w:iCs/>
          <w:noProof/>
          <w:sz w:val="22"/>
        </w:rPr>
        <w:t>Natural Resources Forum</w:t>
      </w:r>
      <w:r w:rsidRPr="005D0B08">
        <w:rPr>
          <w:rFonts w:ascii="Calibri" w:hAnsi="Calibri"/>
          <w:noProof/>
          <w:sz w:val="22"/>
        </w:rPr>
        <w:t xml:space="preserve">, </w:t>
      </w:r>
      <w:r w:rsidRPr="005D0B08">
        <w:rPr>
          <w:rFonts w:ascii="Calibri" w:hAnsi="Calibri"/>
          <w:i/>
          <w:iCs/>
          <w:noProof/>
          <w:sz w:val="22"/>
        </w:rPr>
        <w:t>29</w:t>
      </w:r>
      <w:r w:rsidRPr="005D0B08">
        <w:rPr>
          <w:rFonts w:ascii="Calibri" w:hAnsi="Calibri"/>
          <w:noProof/>
          <w:sz w:val="22"/>
        </w:rPr>
        <w:t>(2), 144–153.</w:t>
      </w:r>
    </w:p>
    <w:p w14:paraId="1B21F22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Hilson, G. (2010). “Once a miner, always a miner”: poverty and livelihood diversification in Akwatia, Ghana. </w:t>
      </w:r>
      <w:r w:rsidRPr="005D0B08">
        <w:rPr>
          <w:rFonts w:ascii="Calibri" w:hAnsi="Calibri"/>
          <w:i/>
          <w:iCs/>
          <w:noProof/>
          <w:sz w:val="22"/>
        </w:rPr>
        <w:t>Journal of Rural Studies</w:t>
      </w:r>
      <w:r w:rsidRPr="005D0B08">
        <w:rPr>
          <w:rFonts w:ascii="Calibri" w:hAnsi="Calibri"/>
          <w:noProof/>
          <w:sz w:val="22"/>
        </w:rPr>
        <w:t xml:space="preserve">, </w:t>
      </w:r>
      <w:r w:rsidRPr="005D0B08">
        <w:rPr>
          <w:rFonts w:ascii="Calibri" w:hAnsi="Calibri"/>
          <w:i/>
          <w:iCs/>
          <w:noProof/>
          <w:sz w:val="22"/>
        </w:rPr>
        <w:t>26</w:t>
      </w:r>
      <w:r w:rsidRPr="005D0B08">
        <w:rPr>
          <w:rFonts w:ascii="Calibri" w:hAnsi="Calibri"/>
          <w:noProof/>
          <w:sz w:val="22"/>
        </w:rPr>
        <w:t>(3), 296–307.</w:t>
      </w:r>
    </w:p>
    <w:p w14:paraId="0053316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Hilson, G. (2012). Poverty traps in small-scale mining communities: the case of sub-Saharan Africa. </w:t>
      </w:r>
      <w:r w:rsidRPr="005D0B08">
        <w:rPr>
          <w:rFonts w:ascii="Calibri" w:hAnsi="Calibri"/>
          <w:i/>
          <w:iCs/>
          <w:noProof/>
          <w:sz w:val="22"/>
        </w:rPr>
        <w:t>Canadian Journal of Development Studies</w:t>
      </w:r>
      <w:r w:rsidRPr="005D0B08">
        <w:rPr>
          <w:rFonts w:ascii="Calibri" w:hAnsi="Calibri"/>
          <w:noProof/>
          <w:sz w:val="22"/>
        </w:rPr>
        <w:t xml:space="preserve">, </w:t>
      </w:r>
      <w:r w:rsidRPr="005D0B08">
        <w:rPr>
          <w:rFonts w:ascii="Calibri" w:hAnsi="Calibri"/>
          <w:i/>
          <w:iCs/>
          <w:noProof/>
          <w:sz w:val="22"/>
        </w:rPr>
        <w:t>33</w:t>
      </w:r>
      <w:r w:rsidRPr="005D0B08">
        <w:rPr>
          <w:rFonts w:ascii="Calibri" w:hAnsi="Calibri"/>
          <w:noProof/>
          <w:sz w:val="22"/>
        </w:rPr>
        <w:t>(2), 180–197.</w:t>
      </w:r>
    </w:p>
    <w:p w14:paraId="129A626F" w14:textId="512EBF50"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Hilson, G</w:t>
      </w:r>
      <w:r>
        <w:rPr>
          <w:rFonts w:ascii="Calibri" w:hAnsi="Calibri"/>
          <w:noProof/>
          <w:sz w:val="22"/>
        </w:rPr>
        <w:t>.</w:t>
      </w:r>
      <w:r w:rsidRPr="005D0B08">
        <w:rPr>
          <w:rFonts w:ascii="Calibri" w:hAnsi="Calibri"/>
          <w:noProof/>
          <w:sz w:val="22"/>
        </w:rPr>
        <w:t xml:space="preserve">, &amp; Gatsinzi, A. (2014). A rocky road ahead? Critical reflections on the futures of small-scale mining in sub-Saharan Africa. </w:t>
      </w:r>
      <w:r w:rsidRPr="005D0B08">
        <w:rPr>
          <w:rFonts w:ascii="Calibri" w:hAnsi="Calibri"/>
          <w:i/>
          <w:iCs/>
          <w:noProof/>
          <w:sz w:val="22"/>
        </w:rPr>
        <w:t>Futures</w:t>
      </w:r>
      <w:r w:rsidRPr="005D0B08">
        <w:rPr>
          <w:rFonts w:ascii="Calibri" w:hAnsi="Calibri"/>
          <w:noProof/>
          <w:sz w:val="22"/>
        </w:rPr>
        <w:t xml:space="preserve">, </w:t>
      </w:r>
      <w:r w:rsidRPr="005D0B08">
        <w:rPr>
          <w:rFonts w:ascii="Calibri" w:hAnsi="Calibri"/>
          <w:i/>
          <w:iCs/>
          <w:noProof/>
          <w:sz w:val="22"/>
        </w:rPr>
        <w:t>62</w:t>
      </w:r>
      <w:r w:rsidRPr="005D0B08">
        <w:rPr>
          <w:rFonts w:ascii="Calibri" w:hAnsi="Calibri"/>
          <w:noProof/>
          <w:sz w:val="22"/>
        </w:rPr>
        <w:t>(Part A), 1–9.</w:t>
      </w:r>
    </w:p>
    <w:p w14:paraId="47BEEA08" w14:textId="2872A4F3"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Hilson, G</w:t>
      </w:r>
      <w:r>
        <w:rPr>
          <w:rFonts w:ascii="Calibri" w:hAnsi="Calibri"/>
          <w:noProof/>
          <w:sz w:val="22"/>
        </w:rPr>
        <w:t>.</w:t>
      </w:r>
      <w:r w:rsidRPr="005D0B08">
        <w:rPr>
          <w:rFonts w:ascii="Calibri" w:hAnsi="Calibri"/>
          <w:noProof/>
          <w:sz w:val="22"/>
        </w:rPr>
        <w:t xml:space="preserve">, Hilson, A., &amp; Maconachie, R. (2018). Opportunity or necessity? Conceptualizing entrepreneurship at African small-scale mines. </w:t>
      </w:r>
      <w:r w:rsidRPr="005D0B08">
        <w:rPr>
          <w:rFonts w:ascii="Calibri" w:hAnsi="Calibri"/>
          <w:i/>
          <w:iCs/>
          <w:noProof/>
          <w:sz w:val="22"/>
        </w:rPr>
        <w:t>Technological Forecasting and Social Change</w:t>
      </w:r>
      <w:r w:rsidRPr="005D0B08">
        <w:rPr>
          <w:rFonts w:ascii="Calibri" w:hAnsi="Calibri"/>
          <w:noProof/>
          <w:sz w:val="22"/>
        </w:rPr>
        <w:t xml:space="preserve">, </w:t>
      </w:r>
      <w:r w:rsidRPr="005D0B08">
        <w:rPr>
          <w:rFonts w:ascii="Calibri" w:hAnsi="Calibri"/>
          <w:i/>
          <w:iCs/>
          <w:noProof/>
          <w:sz w:val="22"/>
        </w:rPr>
        <w:t>131</w:t>
      </w:r>
      <w:r w:rsidRPr="005D0B08">
        <w:rPr>
          <w:rFonts w:ascii="Calibri" w:hAnsi="Calibri"/>
          <w:noProof/>
          <w:sz w:val="22"/>
        </w:rPr>
        <w:t>, 286–302.</w:t>
      </w:r>
    </w:p>
    <w:p w14:paraId="02251579" w14:textId="4BFF9E8F"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Hilson, G</w:t>
      </w:r>
      <w:r>
        <w:rPr>
          <w:rFonts w:ascii="Calibri" w:hAnsi="Calibri"/>
          <w:noProof/>
          <w:sz w:val="22"/>
        </w:rPr>
        <w:t>.</w:t>
      </w:r>
      <w:r w:rsidRPr="005D0B08">
        <w:rPr>
          <w:rFonts w:ascii="Calibri" w:hAnsi="Calibri"/>
          <w:noProof/>
          <w:sz w:val="22"/>
        </w:rPr>
        <w:t xml:space="preserve">, Hilson, A., Siwale, A., &amp; Maconachie, R. (2018). Female faces in informal ‘spaces’: women and artisanal and small-scale mining in sub-Saharan Africa. </w:t>
      </w:r>
      <w:r w:rsidRPr="005D0B08">
        <w:rPr>
          <w:rFonts w:ascii="Calibri" w:hAnsi="Calibri"/>
          <w:i/>
          <w:iCs/>
          <w:noProof/>
          <w:sz w:val="22"/>
        </w:rPr>
        <w:t>Africa Journal of Management</w:t>
      </w:r>
      <w:r w:rsidRPr="005D0B08">
        <w:rPr>
          <w:rFonts w:ascii="Calibri" w:hAnsi="Calibri"/>
          <w:noProof/>
          <w:sz w:val="22"/>
        </w:rPr>
        <w:t xml:space="preserve">, </w:t>
      </w:r>
      <w:r w:rsidRPr="005D0B08">
        <w:rPr>
          <w:rFonts w:ascii="Calibri" w:hAnsi="Calibri"/>
          <w:i/>
          <w:iCs/>
          <w:noProof/>
          <w:sz w:val="22"/>
        </w:rPr>
        <w:t>4</w:t>
      </w:r>
      <w:r w:rsidRPr="005D0B08">
        <w:rPr>
          <w:rFonts w:ascii="Calibri" w:hAnsi="Calibri"/>
          <w:noProof/>
          <w:sz w:val="22"/>
        </w:rPr>
        <w:t>(3), 306–346.</w:t>
      </w:r>
    </w:p>
    <w:p w14:paraId="63B58378" w14:textId="3D67A3B1"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Hilson, G</w:t>
      </w:r>
      <w:r>
        <w:rPr>
          <w:rFonts w:ascii="Calibri" w:hAnsi="Calibri"/>
          <w:noProof/>
          <w:sz w:val="22"/>
        </w:rPr>
        <w:t>.</w:t>
      </w:r>
      <w:r w:rsidRPr="005D0B08">
        <w:rPr>
          <w:rFonts w:ascii="Calibri" w:hAnsi="Calibri"/>
          <w:noProof/>
          <w:sz w:val="22"/>
        </w:rPr>
        <w:t xml:space="preserve">, &amp; McQuilken, J. (2014). Four decades of support for artisanal and small-scale mining in sub-Saharan Africa: A critical review.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1</w:t>
      </w:r>
      <w:r w:rsidRPr="005D0B08">
        <w:rPr>
          <w:rFonts w:ascii="Calibri" w:hAnsi="Calibri"/>
          <w:noProof/>
          <w:sz w:val="22"/>
        </w:rPr>
        <w:t>(1), 104–118.</w:t>
      </w:r>
    </w:p>
    <w:p w14:paraId="45817B7F" w14:textId="69D221CD"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Hilson, G</w:t>
      </w:r>
      <w:r>
        <w:rPr>
          <w:rFonts w:ascii="Calibri" w:hAnsi="Calibri"/>
          <w:noProof/>
          <w:sz w:val="22"/>
        </w:rPr>
        <w:t>.</w:t>
      </w:r>
      <w:r w:rsidRPr="005D0B08">
        <w:rPr>
          <w:rFonts w:ascii="Calibri" w:hAnsi="Calibri"/>
          <w:noProof/>
          <w:sz w:val="22"/>
        </w:rPr>
        <w:t xml:space="preserve">, &amp; Osei, L. (2014). Tackling youth unemployment in sub-Saharan Africa: Is there a role for artisanal and small-scale mining? </w:t>
      </w:r>
      <w:r w:rsidRPr="005D0B08">
        <w:rPr>
          <w:rFonts w:ascii="Calibri" w:hAnsi="Calibri"/>
          <w:i/>
          <w:iCs/>
          <w:noProof/>
          <w:sz w:val="22"/>
        </w:rPr>
        <w:t>Futures</w:t>
      </w:r>
      <w:r w:rsidRPr="005D0B08">
        <w:rPr>
          <w:rFonts w:ascii="Calibri" w:hAnsi="Calibri"/>
          <w:noProof/>
          <w:sz w:val="22"/>
        </w:rPr>
        <w:t xml:space="preserve">, </w:t>
      </w:r>
      <w:r w:rsidRPr="005D0B08">
        <w:rPr>
          <w:rFonts w:ascii="Calibri" w:hAnsi="Calibri"/>
          <w:i/>
          <w:iCs/>
          <w:noProof/>
          <w:sz w:val="22"/>
        </w:rPr>
        <w:t>62</w:t>
      </w:r>
      <w:r w:rsidRPr="005D0B08">
        <w:rPr>
          <w:rFonts w:ascii="Calibri" w:hAnsi="Calibri"/>
          <w:noProof/>
          <w:sz w:val="22"/>
        </w:rPr>
        <w:t>(2014), 83–94.</w:t>
      </w:r>
    </w:p>
    <w:p w14:paraId="136B8D02" w14:textId="5D42E182"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Hilson, G</w:t>
      </w:r>
      <w:r>
        <w:rPr>
          <w:rFonts w:ascii="Calibri" w:hAnsi="Calibri"/>
          <w:noProof/>
          <w:sz w:val="22"/>
        </w:rPr>
        <w:t>.</w:t>
      </w:r>
      <w:r w:rsidRPr="005D0B08">
        <w:rPr>
          <w:rFonts w:ascii="Calibri" w:hAnsi="Calibri"/>
          <w:noProof/>
          <w:sz w:val="22"/>
        </w:rPr>
        <w:t xml:space="preserve">, &amp; Potter, C. (2005). Structural adjustment and subsistence industry: artisanal gold mining in Ghana. </w:t>
      </w:r>
      <w:r w:rsidRPr="005D0B08">
        <w:rPr>
          <w:rFonts w:ascii="Calibri" w:hAnsi="Calibri"/>
          <w:i/>
          <w:iCs/>
          <w:noProof/>
          <w:sz w:val="22"/>
        </w:rPr>
        <w:t>Development and Change</w:t>
      </w:r>
      <w:r w:rsidRPr="005D0B08">
        <w:rPr>
          <w:rFonts w:ascii="Calibri" w:hAnsi="Calibri"/>
          <w:noProof/>
          <w:sz w:val="22"/>
        </w:rPr>
        <w:t xml:space="preserve">, </w:t>
      </w:r>
      <w:r w:rsidRPr="005D0B08">
        <w:rPr>
          <w:rFonts w:ascii="Calibri" w:hAnsi="Calibri"/>
          <w:i/>
          <w:iCs/>
          <w:noProof/>
          <w:sz w:val="22"/>
        </w:rPr>
        <w:t>36</w:t>
      </w:r>
      <w:r w:rsidRPr="005D0B08">
        <w:rPr>
          <w:rFonts w:ascii="Calibri" w:hAnsi="Calibri"/>
          <w:noProof/>
          <w:sz w:val="22"/>
        </w:rPr>
        <w:t>(1), 103–131.</w:t>
      </w:r>
    </w:p>
    <w:p w14:paraId="200D3F59" w14:textId="01E22F72"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Pr>
          <w:rFonts w:ascii="Calibri" w:hAnsi="Calibri"/>
          <w:noProof/>
          <w:sz w:val="22"/>
        </w:rPr>
        <w:t>Hilson, G</w:t>
      </w:r>
      <w:r w:rsidRPr="005D0B08">
        <w:rPr>
          <w:rFonts w:ascii="Calibri" w:hAnsi="Calibri"/>
          <w:noProof/>
          <w:sz w:val="22"/>
        </w:rPr>
        <w:t xml:space="preserve">. (2013). “Creating” rural informality: the case of artisanal gold mining in sub-Saharan africa. </w:t>
      </w:r>
      <w:r w:rsidRPr="005D0B08">
        <w:rPr>
          <w:rFonts w:ascii="Calibri" w:hAnsi="Calibri"/>
          <w:i/>
          <w:iCs/>
          <w:noProof/>
          <w:sz w:val="22"/>
        </w:rPr>
        <w:t>The SAIS Review of International Affairs</w:t>
      </w:r>
      <w:r w:rsidRPr="005D0B08">
        <w:rPr>
          <w:rFonts w:ascii="Calibri" w:hAnsi="Calibri"/>
          <w:noProof/>
          <w:sz w:val="22"/>
        </w:rPr>
        <w:t xml:space="preserve">, </w:t>
      </w:r>
      <w:r w:rsidRPr="005D0B08">
        <w:rPr>
          <w:rFonts w:ascii="Calibri" w:hAnsi="Calibri"/>
          <w:i/>
          <w:iCs/>
          <w:noProof/>
          <w:sz w:val="22"/>
        </w:rPr>
        <w:t>33</w:t>
      </w:r>
      <w:r w:rsidRPr="005D0B08">
        <w:rPr>
          <w:rFonts w:ascii="Calibri" w:hAnsi="Calibri"/>
          <w:noProof/>
          <w:sz w:val="22"/>
        </w:rPr>
        <w:t>(1), 51–64.</w:t>
      </w:r>
    </w:p>
    <w:p w14:paraId="374406F5" w14:textId="077A9AC4"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Pr>
          <w:rFonts w:ascii="Calibri" w:hAnsi="Calibri"/>
          <w:noProof/>
          <w:sz w:val="22"/>
        </w:rPr>
        <w:t>Hilson, G.</w:t>
      </w:r>
      <w:r w:rsidRPr="005D0B08">
        <w:rPr>
          <w:rFonts w:ascii="Calibri" w:hAnsi="Calibri"/>
          <w:noProof/>
          <w:sz w:val="22"/>
        </w:rPr>
        <w:t xml:space="preserve">, &amp; Banchirigah, S. M. (2009). Are alternative livelihood projects alleviating poverty in mining communities? Experiences from Ghana. </w:t>
      </w:r>
      <w:r w:rsidRPr="005D0B08">
        <w:rPr>
          <w:rFonts w:ascii="Calibri" w:hAnsi="Calibri"/>
          <w:i/>
          <w:iCs/>
          <w:noProof/>
          <w:sz w:val="22"/>
        </w:rPr>
        <w:t>Journal of Development Studies</w:t>
      </w:r>
      <w:r w:rsidRPr="005D0B08">
        <w:rPr>
          <w:rFonts w:ascii="Calibri" w:hAnsi="Calibri"/>
          <w:noProof/>
          <w:sz w:val="22"/>
        </w:rPr>
        <w:t xml:space="preserve">, </w:t>
      </w:r>
      <w:r w:rsidRPr="005D0B08">
        <w:rPr>
          <w:rFonts w:ascii="Calibri" w:hAnsi="Calibri"/>
          <w:i/>
          <w:iCs/>
          <w:noProof/>
          <w:sz w:val="22"/>
        </w:rPr>
        <w:t>45</w:t>
      </w:r>
      <w:r w:rsidRPr="005D0B08">
        <w:rPr>
          <w:rFonts w:ascii="Calibri" w:hAnsi="Calibri"/>
          <w:noProof/>
          <w:sz w:val="22"/>
        </w:rPr>
        <w:t>(2), 172–196.</w:t>
      </w:r>
    </w:p>
    <w:p w14:paraId="47CBC5BC" w14:textId="7FD7E0A9"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Hil</w:t>
      </w:r>
      <w:r>
        <w:rPr>
          <w:rFonts w:ascii="Calibri" w:hAnsi="Calibri"/>
          <w:noProof/>
          <w:sz w:val="22"/>
        </w:rPr>
        <w:t>son, G.</w:t>
      </w:r>
      <w:r w:rsidRPr="005D0B08">
        <w:rPr>
          <w:rFonts w:ascii="Calibri" w:hAnsi="Calibri"/>
          <w:noProof/>
          <w:sz w:val="22"/>
        </w:rPr>
        <w:t xml:space="preserve">, &amp; Garforth, C. (2013). “Everyone now is concentrating on the mining”: drivers and implications of rural economic transition in the eastern region of Ghana. </w:t>
      </w:r>
      <w:r w:rsidRPr="005D0B08">
        <w:rPr>
          <w:rFonts w:ascii="Calibri" w:hAnsi="Calibri"/>
          <w:i/>
          <w:iCs/>
          <w:noProof/>
          <w:sz w:val="22"/>
        </w:rPr>
        <w:t>The Journal of Development Studies</w:t>
      </w:r>
      <w:r w:rsidRPr="005D0B08">
        <w:rPr>
          <w:rFonts w:ascii="Calibri" w:hAnsi="Calibri"/>
          <w:noProof/>
          <w:sz w:val="22"/>
        </w:rPr>
        <w:t xml:space="preserve">, </w:t>
      </w:r>
      <w:r w:rsidRPr="005D0B08">
        <w:rPr>
          <w:rFonts w:ascii="Calibri" w:hAnsi="Calibri"/>
          <w:i/>
          <w:iCs/>
          <w:noProof/>
          <w:sz w:val="22"/>
        </w:rPr>
        <w:t>49</w:t>
      </w:r>
      <w:r w:rsidRPr="005D0B08">
        <w:rPr>
          <w:rFonts w:ascii="Calibri" w:hAnsi="Calibri"/>
          <w:noProof/>
          <w:sz w:val="22"/>
        </w:rPr>
        <w:t>(3), 348–364.</w:t>
      </w:r>
    </w:p>
    <w:p w14:paraId="6F6DAA3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Himley, M. D. (2012). Mining (Andes). In </w:t>
      </w:r>
      <w:r w:rsidRPr="005D0B08">
        <w:rPr>
          <w:rFonts w:ascii="Calibri" w:hAnsi="Calibri"/>
          <w:i/>
          <w:iCs/>
          <w:noProof/>
          <w:sz w:val="22"/>
        </w:rPr>
        <w:t>Berkshire Encyclopedia of Sustainability, vol.8, The Americas and Oceania: Assessing Sustainability</w:t>
      </w:r>
      <w:r w:rsidRPr="005D0B08">
        <w:rPr>
          <w:rFonts w:ascii="Calibri" w:hAnsi="Calibri"/>
          <w:noProof/>
          <w:sz w:val="22"/>
        </w:rPr>
        <w:t xml:space="preserve"> (pp. 166–169). Great Barrington, MA: Berkshire.</w:t>
      </w:r>
    </w:p>
    <w:p w14:paraId="5D28EA6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Hine, C. (2000). </w:t>
      </w:r>
      <w:r w:rsidRPr="005D0B08">
        <w:rPr>
          <w:rFonts w:ascii="Calibri" w:hAnsi="Calibri"/>
          <w:i/>
          <w:iCs/>
          <w:noProof/>
          <w:sz w:val="22"/>
        </w:rPr>
        <w:t>Virtual ethnography</w:t>
      </w:r>
      <w:r w:rsidRPr="005D0B08">
        <w:rPr>
          <w:rFonts w:ascii="Calibri" w:hAnsi="Calibri"/>
          <w:noProof/>
          <w:sz w:val="22"/>
        </w:rPr>
        <w:t>. London, UK: Sage Publications Ltd.</w:t>
      </w:r>
    </w:p>
    <w:p w14:paraId="05B5888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Hinton, Jennifer J. (2005). </w:t>
      </w:r>
      <w:r w:rsidRPr="005D0B08">
        <w:rPr>
          <w:rFonts w:ascii="Calibri" w:hAnsi="Calibri"/>
          <w:i/>
          <w:iCs/>
          <w:noProof/>
          <w:sz w:val="22"/>
        </w:rPr>
        <w:t>Communities and small-scale mining: An integrated review for development planning</w:t>
      </w:r>
      <w:r w:rsidRPr="005D0B08">
        <w:rPr>
          <w:rFonts w:ascii="Calibri" w:hAnsi="Calibri"/>
          <w:noProof/>
          <w:sz w:val="22"/>
        </w:rPr>
        <w:t>. Washington D.C.: World Bank.</w:t>
      </w:r>
    </w:p>
    <w:p w14:paraId="20444AD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Hinton, Jennifer J, Veiga, M. M., &amp; Beinhoff, C. (2003). Women and Artisanal Mining: Gender Roles </w:t>
      </w:r>
      <w:r w:rsidRPr="005D0B08">
        <w:rPr>
          <w:rFonts w:ascii="Calibri" w:hAnsi="Calibri"/>
          <w:noProof/>
          <w:sz w:val="22"/>
        </w:rPr>
        <w:lastRenderedPageBreak/>
        <w:t xml:space="preserve">and the Road Ahead. In Gavin Hilson (Ed.), </w:t>
      </w:r>
      <w:r w:rsidRPr="005D0B08">
        <w:rPr>
          <w:rFonts w:ascii="Calibri" w:hAnsi="Calibri"/>
          <w:i/>
          <w:iCs/>
          <w:noProof/>
          <w:sz w:val="22"/>
        </w:rPr>
        <w:t>The Socio-Economic Impacts of Artisanal and Small-Scale Mining in Developing Countries</w:t>
      </w:r>
      <w:r w:rsidRPr="005D0B08">
        <w:rPr>
          <w:rFonts w:ascii="Calibri" w:hAnsi="Calibri"/>
          <w:noProof/>
          <w:sz w:val="22"/>
        </w:rPr>
        <w:t xml:space="preserve"> (1st Editio, pp. 149–189). Lisse: A.A.Balkema Publishers.</w:t>
      </w:r>
    </w:p>
    <w:p w14:paraId="76F8B84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Hinton, Jennifer Jean, Veiga, M. M., &amp; Beinhoff, C. (2003). Women and artisanal mining: gender roles and the road ahead. In Gavin Hilson (Ed.), </w:t>
      </w:r>
      <w:r w:rsidRPr="005D0B08">
        <w:rPr>
          <w:rFonts w:ascii="Calibri" w:hAnsi="Calibri"/>
          <w:i/>
          <w:iCs/>
          <w:noProof/>
          <w:sz w:val="22"/>
        </w:rPr>
        <w:t>Socio-economic Impacts of Artisanal and Small-scale Mining in Developing Countries</w:t>
      </w:r>
      <w:r w:rsidRPr="005D0B08">
        <w:rPr>
          <w:rFonts w:ascii="Calibri" w:hAnsi="Calibri"/>
          <w:noProof/>
          <w:sz w:val="22"/>
        </w:rPr>
        <w:t>. Boca Raton, FL: CRC Press.</w:t>
      </w:r>
    </w:p>
    <w:p w14:paraId="3EC189C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Hirons, M. (2014). Shifting sand, shifting livelihoods? Reflections on a coastal gold rush in Ghana.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41</w:t>
      </w:r>
      <w:r w:rsidRPr="005D0B08">
        <w:rPr>
          <w:rFonts w:ascii="Calibri" w:hAnsi="Calibri"/>
          <w:noProof/>
          <w:sz w:val="22"/>
        </w:rPr>
        <w:t>(1), 83–89.</w:t>
      </w:r>
    </w:p>
    <w:p w14:paraId="21CE799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Hoey, B. A. (2010). Place for personhood: individual and local character in lifestyle migration. </w:t>
      </w:r>
      <w:r w:rsidRPr="005D0B08">
        <w:rPr>
          <w:rFonts w:ascii="Calibri" w:hAnsi="Calibri"/>
          <w:i/>
          <w:iCs/>
          <w:noProof/>
          <w:sz w:val="22"/>
        </w:rPr>
        <w:t>City and Society</w:t>
      </w:r>
      <w:r w:rsidRPr="005D0B08">
        <w:rPr>
          <w:rFonts w:ascii="Calibri" w:hAnsi="Calibri"/>
          <w:noProof/>
          <w:sz w:val="22"/>
        </w:rPr>
        <w:t xml:space="preserve">, </w:t>
      </w:r>
      <w:r w:rsidRPr="005D0B08">
        <w:rPr>
          <w:rFonts w:ascii="Calibri" w:hAnsi="Calibri"/>
          <w:i/>
          <w:iCs/>
          <w:noProof/>
          <w:sz w:val="22"/>
        </w:rPr>
        <w:t>22</w:t>
      </w:r>
      <w:r w:rsidRPr="005D0B08">
        <w:rPr>
          <w:rFonts w:ascii="Calibri" w:hAnsi="Calibri"/>
          <w:noProof/>
          <w:sz w:val="22"/>
        </w:rPr>
        <w:t>(2), 237–261.</w:t>
      </w:r>
    </w:p>
    <w:p w14:paraId="091AA25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Hoffman, M., &amp; Grigera, A. I. (2013). </w:t>
      </w:r>
      <w:r w:rsidRPr="005D0B08">
        <w:rPr>
          <w:rFonts w:ascii="Calibri" w:hAnsi="Calibri"/>
          <w:i/>
          <w:iCs/>
          <w:noProof/>
          <w:sz w:val="22"/>
        </w:rPr>
        <w:t>Climate Change, Migration, and Conflict in the Amazon and the Andes Rising Tensions and Policy Options in South America</w:t>
      </w:r>
      <w:r w:rsidRPr="005D0B08">
        <w:rPr>
          <w:rFonts w:ascii="Calibri" w:hAnsi="Calibri"/>
          <w:noProof/>
          <w:sz w:val="22"/>
        </w:rPr>
        <w:t>. Washington D.C. Retrieved from www.americanprogress.org</w:t>
      </w:r>
    </w:p>
    <w:p w14:paraId="5DD1D3D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Hondagneu-Sotelo, P. (1994). </w:t>
      </w:r>
      <w:r w:rsidRPr="005D0B08">
        <w:rPr>
          <w:rFonts w:ascii="Calibri" w:hAnsi="Calibri"/>
          <w:i/>
          <w:iCs/>
          <w:noProof/>
          <w:sz w:val="22"/>
        </w:rPr>
        <w:t>Gendered Transitions</w:t>
      </w:r>
      <w:r w:rsidRPr="005D0B08">
        <w:rPr>
          <w:rFonts w:ascii="Calibri" w:hAnsi="Calibri"/>
          <w:noProof/>
          <w:sz w:val="22"/>
        </w:rPr>
        <w:t>. Berkeley: University of California Press.</w:t>
      </w:r>
    </w:p>
    <w:p w14:paraId="55B7E35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Hondagneu-Sotelo, P. (1999). Gender and contemporary U.S. immigration. </w:t>
      </w:r>
      <w:r w:rsidRPr="005D0B08">
        <w:rPr>
          <w:rFonts w:ascii="Calibri" w:hAnsi="Calibri"/>
          <w:i/>
          <w:iCs/>
          <w:noProof/>
          <w:sz w:val="22"/>
        </w:rPr>
        <w:t>American Behavioural Scientist</w:t>
      </w:r>
      <w:r w:rsidRPr="005D0B08">
        <w:rPr>
          <w:rFonts w:ascii="Calibri" w:hAnsi="Calibri"/>
          <w:noProof/>
          <w:sz w:val="22"/>
        </w:rPr>
        <w:t xml:space="preserve">, </w:t>
      </w:r>
      <w:r w:rsidRPr="005D0B08">
        <w:rPr>
          <w:rFonts w:ascii="Calibri" w:hAnsi="Calibri"/>
          <w:i/>
          <w:iCs/>
          <w:noProof/>
          <w:sz w:val="22"/>
        </w:rPr>
        <w:t>42</w:t>
      </w:r>
      <w:r w:rsidRPr="005D0B08">
        <w:rPr>
          <w:rFonts w:ascii="Calibri" w:hAnsi="Calibri"/>
          <w:noProof/>
          <w:sz w:val="22"/>
        </w:rPr>
        <w:t>(4), 565–576.</w:t>
      </w:r>
    </w:p>
    <w:p w14:paraId="0A98BE4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Hoogbergen, W, &amp; Kruijt, D. (2004). Gold, Garimpeiros and Maroons: Brazilian migrants and ethnic relationship in postwar Surinam. </w:t>
      </w:r>
      <w:r w:rsidRPr="005D0B08">
        <w:rPr>
          <w:rFonts w:ascii="Calibri" w:hAnsi="Calibri"/>
          <w:i/>
          <w:iCs/>
          <w:noProof/>
          <w:sz w:val="22"/>
        </w:rPr>
        <w:t>Caribbean Studies</w:t>
      </w:r>
      <w:r w:rsidRPr="005D0B08">
        <w:rPr>
          <w:rFonts w:ascii="Calibri" w:hAnsi="Calibri"/>
          <w:noProof/>
          <w:sz w:val="22"/>
        </w:rPr>
        <w:t xml:space="preserve">, </w:t>
      </w:r>
      <w:r w:rsidRPr="005D0B08">
        <w:rPr>
          <w:rFonts w:ascii="Calibri" w:hAnsi="Calibri"/>
          <w:i/>
          <w:iCs/>
          <w:noProof/>
          <w:sz w:val="22"/>
        </w:rPr>
        <w:t>32</w:t>
      </w:r>
      <w:r w:rsidRPr="005D0B08">
        <w:rPr>
          <w:rFonts w:ascii="Calibri" w:hAnsi="Calibri"/>
          <w:noProof/>
          <w:sz w:val="22"/>
        </w:rPr>
        <w:t>(2), 3–44.</w:t>
      </w:r>
    </w:p>
    <w:p w14:paraId="20C9269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Hoogbergen, Wim, &amp; Kruijt, D. (2004). Gold, “Garimpeiros” and Maroons: Brazilian Migrants and Ethnic Relationships in Post-War Suriname. </w:t>
      </w:r>
      <w:r w:rsidRPr="005D0B08">
        <w:rPr>
          <w:rFonts w:ascii="Calibri" w:hAnsi="Calibri"/>
          <w:i/>
          <w:iCs/>
          <w:noProof/>
          <w:sz w:val="22"/>
        </w:rPr>
        <w:t>Caribbean Studies</w:t>
      </w:r>
      <w:r w:rsidRPr="005D0B08">
        <w:rPr>
          <w:rFonts w:ascii="Calibri" w:hAnsi="Calibri"/>
          <w:noProof/>
          <w:sz w:val="22"/>
        </w:rPr>
        <w:t xml:space="preserve">, </w:t>
      </w:r>
      <w:r w:rsidRPr="005D0B08">
        <w:rPr>
          <w:rFonts w:ascii="Calibri" w:hAnsi="Calibri"/>
          <w:i/>
          <w:iCs/>
          <w:noProof/>
          <w:sz w:val="22"/>
        </w:rPr>
        <w:t>32</w:t>
      </w:r>
      <w:r w:rsidRPr="005D0B08">
        <w:rPr>
          <w:rFonts w:ascii="Calibri" w:hAnsi="Calibri"/>
          <w:noProof/>
          <w:sz w:val="22"/>
        </w:rPr>
        <w:t>(2), 3–44.</w:t>
      </w:r>
    </w:p>
    <w:p w14:paraId="5FDAB63D" w14:textId="77777777" w:rsid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Hou, J. (2013). </w:t>
      </w:r>
      <w:r w:rsidRPr="005D0B08">
        <w:rPr>
          <w:rFonts w:ascii="Calibri" w:hAnsi="Calibri"/>
          <w:i/>
          <w:iCs/>
          <w:noProof/>
          <w:sz w:val="22"/>
        </w:rPr>
        <w:t>Transcultural Cities: Border-Crossing and Placemaking</w:t>
      </w:r>
      <w:r w:rsidRPr="005D0B08">
        <w:rPr>
          <w:rFonts w:ascii="Calibri" w:hAnsi="Calibri"/>
          <w:noProof/>
          <w:sz w:val="22"/>
        </w:rPr>
        <w:t>. New York, NY: Routledge.</w:t>
      </w:r>
    </w:p>
    <w:p w14:paraId="2EE14587" w14:textId="3E41C1DF" w:rsidR="00BC5497" w:rsidRPr="00BC5497" w:rsidRDefault="00BC5497" w:rsidP="00BC5497">
      <w:pPr>
        <w:widowControl w:val="0"/>
        <w:autoSpaceDE w:val="0"/>
        <w:autoSpaceDN w:val="0"/>
        <w:adjustRightInd w:val="0"/>
        <w:spacing w:line="360" w:lineRule="auto"/>
        <w:ind w:left="480" w:hanging="480"/>
        <w:rPr>
          <w:rFonts w:ascii="Calibri" w:hAnsi="Calibri"/>
          <w:noProof/>
          <w:sz w:val="22"/>
        </w:rPr>
      </w:pPr>
      <w:r>
        <w:rPr>
          <w:rFonts w:ascii="Calibri" w:hAnsi="Calibri"/>
          <w:noProof/>
          <w:sz w:val="22"/>
        </w:rPr>
        <w:t xml:space="preserve">Huayhua, M. (2019). Labeling and linguistic discrimination. </w:t>
      </w:r>
      <w:r w:rsidRPr="00BC5497">
        <w:rPr>
          <w:rFonts w:ascii="Calibri" w:hAnsi="Calibri"/>
          <w:noProof/>
          <w:sz w:val="22"/>
        </w:rPr>
        <w:t>In L. J. Seligmann &amp; Fine-Dare, K. S.</w:t>
      </w:r>
      <w:r>
        <w:rPr>
          <w:rFonts w:ascii="Calibri" w:hAnsi="Calibri"/>
          <w:i/>
          <w:noProof/>
          <w:sz w:val="22"/>
        </w:rPr>
        <w:t xml:space="preserve"> </w:t>
      </w:r>
      <w:r>
        <w:rPr>
          <w:rFonts w:ascii="Calibri" w:hAnsi="Calibri"/>
          <w:noProof/>
          <w:sz w:val="22"/>
        </w:rPr>
        <w:t xml:space="preserve">(Eds.). </w:t>
      </w:r>
      <w:r>
        <w:rPr>
          <w:rFonts w:ascii="Calibri" w:hAnsi="Calibri"/>
          <w:i/>
          <w:noProof/>
          <w:sz w:val="22"/>
        </w:rPr>
        <w:t xml:space="preserve">The Andean World. </w:t>
      </w:r>
      <w:r w:rsidRPr="00BC5497">
        <w:rPr>
          <w:rFonts w:ascii="Calibri" w:hAnsi="Calibri"/>
          <w:noProof/>
          <w:sz w:val="22"/>
        </w:rPr>
        <w:t>Oxford</w:t>
      </w:r>
      <w:r>
        <w:rPr>
          <w:rFonts w:ascii="Calibri" w:hAnsi="Calibri"/>
          <w:noProof/>
          <w:sz w:val="22"/>
        </w:rPr>
        <w:t>, UK</w:t>
      </w:r>
      <w:r w:rsidRPr="00BC5497">
        <w:rPr>
          <w:rFonts w:ascii="Calibri" w:hAnsi="Calibri"/>
          <w:noProof/>
          <w:sz w:val="22"/>
        </w:rPr>
        <w:t>: Routledge.</w:t>
      </w:r>
    </w:p>
    <w:p w14:paraId="648E294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Huber, M. T. (2009). Energizing historical materialism: fossil fuels, space and the capitalist mode of production.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40</w:t>
      </w:r>
      <w:r w:rsidRPr="005D0B08">
        <w:rPr>
          <w:rFonts w:ascii="Calibri" w:hAnsi="Calibri"/>
          <w:noProof/>
          <w:sz w:val="22"/>
        </w:rPr>
        <w:t>(1), 105–115.</w:t>
      </w:r>
    </w:p>
    <w:p w14:paraId="3CD1C6C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Huesca, E. F. (2013). Gender and child labor issues in mining: a preliminary study on the artisanal and small-scale mining industry in Davao Oriental, Philippined. </w:t>
      </w:r>
      <w:r w:rsidRPr="005D0B08">
        <w:rPr>
          <w:rFonts w:ascii="Calibri" w:hAnsi="Calibri"/>
          <w:i/>
          <w:iCs/>
          <w:noProof/>
          <w:sz w:val="22"/>
        </w:rPr>
        <w:t>Procedia - Social and Behavioural Sciences</w:t>
      </w:r>
      <w:r w:rsidRPr="005D0B08">
        <w:rPr>
          <w:rFonts w:ascii="Calibri" w:hAnsi="Calibri"/>
          <w:noProof/>
          <w:sz w:val="22"/>
        </w:rPr>
        <w:t xml:space="preserve">, </w:t>
      </w:r>
      <w:r w:rsidRPr="005D0B08">
        <w:rPr>
          <w:rFonts w:ascii="Calibri" w:hAnsi="Calibri"/>
          <w:i/>
          <w:iCs/>
          <w:noProof/>
          <w:sz w:val="22"/>
        </w:rPr>
        <w:t>91</w:t>
      </w:r>
      <w:r w:rsidRPr="005D0B08">
        <w:rPr>
          <w:rFonts w:ascii="Calibri" w:hAnsi="Calibri"/>
          <w:noProof/>
          <w:sz w:val="22"/>
        </w:rPr>
        <w:t>, 150–157.</w:t>
      </w:r>
    </w:p>
    <w:p w14:paraId="56C3BF8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Huggins, C., Buss, D., &amp; Rutherford, B. (2017). A “cartography of concern”: place-making practices and gender in the artisanal mining sector in Africa.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83</w:t>
      </w:r>
      <w:r w:rsidRPr="005D0B08">
        <w:rPr>
          <w:rFonts w:ascii="Calibri" w:hAnsi="Calibri"/>
          <w:noProof/>
          <w:sz w:val="22"/>
        </w:rPr>
        <w:t>, 142–152.</w:t>
      </w:r>
    </w:p>
    <w:p w14:paraId="2E973B7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Hummon, D. (1992). Community attachment: local sentiment and sense of place. In I. Altman &amp; S. Low (Eds.), </w:t>
      </w:r>
      <w:r w:rsidRPr="005D0B08">
        <w:rPr>
          <w:rFonts w:ascii="Calibri" w:hAnsi="Calibri"/>
          <w:i/>
          <w:iCs/>
          <w:noProof/>
          <w:sz w:val="22"/>
        </w:rPr>
        <w:t>Place Attachment</w:t>
      </w:r>
      <w:r w:rsidRPr="005D0B08">
        <w:rPr>
          <w:rFonts w:ascii="Calibri" w:hAnsi="Calibri"/>
          <w:noProof/>
          <w:sz w:val="22"/>
        </w:rPr>
        <w:t xml:space="preserve"> (pp. 253–278). New York, NY: Plenum.</w:t>
      </w:r>
    </w:p>
    <w:p w14:paraId="7AD2130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Hylander, L. D., &amp; Meili, M. (2003). 500 Years of mercury production: Global annual inventory by region until 2000 and associated emissions. </w:t>
      </w:r>
      <w:r w:rsidRPr="005D0B08">
        <w:rPr>
          <w:rFonts w:ascii="Calibri" w:hAnsi="Calibri"/>
          <w:i/>
          <w:iCs/>
          <w:noProof/>
          <w:sz w:val="22"/>
        </w:rPr>
        <w:t>Science of the Total Environment</w:t>
      </w:r>
      <w:r w:rsidRPr="005D0B08">
        <w:rPr>
          <w:rFonts w:ascii="Calibri" w:hAnsi="Calibri"/>
          <w:noProof/>
          <w:sz w:val="22"/>
        </w:rPr>
        <w:t xml:space="preserve">, </w:t>
      </w:r>
      <w:r w:rsidRPr="005D0B08">
        <w:rPr>
          <w:rFonts w:ascii="Calibri" w:hAnsi="Calibri"/>
          <w:i/>
          <w:iCs/>
          <w:noProof/>
          <w:sz w:val="22"/>
        </w:rPr>
        <w:t>304</w:t>
      </w:r>
      <w:r w:rsidRPr="005D0B08">
        <w:rPr>
          <w:rFonts w:ascii="Calibri" w:hAnsi="Calibri"/>
          <w:noProof/>
          <w:sz w:val="22"/>
        </w:rPr>
        <w:t>(1–3), 13–27.</w:t>
      </w:r>
    </w:p>
    <w:p w14:paraId="6830237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IGF. (2017). </w:t>
      </w:r>
      <w:r w:rsidRPr="005D0B08">
        <w:rPr>
          <w:rFonts w:ascii="Calibri" w:hAnsi="Calibri"/>
          <w:i/>
          <w:iCs/>
          <w:noProof/>
          <w:sz w:val="22"/>
        </w:rPr>
        <w:t xml:space="preserve">Global Trends in Artisanal and Small-Scale Mining (ASM): A Review of Key Numbers and </w:t>
      </w:r>
      <w:r w:rsidRPr="005D0B08">
        <w:rPr>
          <w:rFonts w:ascii="Calibri" w:hAnsi="Calibri"/>
          <w:i/>
          <w:iCs/>
          <w:noProof/>
          <w:sz w:val="22"/>
        </w:rPr>
        <w:lastRenderedPageBreak/>
        <w:t>Issues</w:t>
      </w:r>
      <w:r w:rsidRPr="005D0B08">
        <w:rPr>
          <w:rFonts w:ascii="Calibri" w:hAnsi="Calibri"/>
          <w:noProof/>
          <w:sz w:val="22"/>
        </w:rPr>
        <w:t>. Winnipeg.</w:t>
      </w:r>
    </w:p>
    <w:p w14:paraId="19CC9FA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ILO. (1999). </w:t>
      </w:r>
      <w:r w:rsidRPr="005D0B08">
        <w:rPr>
          <w:rFonts w:ascii="Calibri" w:hAnsi="Calibri"/>
          <w:i/>
          <w:iCs/>
          <w:noProof/>
          <w:sz w:val="22"/>
        </w:rPr>
        <w:t>Social and Labour Issues in Small-Scale Mines: Report for Discussion at the Tripartite Meeting on Social and Labor Issues in Small-scale Mines</w:t>
      </w:r>
      <w:r w:rsidRPr="005D0B08">
        <w:rPr>
          <w:rFonts w:ascii="Calibri" w:hAnsi="Calibri"/>
          <w:noProof/>
          <w:sz w:val="22"/>
        </w:rPr>
        <w:t>. Geneva.</w:t>
      </w:r>
    </w:p>
    <w:p w14:paraId="5A15E8A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Infante, R. (1995). </w:t>
      </w:r>
      <w:r w:rsidRPr="005D0B08">
        <w:rPr>
          <w:rFonts w:ascii="Calibri" w:hAnsi="Calibri"/>
          <w:i/>
          <w:iCs/>
          <w:noProof/>
          <w:sz w:val="22"/>
        </w:rPr>
        <w:t>Reactivación y empleo urbano, 1990-94</w:t>
      </w:r>
      <w:r w:rsidRPr="005D0B08">
        <w:rPr>
          <w:rFonts w:ascii="Calibri" w:hAnsi="Calibri"/>
          <w:noProof/>
          <w:sz w:val="22"/>
        </w:rPr>
        <w:t>. Lima, Peru.</w:t>
      </w:r>
    </w:p>
    <w:p w14:paraId="158BAC8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Instituto Cuanto. (1991). </w:t>
      </w:r>
      <w:r w:rsidRPr="005D0B08">
        <w:rPr>
          <w:rFonts w:ascii="Calibri" w:hAnsi="Calibri"/>
          <w:i/>
          <w:iCs/>
          <w:noProof/>
          <w:sz w:val="22"/>
        </w:rPr>
        <w:t>Ajuste Economia Familiar: 1985-1990</w:t>
      </w:r>
      <w:r w:rsidRPr="005D0B08">
        <w:rPr>
          <w:rFonts w:ascii="Calibri" w:hAnsi="Calibri"/>
          <w:noProof/>
          <w:sz w:val="22"/>
        </w:rPr>
        <w:t>. Lima, Peru.</w:t>
      </w:r>
    </w:p>
    <w:p w14:paraId="2A66B10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Instituto Nacional de Estadistica e Informatica. (2008a). </w:t>
      </w:r>
      <w:r w:rsidRPr="005D0B08">
        <w:rPr>
          <w:rFonts w:ascii="Calibri" w:hAnsi="Calibri"/>
          <w:i/>
          <w:iCs/>
          <w:noProof/>
          <w:sz w:val="22"/>
        </w:rPr>
        <w:t>Censos Nacionales 2007: XI de Poblacion y VI de Vivienda</w:t>
      </w:r>
      <w:r w:rsidRPr="005D0B08">
        <w:rPr>
          <w:rFonts w:ascii="Calibri" w:hAnsi="Calibri"/>
          <w:noProof/>
          <w:sz w:val="22"/>
        </w:rPr>
        <w:t>. Lima, Peru. Retrieved from https://www.inei.gob.pe/media/MenuRecursivo/publicaciones_digitales/Est/Lib1136/libro.pdf</w:t>
      </w:r>
    </w:p>
    <w:p w14:paraId="40A2284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Instituto Nacional de Estadistica e Informatica. (2008b). </w:t>
      </w:r>
      <w:r w:rsidRPr="005D0B08">
        <w:rPr>
          <w:rFonts w:ascii="Calibri" w:hAnsi="Calibri"/>
          <w:i/>
          <w:iCs/>
          <w:noProof/>
          <w:sz w:val="22"/>
        </w:rPr>
        <w:t>Censos Nacionales 2007: XI de Poblacion y VI de Vivienda</w:t>
      </w:r>
      <w:r w:rsidRPr="005D0B08">
        <w:rPr>
          <w:rFonts w:ascii="Calibri" w:hAnsi="Calibri"/>
          <w:noProof/>
          <w:sz w:val="22"/>
        </w:rPr>
        <w:t>. Lima, Peru.</w:t>
      </w:r>
    </w:p>
    <w:p w14:paraId="27F09B6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Instituto Nacional de Estadistica e Informatica. (2018). </w:t>
      </w:r>
      <w:r w:rsidRPr="005D0B08">
        <w:rPr>
          <w:rFonts w:ascii="Calibri" w:hAnsi="Calibri"/>
          <w:i/>
          <w:iCs/>
          <w:noProof/>
          <w:sz w:val="22"/>
        </w:rPr>
        <w:t>Peru: Perfil Sociodemográfico - Informe Nacional</w:t>
      </w:r>
      <w:r w:rsidRPr="005D0B08">
        <w:rPr>
          <w:rFonts w:ascii="Calibri" w:hAnsi="Calibri"/>
          <w:noProof/>
          <w:sz w:val="22"/>
        </w:rPr>
        <w:t>. Lima, Peru.</w:t>
      </w:r>
    </w:p>
    <w:p w14:paraId="5487070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Islam, M. M., &amp; Herbeck, J. (2013). Migration and translocal livelihoods of coastal small-scale fishers in Bangladesh. </w:t>
      </w:r>
      <w:r w:rsidRPr="005D0B08">
        <w:rPr>
          <w:rFonts w:ascii="Calibri" w:hAnsi="Calibri"/>
          <w:i/>
          <w:iCs/>
          <w:noProof/>
          <w:sz w:val="22"/>
        </w:rPr>
        <w:t>The Journal of Development Studies</w:t>
      </w:r>
      <w:r w:rsidRPr="005D0B08">
        <w:rPr>
          <w:rFonts w:ascii="Calibri" w:hAnsi="Calibri"/>
          <w:noProof/>
          <w:sz w:val="22"/>
        </w:rPr>
        <w:t xml:space="preserve">, </w:t>
      </w:r>
      <w:r w:rsidRPr="005D0B08">
        <w:rPr>
          <w:rFonts w:ascii="Calibri" w:hAnsi="Calibri"/>
          <w:i/>
          <w:iCs/>
          <w:noProof/>
          <w:sz w:val="22"/>
        </w:rPr>
        <w:t>49</w:t>
      </w:r>
      <w:r w:rsidRPr="005D0B08">
        <w:rPr>
          <w:rFonts w:ascii="Calibri" w:hAnsi="Calibri"/>
          <w:noProof/>
          <w:sz w:val="22"/>
        </w:rPr>
        <w:t>(6), 1–14.</w:t>
      </w:r>
    </w:p>
    <w:p w14:paraId="5B246E8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Jackson, P. (2001). Making sense of qualitative data. In M. Limb &amp; C. Dwyer (Eds.), </w:t>
      </w:r>
      <w:r w:rsidRPr="005D0B08">
        <w:rPr>
          <w:rFonts w:ascii="Calibri" w:hAnsi="Calibri"/>
          <w:i/>
          <w:iCs/>
          <w:noProof/>
          <w:sz w:val="22"/>
        </w:rPr>
        <w:t>Qualitative methodologies for geographers: issues and debates</w:t>
      </w:r>
      <w:r w:rsidRPr="005D0B08">
        <w:rPr>
          <w:rFonts w:ascii="Calibri" w:hAnsi="Calibri"/>
          <w:noProof/>
          <w:sz w:val="22"/>
        </w:rPr>
        <w:t>. London, UK: Arnold.</w:t>
      </w:r>
    </w:p>
    <w:p w14:paraId="1FB02D1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Jenkins, K. (2014). Women, mining and development: an emerging research agenda. </w:t>
      </w:r>
      <w:r w:rsidRPr="005D0B08">
        <w:rPr>
          <w:rFonts w:ascii="Calibri" w:hAnsi="Calibri"/>
          <w:i/>
          <w:iCs/>
          <w:noProof/>
          <w:sz w:val="22"/>
        </w:rPr>
        <w:t>The Extractive Industries and Society</w:t>
      </w:r>
      <w:r w:rsidRPr="005D0B08">
        <w:rPr>
          <w:rFonts w:ascii="Calibri" w:hAnsi="Calibri"/>
          <w:noProof/>
          <w:sz w:val="22"/>
        </w:rPr>
        <w:t xml:space="preserve">, </w:t>
      </w:r>
      <w:r w:rsidRPr="005D0B08">
        <w:rPr>
          <w:rFonts w:ascii="Calibri" w:hAnsi="Calibri"/>
          <w:i/>
          <w:iCs/>
          <w:noProof/>
          <w:sz w:val="22"/>
        </w:rPr>
        <w:t>1</w:t>
      </w:r>
      <w:r w:rsidRPr="005D0B08">
        <w:rPr>
          <w:rFonts w:ascii="Calibri" w:hAnsi="Calibri"/>
          <w:noProof/>
          <w:sz w:val="22"/>
        </w:rPr>
        <w:t>(2), 329–339.</w:t>
      </w:r>
    </w:p>
    <w:p w14:paraId="44BED09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Jónsson, G. (2014). Non-migant, sedentary, immobile or “left behind”? reflections on the absence of migration. In E. B. . Abdalla, D. Dias barros, &amp; M. Berthet (Eds.), </w:t>
      </w:r>
      <w:r w:rsidRPr="005D0B08">
        <w:rPr>
          <w:rFonts w:ascii="Calibri" w:hAnsi="Calibri"/>
          <w:i/>
          <w:iCs/>
          <w:noProof/>
          <w:sz w:val="22"/>
        </w:rPr>
        <w:t>Spaces in Movement. New Perspectives on Migration in African Settings</w:t>
      </w:r>
      <w:r w:rsidRPr="005D0B08">
        <w:rPr>
          <w:rFonts w:ascii="Calibri" w:hAnsi="Calibri"/>
          <w:noProof/>
          <w:sz w:val="22"/>
        </w:rPr>
        <w:t xml:space="preserve"> (pp. 145–164). Verlag: Rüdiger Köppe.</w:t>
      </w:r>
    </w:p>
    <w:p w14:paraId="675495F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Jønsson, J. B., &amp; Bryceson, D. F. (2009). Rushing for gold: mobility and small-scale mining in East Africa. </w:t>
      </w:r>
      <w:r w:rsidRPr="005D0B08">
        <w:rPr>
          <w:rFonts w:ascii="Calibri" w:hAnsi="Calibri"/>
          <w:i/>
          <w:iCs/>
          <w:noProof/>
          <w:sz w:val="22"/>
        </w:rPr>
        <w:t>Development and Change</w:t>
      </w:r>
      <w:r w:rsidRPr="005D0B08">
        <w:rPr>
          <w:rFonts w:ascii="Calibri" w:hAnsi="Calibri"/>
          <w:noProof/>
          <w:sz w:val="22"/>
        </w:rPr>
        <w:t xml:space="preserve">, </w:t>
      </w:r>
      <w:r w:rsidRPr="005D0B08">
        <w:rPr>
          <w:rFonts w:ascii="Calibri" w:hAnsi="Calibri"/>
          <w:i/>
          <w:iCs/>
          <w:noProof/>
          <w:sz w:val="22"/>
        </w:rPr>
        <w:t>40</w:t>
      </w:r>
      <w:r w:rsidRPr="005D0B08">
        <w:rPr>
          <w:rFonts w:ascii="Calibri" w:hAnsi="Calibri"/>
          <w:noProof/>
          <w:sz w:val="22"/>
        </w:rPr>
        <w:t>(2), 249–279.</w:t>
      </w:r>
    </w:p>
    <w:p w14:paraId="3309A9D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Kellett, N. C. (2011). Microfinance and Economic Inequality in the Peruvian Highlands. </w:t>
      </w:r>
      <w:r w:rsidRPr="005D0B08">
        <w:rPr>
          <w:rFonts w:ascii="Calibri" w:hAnsi="Calibri"/>
          <w:i/>
          <w:iCs/>
          <w:noProof/>
          <w:sz w:val="22"/>
        </w:rPr>
        <w:t>Ethnology</w:t>
      </w:r>
      <w:r w:rsidRPr="005D0B08">
        <w:rPr>
          <w:rFonts w:ascii="Calibri" w:hAnsi="Calibri"/>
          <w:noProof/>
          <w:sz w:val="22"/>
        </w:rPr>
        <w:t xml:space="preserve">, </w:t>
      </w:r>
      <w:r w:rsidRPr="005D0B08">
        <w:rPr>
          <w:rFonts w:ascii="Calibri" w:hAnsi="Calibri"/>
          <w:i/>
          <w:iCs/>
          <w:noProof/>
          <w:sz w:val="22"/>
        </w:rPr>
        <w:t>50</w:t>
      </w:r>
      <w:r w:rsidRPr="005D0B08">
        <w:rPr>
          <w:rFonts w:ascii="Calibri" w:hAnsi="Calibri"/>
          <w:noProof/>
          <w:sz w:val="22"/>
        </w:rPr>
        <w:t>(3), 59–78.</w:t>
      </w:r>
    </w:p>
    <w:p w14:paraId="14C4EAF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Kelly, J. T. D., King-Close, A., &amp; Perks, R. (2014). Resources and resourcefulness: Roles, opportunities and risks for women working at artisanal mines in South Kivu, Democratic Republic of the Congo. </w:t>
      </w:r>
      <w:r w:rsidRPr="005D0B08">
        <w:rPr>
          <w:rFonts w:ascii="Calibri" w:hAnsi="Calibri"/>
          <w:i/>
          <w:iCs/>
          <w:noProof/>
          <w:sz w:val="22"/>
        </w:rPr>
        <w:t>Futures</w:t>
      </w:r>
      <w:r w:rsidRPr="005D0B08">
        <w:rPr>
          <w:rFonts w:ascii="Calibri" w:hAnsi="Calibri"/>
          <w:noProof/>
          <w:sz w:val="22"/>
        </w:rPr>
        <w:t xml:space="preserve">, </w:t>
      </w:r>
      <w:r w:rsidRPr="005D0B08">
        <w:rPr>
          <w:rFonts w:ascii="Calibri" w:hAnsi="Calibri"/>
          <w:i/>
          <w:iCs/>
          <w:noProof/>
          <w:sz w:val="22"/>
        </w:rPr>
        <w:t>62</w:t>
      </w:r>
      <w:r w:rsidRPr="005D0B08">
        <w:rPr>
          <w:rFonts w:ascii="Calibri" w:hAnsi="Calibri"/>
          <w:noProof/>
          <w:sz w:val="22"/>
        </w:rPr>
        <w:t>, 95–105.</w:t>
      </w:r>
    </w:p>
    <w:p w14:paraId="6177652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Kelly, P., &amp; Lusis, T. (2006). Migration and the transnational habitus: Evidence from Canada and the Philippines. </w:t>
      </w:r>
      <w:r w:rsidRPr="005D0B08">
        <w:rPr>
          <w:rFonts w:ascii="Calibri" w:hAnsi="Calibri"/>
          <w:i/>
          <w:iCs/>
          <w:noProof/>
          <w:sz w:val="22"/>
        </w:rPr>
        <w:t>Environment and Planning A: Economy and Space</w:t>
      </w:r>
      <w:r w:rsidRPr="005D0B08">
        <w:rPr>
          <w:rFonts w:ascii="Calibri" w:hAnsi="Calibri"/>
          <w:noProof/>
          <w:sz w:val="22"/>
        </w:rPr>
        <w:t xml:space="preserve">, </w:t>
      </w:r>
      <w:r w:rsidRPr="005D0B08">
        <w:rPr>
          <w:rFonts w:ascii="Calibri" w:hAnsi="Calibri"/>
          <w:i/>
          <w:iCs/>
          <w:noProof/>
          <w:sz w:val="22"/>
        </w:rPr>
        <w:t>38</w:t>
      </w:r>
      <w:r w:rsidRPr="005D0B08">
        <w:rPr>
          <w:rFonts w:ascii="Calibri" w:hAnsi="Calibri"/>
          <w:noProof/>
          <w:sz w:val="22"/>
        </w:rPr>
        <w:t>(5), 831–847.</w:t>
      </w:r>
    </w:p>
    <w:p w14:paraId="3C70EF2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Kent, R. B. (1993). Geographical Dimensions of the Shining Path Insurgency in Peru. </w:t>
      </w:r>
      <w:r w:rsidRPr="005D0B08">
        <w:rPr>
          <w:rFonts w:ascii="Calibri" w:hAnsi="Calibri"/>
          <w:i/>
          <w:iCs/>
          <w:noProof/>
          <w:sz w:val="22"/>
        </w:rPr>
        <w:t>The Geographical Review</w:t>
      </w:r>
      <w:r w:rsidRPr="005D0B08">
        <w:rPr>
          <w:rFonts w:ascii="Calibri" w:hAnsi="Calibri"/>
          <w:noProof/>
          <w:sz w:val="22"/>
        </w:rPr>
        <w:t xml:space="preserve">, </w:t>
      </w:r>
      <w:r w:rsidRPr="005D0B08">
        <w:rPr>
          <w:rFonts w:ascii="Calibri" w:hAnsi="Calibri"/>
          <w:i/>
          <w:iCs/>
          <w:noProof/>
          <w:sz w:val="22"/>
        </w:rPr>
        <w:t>83</w:t>
      </w:r>
      <w:r w:rsidRPr="005D0B08">
        <w:rPr>
          <w:rFonts w:ascii="Calibri" w:hAnsi="Calibri"/>
          <w:noProof/>
          <w:sz w:val="22"/>
        </w:rPr>
        <w:t>(4), 441–454.</w:t>
      </w:r>
    </w:p>
    <w:p w14:paraId="5392638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Kernaghan, R. (2015). Cocaine’s minor destinies: ephemerality and legal threat on the margins of the Peruvian state. </w:t>
      </w:r>
      <w:r w:rsidRPr="005D0B08">
        <w:rPr>
          <w:rFonts w:ascii="Calibri" w:hAnsi="Calibri"/>
          <w:i/>
          <w:iCs/>
          <w:noProof/>
          <w:sz w:val="22"/>
        </w:rPr>
        <w:t>American Ethnologist</w:t>
      </w:r>
      <w:r w:rsidRPr="005D0B08">
        <w:rPr>
          <w:rFonts w:ascii="Calibri" w:hAnsi="Calibri"/>
          <w:noProof/>
          <w:sz w:val="22"/>
        </w:rPr>
        <w:t xml:space="preserve">, </w:t>
      </w:r>
      <w:r w:rsidRPr="005D0B08">
        <w:rPr>
          <w:rFonts w:ascii="Calibri" w:hAnsi="Calibri"/>
          <w:i/>
          <w:iCs/>
          <w:noProof/>
          <w:sz w:val="22"/>
        </w:rPr>
        <w:t>42</w:t>
      </w:r>
      <w:r w:rsidRPr="005D0B08">
        <w:rPr>
          <w:rFonts w:ascii="Calibri" w:hAnsi="Calibri"/>
          <w:noProof/>
          <w:sz w:val="22"/>
        </w:rPr>
        <w:t>(4), 658–672.</w:t>
      </w:r>
    </w:p>
    <w:p w14:paraId="320242F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Kogan, L., Fuchs, R. M., &amp; Lay, P. (2011). </w:t>
      </w:r>
      <w:r w:rsidRPr="005D0B08">
        <w:rPr>
          <w:rFonts w:ascii="Calibri" w:hAnsi="Calibri"/>
          <w:i/>
          <w:iCs/>
          <w:noProof/>
          <w:sz w:val="22"/>
        </w:rPr>
        <w:t>Sistemas abiertos y/o encubiertos de discriminacion en el entorno laboral de pequenas, grandes y medianas empresas en Lima Metropolitana</w:t>
      </w:r>
      <w:r w:rsidRPr="005D0B08">
        <w:rPr>
          <w:rFonts w:ascii="Calibri" w:hAnsi="Calibri"/>
          <w:noProof/>
          <w:sz w:val="22"/>
        </w:rPr>
        <w:t>.</w:t>
      </w:r>
    </w:p>
    <w:p w14:paraId="1BD095D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Kolen, J., de Theije, M., &amp; Mathis, A. (2013). Formalized small-scale gold mining in the Brazilian Amazon: An activity surrounded by informality. In Leontien Cremers, J. Kolen, &amp; M. de Theije (Eds.), </w:t>
      </w:r>
      <w:r w:rsidRPr="005D0B08">
        <w:rPr>
          <w:rFonts w:ascii="Calibri" w:hAnsi="Calibri"/>
          <w:i/>
          <w:iCs/>
          <w:noProof/>
          <w:sz w:val="22"/>
        </w:rPr>
        <w:t>Small-scale Gold Mining in the Amazon: The Cases of Bolivia, Brazil, Colombia, Peru and Suriname</w:t>
      </w:r>
      <w:r w:rsidRPr="005D0B08">
        <w:rPr>
          <w:rFonts w:ascii="Calibri" w:hAnsi="Calibri"/>
          <w:noProof/>
          <w:sz w:val="22"/>
        </w:rPr>
        <w:t xml:space="preserve"> (pp. 31–45). Amsterdam: CEDLA.</w:t>
      </w:r>
    </w:p>
    <w:p w14:paraId="2C10255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Kopytoff, I. (1987). </w:t>
      </w:r>
      <w:r w:rsidRPr="005D0B08">
        <w:rPr>
          <w:rFonts w:ascii="Calibri" w:hAnsi="Calibri"/>
          <w:i/>
          <w:iCs/>
          <w:noProof/>
          <w:sz w:val="22"/>
        </w:rPr>
        <w:t>The African Frontier: The Reproduction of Traditional African Societies</w:t>
      </w:r>
      <w:r w:rsidRPr="005D0B08">
        <w:rPr>
          <w:rFonts w:ascii="Calibri" w:hAnsi="Calibri"/>
          <w:noProof/>
          <w:sz w:val="22"/>
        </w:rPr>
        <w:t>. Bloomington, IA: Indiana University Press.</w:t>
      </w:r>
    </w:p>
    <w:p w14:paraId="0275D0E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Kuramoto, J. R. (2001). </w:t>
      </w:r>
      <w:r w:rsidRPr="005D0B08">
        <w:rPr>
          <w:rFonts w:ascii="Calibri" w:hAnsi="Calibri"/>
          <w:i/>
          <w:iCs/>
          <w:noProof/>
          <w:sz w:val="22"/>
        </w:rPr>
        <w:t>Artisanal and Informal Mining in Peru</w:t>
      </w:r>
      <w:r w:rsidRPr="005D0B08">
        <w:rPr>
          <w:rFonts w:ascii="Calibri" w:hAnsi="Calibri"/>
          <w:noProof/>
          <w:sz w:val="22"/>
        </w:rPr>
        <w:t>. Lima.</w:t>
      </w:r>
    </w:p>
    <w:p w14:paraId="7CDBF44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Labonne, B. (2014). Who is afraid of artisanal and small-scale mining (ASM)?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1</w:t>
      </w:r>
      <w:r w:rsidRPr="005D0B08">
        <w:rPr>
          <w:rFonts w:ascii="Calibri" w:hAnsi="Calibri"/>
          <w:noProof/>
          <w:sz w:val="22"/>
        </w:rPr>
        <w:t>(2), 121–123.</w:t>
      </w:r>
    </w:p>
    <w:p w14:paraId="1D3710C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Lahiri-Dutt, K. (2006). Globalization and women’s work in the mine pits in east Kalimantan, Indonesia. In Kuntala Lahiri-Dutt &amp; M. Macintyre (Eds.), </w:t>
      </w:r>
      <w:r w:rsidRPr="005D0B08">
        <w:rPr>
          <w:rFonts w:ascii="Calibri" w:hAnsi="Calibri"/>
          <w:i/>
          <w:iCs/>
          <w:noProof/>
          <w:sz w:val="22"/>
        </w:rPr>
        <w:t>Women Miners in Developing Countries: Pit Women and Others</w:t>
      </w:r>
      <w:r w:rsidRPr="005D0B08">
        <w:rPr>
          <w:rFonts w:ascii="Calibri" w:hAnsi="Calibri"/>
          <w:noProof/>
          <w:sz w:val="22"/>
        </w:rPr>
        <w:t xml:space="preserve"> (pp. 349–369). London, UK: Ashgate Publishing Limited.</w:t>
      </w:r>
    </w:p>
    <w:p w14:paraId="648B69B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Lahiri-Dutt, K. (2015). The feminization of mining. </w:t>
      </w:r>
      <w:r w:rsidRPr="005D0B08">
        <w:rPr>
          <w:rFonts w:ascii="Calibri" w:hAnsi="Calibri"/>
          <w:i/>
          <w:iCs/>
          <w:noProof/>
          <w:sz w:val="22"/>
        </w:rPr>
        <w:t>Geography Compass</w:t>
      </w:r>
      <w:r w:rsidRPr="005D0B08">
        <w:rPr>
          <w:rFonts w:ascii="Calibri" w:hAnsi="Calibri"/>
          <w:noProof/>
          <w:sz w:val="22"/>
        </w:rPr>
        <w:t xml:space="preserve">, </w:t>
      </w:r>
      <w:r w:rsidRPr="005D0B08">
        <w:rPr>
          <w:rFonts w:ascii="Calibri" w:hAnsi="Calibri"/>
          <w:i/>
          <w:iCs/>
          <w:noProof/>
          <w:sz w:val="22"/>
        </w:rPr>
        <w:t>9</w:t>
      </w:r>
      <w:r w:rsidRPr="005D0B08">
        <w:rPr>
          <w:rFonts w:ascii="Calibri" w:hAnsi="Calibri"/>
          <w:noProof/>
          <w:sz w:val="22"/>
        </w:rPr>
        <w:t>(9), 523–541.</w:t>
      </w:r>
    </w:p>
    <w:p w14:paraId="5362D5D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Lahiri-Dutt, Kuntala. (2011). Introduction: gendering the masculine field of mining for sustainble community livelihoods. In Kuntala Lahiri-Dutt (Ed.), </w:t>
      </w:r>
      <w:r w:rsidRPr="005D0B08">
        <w:rPr>
          <w:rFonts w:ascii="Calibri" w:hAnsi="Calibri"/>
          <w:i/>
          <w:iCs/>
          <w:noProof/>
          <w:sz w:val="22"/>
        </w:rPr>
        <w:t>Gender the Field: Towards Sustainable Livelihoods for Mining Communities</w:t>
      </w:r>
      <w:r w:rsidRPr="005D0B08">
        <w:rPr>
          <w:rFonts w:ascii="Calibri" w:hAnsi="Calibri"/>
          <w:noProof/>
          <w:sz w:val="22"/>
        </w:rPr>
        <w:t xml:space="preserve"> (pp. 1–20). Canberra: ANU Press.</w:t>
      </w:r>
    </w:p>
    <w:p w14:paraId="11B25C7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Lahiri-Dutt, Kuntala. (2017). Resources and the politics of sovereignty: the moral and immoral economies of coal mining in India. </w:t>
      </w:r>
      <w:r w:rsidRPr="005D0B08">
        <w:rPr>
          <w:rFonts w:ascii="Calibri" w:hAnsi="Calibri"/>
          <w:i/>
          <w:iCs/>
          <w:noProof/>
          <w:sz w:val="22"/>
        </w:rPr>
        <w:t>South Asia: Journal of South Asian Studies</w:t>
      </w:r>
      <w:r w:rsidRPr="005D0B08">
        <w:rPr>
          <w:rFonts w:ascii="Calibri" w:hAnsi="Calibri"/>
          <w:noProof/>
          <w:sz w:val="22"/>
        </w:rPr>
        <w:t xml:space="preserve">, </w:t>
      </w:r>
      <w:r w:rsidRPr="005D0B08">
        <w:rPr>
          <w:rFonts w:ascii="Calibri" w:hAnsi="Calibri"/>
          <w:i/>
          <w:iCs/>
          <w:noProof/>
          <w:sz w:val="22"/>
        </w:rPr>
        <w:t>40</w:t>
      </w:r>
      <w:r w:rsidRPr="005D0B08">
        <w:rPr>
          <w:rFonts w:ascii="Calibri" w:hAnsi="Calibri"/>
          <w:noProof/>
          <w:sz w:val="22"/>
        </w:rPr>
        <w:t>(4), 792–809.</w:t>
      </w:r>
    </w:p>
    <w:p w14:paraId="0292266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Lahiri-Dutt, Kuntala, Alexander, K., &amp; Insouvanh, C. (2014). Informal mining in livelihoo diversification: mineral dependence and rural communities in Lao PDR. </w:t>
      </w:r>
      <w:r w:rsidRPr="005D0B08">
        <w:rPr>
          <w:rFonts w:ascii="Calibri" w:hAnsi="Calibri"/>
          <w:i/>
          <w:iCs/>
          <w:noProof/>
          <w:sz w:val="22"/>
        </w:rPr>
        <w:t>South East Asia Research</w:t>
      </w:r>
      <w:r w:rsidRPr="005D0B08">
        <w:rPr>
          <w:rFonts w:ascii="Calibri" w:hAnsi="Calibri"/>
          <w:noProof/>
          <w:sz w:val="22"/>
        </w:rPr>
        <w:t xml:space="preserve">, </w:t>
      </w:r>
      <w:r w:rsidRPr="005D0B08">
        <w:rPr>
          <w:rFonts w:ascii="Calibri" w:hAnsi="Calibri"/>
          <w:i/>
          <w:iCs/>
          <w:noProof/>
          <w:sz w:val="22"/>
        </w:rPr>
        <w:t>22</w:t>
      </w:r>
      <w:r w:rsidRPr="005D0B08">
        <w:rPr>
          <w:rFonts w:ascii="Calibri" w:hAnsi="Calibri"/>
          <w:noProof/>
          <w:sz w:val="22"/>
        </w:rPr>
        <w:t>(1), 103–122.</w:t>
      </w:r>
    </w:p>
    <w:p w14:paraId="3BD75FA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Laudati, A. A. (2016). Securing (in)security: relinking violence and the trade in cannabis sativa in eastern Democratic Republic of Congo’. </w:t>
      </w:r>
      <w:r w:rsidRPr="005D0B08">
        <w:rPr>
          <w:rFonts w:ascii="Calibri" w:hAnsi="Calibri"/>
          <w:i/>
          <w:iCs/>
          <w:noProof/>
          <w:sz w:val="22"/>
        </w:rPr>
        <w:t>Review of African Political Economy</w:t>
      </w:r>
      <w:r w:rsidRPr="005D0B08">
        <w:rPr>
          <w:rFonts w:ascii="Calibri" w:hAnsi="Calibri"/>
          <w:noProof/>
          <w:sz w:val="22"/>
        </w:rPr>
        <w:t xml:space="preserve">, </w:t>
      </w:r>
      <w:r w:rsidRPr="005D0B08">
        <w:rPr>
          <w:rFonts w:ascii="Calibri" w:hAnsi="Calibri"/>
          <w:i/>
          <w:iCs/>
          <w:noProof/>
          <w:sz w:val="22"/>
        </w:rPr>
        <w:t>43</w:t>
      </w:r>
      <w:r w:rsidRPr="005D0B08">
        <w:rPr>
          <w:rFonts w:ascii="Calibri" w:hAnsi="Calibri"/>
          <w:noProof/>
          <w:sz w:val="22"/>
        </w:rPr>
        <w:t>(148), 190–205.</w:t>
      </w:r>
    </w:p>
    <w:p w14:paraId="507E8D8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Lawson, V. (1998). Hierarchical households and gendered migration: a research agenda. </w:t>
      </w:r>
      <w:r w:rsidRPr="005D0B08">
        <w:rPr>
          <w:rFonts w:ascii="Calibri" w:hAnsi="Calibri"/>
          <w:i/>
          <w:iCs/>
          <w:noProof/>
          <w:sz w:val="22"/>
        </w:rPr>
        <w:t>Progress in Human Geography</w:t>
      </w:r>
      <w:r w:rsidRPr="005D0B08">
        <w:rPr>
          <w:rFonts w:ascii="Calibri" w:hAnsi="Calibri"/>
          <w:noProof/>
          <w:sz w:val="22"/>
        </w:rPr>
        <w:t xml:space="preserve">, </w:t>
      </w:r>
      <w:r w:rsidRPr="005D0B08">
        <w:rPr>
          <w:rFonts w:ascii="Calibri" w:hAnsi="Calibri"/>
          <w:i/>
          <w:iCs/>
          <w:noProof/>
          <w:sz w:val="22"/>
        </w:rPr>
        <w:t>22</w:t>
      </w:r>
      <w:r w:rsidRPr="005D0B08">
        <w:rPr>
          <w:rFonts w:ascii="Calibri" w:hAnsi="Calibri"/>
          <w:noProof/>
          <w:sz w:val="22"/>
        </w:rPr>
        <w:t>(1), 32–53.</w:t>
      </w:r>
    </w:p>
    <w:p w14:paraId="2207389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Leas, S. (2019). Operación Mercurio 2019. Retrieved August 2, 2019, from https://umdpolicyperu2016.wordpress.com/2019/04/03/operacion-mercurio-2019/</w:t>
      </w:r>
    </w:p>
    <w:p w14:paraId="0A12276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Levitt, P. (2001). </w:t>
      </w:r>
      <w:r w:rsidRPr="005D0B08">
        <w:rPr>
          <w:rFonts w:ascii="Calibri" w:hAnsi="Calibri"/>
          <w:i/>
          <w:iCs/>
          <w:noProof/>
          <w:sz w:val="22"/>
        </w:rPr>
        <w:t>The Transnational Villagers</w:t>
      </w:r>
      <w:r w:rsidRPr="005D0B08">
        <w:rPr>
          <w:rFonts w:ascii="Calibri" w:hAnsi="Calibri"/>
          <w:noProof/>
          <w:sz w:val="22"/>
        </w:rPr>
        <w:t>. Berkeley, CA: University of California Press.</w:t>
      </w:r>
    </w:p>
    <w:p w14:paraId="757EAFF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Levitt, P., &amp; Glick Schiller, N. (2004). Conceptualizing Simultaneity: A Transnational Social Field Perspective on Society. </w:t>
      </w:r>
      <w:r w:rsidRPr="005D0B08">
        <w:rPr>
          <w:rFonts w:ascii="Calibri" w:hAnsi="Calibri"/>
          <w:i/>
          <w:iCs/>
          <w:noProof/>
          <w:sz w:val="22"/>
        </w:rPr>
        <w:t>International Migration Review</w:t>
      </w:r>
      <w:r w:rsidRPr="005D0B08">
        <w:rPr>
          <w:rFonts w:ascii="Calibri" w:hAnsi="Calibri"/>
          <w:noProof/>
          <w:sz w:val="22"/>
        </w:rPr>
        <w:t xml:space="preserve">, </w:t>
      </w:r>
      <w:r w:rsidRPr="005D0B08">
        <w:rPr>
          <w:rFonts w:ascii="Calibri" w:hAnsi="Calibri"/>
          <w:i/>
          <w:iCs/>
          <w:noProof/>
          <w:sz w:val="22"/>
        </w:rPr>
        <w:t>38</w:t>
      </w:r>
      <w:r w:rsidRPr="005D0B08">
        <w:rPr>
          <w:rFonts w:ascii="Calibri" w:hAnsi="Calibri"/>
          <w:noProof/>
          <w:sz w:val="22"/>
        </w:rPr>
        <w:t>(3), 1002–1039.</w:t>
      </w:r>
    </w:p>
    <w:p w14:paraId="1831D29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Levitt, P., &amp; Jaworsky, B. N. (2007). Transnational migration studies: past developments and future trends. </w:t>
      </w:r>
      <w:r w:rsidRPr="005D0B08">
        <w:rPr>
          <w:rFonts w:ascii="Calibri" w:hAnsi="Calibri"/>
          <w:i/>
          <w:iCs/>
          <w:noProof/>
          <w:sz w:val="22"/>
        </w:rPr>
        <w:t>Annual Review of Sociology</w:t>
      </w:r>
      <w:r w:rsidRPr="005D0B08">
        <w:rPr>
          <w:rFonts w:ascii="Calibri" w:hAnsi="Calibri"/>
          <w:noProof/>
          <w:sz w:val="22"/>
        </w:rPr>
        <w:t xml:space="preserve">, </w:t>
      </w:r>
      <w:r w:rsidRPr="005D0B08">
        <w:rPr>
          <w:rFonts w:ascii="Calibri" w:hAnsi="Calibri"/>
          <w:i/>
          <w:iCs/>
          <w:noProof/>
          <w:sz w:val="22"/>
        </w:rPr>
        <w:t>33</w:t>
      </w:r>
      <w:r w:rsidRPr="005D0B08">
        <w:rPr>
          <w:rFonts w:ascii="Calibri" w:hAnsi="Calibri"/>
          <w:noProof/>
          <w:sz w:val="22"/>
        </w:rPr>
        <w:t>, 129 – 156.</w:t>
      </w:r>
    </w:p>
    <w:p w14:paraId="4A6839A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Loayza, N., &amp; Rigolini, J. (2016). The local impact of mining on poverty and inequality: evidence from the commodity boom in Peru. </w:t>
      </w:r>
      <w:r w:rsidRPr="005D0B08">
        <w:rPr>
          <w:rFonts w:ascii="Calibri" w:hAnsi="Calibri"/>
          <w:i/>
          <w:iCs/>
          <w:noProof/>
          <w:sz w:val="22"/>
        </w:rPr>
        <w:t>World Development</w:t>
      </w:r>
      <w:r w:rsidRPr="005D0B08">
        <w:rPr>
          <w:rFonts w:ascii="Calibri" w:hAnsi="Calibri"/>
          <w:noProof/>
          <w:sz w:val="22"/>
        </w:rPr>
        <w:t xml:space="preserve">, </w:t>
      </w:r>
      <w:r w:rsidRPr="005D0B08">
        <w:rPr>
          <w:rFonts w:ascii="Calibri" w:hAnsi="Calibri"/>
          <w:i/>
          <w:iCs/>
          <w:noProof/>
          <w:sz w:val="22"/>
        </w:rPr>
        <w:t>84</w:t>
      </w:r>
      <w:r w:rsidRPr="005D0B08">
        <w:rPr>
          <w:rFonts w:ascii="Calibri" w:hAnsi="Calibri"/>
          <w:noProof/>
          <w:sz w:val="22"/>
        </w:rPr>
        <w:t>, 219–234.</w:t>
      </w:r>
    </w:p>
    <w:p w14:paraId="1B77A25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Lohnert, B, &amp; Steinbrink, M. (2005). Rural and urban livelihoods: a translocal perspective in a South African context. </w:t>
      </w:r>
      <w:r w:rsidRPr="005D0B08">
        <w:rPr>
          <w:rFonts w:ascii="Calibri" w:hAnsi="Calibri"/>
          <w:i/>
          <w:iCs/>
          <w:noProof/>
          <w:sz w:val="22"/>
        </w:rPr>
        <w:t>South African Geographical Journal</w:t>
      </w:r>
      <w:r w:rsidRPr="005D0B08">
        <w:rPr>
          <w:rFonts w:ascii="Calibri" w:hAnsi="Calibri"/>
          <w:noProof/>
          <w:sz w:val="22"/>
        </w:rPr>
        <w:t xml:space="preserve">, </w:t>
      </w:r>
      <w:r w:rsidRPr="005D0B08">
        <w:rPr>
          <w:rFonts w:ascii="Calibri" w:hAnsi="Calibri"/>
          <w:i/>
          <w:iCs/>
          <w:noProof/>
          <w:sz w:val="22"/>
        </w:rPr>
        <w:t>87</w:t>
      </w:r>
      <w:r w:rsidRPr="005D0B08">
        <w:rPr>
          <w:rFonts w:ascii="Calibri" w:hAnsi="Calibri"/>
          <w:noProof/>
          <w:sz w:val="22"/>
        </w:rPr>
        <w:t>(2), 95–103.</w:t>
      </w:r>
    </w:p>
    <w:p w14:paraId="579CB18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Long, N. (2008). Translocal livelihoods, networks of family and community, and remmitances in Central Peru. In J. DeWind &amp; J. Holdaway (Eds.), </w:t>
      </w:r>
      <w:r w:rsidRPr="005D0B08">
        <w:rPr>
          <w:rFonts w:ascii="Calibri" w:hAnsi="Calibri"/>
          <w:i/>
          <w:iCs/>
          <w:noProof/>
          <w:sz w:val="22"/>
        </w:rPr>
        <w:t>Migration and Development Within and Across Borders: Research and Policy Perspectives on Internal and International Migration</w:t>
      </w:r>
      <w:r w:rsidRPr="005D0B08">
        <w:rPr>
          <w:rFonts w:ascii="Calibri" w:hAnsi="Calibri"/>
          <w:noProof/>
          <w:sz w:val="22"/>
        </w:rPr>
        <w:t xml:space="preserve"> (pp. 37–68). Geneva/New York: International Organization for Migration.</w:t>
      </w:r>
    </w:p>
    <w:p w14:paraId="3154AAB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Long, Norman, &amp; Roberts, B. (1984). </w:t>
      </w:r>
      <w:r w:rsidRPr="005D0B08">
        <w:rPr>
          <w:rFonts w:ascii="Calibri" w:hAnsi="Calibri"/>
          <w:i/>
          <w:iCs/>
          <w:noProof/>
          <w:sz w:val="22"/>
        </w:rPr>
        <w:t>Miners, Peasants and Entrepreneurs: Regional Development in the Central Highlands in Peru</w:t>
      </w:r>
      <w:r w:rsidRPr="005D0B08">
        <w:rPr>
          <w:rFonts w:ascii="Calibri" w:hAnsi="Calibri"/>
          <w:noProof/>
          <w:sz w:val="22"/>
        </w:rPr>
        <w:t>. Cambridge, UK: Cambridge University Press.</w:t>
      </w:r>
    </w:p>
    <w:p w14:paraId="1827152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Luning, S. (2012). Corporate Social Responsibility (CSR) for exploration: consultants, companies and communities in processes of engagements.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(2), 205–211.</w:t>
      </w:r>
    </w:p>
    <w:p w14:paraId="2E63B37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Maclin, B., Kelly, J., Perks, R., Vinck, P., &amp; Pham, P. (2017). Moving to the mines: Motivations of men and women for migration to artisanal and small-scale mining sites in Eastern Democratic Republic of the Congo.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51</w:t>
      </w:r>
      <w:r w:rsidRPr="005D0B08">
        <w:rPr>
          <w:rFonts w:ascii="Calibri" w:hAnsi="Calibri"/>
          <w:noProof/>
          <w:sz w:val="22"/>
        </w:rPr>
        <w:t>, 115.</w:t>
      </w:r>
    </w:p>
    <w:p w14:paraId="41E7BEF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Maconachie, R. (2012). Diamond mining, urbanisation and social transformation in Sierra Leone. </w:t>
      </w:r>
      <w:r w:rsidRPr="005D0B08">
        <w:rPr>
          <w:rFonts w:ascii="Calibri" w:hAnsi="Calibri"/>
          <w:i/>
          <w:iCs/>
          <w:noProof/>
          <w:sz w:val="22"/>
        </w:rPr>
        <w:t>Journal of Contemporary African Studies</w:t>
      </w:r>
      <w:r w:rsidRPr="005D0B08">
        <w:rPr>
          <w:rFonts w:ascii="Calibri" w:hAnsi="Calibri"/>
          <w:noProof/>
          <w:sz w:val="22"/>
        </w:rPr>
        <w:t xml:space="preserve">, </w:t>
      </w:r>
      <w:r w:rsidRPr="005D0B08">
        <w:rPr>
          <w:rFonts w:ascii="Calibri" w:hAnsi="Calibri"/>
          <w:i/>
          <w:iCs/>
          <w:noProof/>
          <w:sz w:val="22"/>
        </w:rPr>
        <w:t>30</w:t>
      </w:r>
      <w:r w:rsidRPr="005D0B08">
        <w:rPr>
          <w:rFonts w:ascii="Calibri" w:hAnsi="Calibri"/>
          <w:noProof/>
          <w:sz w:val="22"/>
        </w:rPr>
        <w:t>(4), 705–723.</w:t>
      </w:r>
    </w:p>
    <w:p w14:paraId="72958CB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Maconachie, R. (2014). Dispossession, exploitation or employment? youth livelihoods and extractive industry investment in Sierra Leone. </w:t>
      </w:r>
      <w:r w:rsidRPr="005D0B08">
        <w:rPr>
          <w:rFonts w:ascii="Calibri" w:hAnsi="Calibri"/>
          <w:i/>
          <w:iCs/>
          <w:noProof/>
          <w:sz w:val="22"/>
        </w:rPr>
        <w:t>Futures</w:t>
      </w:r>
      <w:r w:rsidRPr="005D0B08">
        <w:rPr>
          <w:rFonts w:ascii="Calibri" w:hAnsi="Calibri"/>
          <w:noProof/>
          <w:sz w:val="22"/>
        </w:rPr>
        <w:t xml:space="preserve">, </w:t>
      </w:r>
      <w:r w:rsidRPr="005D0B08">
        <w:rPr>
          <w:rFonts w:ascii="Calibri" w:hAnsi="Calibri"/>
          <w:i/>
          <w:iCs/>
          <w:noProof/>
          <w:sz w:val="22"/>
        </w:rPr>
        <w:t>62</w:t>
      </w:r>
      <w:r w:rsidRPr="005D0B08">
        <w:rPr>
          <w:rFonts w:ascii="Calibri" w:hAnsi="Calibri"/>
          <w:noProof/>
          <w:sz w:val="22"/>
        </w:rPr>
        <w:t>(Part A), 75–82.</w:t>
      </w:r>
    </w:p>
    <w:p w14:paraId="6E449F9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Maconachie, R., &amp; Binns, T. (2007). ’Farming miners’ or ‘mining farmers’? diamond mining and rural development in post-conflict Sierra Leone. </w:t>
      </w:r>
      <w:r w:rsidRPr="005D0B08">
        <w:rPr>
          <w:rFonts w:ascii="Calibri" w:hAnsi="Calibri"/>
          <w:i/>
          <w:iCs/>
          <w:noProof/>
          <w:sz w:val="22"/>
        </w:rPr>
        <w:t>Journal of Rural Studies</w:t>
      </w:r>
      <w:r w:rsidRPr="005D0B08">
        <w:rPr>
          <w:rFonts w:ascii="Calibri" w:hAnsi="Calibri"/>
          <w:noProof/>
          <w:sz w:val="22"/>
        </w:rPr>
        <w:t xml:space="preserve">, </w:t>
      </w:r>
      <w:r w:rsidRPr="005D0B08">
        <w:rPr>
          <w:rFonts w:ascii="Calibri" w:hAnsi="Calibri"/>
          <w:i/>
          <w:iCs/>
          <w:noProof/>
          <w:sz w:val="22"/>
        </w:rPr>
        <w:t>23</w:t>
      </w:r>
      <w:r w:rsidRPr="005D0B08">
        <w:rPr>
          <w:rFonts w:ascii="Calibri" w:hAnsi="Calibri"/>
          <w:noProof/>
          <w:sz w:val="22"/>
        </w:rPr>
        <w:t>(3), 367-380.</w:t>
      </w:r>
    </w:p>
    <w:p w14:paraId="59AB9D4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Mahler, S. ., &amp; Pessar, P. . (2006). Gender matters: ethnographers bring gender from the periphery toward the core of migration studies. </w:t>
      </w:r>
      <w:r w:rsidRPr="005D0B08">
        <w:rPr>
          <w:rFonts w:ascii="Calibri" w:hAnsi="Calibri"/>
          <w:i/>
          <w:iCs/>
          <w:noProof/>
          <w:sz w:val="22"/>
        </w:rPr>
        <w:t>International Migration Review</w:t>
      </w:r>
      <w:r w:rsidRPr="005D0B08">
        <w:rPr>
          <w:rFonts w:ascii="Calibri" w:hAnsi="Calibri"/>
          <w:noProof/>
          <w:sz w:val="22"/>
        </w:rPr>
        <w:t xml:space="preserve">, </w:t>
      </w:r>
      <w:r w:rsidRPr="005D0B08">
        <w:rPr>
          <w:rFonts w:ascii="Calibri" w:hAnsi="Calibri"/>
          <w:i/>
          <w:iCs/>
          <w:noProof/>
          <w:sz w:val="22"/>
        </w:rPr>
        <w:t>40</w:t>
      </w:r>
      <w:r w:rsidRPr="005D0B08">
        <w:rPr>
          <w:rFonts w:ascii="Calibri" w:hAnsi="Calibri"/>
          <w:noProof/>
          <w:sz w:val="22"/>
        </w:rPr>
        <w:t>(1), 27–63.</w:t>
      </w:r>
    </w:p>
    <w:p w14:paraId="27BE826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Mahy, P. (2011). Sex work and livelihoods: beyond the ʹnegative impacts on womenʹ in Indonesian mining. In </w:t>
      </w:r>
      <w:r w:rsidRPr="005D0B08">
        <w:rPr>
          <w:rFonts w:ascii="Calibri" w:hAnsi="Calibri"/>
          <w:i/>
          <w:iCs/>
          <w:noProof/>
          <w:sz w:val="22"/>
        </w:rPr>
        <w:t>Gendering the Field: Towards Sustainable Livelihoods for Mining Communities</w:t>
      </w:r>
      <w:r w:rsidRPr="005D0B08">
        <w:rPr>
          <w:rFonts w:ascii="Calibri" w:hAnsi="Calibri"/>
          <w:noProof/>
          <w:sz w:val="22"/>
        </w:rPr>
        <w:t xml:space="preserve"> (pp. 49–65). Canberra: ANU Press.</w:t>
      </w:r>
    </w:p>
    <w:p w14:paraId="529D13F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Main, K., &amp; Sandoval, G. F. (2015). Placemaking in a translocal receiving community: the relevance of place to identity and agency. </w:t>
      </w:r>
      <w:r w:rsidRPr="005D0B08">
        <w:rPr>
          <w:rFonts w:ascii="Calibri" w:hAnsi="Calibri"/>
          <w:i/>
          <w:iCs/>
          <w:noProof/>
          <w:sz w:val="22"/>
        </w:rPr>
        <w:t>Urban Studies</w:t>
      </w:r>
      <w:r w:rsidRPr="005D0B08">
        <w:rPr>
          <w:rFonts w:ascii="Calibri" w:hAnsi="Calibri"/>
          <w:noProof/>
          <w:sz w:val="22"/>
        </w:rPr>
        <w:t xml:space="preserve">, </w:t>
      </w:r>
      <w:r w:rsidRPr="005D0B08">
        <w:rPr>
          <w:rFonts w:ascii="Calibri" w:hAnsi="Calibri"/>
          <w:i/>
          <w:iCs/>
          <w:noProof/>
          <w:sz w:val="22"/>
        </w:rPr>
        <w:t>52</w:t>
      </w:r>
      <w:r w:rsidRPr="005D0B08">
        <w:rPr>
          <w:rFonts w:ascii="Calibri" w:hAnsi="Calibri"/>
          <w:noProof/>
          <w:sz w:val="22"/>
        </w:rPr>
        <w:t>(1), 71–86.</w:t>
      </w:r>
    </w:p>
    <w:p w14:paraId="6F14ACB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Mallon, F. (1983). </w:t>
      </w:r>
      <w:r w:rsidRPr="005D0B08">
        <w:rPr>
          <w:rFonts w:ascii="Calibri" w:hAnsi="Calibri"/>
          <w:i/>
          <w:iCs/>
          <w:noProof/>
          <w:sz w:val="22"/>
        </w:rPr>
        <w:t>The Defense of Community in Peru’s Central Highlands: Peasant Struggle and Capitalist Transition, 1860-1940</w:t>
      </w:r>
      <w:r w:rsidRPr="005D0B08">
        <w:rPr>
          <w:rFonts w:ascii="Calibri" w:hAnsi="Calibri"/>
          <w:noProof/>
          <w:sz w:val="22"/>
        </w:rPr>
        <w:t>. Princeton, NJ: Princeton University Press.</w:t>
      </w:r>
    </w:p>
    <w:p w14:paraId="0732161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Manrique, N. (1987). </w:t>
      </w:r>
      <w:r w:rsidRPr="005D0B08">
        <w:rPr>
          <w:rFonts w:ascii="Calibri" w:hAnsi="Calibri"/>
          <w:i/>
          <w:iCs/>
          <w:noProof/>
          <w:sz w:val="22"/>
        </w:rPr>
        <w:t>Mercardo Interno y Región: La Sierra Central 1820-1930</w:t>
      </w:r>
      <w:r w:rsidRPr="005D0B08">
        <w:rPr>
          <w:rFonts w:ascii="Calibri" w:hAnsi="Calibri"/>
          <w:noProof/>
          <w:sz w:val="22"/>
        </w:rPr>
        <w:t>. Lima, Peru: DESCO.</w:t>
      </w:r>
    </w:p>
    <w:p w14:paraId="27851EC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Manwaring, M. G. (1995). Peru’s Sendero Luminoso: The Shining Path beckons. </w:t>
      </w:r>
      <w:r w:rsidRPr="005D0B08">
        <w:rPr>
          <w:rFonts w:ascii="Calibri" w:hAnsi="Calibri"/>
          <w:i/>
          <w:iCs/>
          <w:noProof/>
          <w:sz w:val="22"/>
        </w:rPr>
        <w:t>The Annals of the American Academy of Political and Social Science</w:t>
      </w:r>
      <w:r w:rsidRPr="005D0B08">
        <w:rPr>
          <w:rFonts w:ascii="Calibri" w:hAnsi="Calibri"/>
          <w:noProof/>
          <w:sz w:val="22"/>
        </w:rPr>
        <w:t xml:space="preserve">, </w:t>
      </w:r>
      <w:r w:rsidRPr="005D0B08">
        <w:rPr>
          <w:rFonts w:ascii="Calibri" w:hAnsi="Calibri"/>
          <w:i/>
          <w:iCs/>
          <w:noProof/>
          <w:sz w:val="22"/>
        </w:rPr>
        <w:t>541</w:t>
      </w:r>
      <w:r w:rsidRPr="005D0B08">
        <w:rPr>
          <w:rFonts w:ascii="Calibri" w:hAnsi="Calibri"/>
          <w:noProof/>
          <w:sz w:val="22"/>
        </w:rPr>
        <w:t>, 157–166. Retrieved from http://www.jstor.org/stable/1048282</w:t>
      </w:r>
    </w:p>
    <w:p w14:paraId="38FAB69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Marcus, G. E. (1998). </w:t>
      </w:r>
      <w:r w:rsidRPr="005D0B08">
        <w:rPr>
          <w:rFonts w:ascii="Calibri" w:hAnsi="Calibri"/>
          <w:i/>
          <w:iCs/>
          <w:noProof/>
          <w:sz w:val="22"/>
        </w:rPr>
        <w:t>Ethnography through Thick and Thin</w:t>
      </w:r>
      <w:r w:rsidRPr="005D0B08">
        <w:rPr>
          <w:rFonts w:ascii="Calibri" w:hAnsi="Calibri"/>
          <w:noProof/>
          <w:sz w:val="22"/>
        </w:rPr>
        <w:t>. Princeton, NJ: Princeton University Press.</w:t>
      </w:r>
    </w:p>
    <w:p w14:paraId="053CD50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Martinez, G., McCord, S., Driscoll, C., Todorova, S., Wu., S., Araujo, J. ., … Fernandez, C. M. (2018). Mercury contamination in riverine sediments and fish associated with artisanal and small-scale gold mining in Madre de Dios, Peru. </w:t>
      </w:r>
      <w:r w:rsidRPr="005D0B08">
        <w:rPr>
          <w:rFonts w:ascii="Calibri" w:hAnsi="Calibri"/>
          <w:i/>
          <w:iCs/>
          <w:noProof/>
          <w:sz w:val="22"/>
        </w:rPr>
        <w:t>International Journal Environmental Research and Public Health</w:t>
      </w:r>
      <w:r w:rsidRPr="005D0B08">
        <w:rPr>
          <w:rFonts w:ascii="Calibri" w:hAnsi="Calibri"/>
          <w:noProof/>
          <w:sz w:val="22"/>
        </w:rPr>
        <w:t xml:space="preserve">, </w:t>
      </w:r>
      <w:r w:rsidRPr="005D0B08">
        <w:rPr>
          <w:rFonts w:ascii="Calibri" w:hAnsi="Calibri"/>
          <w:i/>
          <w:iCs/>
          <w:noProof/>
          <w:sz w:val="22"/>
        </w:rPr>
        <w:t>15</w:t>
      </w:r>
      <w:r w:rsidRPr="005D0B08">
        <w:rPr>
          <w:rFonts w:ascii="Calibri" w:hAnsi="Calibri"/>
          <w:noProof/>
          <w:sz w:val="22"/>
        </w:rPr>
        <w:t>(8), 1584.</w:t>
      </w:r>
    </w:p>
    <w:p w14:paraId="09C5D45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Mason, J. (2002). </w:t>
      </w:r>
      <w:r w:rsidRPr="005D0B08">
        <w:rPr>
          <w:rFonts w:ascii="Calibri" w:hAnsi="Calibri"/>
          <w:i/>
          <w:iCs/>
          <w:noProof/>
          <w:sz w:val="22"/>
        </w:rPr>
        <w:t>Qualitative Researching</w:t>
      </w:r>
      <w:r w:rsidRPr="005D0B08">
        <w:rPr>
          <w:rFonts w:ascii="Calibri" w:hAnsi="Calibri"/>
          <w:noProof/>
          <w:sz w:val="22"/>
        </w:rPr>
        <w:t>. London, UK: Sage Publications Ltd.</w:t>
      </w:r>
    </w:p>
    <w:p w14:paraId="056F390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Massey, D. S., Williams, N., Axinn, W. G., &amp; Ghimire, D. J. (2010). Community services and out-migration. </w:t>
      </w:r>
      <w:r w:rsidRPr="005D0B08">
        <w:rPr>
          <w:rFonts w:ascii="Calibri" w:hAnsi="Calibri"/>
          <w:i/>
          <w:iCs/>
          <w:noProof/>
          <w:sz w:val="22"/>
        </w:rPr>
        <w:t>International Migration</w:t>
      </w:r>
      <w:r w:rsidRPr="005D0B08">
        <w:rPr>
          <w:rFonts w:ascii="Calibri" w:hAnsi="Calibri"/>
          <w:noProof/>
          <w:sz w:val="22"/>
        </w:rPr>
        <w:t xml:space="preserve">, </w:t>
      </w:r>
      <w:r w:rsidRPr="005D0B08">
        <w:rPr>
          <w:rFonts w:ascii="Calibri" w:hAnsi="Calibri"/>
          <w:i/>
          <w:iCs/>
          <w:noProof/>
          <w:sz w:val="22"/>
        </w:rPr>
        <w:t>48</w:t>
      </w:r>
      <w:r w:rsidRPr="005D0B08">
        <w:rPr>
          <w:rFonts w:ascii="Calibri" w:hAnsi="Calibri"/>
          <w:noProof/>
          <w:sz w:val="22"/>
        </w:rPr>
        <w:t>(3), 1–41.</w:t>
      </w:r>
    </w:p>
    <w:p w14:paraId="16EAFF2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Mayer, M., &amp; Rankin, K. (2002). Social capital and (community) development: a north/south perspective. </w:t>
      </w:r>
      <w:r w:rsidRPr="005D0B08">
        <w:rPr>
          <w:rFonts w:ascii="Calibri" w:hAnsi="Calibri"/>
          <w:i/>
          <w:iCs/>
          <w:noProof/>
          <w:sz w:val="22"/>
        </w:rPr>
        <w:t>Antipode</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(4), 804–808.</w:t>
      </w:r>
    </w:p>
    <w:p w14:paraId="504B7DE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McClintock, C. (1984). Why peasants rebel: the case of Peru’s Sendero Luminoso. </w:t>
      </w:r>
      <w:r w:rsidRPr="005D0B08">
        <w:rPr>
          <w:rFonts w:ascii="Calibri" w:hAnsi="Calibri"/>
          <w:i/>
          <w:iCs/>
          <w:noProof/>
          <w:sz w:val="22"/>
        </w:rPr>
        <w:t>World Politics</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(1), 48–84.</w:t>
      </w:r>
    </w:p>
    <w:p w14:paraId="7B2A78C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McClintock, C. (1993). Peru’s Fujimore: A Caudillo derails democracy. </w:t>
      </w:r>
      <w:r w:rsidRPr="005D0B08">
        <w:rPr>
          <w:rFonts w:ascii="Calibri" w:hAnsi="Calibri"/>
          <w:i/>
          <w:iCs/>
          <w:noProof/>
          <w:sz w:val="22"/>
        </w:rPr>
        <w:t>Current History</w:t>
      </w:r>
      <w:r w:rsidRPr="005D0B08">
        <w:rPr>
          <w:rFonts w:ascii="Calibri" w:hAnsi="Calibri"/>
          <w:noProof/>
          <w:sz w:val="22"/>
        </w:rPr>
        <w:t xml:space="preserve">, </w:t>
      </w:r>
      <w:r w:rsidRPr="005D0B08">
        <w:rPr>
          <w:rFonts w:ascii="Calibri" w:hAnsi="Calibri"/>
          <w:i/>
          <w:iCs/>
          <w:noProof/>
          <w:sz w:val="22"/>
        </w:rPr>
        <w:t>92</w:t>
      </w:r>
      <w:r w:rsidRPr="005D0B08">
        <w:rPr>
          <w:rFonts w:ascii="Calibri" w:hAnsi="Calibri"/>
          <w:noProof/>
          <w:sz w:val="22"/>
        </w:rPr>
        <w:t>(572), 112–118.</w:t>
      </w:r>
    </w:p>
    <w:p w14:paraId="27689DC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McClintock, C. (2019). Peru’s Cleavages, Conflict, and Precarious Democracy. </w:t>
      </w:r>
      <w:r w:rsidRPr="005D0B08">
        <w:rPr>
          <w:rFonts w:ascii="Calibri" w:hAnsi="Calibri"/>
          <w:i/>
          <w:iCs/>
          <w:noProof/>
          <w:sz w:val="22"/>
        </w:rPr>
        <w:t>Oxford Research Encyclopedia of Politics</w:t>
      </w:r>
      <w:r w:rsidRPr="005D0B08">
        <w:rPr>
          <w:rFonts w:ascii="Calibri" w:hAnsi="Calibri"/>
          <w:noProof/>
          <w:sz w:val="22"/>
        </w:rPr>
        <w:t>, (April), 1–23.</w:t>
      </w:r>
    </w:p>
    <w:p w14:paraId="7378836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McDowell, L. (1999). </w:t>
      </w:r>
      <w:r w:rsidRPr="005D0B08">
        <w:rPr>
          <w:rFonts w:ascii="Calibri" w:hAnsi="Calibri"/>
          <w:i/>
          <w:iCs/>
          <w:noProof/>
          <w:sz w:val="22"/>
        </w:rPr>
        <w:t>Gender, Identity and Place</w:t>
      </w:r>
      <w:r w:rsidRPr="005D0B08">
        <w:rPr>
          <w:rFonts w:ascii="Calibri" w:hAnsi="Calibri"/>
          <w:noProof/>
          <w:sz w:val="22"/>
        </w:rPr>
        <w:t>. Minneapolis, MN: University of Minnesota Press.</w:t>
      </w:r>
    </w:p>
    <w:p w14:paraId="7156BAA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McEvoy, J., Pertzelka, P., Radel, C., &amp; Schmook, B. (2012). Gendered mobility and morality in a south-eastern Mexican community: Impacts of male labour migration on the women left behind. </w:t>
      </w:r>
      <w:r w:rsidRPr="005D0B08">
        <w:rPr>
          <w:rFonts w:ascii="Calibri" w:hAnsi="Calibri"/>
          <w:i/>
          <w:iCs/>
          <w:noProof/>
          <w:sz w:val="22"/>
        </w:rPr>
        <w:t>Mobilities</w:t>
      </w:r>
      <w:r w:rsidRPr="005D0B08">
        <w:rPr>
          <w:rFonts w:ascii="Calibri" w:hAnsi="Calibri"/>
          <w:noProof/>
          <w:sz w:val="22"/>
        </w:rPr>
        <w:t xml:space="preserve">, </w:t>
      </w:r>
      <w:r w:rsidRPr="005D0B08">
        <w:rPr>
          <w:rFonts w:ascii="Calibri" w:hAnsi="Calibri"/>
          <w:i/>
          <w:iCs/>
          <w:noProof/>
          <w:sz w:val="22"/>
        </w:rPr>
        <w:t>7</w:t>
      </w:r>
      <w:r w:rsidRPr="005D0B08">
        <w:rPr>
          <w:rFonts w:ascii="Calibri" w:hAnsi="Calibri"/>
          <w:noProof/>
          <w:sz w:val="22"/>
        </w:rPr>
        <w:t>(3), 369–388.</w:t>
      </w:r>
    </w:p>
    <w:p w14:paraId="27443CD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Mcneish, J.-A. (2012). </w:t>
      </w:r>
      <w:r w:rsidRPr="005D0B08">
        <w:rPr>
          <w:rFonts w:ascii="Calibri" w:hAnsi="Calibri"/>
          <w:i/>
          <w:iCs/>
          <w:noProof/>
          <w:sz w:val="22"/>
        </w:rPr>
        <w:t>More than beads and feathers: resource extraction and the indigenous challenge in Latin America</w:t>
      </w:r>
      <w:r w:rsidRPr="005D0B08">
        <w:rPr>
          <w:rFonts w:ascii="Calibri" w:hAnsi="Calibri"/>
          <w:noProof/>
          <w:sz w:val="22"/>
        </w:rPr>
        <w:t xml:space="preserve">. (H. Haarstad, Ed.), </w:t>
      </w:r>
      <w:r w:rsidRPr="005D0B08">
        <w:rPr>
          <w:rFonts w:ascii="Calibri" w:hAnsi="Calibri"/>
          <w:i/>
          <w:iCs/>
          <w:noProof/>
          <w:sz w:val="22"/>
        </w:rPr>
        <w:t>New Political Spaces in Latin American Natural Resource Governance</w:t>
      </w:r>
      <w:r w:rsidRPr="005D0B08">
        <w:rPr>
          <w:rFonts w:ascii="Calibri" w:hAnsi="Calibri"/>
          <w:noProof/>
          <w:sz w:val="22"/>
        </w:rPr>
        <w:t>. New York, NY: Palgrave Macmillan.</w:t>
      </w:r>
    </w:p>
    <w:p w14:paraId="7FDDD9C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Mendoza, C., &amp; Moren-Alegret, R. (2013). Exploring methods and techniques for the analysis of senses of place and migration. </w:t>
      </w:r>
      <w:r w:rsidRPr="005D0B08">
        <w:rPr>
          <w:rFonts w:ascii="Calibri" w:hAnsi="Calibri"/>
          <w:i/>
          <w:iCs/>
          <w:noProof/>
          <w:sz w:val="22"/>
        </w:rPr>
        <w:t>Progress in Human Geography</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(6), 762–785.</w:t>
      </w:r>
    </w:p>
    <w:p w14:paraId="7CF91F9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Menton, M., &amp; Cronkleton, P. (2019). Migration and forests in the Peruvian Amazon: A review. </w:t>
      </w:r>
      <w:r w:rsidRPr="005D0B08">
        <w:rPr>
          <w:rFonts w:ascii="Calibri" w:hAnsi="Calibri"/>
          <w:i/>
          <w:iCs/>
          <w:noProof/>
          <w:sz w:val="22"/>
        </w:rPr>
        <w:t>Migration and Forests in the Peruvian Amazon: A Review</w:t>
      </w:r>
      <w:r w:rsidRPr="005D0B08">
        <w:rPr>
          <w:rFonts w:ascii="Calibri" w:hAnsi="Calibri"/>
          <w:noProof/>
          <w:sz w:val="22"/>
        </w:rPr>
        <w:t>.</w:t>
      </w:r>
    </w:p>
    <w:p w14:paraId="7C3E55A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Meth, P. (2003). Entries and omissions: using solicited diaries in geographical research. </w:t>
      </w:r>
      <w:r w:rsidRPr="005D0B08">
        <w:rPr>
          <w:rFonts w:ascii="Calibri" w:hAnsi="Calibri"/>
          <w:i/>
          <w:iCs/>
          <w:noProof/>
          <w:sz w:val="22"/>
        </w:rPr>
        <w:t>Area</w:t>
      </w:r>
      <w:r w:rsidRPr="005D0B08">
        <w:rPr>
          <w:rFonts w:ascii="Calibri" w:hAnsi="Calibri"/>
          <w:noProof/>
          <w:sz w:val="22"/>
        </w:rPr>
        <w:t xml:space="preserve">, </w:t>
      </w:r>
      <w:r w:rsidRPr="005D0B08">
        <w:rPr>
          <w:rFonts w:ascii="Calibri" w:hAnsi="Calibri"/>
          <w:i/>
          <w:iCs/>
          <w:noProof/>
          <w:sz w:val="22"/>
        </w:rPr>
        <w:t>35</w:t>
      </w:r>
      <w:r w:rsidRPr="005D0B08">
        <w:rPr>
          <w:rFonts w:ascii="Calibri" w:hAnsi="Calibri"/>
          <w:noProof/>
          <w:sz w:val="22"/>
        </w:rPr>
        <w:t>(2), 195–205.</w:t>
      </w:r>
    </w:p>
    <w:p w14:paraId="7E68A12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Mines, R., &amp; de Janvry, A. (1982). Migration to the United States and Mexican rural development: a case study. </w:t>
      </w:r>
      <w:r w:rsidRPr="005D0B08">
        <w:rPr>
          <w:rFonts w:ascii="Calibri" w:hAnsi="Calibri"/>
          <w:i/>
          <w:iCs/>
          <w:noProof/>
          <w:sz w:val="22"/>
        </w:rPr>
        <w:t>American Journal of Agricutlural Economics</w:t>
      </w:r>
      <w:r w:rsidRPr="005D0B08">
        <w:rPr>
          <w:rFonts w:ascii="Calibri" w:hAnsi="Calibri"/>
          <w:noProof/>
          <w:sz w:val="22"/>
        </w:rPr>
        <w:t xml:space="preserve">, </w:t>
      </w:r>
      <w:r w:rsidRPr="005D0B08">
        <w:rPr>
          <w:rFonts w:ascii="Calibri" w:hAnsi="Calibri"/>
          <w:i/>
          <w:iCs/>
          <w:noProof/>
          <w:sz w:val="22"/>
        </w:rPr>
        <w:t>64</w:t>
      </w:r>
      <w:r w:rsidRPr="005D0B08">
        <w:rPr>
          <w:rFonts w:ascii="Calibri" w:hAnsi="Calibri"/>
          <w:noProof/>
          <w:sz w:val="22"/>
        </w:rPr>
        <w:t>(3), 444–454.</w:t>
      </w:r>
    </w:p>
    <w:p w14:paraId="0EFAA1D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MoEAM. (2017). Nueva Estrategia del Proceso de Formalizacion Mineria Intergral. Retrieved January 23, 2018, from https://slideplayer.es/slide/13430759/</w:t>
      </w:r>
    </w:p>
    <w:p w14:paraId="401FA52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Molyneux, M. (2002). Gender and the silences of social capital: lessons from Latin America. </w:t>
      </w:r>
      <w:r w:rsidRPr="005D0B08">
        <w:rPr>
          <w:rFonts w:ascii="Calibri" w:hAnsi="Calibri"/>
          <w:i/>
          <w:iCs/>
          <w:noProof/>
          <w:sz w:val="22"/>
        </w:rPr>
        <w:lastRenderedPageBreak/>
        <w:t>Development and Change</w:t>
      </w:r>
      <w:r w:rsidRPr="005D0B08">
        <w:rPr>
          <w:rFonts w:ascii="Calibri" w:hAnsi="Calibri"/>
          <w:noProof/>
          <w:sz w:val="22"/>
        </w:rPr>
        <w:t xml:space="preserve">, </w:t>
      </w:r>
      <w:r w:rsidRPr="005D0B08">
        <w:rPr>
          <w:rFonts w:ascii="Calibri" w:hAnsi="Calibri"/>
          <w:i/>
          <w:iCs/>
          <w:noProof/>
          <w:sz w:val="22"/>
        </w:rPr>
        <w:t>33</w:t>
      </w:r>
      <w:r w:rsidRPr="005D0B08">
        <w:rPr>
          <w:rFonts w:ascii="Calibri" w:hAnsi="Calibri"/>
          <w:noProof/>
          <w:sz w:val="22"/>
        </w:rPr>
        <w:t>(2), 167–188.</w:t>
      </w:r>
    </w:p>
    <w:p w14:paraId="190E854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Mondain, N., &amp; Daigne, A. (2013). Discerning the reality of ‘those left behind’ in contemporary migration processes in sub-Saharan Africa: some theoretical reflections in the light of data from Senegal. </w:t>
      </w:r>
      <w:r w:rsidRPr="005D0B08">
        <w:rPr>
          <w:rFonts w:ascii="Calibri" w:hAnsi="Calibri"/>
          <w:i/>
          <w:iCs/>
          <w:noProof/>
          <w:sz w:val="22"/>
        </w:rPr>
        <w:t>Journal of Intercultural Studies</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(5), 503–516.</w:t>
      </w:r>
    </w:p>
    <w:p w14:paraId="5D1CE28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Montgomery, M., Stren, R., Cohen, B., &amp; Reed, H. (2004). </w:t>
      </w:r>
      <w:r w:rsidRPr="005D0B08">
        <w:rPr>
          <w:rFonts w:ascii="Calibri" w:hAnsi="Calibri"/>
          <w:i/>
          <w:iCs/>
          <w:noProof/>
          <w:sz w:val="22"/>
        </w:rPr>
        <w:t>Cities Transformed: Demographic Change and its Implications in the Developing World</w:t>
      </w:r>
      <w:r w:rsidRPr="005D0B08">
        <w:rPr>
          <w:rFonts w:ascii="Calibri" w:hAnsi="Calibri"/>
          <w:noProof/>
          <w:sz w:val="22"/>
        </w:rPr>
        <w:t>. London, UK: Earthscan.</w:t>
      </w:r>
    </w:p>
    <w:p w14:paraId="382AD25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Moreno, M., &amp; Oropesa, R. . (2012). Ethno-racial identification in urban Peru. </w:t>
      </w:r>
      <w:r w:rsidRPr="005D0B08">
        <w:rPr>
          <w:rFonts w:ascii="Calibri" w:hAnsi="Calibri"/>
          <w:i/>
          <w:iCs/>
          <w:noProof/>
          <w:sz w:val="22"/>
        </w:rPr>
        <w:t>Ethnic and Racial Studies</w:t>
      </w:r>
      <w:r w:rsidRPr="005D0B08">
        <w:rPr>
          <w:rFonts w:ascii="Calibri" w:hAnsi="Calibri"/>
          <w:noProof/>
          <w:sz w:val="22"/>
        </w:rPr>
        <w:t xml:space="preserve">, </w:t>
      </w:r>
      <w:r w:rsidRPr="005D0B08">
        <w:rPr>
          <w:rFonts w:ascii="Calibri" w:hAnsi="Calibri"/>
          <w:i/>
          <w:iCs/>
          <w:noProof/>
          <w:sz w:val="22"/>
        </w:rPr>
        <w:t>35</w:t>
      </w:r>
      <w:r w:rsidRPr="005D0B08">
        <w:rPr>
          <w:rFonts w:ascii="Calibri" w:hAnsi="Calibri"/>
          <w:noProof/>
          <w:sz w:val="22"/>
        </w:rPr>
        <w:t>(7), 1220–1247.</w:t>
      </w:r>
    </w:p>
    <w:p w14:paraId="5DD4657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Moretti, D. (2006). The gender of the gold: an ethnogaphic and historical account of women’s involvement in artisanal and small-scale mining in Mount Kaindi, Papua New Guinea. </w:t>
      </w:r>
      <w:r w:rsidRPr="005D0B08">
        <w:rPr>
          <w:rFonts w:ascii="Calibri" w:hAnsi="Calibri"/>
          <w:i/>
          <w:iCs/>
          <w:noProof/>
          <w:sz w:val="22"/>
        </w:rPr>
        <w:t>Oceania</w:t>
      </w:r>
      <w:r w:rsidRPr="005D0B08">
        <w:rPr>
          <w:rFonts w:ascii="Calibri" w:hAnsi="Calibri"/>
          <w:noProof/>
          <w:sz w:val="22"/>
        </w:rPr>
        <w:t xml:space="preserve">, </w:t>
      </w:r>
      <w:r w:rsidRPr="005D0B08">
        <w:rPr>
          <w:rFonts w:ascii="Calibri" w:hAnsi="Calibri"/>
          <w:i/>
          <w:iCs/>
          <w:noProof/>
          <w:sz w:val="22"/>
        </w:rPr>
        <w:t>76</w:t>
      </w:r>
      <w:r w:rsidRPr="005D0B08">
        <w:rPr>
          <w:rFonts w:ascii="Calibri" w:hAnsi="Calibri"/>
          <w:noProof/>
          <w:sz w:val="22"/>
        </w:rPr>
        <w:t>(2), 133–149.</w:t>
      </w:r>
    </w:p>
    <w:p w14:paraId="38465F5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Municipalidad Distrital de Ocongate. (2005). </w:t>
      </w:r>
      <w:r w:rsidRPr="005D0B08">
        <w:rPr>
          <w:rFonts w:ascii="Calibri" w:hAnsi="Calibri"/>
          <w:i/>
          <w:iCs/>
          <w:noProof/>
          <w:sz w:val="22"/>
        </w:rPr>
        <w:t>Plan de Desarrollo Institucional 2007-2010</w:t>
      </w:r>
      <w:r w:rsidRPr="005D0B08">
        <w:rPr>
          <w:rFonts w:ascii="Calibri" w:hAnsi="Calibri"/>
          <w:noProof/>
          <w:sz w:val="22"/>
        </w:rPr>
        <w:t>.</w:t>
      </w:r>
    </w:p>
    <w:p w14:paraId="7EC4CB9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Nash, J. (1986). A decade of research on women in Latin America. In </w:t>
      </w:r>
      <w:r w:rsidRPr="005D0B08">
        <w:rPr>
          <w:rFonts w:ascii="Calibri" w:hAnsi="Calibri"/>
          <w:i/>
          <w:iCs/>
          <w:noProof/>
          <w:sz w:val="22"/>
        </w:rPr>
        <w:t>Women and change in Latin America</w:t>
      </w:r>
      <w:r w:rsidRPr="005D0B08">
        <w:rPr>
          <w:rFonts w:ascii="Calibri" w:hAnsi="Calibri"/>
          <w:noProof/>
          <w:sz w:val="22"/>
        </w:rPr>
        <w:t xml:space="preserve"> (pp. 3–21). South Hadley, MA: Bergin and Garvey.</w:t>
      </w:r>
    </w:p>
    <w:p w14:paraId="5EC3867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Naumann, C., &amp; Greiner, C. (2016). The translocal villagers: mining, mobility and stratification in post-apartheid South Africa. </w:t>
      </w:r>
      <w:r w:rsidRPr="005D0B08">
        <w:rPr>
          <w:rFonts w:ascii="Calibri" w:hAnsi="Calibri"/>
          <w:i/>
          <w:iCs/>
          <w:noProof/>
          <w:sz w:val="22"/>
        </w:rPr>
        <w:t>Mobilities</w:t>
      </w:r>
      <w:r w:rsidRPr="005D0B08">
        <w:rPr>
          <w:rFonts w:ascii="Calibri" w:hAnsi="Calibri"/>
          <w:noProof/>
          <w:sz w:val="22"/>
        </w:rPr>
        <w:t xml:space="preserve">, </w:t>
      </w:r>
      <w:r w:rsidRPr="005D0B08">
        <w:rPr>
          <w:rFonts w:ascii="Calibri" w:hAnsi="Calibri"/>
          <w:i/>
          <w:iCs/>
          <w:noProof/>
          <w:sz w:val="22"/>
        </w:rPr>
        <w:t>12</w:t>
      </w:r>
      <w:r w:rsidRPr="005D0B08">
        <w:rPr>
          <w:rFonts w:ascii="Calibri" w:hAnsi="Calibri"/>
          <w:noProof/>
          <w:sz w:val="22"/>
        </w:rPr>
        <w:t>(6), 875–889.</w:t>
      </w:r>
    </w:p>
    <w:p w14:paraId="0E0B8EC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Nieswand, B. (2011). </w:t>
      </w:r>
      <w:r w:rsidRPr="005D0B08">
        <w:rPr>
          <w:rFonts w:ascii="Calibri" w:hAnsi="Calibri"/>
          <w:i/>
          <w:iCs/>
          <w:noProof/>
          <w:sz w:val="22"/>
        </w:rPr>
        <w:t>Theorising Transnational Migration: The Status Paradox of Migration</w:t>
      </w:r>
      <w:r w:rsidRPr="005D0B08">
        <w:rPr>
          <w:rFonts w:ascii="Calibri" w:hAnsi="Calibri"/>
          <w:noProof/>
          <w:sz w:val="22"/>
        </w:rPr>
        <w:t>. London, UK: Routledge.</w:t>
      </w:r>
    </w:p>
    <w:p w14:paraId="6C713D8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Nyame, F., Grant, J. A., &amp; Yakovleva, N. (2009). Perspectives on migration patterns in Ghana’s mining industry.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(1–2), 6–11.</w:t>
      </w:r>
    </w:p>
    <w:p w14:paraId="4F538BE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Nyame, F. K., &amp; Grant, J. A. (2014). The political economy of transitory mining in Ghana: understanding the trajectories, triumphs, and tribulations of artisanal and small-scale operators.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1</w:t>
      </w:r>
      <w:r w:rsidRPr="005D0B08">
        <w:rPr>
          <w:rFonts w:ascii="Calibri" w:hAnsi="Calibri"/>
          <w:noProof/>
          <w:sz w:val="22"/>
        </w:rPr>
        <w:t>(1), 75–85.</w:t>
      </w:r>
    </w:p>
    <w:p w14:paraId="532B585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Oakes, T., &amp; Schein, L. (2006). </w:t>
      </w:r>
      <w:r w:rsidRPr="005D0B08">
        <w:rPr>
          <w:rFonts w:ascii="Calibri" w:hAnsi="Calibri"/>
          <w:i/>
          <w:iCs/>
          <w:noProof/>
          <w:sz w:val="22"/>
        </w:rPr>
        <w:t>Translocal China: Linkages, Identities and the Reimagining of Space</w:t>
      </w:r>
      <w:r w:rsidRPr="005D0B08">
        <w:rPr>
          <w:rFonts w:ascii="Calibri" w:hAnsi="Calibri"/>
          <w:noProof/>
          <w:sz w:val="22"/>
        </w:rPr>
        <w:t>. London, UK: Routledge.</w:t>
      </w:r>
    </w:p>
    <w:p w14:paraId="40E7D9C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Obrist, B., Pfeiffer, C., &amp; Henley, R. (2010). Multi-layered social resilience: a new approach in migration research. </w:t>
      </w:r>
      <w:r w:rsidRPr="005D0B08">
        <w:rPr>
          <w:rFonts w:ascii="Calibri" w:hAnsi="Calibri"/>
          <w:i/>
          <w:iCs/>
          <w:noProof/>
          <w:sz w:val="22"/>
        </w:rPr>
        <w:t>Progress in Development Studies</w:t>
      </w:r>
      <w:r w:rsidRPr="005D0B08">
        <w:rPr>
          <w:rFonts w:ascii="Calibri" w:hAnsi="Calibri"/>
          <w:noProof/>
          <w:sz w:val="22"/>
        </w:rPr>
        <w:t xml:space="preserve">, </w:t>
      </w:r>
      <w:r w:rsidRPr="005D0B08">
        <w:rPr>
          <w:rFonts w:ascii="Calibri" w:hAnsi="Calibri"/>
          <w:i/>
          <w:iCs/>
          <w:noProof/>
          <w:sz w:val="22"/>
        </w:rPr>
        <w:t>10</w:t>
      </w:r>
      <w:r w:rsidRPr="005D0B08">
        <w:rPr>
          <w:rFonts w:ascii="Calibri" w:hAnsi="Calibri"/>
          <w:noProof/>
          <w:sz w:val="22"/>
        </w:rPr>
        <w:t>(4), 283–293.</w:t>
      </w:r>
    </w:p>
    <w:p w14:paraId="199A12D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Ofori, D. R., &amp; Ofori, J. J. (2018). Digging for gold or justice? Misrecognition and marginalization of “illegal” small-scale miners in Ghana. </w:t>
      </w:r>
      <w:r w:rsidRPr="005D0B08">
        <w:rPr>
          <w:rFonts w:ascii="Calibri" w:hAnsi="Calibri"/>
          <w:i/>
          <w:iCs/>
          <w:noProof/>
          <w:sz w:val="22"/>
        </w:rPr>
        <w:t>Social Justice Research</w:t>
      </w:r>
      <w:r w:rsidRPr="005D0B08">
        <w:rPr>
          <w:rFonts w:ascii="Calibri" w:hAnsi="Calibri"/>
          <w:noProof/>
          <w:sz w:val="22"/>
        </w:rPr>
        <w:t xml:space="preserve">, </w:t>
      </w:r>
      <w:r w:rsidRPr="005D0B08">
        <w:rPr>
          <w:rFonts w:ascii="Calibri" w:hAnsi="Calibri"/>
          <w:i/>
          <w:iCs/>
          <w:noProof/>
          <w:sz w:val="22"/>
        </w:rPr>
        <w:t>31</w:t>
      </w:r>
      <w:r w:rsidRPr="005D0B08">
        <w:rPr>
          <w:rFonts w:ascii="Calibri" w:hAnsi="Calibri"/>
          <w:noProof/>
          <w:sz w:val="22"/>
        </w:rPr>
        <w:t>(4), 355–373.</w:t>
      </w:r>
    </w:p>
    <w:p w14:paraId="46D1856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Olwig, F. ., &amp; Sørensen, N. N. (2002). Mobile livelihoods: making a living in the world. In F. . Olwig &amp; N. . Sorensen (Eds.), </w:t>
      </w:r>
      <w:r w:rsidRPr="005D0B08">
        <w:rPr>
          <w:rFonts w:ascii="Calibri" w:hAnsi="Calibri"/>
          <w:i/>
          <w:iCs/>
          <w:noProof/>
          <w:sz w:val="22"/>
        </w:rPr>
        <w:t>Work and Migration: Life and Livelihoods in a Globalizing World</w:t>
      </w:r>
      <w:r w:rsidRPr="005D0B08">
        <w:rPr>
          <w:rFonts w:ascii="Calibri" w:hAnsi="Calibri"/>
          <w:noProof/>
          <w:sz w:val="22"/>
        </w:rPr>
        <w:t xml:space="preserve"> (pp. 1–19). London, UK: Routledge.</w:t>
      </w:r>
    </w:p>
    <w:p w14:paraId="6EF72B8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Orihuela, J. C. (2012). The Making of Conflict-Prone Development: Trade and Horizontal Inequalities in Peru. </w:t>
      </w:r>
      <w:r w:rsidRPr="005D0B08">
        <w:rPr>
          <w:rFonts w:ascii="Calibri" w:hAnsi="Calibri"/>
          <w:i/>
          <w:iCs/>
          <w:noProof/>
          <w:sz w:val="22"/>
        </w:rPr>
        <w:t>European Journal of Development Research</w:t>
      </w:r>
      <w:r w:rsidRPr="005D0B08">
        <w:rPr>
          <w:rFonts w:ascii="Calibri" w:hAnsi="Calibri"/>
          <w:noProof/>
          <w:sz w:val="22"/>
        </w:rPr>
        <w:t xml:space="preserve">, </w:t>
      </w:r>
      <w:r w:rsidRPr="005D0B08">
        <w:rPr>
          <w:rFonts w:ascii="Calibri" w:hAnsi="Calibri"/>
          <w:i/>
          <w:iCs/>
          <w:noProof/>
          <w:sz w:val="22"/>
        </w:rPr>
        <w:t>24</w:t>
      </w:r>
      <w:r w:rsidRPr="005D0B08">
        <w:rPr>
          <w:rFonts w:ascii="Calibri" w:hAnsi="Calibri"/>
          <w:noProof/>
          <w:sz w:val="22"/>
        </w:rPr>
        <w:t>(5), 688–705.</w:t>
      </w:r>
    </w:p>
    <w:p w14:paraId="1B4D26C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Orta-Martínez, M., &amp; Finer, M. (2010). Oil frontiers and indigenous resistance in the Peruvian Amazon. </w:t>
      </w:r>
      <w:r w:rsidRPr="005D0B08">
        <w:rPr>
          <w:rFonts w:ascii="Calibri" w:hAnsi="Calibri"/>
          <w:i/>
          <w:iCs/>
          <w:noProof/>
          <w:sz w:val="22"/>
        </w:rPr>
        <w:t>Ecological Economics</w:t>
      </w:r>
      <w:r w:rsidRPr="005D0B08">
        <w:rPr>
          <w:rFonts w:ascii="Calibri" w:hAnsi="Calibri"/>
          <w:noProof/>
          <w:sz w:val="22"/>
        </w:rPr>
        <w:t xml:space="preserve">, </w:t>
      </w:r>
      <w:r w:rsidRPr="005D0B08">
        <w:rPr>
          <w:rFonts w:ascii="Calibri" w:hAnsi="Calibri"/>
          <w:i/>
          <w:iCs/>
          <w:noProof/>
          <w:sz w:val="22"/>
        </w:rPr>
        <w:t>70</w:t>
      </w:r>
      <w:r w:rsidRPr="005D0B08">
        <w:rPr>
          <w:rFonts w:ascii="Calibri" w:hAnsi="Calibri"/>
          <w:noProof/>
          <w:sz w:val="22"/>
        </w:rPr>
        <w:t>(2), 207–218.</w:t>
      </w:r>
    </w:p>
    <w:p w14:paraId="79D60A4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Ostrom, E. (2008). The challenge of common-pool resources. </w:t>
      </w:r>
      <w:r w:rsidRPr="005D0B08">
        <w:rPr>
          <w:rFonts w:ascii="Calibri" w:hAnsi="Calibri"/>
          <w:i/>
          <w:iCs/>
          <w:noProof/>
          <w:sz w:val="22"/>
        </w:rPr>
        <w:t>Environment: Science and Policy for Sustainable Development</w:t>
      </w:r>
      <w:r w:rsidRPr="005D0B08">
        <w:rPr>
          <w:rFonts w:ascii="Calibri" w:hAnsi="Calibri"/>
          <w:noProof/>
          <w:sz w:val="22"/>
        </w:rPr>
        <w:t xml:space="preserve">, </w:t>
      </w:r>
      <w:r w:rsidRPr="005D0B08">
        <w:rPr>
          <w:rFonts w:ascii="Calibri" w:hAnsi="Calibri"/>
          <w:i/>
          <w:iCs/>
          <w:noProof/>
          <w:sz w:val="22"/>
        </w:rPr>
        <w:t>50</w:t>
      </w:r>
      <w:r w:rsidRPr="005D0B08">
        <w:rPr>
          <w:rFonts w:ascii="Calibri" w:hAnsi="Calibri"/>
          <w:noProof/>
          <w:sz w:val="22"/>
        </w:rPr>
        <w:t>(4), 8–21.</w:t>
      </w:r>
    </w:p>
    <w:p w14:paraId="2355C33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Paerregaard, K. (1997). </w:t>
      </w:r>
      <w:r w:rsidRPr="005D0B08">
        <w:rPr>
          <w:rFonts w:ascii="Calibri" w:hAnsi="Calibri"/>
          <w:i/>
          <w:iCs/>
          <w:noProof/>
          <w:sz w:val="22"/>
        </w:rPr>
        <w:t>Linking Separate Worlds: Urban Migrants and Rural Lives in Peru</w:t>
      </w:r>
      <w:r w:rsidRPr="005D0B08">
        <w:rPr>
          <w:rFonts w:ascii="Calibri" w:hAnsi="Calibri"/>
          <w:noProof/>
          <w:sz w:val="22"/>
        </w:rPr>
        <w:t>. Oxford, UK: Berg.</w:t>
      </w:r>
    </w:p>
    <w:p w14:paraId="2C2E615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Palmer, D. S. (2017). Revolutionary leadership as necessary element in people’s war: Shining Path of Peru. </w:t>
      </w:r>
      <w:r w:rsidRPr="005D0B08">
        <w:rPr>
          <w:rFonts w:ascii="Calibri" w:hAnsi="Calibri"/>
          <w:i/>
          <w:iCs/>
          <w:noProof/>
          <w:sz w:val="22"/>
        </w:rPr>
        <w:t>Small Wars and Insurgencies</w:t>
      </w:r>
      <w:r w:rsidRPr="005D0B08">
        <w:rPr>
          <w:rFonts w:ascii="Calibri" w:hAnsi="Calibri"/>
          <w:noProof/>
          <w:sz w:val="22"/>
        </w:rPr>
        <w:t xml:space="preserve">, </w:t>
      </w:r>
      <w:r w:rsidRPr="005D0B08">
        <w:rPr>
          <w:rFonts w:ascii="Calibri" w:hAnsi="Calibri"/>
          <w:i/>
          <w:iCs/>
          <w:noProof/>
          <w:sz w:val="22"/>
        </w:rPr>
        <w:t>28</w:t>
      </w:r>
      <w:r w:rsidRPr="005D0B08">
        <w:rPr>
          <w:rFonts w:ascii="Calibri" w:hAnsi="Calibri"/>
          <w:noProof/>
          <w:sz w:val="22"/>
        </w:rPr>
        <w:t>(3), 426–450.</w:t>
      </w:r>
    </w:p>
    <w:p w14:paraId="0A59B42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Paredes, C. E., &amp; Sachs, J. D. (1991). </w:t>
      </w:r>
      <w:r w:rsidRPr="005D0B08">
        <w:rPr>
          <w:rFonts w:ascii="Calibri" w:hAnsi="Calibri"/>
          <w:i/>
          <w:iCs/>
          <w:noProof/>
          <w:sz w:val="22"/>
        </w:rPr>
        <w:t>Peru’s Path to Recovery: A Plan for Economic Stabilization and Growth</w:t>
      </w:r>
      <w:r w:rsidRPr="005D0B08">
        <w:rPr>
          <w:rFonts w:ascii="Calibri" w:hAnsi="Calibri"/>
          <w:noProof/>
          <w:sz w:val="22"/>
        </w:rPr>
        <w:t>. Washington D.C.: Brookings Institution.</w:t>
      </w:r>
    </w:p>
    <w:p w14:paraId="2E60283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Paredes, M. (2016). The glocalization of mining conflict: Cases from Peru.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3</w:t>
      </w:r>
      <w:r w:rsidRPr="005D0B08">
        <w:rPr>
          <w:rFonts w:ascii="Calibri" w:hAnsi="Calibri"/>
          <w:noProof/>
          <w:sz w:val="22"/>
        </w:rPr>
        <w:t>(4), 1046–1057.</w:t>
      </w:r>
    </w:p>
    <w:p w14:paraId="39F276E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Paredes, M., &amp; Thorp, R. (2015). The persistence of horizontal inequalities and the role of policy: the case study of Peru. </w:t>
      </w:r>
      <w:r w:rsidRPr="005D0B08">
        <w:rPr>
          <w:rFonts w:ascii="Calibri" w:hAnsi="Calibri"/>
          <w:i/>
          <w:iCs/>
          <w:noProof/>
          <w:sz w:val="22"/>
        </w:rPr>
        <w:t>Oxford Development Studies</w:t>
      </w:r>
      <w:r w:rsidRPr="005D0B08">
        <w:rPr>
          <w:rFonts w:ascii="Calibri" w:hAnsi="Calibri"/>
          <w:noProof/>
          <w:sz w:val="22"/>
        </w:rPr>
        <w:t xml:space="preserve">, </w:t>
      </w:r>
      <w:r w:rsidRPr="005D0B08">
        <w:rPr>
          <w:rFonts w:ascii="Calibri" w:hAnsi="Calibri"/>
          <w:i/>
          <w:iCs/>
          <w:noProof/>
          <w:sz w:val="22"/>
        </w:rPr>
        <w:t>43</w:t>
      </w:r>
      <w:r w:rsidRPr="005D0B08">
        <w:rPr>
          <w:rFonts w:ascii="Calibri" w:hAnsi="Calibri"/>
          <w:noProof/>
          <w:sz w:val="22"/>
        </w:rPr>
        <w:t>(1), 1–19.</w:t>
      </w:r>
    </w:p>
    <w:p w14:paraId="25C76D7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Parsons, L. (2017). Multi-scalar inequality: structured mobility and the narrative construction of scale in translocal Cambodia.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85</w:t>
      </w:r>
      <w:r w:rsidRPr="005D0B08">
        <w:rPr>
          <w:rFonts w:ascii="Calibri" w:hAnsi="Calibri"/>
          <w:noProof/>
          <w:sz w:val="22"/>
        </w:rPr>
        <w:t>, 187–196.</w:t>
      </w:r>
    </w:p>
    <w:p w14:paraId="6EBFD60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Patel, K., Rogan, J., Cuba, N., &amp; Bebbington, A. (2016). Evaluating conflict surrounding mineral extraction in Ghana: Assessing the spatial interactions of large and small-scale mining.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3</w:t>
      </w:r>
      <w:r w:rsidRPr="005D0B08">
        <w:rPr>
          <w:rFonts w:ascii="Calibri" w:hAnsi="Calibri"/>
          <w:noProof/>
          <w:sz w:val="22"/>
        </w:rPr>
        <w:t>(2), 450–463.</w:t>
      </w:r>
    </w:p>
    <w:p w14:paraId="5083D72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Paus, E. A. (1991). Adjustment and development in Latin America: the failure of Peruvian Heterodoxy, 1985-90. </w:t>
      </w:r>
      <w:r w:rsidRPr="005D0B08">
        <w:rPr>
          <w:rFonts w:ascii="Calibri" w:hAnsi="Calibri"/>
          <w:i/>
          <w:iCs/>
          <w:noProof/>
          <w:sz w:val="22"/>
        </w:rPr>
        <w:t>World Development</w:t>
      </w:r>
      <w:r w:rsidRPr="005D0B08">
        <w:rPr>
          <w:rFonts w:ascii="Calibri" w:hAnsi="Calibri"/>
          <w:noProof/>
          <w:sz w:val="22"/>
        </w:rPr>
        <w:t xml:space="preserve">, </w:t>
      </w:r>
      <w:r w:rsidRPr="005D0B08">
        <w:rPr>
          <w:rFonts w:ascii="Calibri" w:hAnsi="Calibri"/>
          <w:i/>
          <w:iCs/>
          <w:noProof/>
          <w:sz w:val="22"/>
        </w:rPr>
        <w:t>19</w:t>
      </w:r>
      <w:r w:rsidRPr="005D0B08">
        <w:rPr>
          <w:rFonts w:ascii="Calibri" w:hAnsi="Calibri"/>
          <w:noProof/>
          <w:sz w:val="22"/>
        </w:rPr>
        <w:t>(5), 411–434.</w:t>
      </w:r>
    </w:p>
    <w:p w14:paraId="6CE143E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Paz, P., &amp; Urrutia, C. (2015). Economic Growth and Wage Stagnation in Peru: 1998-2012. </w:t>
      </w:r>
      <w:r w:rsidRPr="005D0B08">
        <w:rPr>
          <w:rFonts w:ascii="Calibri" w:hAnsi="Calibri"/>
          <w:i/>
          <w:iCs/>
          <w:noProof/>
          <w:sz w:val="22"/>
        </w:rPr>
        <w:t>Review of Development Economics</w:t>
      </w:r>
      <w:r w:rsidRPr="005D0B08">
        <w:rPr>
          <w:rFonts w:ascii="Calibri" w:hAnsi="Calibri"/>
          <w:noProof/>
          <w:sz w:val="22"/>
        </w:rPr>
        <w:t xml:space="preserve">, </w:t>
      </w:r>
      <w:r w:rsidRPr="005D0B08">
        <w:rPr>
          <w:rFonts w:ascii="Calibri" w:hAnsi="Calibri"/>
          <w:i/>
          <w:iCs/>
          <w:noProof/>
          <w:sz w:val="22"/>
        </w:rPr>
        <w:t>19</w:t>
      </w:r>
      <w:r w:rsidRPr="005D0B08">
        <w:rPr>
          <w:rFonts w:ascii="Calibri" w:hAnsi="Calibri"/>
          <w:noProof/>
          <w:sz w:val="22"/>
        </w:rPr>
        <w:t>(2), 328–345.</w:t>
      </w:r>
    </w:p>
    <w:p w14:paraId="18F6441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Perakyla, A. (2005). Analyzing talk and text. In N.K Denzin &amp; Y. . Lincoln (Eds.), </w:t>
      </w:r>
      <w:r w:rsidRPr="005D0B08">
        <w:rPr>
          <w:rFonts w:ascii="Calibri" w:hAnsi="Calibri"/>
          <w:i/>
          <w:iCs/>
          <w:noProof/>
          <w:sz w:val="22"/>
        </w:rPr>
        <w:t>The Sage Handbook of Qualitative Research</w:t>
      </w:r>
      <w:r w:rsidRPr="005D0B08">
        <w:rPr>
          <w:rFonts w:ascii="Calibri" w:hAnsi="Calibri"/>
          <w:noProof/>
          <w:sz w:val="22"/>
        </w:rPr>
        <w:t xml:space="preserve"> (3rd ed.). London, UK: Sage Publications Ltd.</w:t>
      </w:r>
    </w:p>
    <w:p w14:paraId="3A9E098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Perks, R. (2011). Towards post-conflict transition: women and artisanal mining in the Democratic Republic of Congo. In Kuntala Lahiri-Dutt (Ed.), </w:t>
      </w:r>
      <w:r w:rsidRPr="005D0B08">
        <w:rPr>
          <w:rFonts w:ascii="Calibri" w:hAnsi="Calibri"/>
          <w:i/>
          <w:iCs/>
          <w:noProof/>
          <w:sz w:val="22"/>
        </w:rPr>
        <w:t>Gendering the Field: Towards Sustainable Livelihoods for Mining Communities</w:t>
      </w:r>
      <w:r w:rsidRPr="005D0B08">
        <w:rPr>
          <w:rFonts w:ascii="Calibri" w:hAnsi="Calibri"/>
          <w:noProof/>
          <w:sz w:val="22"/>
        </w:rPr>
        <w:t xml:space="preserve"> (pp. 177–196). Canberra: ANU Press.</w:t>
      </w:r>
    </w:p>
    <w:p w14:paraId="5BE0799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Perreault, T., &amp; Martin, P. (2005). Geographies of neoliberalism in Latin America. </w:t>
      </w:r>
      <w:r w:rsidRPr="005D0B08">
        <w:rPr>
          <w:rFonts w:ascii="Calibri" w:hAnsi="Calibri"/>
          <w:i/>
          <w:iCs/>
          <w:noProof/>
          <w:sz w:val="22"/>
        </w:rPr>
        <w:t>Environment and Planning A: Economy and Space</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(2), 191–201.</w:t>
      </w:r>
    </w:p>
    <w:p w14:paraId="4DA4EE1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Pessar, P. . (1999). Engendering migration studies: the case of new immigrants in the United States. </w:t>
      </w:r>
      <w:r w:rsidRPr="005D0B08">
        <w:rPr>
          <w:rFonts w:ascii="Calibri" w:hAnsi="Calibri"/>
          <w:i/>
          <w:iCs/>
          <w:noProof/>
          <w:sz w:val="22"/>
        </w:rPr>
        <w:t>American Behavioural Scientist</w:t>
      </w:r>
      <w:r w:rsidRPr="005D0B08">
        <w:rPr>
          <w:rFonts w:ascii="Calibri" w:hAnsi="Calibri"/>
          <w:noProof/>
          <w:sz w:val="22"/>
        </w:rPr>
        <w:t xml:space="preserve">, </w:t>
      </w:r>
      <w:r w:rsidRPr="005D0B08">
        <w:rPr>
          <w:rFonts w:ascii="Calibri" w:hAnsi="Calibri"/>
          <w:i/>
          <w:iCs/>
          <w:noProof/>
          <w:sz w:val="22"/>
        </w:rPr>
        <w:t>42</w:t>
      </w:r>
      <w:r w:rsidRPr="005D0B08">
        <w:rPr>
          <w:rFonts w:ascii="Calibri" w:hAnsi="Calibri"/>
          <w:noProof/>
          <w:sz w:val="22"/>
        </w:rPr>
        <w:t>(4), 577–600.</w:t>
      </w:r>
    </w:p>
    <w:p w14:paraId="4B4DF11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Peth, S. A., &amp; Birtel, S. (2014). Translocal Livelihoods and Labor Migration in Bangladesh: migration Decisions in the context of multiple insecurities and a changing environment. In B. Etzold &amp; B. </w:t>
      </w:r>
      <w:r w:rsidRPr="005D0B08">
        <w:rPr>
          <w:rFonts w:ascii="Calibri" w:hAnsi="Calibri"/>
          <w:noProof/>
          <w:sz w:val="22"/>
        </w:rPr>
        <w:lastRenderedPageBreak/>
        <w:t xml:space="preserve">Mallick (Eds.), </w:t>
      </w:r>
      <w:r w:rsidRPr="005D0B08">
        <w:rPr>
          <w:rFonts w:ascii="Calibri" w:hAnsi="Calibri"/>
          <w:i/>
          <w:iCs/>
          <w:noProof/>
          <w:sz w:val="22"/>
        </w:rPr>
        <w:t>Environment, Migration and Adaptation - Evidence and Politics of Climate Change in Bangladesh</w:t>
      </w:r>
      <w:r w:rsidRPr="005D0B08">
        <w:rPr>
          <w:rFonts w:ascii="Calibri" w:hAnsi="Calibri"/>
          <w:noProof/>
          <w:sz w:val="22"/>
        </w:rPr>
        <w:t xml:space="preserve"> (pp. 99–118). Dhaka: AHDPH.</w:t>
      </w:r>
    </w:p>
    <w:p w14:paraId="082612C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Peth, S. A., Sterly, H., &amp; Sakdapolrak, P. (2018). Between the village and the global city: the production and decay of translocal spaces of Thai migrant workers in Singapore. </w:t>
      </w:r>
      <w:r w:rsidRPr="005D0B08">
        <w:rPr>
          <w:rFonts w:ascii="Calibri" w:hAnsi="Calibri"/>
          <w:i/>
          <w:iCs/>
          <w:noProof/>
          <w:sz w:val="22"/>
        </w:rPr>
        <w:t>Mobilities</w:t>
      </w:r>
      <w:r w:rsidRPr="005D0B08">
        <w:rPr>
          <w:rFonts w:ascii="Calibri" w:hAnsi="Calibri"/>
          <w:noProof/>
          <w:sz w:val="22"/>
        </w:rPr>
        <w:t xml:space="preserve">, </w:t>
      </w:r>
      <w:r w:rsidRPr="005D0B08">
        <w:rPr>
          <w:rFonts w:ascii="Calibri" w:hAnsi="Calibri"/>
          <w:i/>
          <w:iCs/>
          <w:noProof/>
          <w:sz w:val="22"/>
        </w:rPr>
        <w:t>13</w:t>
      </w:r>
      <w:r w:rsidRPr="005D0B08">
        <w:rPr>
          <w:rFonts w:ascii="Calibri" w:hAnsi="Calibri"/>
          <w:noProof/>
          <w:sz w:val="22"/>
        </w:rPr>
        <w:t>(4), 455–472.</w:t>
      </w:r>
    </w:p>
    <w:p w14:paraId="37AB7B4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Pile, S., &amp; Keith, M. (1997). </w:t>
      </w:r>
      <w:r w:rsidRPr="005D0B08">
        <w:rPr>
          <w:rFonts w:ascii="Calibri" w:hAnsi="Calibri"/>
          <w:i/>
          <w:iCs/>
          <w:noProof/>
          <w:sz w:val="22"/>
        </w:rPr>
        <w:t>Geographies of Resistance</w:t>
      </w:r>
      <w:r w:rsidRPr="005D0B08">
        <w:rPr>
          <w:rFonts w:ascii="Calibri" w:hAnsi="Calibri"/>
          <w:noProof/>
          <w:sz w:val="22"/>
        </w:rPr>
        <w:t>. (Routledge, Ed.). London, UK.</w:t>
      </w:r>
    </w:p>
    <w:p w14:paraId="48A5B0A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Pinnawala, M. (2008). Engaging in trans-local management of households. </w:t>
      </w:r>
      <w:r w:rsidRPr="005D0B08">
        <w:rPr>
          <w:rFonts w:ascii="Calibri" w:hAnsi="Calibri"/>
          <w:i/>
          <w:iCs/>
          <w:noProof/>
          <w:sz w:val="22"/>
        </w:rPr>
        <w:t>Gender, Technology and Development</w:t>
      </w:r>
      <w:r w:rsidRPr="005D0B08">
        <w:rPr>
          <w:rFonts w:ascii="Calibri" w:hAnsi="Calibri"/>
          <w:noProof/>
          <w:sz w:val="22"/>
        </w:rPr>
        <w:t xml:space="preserve">, </w:t>
      </w:r>
      <w:r w:rsidRPr="005D0B08">
        <w:rPr>
          <w:rFonts w:ascii="Calibri" w:hAnsi="Calibri"/>
          <w:i/>
          <w:iCs/>
          <w:noProof/>
          <w:sz w:val="22"/>
        </w:rPr>
        <w:t>12</w:t>
      </w:r>
      <w:r w:rsidRPr="005D0B08">
        <w:rPr>
          <w:rFonts w:ascii="Calibri" w:hAnsi="Calibri"/>
          <w:noProof/>
          <w:sz w:val="22"/>
        </w:rPr>
        <w:t>(3), 439–459.</w:t>
      </w:r>
    </w:p>
    <w:p w14:paraId="1776F0A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Polanyi, K. (1957). </w:t>
      </w:r>
      <w:r w:rsidRPr="005D0B08">
        <w:rPr>
          <w:rFonts w:ascii="Calibri" w:hAnsi="Calibri"/>
          <w:i/>
          <w:iCs/>
          <w:noProof/>
          <w:sz w:val="22"/>
        </w:rPr>
        <w:t>The Great Transformation: The Political and Economic Origins of Our Time</w:t>
      </w:r>
      <w:r w:rsidRPr="005D0B08">
        <w:rPr>
          <w:rFonts w:ascii="Calibri" w:hAnsi="Calibri"/>
          <w:noProof/>
          <w:sz w:val="22"/>
        </w:rPr>
        <w:t>. Boston, MA.: Beacon Press.</w:t>
      </w:r>
    </w:p>
    <w:p w14:paraId="48FB056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Potter, R., &amp; Unwin, T. (1989). </w:t>
      </w:r>
      <w:r w:rsidRPr="005D0B08">
        <w:rPr>
          <w:rFonts w:ascii="Calibri" w:hAnsi="Calibri"/>
          <w:i/>
          <w:iCs/>
          <w:noProof/>
          <w:sz w:val="22"/>
        </w:rPr>
        <w:t>The Geography of Urban-Rural Interaction in Developing Countries</w:t>
      </w:r>
      <w:r w:rsidRPr="005D0B08">
        <w:rPr>
          <w:rFonts w:ascii="Calibri" w:hAnsi="Calibri"/>
          <w:noProof/>
          <w:sz w:val="22"/>
        </w:rPr>
        <w:t>. London, UK: Routledge.</w:t>
      </w:r>
    </w:p>
    <w:p w14:paraId="610BB00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Potts, D. (1995). Shall we go home? Increasing urban poverty in African cities and migration processes. </w:t>
      </w:r>
      <w:r w:rsidRPr="005D0B08">
        <w:rPr>
          <w:rFonts w:ascii="Calibri" w:hAnsi="Calibri"/>
          <w:i/>
          <w:iCs/>
          <w:noProof/>
          <w:sz w:val="22"/>
        </w:rPr>
        <w:t>The Geographical Journal</w:t>
      </w:r>
      <w:r w:rsidRPr="005D0B08">
        <w:rPr>
          <w:rFonts w:ascii="Calibri" w:hAnsi="Calibri"/>
          <w:noProof/>
          <w:sz w:val="22"/>
        </w:rPr>
        <w:t xml:space="preserve">, </w:t>
      </w:r>
      <w:r w:rsidRPr="005D0B08">
        <w:rPr>
          <w:rFonts w:ascii="Calibri" w:hAnsi="Calibri"/>
          <w:i/>
          <w:iCs/>
          <w:noProof/>
          <w:sz w:val="22"/>
        </w:rPr>
        <w:t>161</w:t>
      </w:r>
      <w:r w:rsidRPr="005D0B08">
        <w:rPr>
          <w:rFonts w:ascii="Calibri" w:hAnsi="Calibri"/>
          <w:noProof/>
          <w:sz w:val="22"/>
        </w:rPr>
        <w:t>(3), 245–264.</w:t>
      </w:r>
    </w:p>
    <w:p w14:paraId="186D452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Pries, L. (1999). New migration in transnational spaces. In L Pries (Ed.), </w:t>
      </w:r>
      <w:r w:rsidRPr="005D0B08">
        <w:rPr>
          <w:rFonts w:ascii="Calibri" w:hAnsi="Calibri"/>
          <w:i/>
          <w:iCs/>
          <w:noProof/>
          <w:sz w:val="22"/>
        </w:rPr>
        <w:t>Migration and Transnational Social Spaces</w:t>
      </w:r>
      <w:r w:rsidRPr="005D0B08">
        <w:rPr>
          <w:rFonts w:ascii="Calibri" w:hAnsi="Calibri"/>
          <w:noProof/>
          <w:sz w:val="22"/>
        </w:rPr>
        <w:t xml:space="preserve"> (pp. 1–35). Aldershot, UK: Ashgate Publishing Limited.</w:t>
      </w:r>
    </w:p>
    <w:p w14:paraId="3301C02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Rau, H. (2012). The ties that bind? Spatial (immobilities) and the transformatio of rural-urban connections. In H. C &amp; M. R. Do Carmo (Eds.), </w:t>
      </w:r>
      <w:r w:rsidRPr="005D0B08">
        <w:rPr>
          <w:rFonts w:ascii="Calibri" w:hAnsi="Calibri"/>
          <w:i/>
          <w:iCs/>
          <w:noProof/>
          <w:sz w:val="22"/>
        </w:rPr>
        <w:t>Translocal Ruralism Mobility and Connectivity in European Rural Spaces</w:t>
      </w:r>
      <w:r w:rsidRPr="005D0B08">
        <w:rPr>
          <w:rFonts w:ascii="Calibri" w:hAnsi="Calibri"/>
          <w:noProof/>
          <w:sz w:val="22"/>
        </w:rPr>
        <w:t xml:space="preserve"> (pp. 35–55). Heidelberg: Springer.</w:t>
      </w:r>
    </w:p>
    <w:p w14:paraId="6534943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Rettberg, A., &amp; Ortiz-Riomalo, J. F. (2016). Golden Opportunity, or a New Twist on the Resource-Conflict Relationship: Links Between the Drug Trade and Illegal Gold Mining in Colombia. </w:t>
      </w:r>
      <w:r w:rsidRPr="005D0B08">
        <w:rPr>
          <w:rFonts w:ascii="Calibri" w:hAnsi="Calibri"/>
          <w:i/>
          <w:iCs/>
          <w:noProof/>
          <w:sz w:val="22"/>
        </w:rPr>
        <w:t>World Development</w:t>
      </w:r>
      <w:r w:rsidRPr="005D0B08">
        <w:rPr>
          <w:rFonts w:ascii="Calibri" w:hAnsi="Calibri"/>
          <w:noProof/>
          <w:sz w:val="22"/>
        </w:rPr>
        <w:t xml:space="preserve">, </w:t>
      </w:r>
      <w:r w:rsidRPr="005D0B08">
        <w:rPr>
          <w:rFonts w:ascii="Calibri" w:hAnsi="Calibri"/>
          <w:i/>
          <w:iCs/>
          <w:noProof/>
          <w:sz w:val="22"/>
        </w:rPr>
        <w:t>84</w:t>
      </w:r>
      <w:r w:rsidRPr="005D0B08">
        <w:rPr>
          <w:rFonts w:ascii="Calibri" w:hAnsi="Calibri"/>
          <w:noProof/>
          <w:sz w:val="22"/>
        </w:rPr>
        <w:t>, 82–96.</w:t>
      </w:r>
    </w:p>
    <w:p w14:paraId="2D27073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Rivero, S., &amp; Seisdedos, P. C. (2010). The Amazon as a Frontier of Capital Accumulation: Looking Beyond the Trees. </w:t>
      </w:r>
      <w:r w:rsidRPr="005D0B08">
        <w:rPr>
          <w:rFonts w:ascii="Calibri" w:hAnsi="Calibri"/>
          <w:i/>
          <w:iCs/>
          <w:noProof/>
          <w:sz w:val="22"/>
        </w:rPr>
        <w:t>Capitalism Nature Socialism</w:t>
      </w:r>
      <w:r w:rsidRPr="005D0B08">
        <w:rPr>
          <w:rFonts w:ascii="Calibri" w:hAnsi="Calibri"/>
          <w:noProof/>
          <w:sz w:val="22"/>
        </w:rPr>
        <w:t xml:space="preserve">, </w:t>
      </w:r>
      <w:r w:rsidRPr="005D0B08">
        <w:rPr>
          <w:rFonts w:ascii="Calibri" w:hAnsi="Calibri"/>
          <w:i/>
          <w:iCs/>
          <w:noProof/>
          <w:sz w:val="22"/>
        </w:rPr>
        <w:t>21</w:t>
      </w:r>
      <w:r w:rsidRPr="005D0B08">
        <w:rPr>
          <w:rFonts w:ascii="Calibri" w:hAnsi="Calibri"/>
          <w:noProof/>
          <w:sz w:val="22"/>
        </w:rPr>
        <w:t>(4), 50–71.</w:t>
      </w:r>
    </w:p>
    <w:p w14:paraId="4D4C2E15" w14:textId="04D89F4B" w:rsidR="005D0B08" w:rsidRPr="005D0B08" w:rsidRDefault="00FC4C70" w:rsidP="005D0B08">
      <w:pPr>
        <w:widowControl w:val="0"/>
        <w:autoSpaceDE w:val="0"/>
        <w:autoSpaceDN w:val="0"/>
        <w:adjustRightInd w:val="0"/>
        <w:spacing w:line="360" w:lineRule="auto"/>
        <w:ind w:left="480" w:hanging="480"/>
        <w:rPr>
          <w:rFonts w:ascii="Calibri" w:hAnsi="Calibri"/>
          <w:noProof/>
          <w:sz w:val="22"/>
        </w:rPr>
      </w:pPr>
      <w:r>
        <w:rPr>
          <w:rFonts w:ascii="Calibri" w:hAnsi="Calibri"/>
          <w:noProof/>
          <w:sz w:val="22"/>
        </w:rPr>
        <w:t>Robson, J.</w:t>
      </w:r>
      <w:r w:rsidR="005D0B08" w:rsidRPr="005D0B08">
        <w:rPr>
          <w:rFonts w:ascii="Calibri" w:hAnsi="Calibri"/>
          <w:noProof/>
          <w:sz w:val="22"/>
        </w:rPr>
        <w:t xml:space="preserve"> (2010). </w:t>
      </w:r>
      <w:r w:rsidR="005D0B08" w:rsidRPr="005D0B08">
        <w:rPr>
          <w:rFonts w:ascii="Calibri" w:hAnsi="Calibri"/>
          <w:i/>
          <w:iCs/>
          <w:noProof/>
          <w:sz w:val="22"/>
        </w:rPr>
        <w:t>Assessing community vulnerability to change: The impact of rural-urban migration on the forest commons of Oaxaca, southern Mexico</w:t>
      </w:r>
      <w:r w:rsidR="005D0B08" w:rsidRPr="005D0B08">
        <w:rPr>
          <w:rFonts w:ascii="Calibri" w:hAnsi="Calibri"/>
          <w:noProof/>
          <w:sz w:val="22"/>
        </w:rPr>
        <w:t>. University of Manitoba. Winnipeg, Canada.</w:t>
      </w:r>
    </w:p>
    <w:p w14:paraId="7E90AD72" w14:textId="5D73EC0F" w:rsidR="005D0B08" w:rsidRPr="005D0B08" w:rsidRDefault="00FC4C70" w:rsidP="005D0B08">
      <w:pPr>
        <w:widowControl w:val="0"/>
        <w:autoSpaceDE w:val="0"/>
        <w:autoSpaceDN w:val="0"/>
        <w:adjustRightInd w:val="0"/>
        <w:spacing w:line="360" w:lineRule="auto"/>
        <w:ind w:left="480" w:hanging="480"/>
        <w:rPr>
          <w:rFonts w:ascii="Calibri" w:hAnsi="Calibri"/>
          <w:noProof/>
          <w:sz w:val="22"/>
        </w:rPr>
      </w:pPr>
      <w:r>
        <w:rPr>
          <w:rFonts w:ascii="Calibri" w:hAnsi="Calibri"/>
          <w:noProof/>
          <w:sz w:val="22"/>
        </w:rPr>
        <w:t>Robson, J.</w:t>
      </w:r>
      <w:r w:rsidR="005D0B08" w:rsidRPr="005D0B08">
        <w:rPr>
          <w:rFonts w:ascii="Calibri" w:hAnsi="Calibri"/>
          <w:noProof/>
          <w:sz w:val="22"/>
        </w:rPr>
        <w:t xml:space="preserve"> &amp; Nayak, P. K. (2010). Rural out-migration and resource-dependent communities in Mexico and India. </w:t>
      </w:r>
      <w:r w:rsidR="005D0B08" w:rsidRPr="005D0B08">
        <w:rPr>
          <w:rFonts w:ascii="Calibri" w:hAnsi="Calibri"/>
          <w:i/>
          <w:iCs/>
          <w:noProof/>
          <w:sz w:val="22"/>
        </w:rPr>
        <w:t>Population and Environment</w:t>
      </w:r>
      <w:r w:rsidR="005D0B08" w:rsidRPr="005D0B08">
        <w:rPr>
          <w:rFonts w:ascii="Calibri" w:hAnsi="Calibri"/>
          <w:noProof/>
          <w:sz w:val="22"/>
        </w:rPr>
        <w:t xml:space="preserve">, </w:t>
      </w:r>
      <w:r w:rsidR="005D0B08" w:rsidRPr="005D0B08">
        <w:rPr>
          <w:rFonts w:ascii="Calibri" w:hAnsi="Calibri"/>
          <w:i/>
          <w:iCs/>
          <w:noProof/>
          <w:sz w:val="22"/>
        </w:rPr>
        <w:t>32</w:t>
      </w:r>
      <w:r w:rsidR="005D0B08" w:rsidRPr="005D0B08">
        <w:rPr>
          <w:rFonts w:ascii="Calibri" w:hAnsi="Calibri"/>
          <w:noProof/>
          <w:sz w:val="22"/>
        </w:rPr>
        <w:t>(2/3), 263–284.</w:t>
      </w:r>
    </w:p>
    <w:p w14:paraId="0F5AFC1B" w14:textId="77777777" w:rsid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Ross, M. (2001). </w:t>
      </w:r>
      <w:r w:rsidRPr="005D0B08">
        <w:rPr>
          <w:rFonts w:ascii="Calibri" w:hAnsi="Calibri"/>
          <w:i/>
          <w:iCs/>
          <w:noProof/>
          <w:sz w:val="22"/>
        </w:rPr>
        <w:t>Extractive Sectors and the Poor: An Oxfam Report</w:t>
      </w:r>
      <w:r w:rsidRPr="005D0B08">
        <w:rPr>
          <w:rFonts w:ascii="Calibri" w:hAnsi="Calibri"/>
          <w:noProof/>
          <w:sz w:val="22"/>
        </w:rPr>
        <w:t>. Boston, MA.</w:t>
      </w:r>
    </w:p>
    <w:p w14:paraId="4333DB35" w14:textId="36E94AA4" w:rsidR="00FC4C70" w:rsidRPr="0051766A" w:rsidRDefault="00BC5497" w:rsidP="005D0B08">
      <w:pPr>
        <w:widowControl w:val="0"/>
        <w:autoSpaceDE w:val="0"/>
        <w:autoSpaceDN w:val="0"/>
        <w:adjustRightInd w:val="0"/>
        <w:spacing w:line="360" w:lineRule="auto"/>
        <w:ind w:left="480" w:hanging="480"/>
        <w:rPr>
          <w:rFonts w:ascii="Calibri" w:hAnsi="Calibri"/>
          <w:i/>
          <w:noProof/>
          <w:sz w:val="22"/>
        </w:rPr>
      </w:pPr>
      <w:r>
        <w:rPr>
          <w:rFonts w:ascii="Calibri" w:hAnsi="Calibri"/>
          <w:noProof/>
          <w:sz w:val="22"/>
        </w:rPr>
        <w:t>Rousseau, S., &amp;</w:t>
      </w:r>
      <w:r w:rsidR="00FC4C70">
        <w:rPr>
          <w:rFonts w:ascii="Calibri" w:hAnsi="Calibri"/>
          <w:noProof/>
          <w:sz w:val="22"/>
        </w:rPr>
        <w:t xml:space="preserve"> Dargent, E. (</w:t>
      </w:r>
      <w:r w:rsidR="0051766A">
        <w:rPr>
          <w:rFonts w:ascii="Calibri" w:hAnsi="Calibri"/>
          <w:noProof/>
          <w:sz w:val="22"/>
        </w:rPr>
        <w:t xml:space="preserve">2019), The construction of indigenous language rights in Peru: a language regime approach. </w:t>
      </w:r>
      <w:r w:rsidR="0051766A">
        <w:rPr>
          <w:rFonts w:ascii="Calibri" w:hAnsi="Calibri"/>
          <w:i/>
          <w:noProof/>
          <w:sz w:val="22"/>
        </w:rPr>
        <w:t xml:space="preserve">Journal of Politics in Latin America, </w:t>
      </w:r>
      <w:r w:rsidR="0051766A" w:rsidRPr="0051766A">
        <w:rPr>
          <w:rFonts w:ascii="Calibri" w:hAnsi="Calibri"/>
          <w:noProof/>
          <w:sz w:val="22"/>
        </w:rPr>
        <w:t>11(2),</w:t>
      </w:r>
      <w:r w:rsidR="0051766A">
        <w:rPr>
          <w:rFonts w:ascii="Calibri" w:hAnsi="Calibri"/>
          <w:i/>
          <w:noProof/>
          <w:sz w:val="22"/>
        </w:rPr>
        <w:t xml:space="preserve"> </w:t>
      </w:r>
      <w:r w:rsidR="0051766A" w:rsidRPr="0051766A">
        <w:rPr>
          <w:rFonts w:ascii="Calibri" w:hAnsi="Calibri"/>
          <w:noProof/>
          <w:sz w:val="22"/>
        </w:rPr>
        <w:t>161-180.</w:t>
      </w:r>
    </w:p>
    <w:p w14:paraId="30865DD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Rutherford, B., &amp; Buss, D. (2019). Gendered governance and socio-economic differentiation among women artisanal and small-scale miners in Central and East Africa. </w:t>
      </w:r>
      <w:r w:rsidRPr="005D0B08">
        <w:rPr>
          <w:rFonts w:ascii="Calibri" w:hAnsi="Calibri"/>
          <w:i/>
          <w:iCs/>
          <w:noProof/>
          <w:sz w:val="22"/>
        </w:rPr>
        <w:t>Third World Thematics: A TWQ Journal</w:t>
      </w:r>
      <w:r w:rsidRPr="005D0B08">
        <w:rPr>
          <w:rFonts w:ascii="Calibri" w:hAnsi="Calibri"/>
          <w:noProof/>
          <w:sz w:val="22"/>
        </w:rPr>
        <w:t xml:space="preserve">, </w:t>
      </w:r>
      <w:r w:rsidRPr="005D0B08">
        <w:rPr>
          <w:rFonts w:ascii="Calibri" w:hAnsi="Calibri"/>
          <w:i/>
          <w:iCs/>
          <w:noProof/>
          <w:sz w:val="22"/>
        </w:rPr>
        <w:t>4</w:t>
      </w:r>
      <w:r w:rsidRPr="005D0B08">
        <w:rPr>
          <w:rFonts w:ascii="Calibri" w:hAnsi="Calibri"/>
          <w:noProof/>
          <w:sz w:val="22"/>
        </w:rPr>
        <w:t>(1), 63–79.</w:t>
      </w:r>
    </w:p>
    <w:p w14:paraId="2DCBE11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Sachs, J., &amp; Warner, A. (1999). The big push, natural resource booms and growth. </w:t>
      </w:r>
      <w:r w:rsidRPr="005D0B08">
        <w:rPr>
          <w:rFonts w:ascii="Calibri" w:hAnsi="Calibri"/>
          <w:i/>
          <w:iCs/>
          <w:noProof/>
          <w:sz w:val="22"/>
        </w:rPr>
        <w:t>Journal of Development Economics</w:t>
      </w:r>
      <w:r w:rsidRPr="005D0B08">
        <w:rPr>
          <w:rFonts w:ascii="Calibri" w:hAnsi="Calibri"/>
          <w:noProof/>
          <w:sz w:val="22"/>
        </w:rPr>
        <w:t xml:space="preserve">, </w:t>
      </w:r>
      <w:r w:rsidRPr="005D0B08">
        <w:rPr>
          <w:rFonts w:ascii="Calibri" w:hAnsi="Calibri"/>
          <w:i/>
          <w:iCs/>
          <w:noProof/>
          <w:sz w:val="22"/>
        </w:rPr>
        <w:t>59</w:t>
      </w:r>
      <w:r w:rsidRPr="005D0B08">
        <w:rPr>
          <w:rFonts w:ascii="Calibri" w:hAnsi="Calibri"/>
          <w:noProof/>
          <w:sz w:val="22"/>
        </w:rPr>
        <w:t>(1), 43–76.</w:t>
      </w:r>
    </w:p>
    <w:p w14:paraId="0188231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Sakdapolrak, P. (2014). Livelihoods as social practices: re-energising livelihoods research with Bordieu’s theory of practice. </w:t>
      </w:r>
      <w:r w:rsidRPr="005D0B08">
        <w:rPr>
          <w:rFonts w:ascii="Calibri" w:hAnsi="Calibri"/>
          <w:i/>
          <w:iCs/>
          <w:noProof/>
          <w:sz w:val="22"/>
        </w:rPr>
        <w:t>Geographica Helvetica</w:t>
      </w:r>
      <w:r w:rsidRPr="005D0B08">
        <w:rPr>
          <w:rFonts w:ascii="Calibri" w:hAnsi="Calibri"/>
          <w:noProof/>
          <w:sz w:val="22"/>
        </w:rPr>
        <w:t xml:space="preserve">, </w:t>
      </w:r>
      <w:r w:rsidRPr="005D0B08">
        <w:rPr>
          <w:rFonts w:ascii="Calibri" w:hAnsi="Calibri"/>
          <w:i/>
          <w:iCs/>
          <w:noProof/>
          <w:sz w:val="22"/>
        </w:rPr>
        <w:t>69</w:t>
      </w:r>
      <w:r w:rsidRPr="005D0B08">
        <w:rPr>
          <w:rFonts w:ascii="Calibri" w:hAnsi="Calibri"/>
          <w:noProof/>
          <w:sz w:val="22"/>
        </w:rPr>
        <w:t>, 19–28.</w:t>
      </w:r>
    </w:p>
    <w:p w14:paraId="5EB66E4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Sakdapolrak, Patrick, Naruchaikusol, S., Ober, K., Peth, S., Porst, L., Rockenbauch, T., &amp; Tolo, V. (2016). Migration in a changing climate. Towards a translocal social resilience approach. </w:t>
      </w:r>
      <w:r w:rsidRPr="005D0B08">
        <w:rPr>
          <w:rFonts w:ascii="Calibri" w:hAnsi="Calibri"/>
          <w:i/>
          <w:iCs/>
          <w:noProof/>
          <w:sz w:val="22"/>
        </w:rPr>
        <w:t>Die Erde</w:t>
      </w:r>
      <w:r w:rsidRPr="005D0B08">
        <w:rPr>
          <w:rFonts w:ascii="Calibri" w:hAnsi="Calibri"/>
          <w:noProof/>
          <w:sz w:val="22"/>
        </w:rPr>
        <w:t xml:space="preserve">, </w:t>
      </w:r>
      <w:r w:rsidRPr="005D0B08">
        <w:rPr>
          <w:rFonts w:ascii="Calibri" w:hAnsi="Calibri"/>
          <w:i/>
          <w:iCs/>
          <w:noProof/>
          <w:sz w:val="22"/>
        </w:rPr>
        <w:t>147</w:t>
      </w:r>
      <w:r w:rsidRPr="005D0B08">
        <w:rPr>
          <w:rFonts w:ascii="Calibri" w:hAnsi="Calibri"/>
          <w:noProof/>
          <w:sz w:val="22"/>
        </w:rPr>
        <w:t>(2), 81–94.</w:t>
      </w:r>
    </w:p>
    <w:p w14:paraId="17B2C7C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Saldarriaga-Isaza, A., Villegas-Palacio, C., &amp; Arango, S. (2013). The public good dilemma of a non-renewable common resource: a look at the facts of artisanal gold mining.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38</w:t>
      </w:r>
      <w:r w:rsidRPr="005D0B08">
        <w:rPr>
          <w:rFonts w:ascii="Calibri" w:hAnsi="Calibri"/>
          <w:noProof/>
          <w:sz w:val="22"/>
        </w:rPr>
        <w:t>(2), 224–232. Retrieved from http://linkinghub.elsevier.com/retrieve/pii/S030142071300007X</w:t>
      </w:r>
    </w:p>
    <w:p w14:paraId="40A81FD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Salman, T. (2016). The intricacies of “being able to work undisturbed”: the organization of alluvial gold mining in Bolivia. </w:t>
      </w:r>
      <w:r w:rsidRPr="005D0B08">
        <w:rPr>
          <w:rFonts w:ascii="Calibri" w:hAnsi="Calibri"/>
          <w:i/>
          <w:iCs/>
          <w:noProof/>
          <w:sz w:val="22"/>
        </w:rPr>
        <w:t>Society and Natural Resources</w:t>
      </w:r>
      <w:r w:rsidRPr="005D0B08">
        <w:rPr>
          <w:rFonts w:ascii="Calibri" w:hAnsi="Calibri"/>
          <w:noProof/>
          <w:sz w:val="22"/>
        </w:rPr>
        <w:t xml:space="preserve">, </w:t>
      </w:r>
      <w:r w:rsidRPr="005D0B08">
        <w:rPr>
          <w:rFonts w:ascii="Calibri" w:hAnsi="Calibri"/>
          <w:i/>
          <w:iCs/>
          <w:noProof/>
          <w:sz w:val="22"/>
        </w:rPr>
        <w:t>29</w:t>
      </w:r>
      <w:r w:rsidRPr="005D0B08">
        <w:rPr>
          <w:rFonts w:ascii="Calibri" w:hAnsi="Calibri"/>
          <w:noProof/>
          <w:sz w:val="22"/>
        </w:rPr>
        <w:t>(9), 1124–1138.</w:t>
      </w:r>
    </w:p>
    <w:p w14:paraId="0CDAA4E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Salman, T., Carillo, F., &amp; Soruco, C. (2013). Cooperative oganization and balsa mining in Bolivia. In Leontien Cremers, J. Kolen, &amp; M. De Theije (Eds.), </w:t>
      </w:r>
      <w:r w:rsidRPr="005D0B08">
        <w:rPr>
          <w:rFonts w:ascii="Calibri" w:hAnsi="Calibri"/>
          <w:i/>
          <w:iCs/>
          <w:noProof/>
          <w:sz w:val="22"/>
        </w:rPr>
        <w:t>Small-Scale Gold Mining in the Amazon: The Cases of Bolivia, Brazil, Colombia, Peru and Suriname</w:t>
      </w:r>
      <w:r w:rsidRPr="005D0B08">
        <w:rPr>
          <w:rFonts w:ascii="Calibri" w:hAnsi="Calibri"/>
          <w:noProof/>
          <w:sz w:val="22"/>
        </w:rPr>
        <w:t xml:space="preserve"> (pp. 17–30). Amsterdam: Cuadernods del CEDLA.</w:t>
      </w:r>
    </w:p>
    <w:p w14:paraId="3AF4AF9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Salman, T., Carillo, F., &amp; Soruco, C. (2015). Small-scale mining cooperatives and the state in Bolivia: their histories and negotiation strategies. </w:t>
      </w:r>
      <w:r w:rsidRPr="005D0B08">
        <w:rPr>
          <w:rFonts w:ascii="Calibri" w:hAnsi="Calibri"/>
          <w:i/>
          <w:iCs/>
          <w:noProof/>
          <w:sz w:val="22"/>
        </w:rPr>
        <w:t>The Extractive Industries and Society</w:t>
      </w:r>
      <w:r w:rsidRPr="005D0B08">
        <w:rPr>
          <w:rFonts w:ascii="Calibri" w:hAnsi="Calibri"/>
          <w:noProof/>
          <w:sz w:val="22"/>
        </w:rPr>
        <w:t xml:space="preserve">, </w:t>
      </w:r>
      <w:r w:rsidRPr="005D0B08">
        <w:rPr>
          <w:rFonts w:ascii="Calibri" w:hAnsi="Calibri"/>
          <w:i/>
          <w:iCs/>
          <w:noProof/>
          <w:sz w:val="22"/>
        </w:rPr>
        <w:t>2</w:t>
      </w:r>
      <w:r w:rsidRPr="005D0B08">
        <w:rPr>
          <w:rFonts w:ascii="Calibri" w:hAnsi="Calibri"/>
          <w:noProof/>
          <w:sz w:val="22"/>
        </w:rPr>
        <w:t>(2), 360–367.</w:t>
      </w:r>
    </w:p>
    <w:p w14:paraId="5801423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Salman, T., &amp; de Theije, M. (2017). Analysing conflicts around small-scale gold mining in the Amazon: the contribution of a multi-temporal model.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4</w:t>
      </w:r>
      <w:r w:rsidRPr="005D0B08">
        <w:rPr>
          <w:rFonts w:ascii="Calibri" w:hAnsi="Calibri"/>
          <w:noProof/>
          <w:sz w:val="22"/>
        </w:rPr>
        <w:t>(3), 586–594.</w:t>
      </w:r>
    </w:p>
    <w:p w14:paraId="43563CA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Salman, T., de Theije, M., &amp; Vélez-Torres, I. (2018). Structures, actors, and interactions in the analysis of natural resource conflicts. </w:t>
      </w:r>
      <w:r w:rsidRPr="005D0B08">
        <w:rPr>
          <w:rFonts w:ascii="Calibri" w:hAnsi="Calibri"/>
          <w:i/>
          <w:iCs/>
          <w:noProof/>
          <w:sz w:val="22"/>
        </w:rPr>
        <w:t>Ecology and Society</w:t>
      </w:r>
      <w:r w:rsidRPr="005D0B08">
        <w:rPr>
          <w:rFonts w:ascii="Calibri" w:hAnsi="Calibri"/>
          <w:noProof/>
          <w:sz w:val="22"/>
        </w:rPr>
        <w:t xml:space="preserve">, </w:t>
      </w:r>
      <w:r w:rsidRPr="005D0B08">
        <w:rPr>
          <w:rFonts w:ascii="Calibri" w:hAnsi="Calibri"/>
          <w:i/>
          <w:iCs/>
          <w:noProof/>
          <w:sz w:val="22"/>
        </w:rPr>
        <w:t>23</w:t>
      </w:r>
      <w:r w:rsidRPr="005D0B08">
        <w:rPr>
          <w:rFonts w:ascii="Calibri" w:hAnsi="Calibri"/>
          <w:noProof/>
          <w:sz w:val="22"/>
        </w:rPr>
        <w:t>(3), 30.</w:t>
      </w:r>
    </w:p>
    <w:p w14:paraId="5E62ACF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Salo, M., Hiedanpää, J., Karlsson, T., Cárcamo Ávila, L., Kotilainen, J., Jounela, P., &amp; Rumrrill García, R. (2016). Local perspectives on the formalization of artisanal and small-scale mining in the Madre de Dios gold fields, Peru.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3</w:t>
      </w:r>
      <w:r w:rsidRPr="005D0B08">
        <w:rPr>
          <w:rFonts w:ascii="Calibri" w:hAnsi="Calibri"/>
          <w:noProof/>
          <w:sz w:val="22"/>
        </w:rPr>
        <w:t>(4), 1058–1066.</w:t>
      </w:r>
    </w:p>
    <w:p w14:paraId="0A932E3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Sandberg, S. (2008). Street capital: ethnicity and violence on the streets of Oslo. </w:t>
      </w:r>
      <w:r w:rsidRPr="005D0B08">
        <w:rPr>
          <w:rFonts w:ascii="Calibri" w:hAnsi="Calibri"/>
          <w:i/>
          <w:iCs/>
          <w:noProof/>
          <w:sz w:val="22"/>
        </w:rPr>
        <w:t>Theoretical Criminology</w:t>
      </w:r>
      <w:r w:rsidRPr="005D0B08">
        <w:rPr>
          <w:rFonts w:ascii="Calibri" w:hAnsi="Calibri"/>
          <w:noProof/>
          <w:sz w:val="22"/>
        </w:rPr>
        <w:t xml:space="preserve">, </w:t>
      </w:r>
      <w:r w:rsidRPr="005D0B08">
        <w:rPr>
          <w:rFonts w:ascii="Calibri" w:hAnsi="Calibri"/>
          <w:i/>
          <w:iCs/>
          <w:noProof/>
          <w:sz w:val="22"/>
        </w:rPr>
        <w:t>12</w:t>
      </w:r>
      <w:r w:rsidRPr="005D0B08">
        <w:rPr>
          <w:rFonts w:ascii="Calibri" w:hAnsi="Calibri"/>
          <w:noProof/>
          <w:sz w:val="22"/>
        </w:rPr>
        <w:t>(2), 153–171.</w:t>
      </w:r>
    </w:p>
    <w:p w14:paraId="4B60D8A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Sandberg, S., &amp; Fleetwood, J. (2017). Street talk and Bourdieusian criminology: bringing narrative to field theory. </w:t>
      </w:r>
      <w:r w:rsidRPr="005D0B08">
        <w:rPr>
          <w:rFonts w:ascii="Calibri" w:hAnsi="Calibri"/>
          <w:i/>
          <w:iCs/>
          <w:noProof/>
          <w:sz w:val="22"/>
        </w:rPr>
        <w:t>Criminology &amp; Criminal Justice</w:t>
      </w:r>
      <w:r w:rsidRPr="005D0B08">
        <w:rPr>
          <w:rFonts w:ascii="Calibri" w:hAnsi="Calibri"/>
          <w:noProof/>
          <w:sz w:val="22"/>
        </w:rPr>
        <w:t xml:space="preserve">, </w:t>
      </w:r>
      <w:r w:rsidRPr="005D0B08">
        <w:rPr>
          <w:rFonts w:ascii="Calibri" w:hAnsi="Calibri"/>
          <w:i/>
          <w:iCs/>
          <w:noProof/>
          <w:sz w:val="22"/>
        </w:rPr>
        <w:t>17</w:t>
      </w:r>
      <w:r w:rsidRPr="005D0B08">
        <w:rPr>
          <w:rFonts w:ascii="Calibri" w:hAnsi="Calibri"/>
          <w:noProof/>
          <w:sz w:val="22"/>
        </w:rPr>
        <w:t>(4), 365–381.</w:t>
      </w:r>
    </w:p>
    <w:p w14:paraId="5D65903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Santos, H. J., Black, A., &amp; Sandelowski, M. (2015). Timing of translation in cross-language qualitative research. </w:t>
      </w:r>
      <w:r w:rsidRPr="005D0B08">
        <w:rPr>
          <w:rFonts w:ascii="Calibri" w:hAnsi="Calibri"/>
          <w:i/>
          <w:iCs/>
          <w:noProof/>
          <w:sz w:val="22"/>
        </w:rPr>
        <w:t>Qualitative Health Research</w:t>
      </w:r>
      <w:r w:rsidRPr="005D0B08">
        <w:rPr>
          <w:rFonts w:ascii="Calibri" w:hAnsi="Calibri"/>
          <w:noProof/>
          <w:sz w:val="22"/>
        </w:rPr>
        <w:t xml:space="preserve">, </w:t>
      </w:r>
      <w:r w:rsidRPr="005D0B08">
        <w:rPr>
          <w:rFonts w:ascii="Calibri" w:hAnsi="Calibri"/>
          <w:i/>
          <w:iCs/>
          <w:noProof/>
          <w:sz w:val="22"/>
        </w:rPr>
        <w:t>25</w:t>
      </w:r>
      <w:r w:rsidRPr="005D0B08">
        <w:rPr>
          <w:rFonts w:ascii="Calibri" w:hAnsi="Calibri"/>
          <w:noProof/>
          <w:sz w:val="22"/>
        </w:rPr>
        <w:t>(1), 134–144.</w:t>
      </w:r>
    </w:p>
    <w:p w14:paraId="1C5A2AE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Sarmiento, M., Giraldo, B. H., Ayala, H., Uran, A., Soto, A. C., &amp; Martinez, L. (2013). Characteristics and challenges of small-scale gold mining in Colombia. In L. Cremers, J. Kolen, &amp; M. de Theije </w:t>
      </w:r>
      <w:r w:rsidRPr="005D0B08">
        <w:rPr>
          <w:rFonts w:ascii="Calibri" w:hAnsi="Calibri"/>
          <w:noProof/>
          <w:sz w:val="22"/>
        </w:rPr>
        <w:lastRenderedPageBreak/>
        <w:t xml:space="preserve">(Eds.), </w:t>
      </w:r>
      <w:r w:rsidRPr="005D0B08">
        <w:rPr>
          <w:rFonts w:ascii="Calibri" w:hAnsi="Calibri"/>
          <w:i/>
          <w:iCs/>
          <w:noProof/>
          <w:sz w:val="22"/>
        </w:rPr>
        <w:t>Small-scale Gold Mining in the Amazon: The Cases of Bolivia, Brazil, Colombia, Peru and Suriname</w:t>
      </w:r>
      <w:r w:rsidRPr="005D0B08">
        <w:rPr>
          <w:rFonts w:ascii="Calibri" w:hAnsi="Calibri"/>
          <w:noProof/>
          <w:sz w:val="22"/>
        </w:rPr>
        <w:t xml:space="preserve"> (pp. 46–67). Amsterdam: CEDLA.</w:t>
      </w:r>
    </w:p>
    <w:p w14:paraId="4A2CBE1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Scheurich, J. J. (1995). A postmodern critique of research interviewing. </w:t>
      </w:r>
      <w:r w:rsidRPr="005D0B08">
        <w:rPr>
          <w:rFonts w:ascii="Calibri" w:hAnsi="Calibri"/>
          <w:i/>
          <w:iCs/>
          <w:noProof/>
          <w:sz w:val="22"/>
        </w:rPr>
        <w:t>Qualitative Studies in Education</w:t>
      </w:r>
      <w:r w:rsidRPr="005D0B08">
        <w:rPr>
          <w:rFonts w:ascii="Calibri" w:hAnsi="Calibri"/>
          <w:noProof/>
          <w:sz w:val="22"/>
        </w:rPr>
        <w:t xml:space="preserve">, </w:t>
      </w:r>
      <w:r w:rsidRPr="005D0B08">
        <w:rPr>
          <w:rFonts w:ascii="Calibri" w:hAnsi="Calibri"/>
          <w:i/>
          <w:iCs/>
          <w:noProof/>
          <w:sz w:val="22"/>
        </w:rPr>
        <w:t>8</w:t>
      </w:r>
      <w:r w:rsidRPr="005D0B08">
        <w:rPr>
          <w:rFonts w:ascii="Calibri" w:hAnsi="Calibri"/>
          <w:noProof/>
          <w:sz w:val="22"/>
        </w:rPr>
        <w:t>(3), 239–252.</w:t>
      </w:r>
    </w:p>
    <w:p w14:paraId="3185D1A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Schmitz, A., Witte, D., &amp; Gengnagel, V. (2017). Pluralizing field analysis: Toward a relational understanding of the field of power. </w:t>
      </w:r>
      <w:r w:rsidRPr="005D0B08">
        <w:rPr>
          <w:rFonts w:ascii="Calibri" w:hAnsi="Calibri"/>
          <w:i/>
          <w:iCs/>
          <w:noProof/>
          <w:sz w:val="22"/>
        </w:rPr>
        <w:t>Social Science Information</w:t>
      </w:r>
      <w:r w:rsidRPr="005D0B08">
        <w:rPr>
          <w:rFonts w:ascii="Calibri" w:hAnsi="Calibri"/>
          <w:noProof/>
          <w:sz w:val="22"/>
        </w:rPr>
        <w:t xml:space="preserve">, </w:t>
      </w:r>
      <w:r w:rsidRPr="005D0B08">
        <w:rPr>
          <w:rFonts w:ascii="Calibri" w:hAnsi="Calibri"/>
          <w:i/>
          <w:iCs/>
          <w:noProof/>
          <w:sz w:val="22"/>
        </w:rPr>
        <w:t>56</w:t>
      </w:r>
      <w:r w:rsidRPr="005D0B08">
        <w:rPr>
          <w:rFonts w:ascii="Calibri" w:hAnsi="Calibri"/>
          <w:noProof/>
          <w:sz w:val="22"/>
        </w:rPr>
        <w:t>(1), 49–73.</w:t>
      </w:r>
    </w:p>
    <w:p w14:paraId="75C89DD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Schöfberger, I. (2017). How do places of origin influence access to mobility in the global age? An analysis of the influence of vulnerability and structural constraints on Senegalese translocal livelihood strategies. </w:t>
      </w:r>
      <w:r w:rsidRPr="005D0B08">
        <w:rPr>
          <w:rFonts w:ascii="Calibri" w:hAnsi="Calibri"/>
          <w:i/>
          <w:iCs/>
          <w:noProof/>
          <w:sz w:val="22"/>
        </w:rPr>
        <w:t>Geographica Helvetica</w:t>
      </w:r>
      <w:r w:rsidRPr="005D0B08">
        <w:rPr>
          <w:rFonts w:ascii="Calibri" w:hAnsi="Calibri"/>
          <w:noProof/>
          <w:sz w:val="22"/>
        </w:rPr>
        <w:t xml:space="preserve">, </w:t>
      </w:r>
      <w:r w:rsidRPr="005D0B08">
        <w:rPr>
          <w:rFonts w:ascii="Calibri" w:hAnsi="Calibri"/>
          <w:i/>
          <w:iCs/>
          <w:noProof/>
          <w:sz w:val="22"/>
        </w:rPr>
        <w:t>72</w:t>
      </w:r>
      <w:r w:rsidRPr="005D0B08">
        <w:rPr>
          <w:rFonts w:ascii="Calibri" w:hAnsi="Calibri"/>
          <w:noProof/>
          <w:sz w:val="22"/>
        </w:rPr>
        <w:t>, 145–155.</w:t>
      </w:r>
    </w:p>
    <w:p w14:paraId="2C5C982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Schröder, P., &amp; Stephen-Emmrich, M. (2014). The institutionalization of mobility: Wellbeing and social hierarchies in Central Asian translocal livelihoods. </w:t>
      </w:r>
      <w:r w:rsidRPr="005D0B08">
        <w:rPr>
          <w:rFonts w:ascii="Calibri" w:hAnsi="Calibri"/>
          <w:i/>
          <w:iCs/>
          <w:noProof/>
          <w:sz w:val="22"/>
        </w:rPr>
        <w:t>Mobilities</w:t>
      </w:r>
      <w:r w:rsidRPr="005D0B08">
        <w:rPr>
          <w:rFonts w:ascii="Calibri" w:hAnsi="Calibri"/>
          <w:noProof/>
          <w:sz w:val="22"/>
        </w:rPr>
        <w:t xml:space="preserve">, </w:t>
      </w:r>
      <w:r w:rsidRPr="005D0B08">
        <w:rPr>
          <w:rFonts w:ascii="Calibri" w:hAnsi="Calibri"/>
          <w:i/>
          <w:iCs/>
          <w:noProof/>
          <w:sz w:val="22"/>
        </w:rPr>
        <w:t>11</w:t>
      </w:r>
      <w:r w:rsidRPr="005D0B08">
        <w:rPr>
          <w:rFonts w:ascii="Calibri" w:hAnsi="Calibri"/>
          <w:noProof/>
          <w:sz w:val="22"/>
        </w:rPr>
        <w:t>(3), 1–24.</w:t>
      </w:r>
    </w:p>
    <w:p w14:paraId="7745CFA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Scoones, I. (2009). Livelihoods perspectives and rural development. </w:t>
      </w:r>
      <w:r w:rsidRPr="005D0B08">
        <w:rPr>
          <w:rFonts w:ascii="Calibri" w:hAnsi="Calibri"/>
          <w:i/>
          <w:iCs/>
          <w:noProof/>
          <w:sz w:val="22"/>
        </w:rPr>
        <w:t>Journal of Peasant Studies</w:t>
      </w:r>
      <w:r w:rsidRPr="005D0B08">
        <w:rPr>
          <w:rFonts w:ascii="Calibri" w:hAnsi="Calibri"/>
          <w:noProof/>
          <w:sz w:val="22"/>
        </w:rPr>
        <w:t xml:space="preserve">, </w:t>
      </w:r>
      <w:r w:rsidRPr="005D0B08">
        <w:rPr>
          <w:rFonts w:ascii="Calibri" w:hAnsi="Calibri"/>
          <w:i/>
          <w:iCs/>
          <w:noProof/>
          <w:sz w:val="22"/>
        </w:rPr>
        <w:t>36</w:t>
      </w:r>
      <w:r w:rsidRPr="005D0B08">
        <w:rPr>
          <w:rFonts w:ascii="Calibri" w:hAnsi="Calibri"/>
          <w:noProof/>
          <w:sz w:val="22"/>
        </w:rPr>
        <w:t>(1), 171–196.</w:t>
      </w:r>
    </w:p>
    <w:p w14:paraId="4C3B4DE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Scott, J. C. (2009). </w:t>
      </w:r>
      <w:r w:rsidRPr="005D0B08">
        <w:rPr>
          <w:rFonts w:ascii="Calibri" w:hAnsi="Calibri"/>
          <w:i/>
          <w:iCs/>
          <w:noProof/>
          <w:sz w:val="22"/>
        </w:rPr>
        <w:t>The Art of Not Being Governed: An Anarchist History of Upland Southeast Asia</w:t>
      </w:r>
      <w:r w:rsidRPr="005D0B08">
        <w:rPr>
          <w:rFonts w:ascii="Calibri" w:hAnsi="Calibri"/>
          <w:noProof/>
          <w:sz w:val="22"/>
        </w:rPr>
        <w:t>. (Yale University Press, Ed.). New Haven, CT: Yale University Press.</w:t>
      </w:r>
    </w:p>
    <w:p w14:paraId="1A29291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Scott, J. W. (1986). Gender: A useful category of historical analysis. </w:t>
      </w:r>
      <w:r w:rsidRPr="005D0B08">
        <w:rPr>
          <w:rFonts w:ascii="Calibri" w:hAnsi="Calibri"/>
          <w:i/>
          <w:iCs/>
          <w:noProof/>
          <w:sz w:val="22"/>
        </w:rPr>
        <w:t>The American Historical Review</w:t>
      </w:r>
      <w:r w:rsidRPr="005D0B08">
        <w:rPr>
          <w:rFonts w:ascii="Calibri" w:hAnsi="Calibri"/>
          <w:noProof/>
          <w:sz w:val="22"/>
        </w:rPr>
        <w:t xml:space="preserve">, </w:t>
      </w:r>
      <w:r w:rsidRPr="005D0B08">
        <w:rPr>
          <w:rFonts w:ascii="Calibri" w:hAnsi="Calibri"/>
          <w:i/>
          <w:iCs/>
          <w:noProof/>
          <w:sz w:val="22"/>
        </w:rPr>
        <w:t>91</w:t>
      </w:r>
      <w:r w:rsidRPr="005D0B08">
        <w:rPr>
          <w:rFonts w:ascii="Calibri" w:hAnsi="Calibri"/>
          <w:noProof/>
          <w:sz w:val="22"/>
        </w:rPr>
        <w:t>(5), 1053–1075.</w:t>
      </w:r>
    </w:p>
    <w:p w14:paraId="3819D60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Seccatore, J., &amp; de Theije, M. (2016). Socio-technical study of small-scale gold mining in Suriname. </w:t>
      </w:r>
      <w:r w:rsidRPr="005D0B08">
        <w:rPr>
          <w:rFonts w:ascii="Calibri" w:hAnsi="Calibri"/>
          <w:i/>
          <w:iCs/>
          <w:noProof/>
          <w:sz w:val="22"/>
        </w:rPr>
        <w:t>Journal of Cleaner Production</w:t>
      </w:r>
      <w:r w:rsidRPr="005D0B08">
        <w:rPr>
          <w:rFonts w:ascii="Calibri" w:hAnsi="Calibri"/>
          <w:noProof/>
          <w:sz w:val="22"/>
        </w:rPr>
        <w:t xml:space="preserve">, </w:t>
      </w:r>
      <w:r w:rsidRPr="005D0B08">
        <w:rPr>
          <w:rFonts w:ascii="Calibri" w:hAnsi="Calibri"/>
          <w:i/>
          <w:iCs/>
          <w:noProof/>
          <w:sz w:val="22"/>
        </w:rPr>
        <w:t>144</w:t>
      </w:r>
      <w:r w:rsidRPr="005D0B08">
        <w:rPr>
          <w:rFonts w:ascii="Calibri" w:hAnsi="Calibri"/>
          <w:noProof/>
          <w:sz w:val="22"/>
        </w:rPr>
        <w:t>(15), 107–119.</w:t>
      </w:r>
    </w:p>
    <w:p w14:paraId="5233DA3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Seeling, A. (2002). </w:t>
      </w:r>
      <w:r w:rsidRPr="005D0B08">
        <w:rPr>
          <w:rFonts w:ascii="Calibri" w:hAnsi="Calibri"/>
          <w:i/>
          <w:iCs/>
          <w:noProof/>
          <w:sz w:val="22"/>
        </w:rPr>
        <w:t>Field Research into the socio-economic and social impact of artisanal and small-scale mining in Peru</w:t>
      </w:r>
      <w:r w:rsidRPr="005D0B08">
        <w:rPr>
          <w:rFonts w:ascii="Calibri" w:hAnsi="Calibri"/>
          <w:noProof/>
          <w:sz w:val="22"/>
        </w:rPr>
        <w:t>. Birmingham.</w:t>
      </w:r>
    </w:p>
    <w:p w14:paraId="2A47B23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Shadle, M. (2013). Theology and the origins of conflict: The shining path insurgency in Peru, 1980-2000. </w:t>
      </w:r>
      <w:r w:rsidRPr="005D0B08">
        <w:rPr>
          <w:rFonts w:ascii="Calibri" w:hAnsi="Calibri"/>
          <w:i/>
          <w:iCs/>
          <w:noProof/>
          <w:sz w:val="22"/>
        </w:rPr>
        <w:t>Political Theology</w:t>
      </w:r>
      <w:r w:rsidRPr="005D0B08">
        <w:rPr>
          <w:rFonts w:ascii="Calibri" w:hAnsi="Calibri"/>
          <w:noProof/>
          <w:sz w:val="22"/>
        </w:rPr>
        <w:t xml:space="preserve">, </w:t>
      </w:r>
      <w:r w:rsidRPr="005D0B08">
        <w:rPr>
          <w:rFonts w:ascii="Calibri" w:hAnsi="Calibri"/>
          <w:i/>
          <w:iCs/>
          <w:noProof/>
          <w:sz w:val="22"/>
        </w:rPr>
        <w:t>14</w:t>
      </w:r>
      <w:r w:rsidRPr="005D0B08">
        <w:rPr>
          <w:rFonts w:ascii="Calibri" w:hAnsi="Calibri"/>
          <w:noProof/>
          <w:sz w:val="22"/>
        </w:rPr>
        <w:t>(3), 284–303.</w:t>
      </w:r>
    </w:p>
    <w:p w14:paraId="1B8BFAD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Shammus, V. L., &amp; Sandberg, S. (2016). Habitus, capital and conflict: bringing Bourdieusian field theory to criminoligy. </w:t>
      </w:r>
      <w:r w:rsidRPr="005D0B08">
        <w:rPr>
          <w:rFonts w:ascii="Calibri" w:hAnsi="Calibri"/>
          <w:i/>
          <w:iCs/>
          <w:noProof/>
          <w:sz w:val="22"/>
        </w:rPr>
        <w:t>Criminology &amp; Criminal Justice</w:t>
      </w:r>
      <w:r w:rsidRPr="005D0B08">
        <w:rPr>
          <w:rFonts w:ascii="Calibri" w:hAnsi="Calibri"/>
          <w:noProof/>
          <w:sz w:val="22"/>
        </w:rPr>
        <w:t xml:space="preserve">, </w:t>
      </w:r>
      <w:r w:rsidRPr="005D0B08">
        <w:rPr>
          <w:rFonts w:ascii="Calibri" w:hAnsi="Calibri"/>
          <w:i/>
          <w:iCs/>
          <w:noProof/>
          <w:sz w:val="22"/>
        </w:rPr>
        <w:t>16</w:t>
      </w:r>
      <w:r w:rsidRPr="005D0B08">
        <w:rPr>
          <w:rFonts w:ascii="Calibri" w:hAnsi="Calibri"/>
          <w:noProof/>
          <w:sz w:val="22"/>
        </w:rPr>
        <w:t>(2), 195–213.</w:t>
      </w:r>
    </w:p>
    <w:p w14:paraId="6421BE7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Sheahan, J. (1997). Effects of liberalization programs on poverty and inequality: Chile, Mexico, and Peru. </w:t>
      </w:r>
      <w:r w:rsidRPr="005D0B08">
        <w:rPr>
          <w:rFonts w:ascii="Calibri" w:hAnsi="Calibri"/>
          <w:i/>
          <w:iCs/>
          <w:noProof/>
          <w:sz w:val="22"/>
        </w:rPr>
        <w:t>Latin American Research Review</w:t>
      </w:r>
      <w:r w:rsidRPr="005D0B08">
        <w:rPr>
          <w:rFonts w:ascii="Calibri" w:hAnsi="Calibri"/>
          <w:noProof/>
          <w:sz w:val="22"/>
        </w:rPr>
        <w:t xml:space="preserve">, </w:t>
      </w:r>
      <w:r w:rsidRPr="005D0B08">
        <w:rPr>
          <w:rFonts w:ascii="Calibri" w:hAnsi="Calibri"/>
          <w:i/>
          <w:iCs/>
          <w:noProof/>
          <w:sz w:val="22"/>
        </w:rPr>
        <w:t>32</w:t>
      </w:r>
      <w:r w:rsidRPr="005D0B08">
        <w:rPr>
          <w:rFonts w:ascii="Calibri" w:hAnsi="Calibri"/>
          <w:noProof/>
          <w:sz w:val="22"/>
        </w:rPr>
        <w:t>(3), 7–37.</w:t>
      </w:r>
    </w:p>
    <w:p w14:paraId="7D94272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Sherman, M., Ford, J., Llanos-Cuentas, A., Valdivia, M. J., &amp; Bussalleu, A. (2015). Vulnerability and adaptive capacity of community food systems in the Peruvian Amazon: a case study from Panaillo. </w:t>
      </w:r>
      <w:r w:rsidRPr="005D0B08">
        <w:rPr>
          <w:rFonts w:ascii="Calibri" w:hAnsi="Calibri"/>
          <w:i/>
          <w:iCs/>
          <w:noProof/>
          <w:sz w:val="22"/>
        </w:rPr>
        <w:t>Natural Hazards</w:t>
      </w:r>
      <w:r w:rsidRPr="005D0B08">
        <w:rPr>
          <w:rFonts w:ascii="Calibri" w:hAnsi="Calibri"/>
          <w:noProof/>
          <w:sz w:val="22"/>
        </w:rPr>
        <w:t>.</w:t>
      </w:r>
    </w:p>
    <w:p w14:paraId="37AEFA2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Shortell, P. (2014). In need of investment, Peru rolls back environmental standards. </w:t>
      </w:r>
      <w:r w:rsidRPr="005D0B08">
        <w:rPr>
          <w:rFonts w:ascii="Calibri" w:hAnsi="Calibri"/>
          <w:i/>
          <w:iCs/>
          <w:noProof/>
          <w:sz w:val="22"/>
        </w:rPr>
        <w:t>World Politics Review</w:t>
      </w:r>
      <w:r w:rsidRPr="005D0B08">
        <w:rPr>
          <w:rFonts w:ascii="Calibri" w:hAnsi="Calibri"/>
          <w:noProof/>
          <w:sz w:val="22"/>
        </w:rPr>
        <w:t xml:space="preserve">, </w:t>
      </w:r>
      <w:r w:rsidRPr="005D0B08">
        <w:rPr>
          <w:rFonts w:ascii="Calibri" w:hAnsi="Calibri"/>
          <w:i/>
          <w:iCs/>
          <w:noProof/>
          <w:sz w:val="22"/>
        </w:rPr>
        <w:t>28 July</w:t>
      </w:r>
      <w:r w:rsidRPr="005D0B08">
        <w:rPr>
          <w:rFonts w:ascii="Calibri" w:hAnsi="Calibri"/>
          <w:noProof/>
          <w:sz w:val="22"/>
        </w:rPr>
        <w:t>.</w:t>
      </w:r>
    </w:p>
    <w:p w14:paraId="4EBF951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Siegel, S., &amp; Veiga, M. M. (2009). Artisanal and small-scale mining as an extralegal economy: De Soto and the redefinition of “formalization.”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(1–2), 51–56.</w:t>
      </w:r>
    </w:p>
    <w:p w14:paraId="26C774E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Silvey, R. (1996). Geographies of gender and migration: spatializing social difference. </w:t>
      </w:r>
      <w:r w:rsidRPr="005D0B08">
        <w:rPr>
          <w:rFonts w:ascii="Calibri" w:hAnsi="Calibri"/>
          <w:i/>
          <w:iCs/>
          <w:noProof/>
          <w:sz w:val="22"/>
        </w:rPr>
        <w:t>The International Migration Review</w:t>
      </w:r>
      <w:r w:rsidRPr="005D0B08">
        <w:rPr>
          <w:rFonts w:ascii="Calibri" w:hAnsi="Calibri"/>
          <w:noProof/>
          <w:sz w:val="22"/>
        </w:rPr>
        <w:t xml:space="preserve">, </w:t>
      </w:r>
      <w:r w:rsidRPr="005D0B08">
        <w:rPr>
          <w:rFonts w:ascii="Calibri" w:hAnsi="Calibri"/>
          <w:i/>
          <w:iCs/>
          <w:noProof/>
          <w:sz w:val="22"/>
        </w:rPr>
        <w:t>40</w:t>
      </w:r>
      <w:r w:rsidRPr="005D0B08">
        <w:rPr>
          <w:rFonts w:ascii="Calibri" w:hAnsi="Calibri"/>
          <w:noProof/>
          <w:sz w:val="22"/>
        </w:rPr>
        <w:t>(1), 64–81.</w:t>
      </w:r>
    </w:p>
    <w:p w14:paraId="4CDCFB8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Simone, A. (2004). Critical dimensions of urban life in Africa. In T. Falola &amp; S. J. Salm (Eds.), </w:t>
      </w:r>
      <w:r w:rsidRPr="005D0B08">
        <w:rPr>
          <w:rFonts w:ascii="Calibri" w:hAnsi="Calibri"/>
          <w:i/>
          <w:iCs/>
          <w:noProof/>
          <w:sz w:val="22"/>
        </w:rPr>
        <w:t>Globalization and Urbanization in Africa</w:t>
      </w:r>
      <w:r w:rsidRPr="005D0B08">
        <w:rPr>
          <w:rFonts w:ascii="Calibri" w:hAnsi="Calibri"/>
          <w:noProof/>
          <w:sz w:val="22"/>
        </w:rPr>
        <w:t xml:space="preserve"> (pp. 11–51). Trenton, NJ: Africa World Press Inc.</w:t>
      </w:r>
    </w:p>
    <w:p w14:paraId="54A9CDD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Sinding, K. (2005). The dynamics of artisanal and small-scale mining reforms. </w:t>
      </w:r>
      <w:r w:rsidRPr="005D0B08">
        <w:rPr>
          <w:rFonts w:ascii="Calibri" w:hAnsi="Calibri"/>
          <w:i/>
          <w:iCs/>
          <w:noProof/>
          <w:sz w:val="22"/>
        </w:rPr>
        <w:t>Natural Resources Forum</w:t>
      </w:r>
      <w:r w:rsidRPr="005D0B08">
        <w:rPr>
          <w:rFonts w:ascii="Calibri" w:hAnsi="Calibri"/>
          <w:noProof/>
          <w:sz w:val="22"/>
        </w:rPr>
        <w:t xml:space="preserve">, </w:t>
      </w:r>
      <w:r w:rsidRPr="005D0B08">
        <w:rPr>
          <w:rFonts w:ascii="Calibri" w:hAnsi="Calibri"/>
          <w:i/>
          <w:iCs/>
          <w:noProof/>
          <w:sz w:val="22"/>
        </w:rPr>
        <w:t>29</w:t>
      </w:r>
      <w:r w:rsidRPr="005D0B08">
        <w:rPr>
          <w:rFonts w:ascii="Calibri" w:hAnsi="Calibri"/>
          <w:noProof/>
          <w:sz w:val="22"/>
        </w:rPr>
        <w:t>(3), 243–252.</w:t>
      </w:r>
    </w:p>
    <w:p w14:paraId="114BB27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Skeldon, R. (1977). The evolution of migration patterns during urbanization in Peru. </w:t>
      </w:r>
      <w:r w:rsidRPr="005D0B08">
        <w:rPr>
          <w:rFonts w:ascii="Calibri" w:hAnsi="Calibri"/>
          <w:i/>
          <w:iCs/>
          <w:noProof/>
          <w:sz w:val="22"/>
        </w:rPr>
        <w:t>Geographical Review</w:t>
      </w:r>
      <w:r w:rsidRPr="005D0B08">
        <w:rPr>
          <w:rFonts w:ascii="Calibri" w:hAnsi="Calibri"/>
          <w:noProof/>
          <w:sz w:val="22"/>
        </w:rPr>
        <w:t xml:space="preserve">, </w:t>
      </w:r>
      <w:r w:rsidRPr="005D0B08">
        <w:rPr>
          <w:rFonts w:ascii="Calibri" w:hAnsi="Calibri"/>
          <w:i/>
          <w:iCs/>
          <w:noProof/>
          <w:sz w:val="22"/>
        </w:rPr>
        <w:t>67</w:t>
      </w:r>
      <w:r w:rsidRPr="005D0B08">
        <w:rPr>
          <w:rFonts w:ascii="Calibri" w:hAnsi="Calibri"/>
          <w:noProof/>
          <w:sz w:val="22"/>
        </w:rPr>
        <w:t>, 394–411.</w:t>
      </w:r>
    </w:p>
    <w:p w14:paraId="200A398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Smith, G. (1989). </w:t>
      </w:r>
      <w:r w:rsidRPr="005D0B08">
        <w:rPr>
          <w:rFonts w:ascii="Calibri" w:hAnsi="Calibri"/>
          <w:i/>
          <w:iCs/>
          <w:noProof/>
          <w:sz w:val="22"/>
        </w:rPr>
        <w:t>Livelihood and Resistance: Peasants and the Politics of Land in Peru</w:t>
      </w:r>
      <w:r w:rsidRPr="005D0B08">
        <w:rPr>
          <w:rFonts w:ascii="Calibri" w:hAnsi="Calibri"/>
          <w:noProof/>
          <w:sz w:val="22"/>
        </w:rPr>
        <w:t>. Oxford: University of California Press.</w:t>
      </w:r>
    </w:p>
    <w:p w14:paraId="434DAFA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Smith, M. . (2011). Translocality: A critical reflection. In K Brickell &amp; A. Datta (Eds.), </w:t>
      </w:r>
      <w:r w:rsidRPr="005D0B08">
        <w:rPr>
          <w:rFonts w:ascii="Calibri" w:hAnsi="Calibri"/>
          <w:i/>
          <w:iCs/>
          <w:noProof/>
          <w:sz w:val="22"/>
        </w:rPr>
        <w:t>Translocal Geographies: Spaces, Places, Connections</w:t>
      </w:r>
      <w:r w:rsidRPr="005D0B08">
        <w:rPr>
          <w:rFonts w:ascii="Calibri" w:hAnsi="Calibri"/>
          <w:noProof/>
          <w:sz w:val="22"/>
        </w:rPr>
        <w:t xml:space="preserve"> (pp. 181–198). Farnham, UK: Ashgate Publishing Limited.</w:t>
      </w:r>
    </w:p>
    <w:p w14:paraId="1658A20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Smith, N. M., Smith, J. M., John, Z. Q., &amp; Teschner, B. A. (2017). Promises and perceptions in the Guianas: The making of an artisanal and small-scale mining reserve.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51</w:t>
      </w:r>
      <w:r w:rsidRPr="005D0B08">
        <w:rPr>
          <w:rFonts w:ascii="Calibri" w:hAnsi="Calibri"/>
          <w:noProof/>
          <w:sz w:val="22"/>
        </w:rPr>
        <w:t>(March 2016), 49–56.</w:t>
      </w:r>
    </w:p>
    <w:p w14:paraId="614D239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Smith, S. M., Shepherd, D. D., &amp; Dorward, P. T. (2012). Perspectives on community representation within the Extractive Industries Transparency Initiative: Experiences from south-east Madagascar.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(2), 241–250.</w:t>
      </w:r>
    </w:p>
    <w:p w14:paraId="675B160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Soja, E. (1996). </w:t>
      </w:r>
      <w:r w:rsidRPr="005D0B08">
        <w:rPr>
          <w:rFonts w:ascii="Calibri" w:hAnsi="Calibri"/>
          <w:i/>
          <w:iCs/>
          <w:noProof/>
          <w:sz w:val="22"/>
        </w:rPr>
        <w:t>Thirdspace: Journeys to Los Angeles and Other Real-and-Imagined Places</w:t>
      </w:r>
      <w:r w:rsidRPr="005D0B08">
        <w:rPr>
          <w:rFonts w:ascii="Calibri" w:hAnsi="Calibri"/>
          <w:noProof/>
          <w:sz w:val="22"/>
        </w:rPr>
        <w:t>. Cambridge, MA: Blackwell Publishers.</w:t>
      </w:r>
    </w:p>
    <w:p w14:paraId="2C699B0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Sørensen, N. (2002). Representing the local: mobile livelihood practices in the Peruvian Central Sierra. In K. . Olwig &amp; N. . Sorensen (Eds.), </w:t>
      </w:r>
      <w:r w:rsidRPr="005D0B08">
        <w:rPr>
          <w:rFonts w:ascii="Calibri" w:hAnsi="Calibri"/>
          <w:i/>
          <w:iCs/>
          <w:noProof/>
          <w:sz w:val="22"/>
        </w:rPr>
        <w:t>Work and Migration: Life and Livelihoods in a Globalizing World</w:t>
      </w:r>
      <w:r w:rsidRPr="005D0B08">
        <w:rPr>
          <w:rFonts w:ascii="Calibri" w:hAnsi="Calibri"/>
          <w:noProof/>
          <w:sz w:val="22"/>
        </w:rPr>
        <w:t xml:space="preserve"> (pp. 23–44). London, UK: Routledge.</w:t>
      </w:r>
    </w:p>
    <w:p w14:paraId="6A6E59F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Sousa, R., Veiga, M., Van Zyl, D., Telmer, K., Spiegel, S., &amp; Selder, J. (2011). Policies and regulations for Brazil’s artisanal gold mining sector: Analysis and recommendations. </w:t>
      </w:r>
      <w:r w:rsidRPr="005D0B08">
        <w:rPr>
          <w:rFonts w:ascii="Calibri" w:hAnsi="Calibri"/>
          <w:i/>
          <w:iCs/>
          <w:noProof/>
          <w:sz w:val="22"/>
        </w:rPr>
        <w:t>Journal of Cleaner Production</w:t>
      </w:r>
      <w:r w:rsidRPr="005D0B08">
        <w:rPr>
          <w:rFonts w:ascii="Calibri" w:hAnsi="Calibri"/>
          <w:noProof/>
          <w:sz w:val="22"/>
        </w:rPr>
        <w:t xml:space="preserve">, </w:t>
      </w:r>
      <w:r w:rsidRPr="005D0B08">
        <w:rPr>
          <w:rFonts w:ascii="Calibri" w:hAnsi="Calibri"/>
          <w:i/>
          <w:iCs/>
          <w:noProof/>
          <w:sz w:val="22"/>
        </w:rPr>
        <w:t>19</w:t>
      </w:r>
      <w:r w:rsidRPr="005D0B08">
        <w:rPr>
          <w:rFonts w:ascii="Calibri" w:hAnsi="Calibri"/>
          <w:noProof/>
          <w:sz w:val="22"/>
        </w:rPr>
        <w:t>(6–7), 742–750.</w:t>
      </w:r>
    </w:p>
    <w:p w14:paraId="267EA94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Spain, D. (1992). </w:t>
      </w:r>
      <w:r w:rsidRPr="005D0B08">
        <w:rPr>
          <w:rFonts w:ascii="Calibri" w:hAnsi="Calibri"/>
          <w:i/>
          <w:iCs/>
          <w:noProof/>
          <w:sz w:val="22"/>
        </w:rPr>
        <w:t>Gendered Spaces</w:t>
      </w:r>
      <w:r w:rsidRPr="005D0B08">
        <w:rPr>
          <w:rFonts w:ascii="Calibri" w:hAnsi="Calibri"/>
          <w:noProof/>
          <w:sz w:val="22"/>
        </w:rPr>
        <w:t>. Chapel Hill, NC: University of North Carolina Press.</w:t>
      </w:r>
    </w:p>
    <w:p w14:paraId="64300FD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Spiegal, S. (2009). Resource policies and small-scale gold mining in Zimbabwe.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 39–44.</w:t>
      </w:r>
    </w:p>
    <w:p w14:paraId="22DD3E5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Spiegel, S. . (2012). Governance institutions, resource rights regimes and the informal mining sector: regulatory complexities in Indonesia. </w:t>
      </w:r>
      <w:r w:rsidRPr="005D0B08">
        <w:rPr>
          <w:rFonts w:ascii="Calibri" w:hAnsi="Calibri"/>
          <w:i/>
          <w:iCs/>
          <w:noProof/>
          <w:sz w:val="22"/>
        </w:rPr>
        <w:t>World Development</w:t>
      </w:r>
      <w:r w:rsidRPr="005D0B08">
        <w:rPr>
          <w:rFonts w:ascii="Calibri" w:hAnsi="Calibri"/>
          <w:noProof/>
          <w:sz w:val="22"/>
        </w:rPr>
        <w:t xml:space="preserve">, </w:t>
      </w:r>
      <w:r w:rsidRPr="005D0B08">
        <w:rPr>
          <w:rFonts w:ascii="Calibri" w:hAnsi="Calibri"/>
          <w:i/>
          <w:iCs/>
          <w:noProof/>
          <w:sz w:val="22"/>
        </w:rPr>
        <w:t>40</w:t>
      </w:r>
      <w:r w:rsidRPr="005D0B08">
        <w:rPr>
          <w:rFonts w:ascii="Calibri" w:hAnsi="Calibri"/>
          <w:noProof/>
          <w:sz w:val="22"/>
        </w:rPr>
        <w:t>(1), 189–205.</w:t>
      </w:r>
    </w:p>
    <w:p w14:paraId="1CAC89A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Stake, R. E. (2005). Qualitative Case Studies. In N.K Denzin &amp; Y. . Lincoln (Eds.), </w:t>
      </w:r>
      <w:r w:rsidRPr="005D0B08">
        <w:rPr>
          <w:rFonts w:ascii="Calibri" w:hAnsi="Calibri"/>
          <w:i/>
          <w:iCs/>
          <w:noProof/>
          <w:sz w:val="22"/>
        </w:rPr>
        <w:t>The Sage Handbook of Qualitative Research</w:t>
      </w:r>
      <w:r w:rsidRPr="005D0B08">
        <w:rPr>
          <w:rFonts w:ascii="Calibri" w:hAnsi="Calibri"/>
          <w:noProof/>
          <w:sz w:val="22"/>
        </w:rPr>
        <w:t xml:space="preserve"> (3rd ed., pp. 443–466). London, UK: Sage Publications Ltd.</w:t>
      </w:r>
    </w:p>
    <w:p w14:paraId="2228EE6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Stark, J., Guillen, S., &amp; Brady, C. (2012). </w:t>
      </w:r>
      <w:r w:rsidRPr="005D0B08">
        <w:rPr>
          <w:rFonts w:ascii="Calibri" w:hAnsi="Calibri"/>
          <w:i/>
          <w:iCs/>
          <w:noProof/>
          <w:sz w:val="22"/>
        </w:rPr>
        <w:t>Follow the Water: Emerging Issues of Climate Change and Conflict in Peru</w:t>
      </w:r>
      <w:r w:rsidRPr="005D0B08">
        <w:rPr>
          <w:rFonts w:ascii="Calibri" w:hAnsi="Calibri"/>
          <w:noProof/>
          <w:sz w:val="22"/>
        </w:rPr>
        <w:t>. Washington D.C.</w:t>
      </w:r>
    </w:p>
    <w:p w14:paraId="174DF9F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Stark, O., &amp; Levhari, D. (1982). On migration and risk in LDCs. </w:t>
      </w:r>
      <w:r w:rsidRPr="005D0B08">
        <w:rPr>
          <w:rFonts w:ascii="Calibri" w:hAnsi="Calibri"/>
          <w:i/>
          <w:iCs/>
          <w:noProof/>
          <w:sz w:val="22"/>
        </w:rPr>
        <w:t>Economic Development and Cultural Change</w:t>
      </w:r>
      <w:r w:rsidRPr="005D0B08">
        <w:rPr>
          <w:rFonts w:ascii="Calibri" w:hAnsi="Calibri"/>
          <w:noProof/>
          <w:sz w:val="22"/>
        </w:rPr>
        <w:t xml:space="preserve">, </w:t>
      </w:r>
      <w:r w:rsidRPr="005D0B08">
        <w:rPr>
          <w:rFonts w:ascii="Calibri" w:hAnsi="Calibri"/>
          <w:i/>
          <w:iCs/>
          <w:noProof/>
          <w:sz w:val="22"/>
        </w:rPr>
        <w:t>31</w:t>
      </w:r>
      <w:r w:rsidRPr="005D0B08">
        <w:rPr>
          <w:rFonts w:ascii="Calibri" w:hAnsi="Calibri"/>
          <w:noProof/>
          <w:sz w:val="22"/>
        </w:rPr>
        <w:t>(1), 191–196.</w:t>
      </w:r>
    </w:p>
    <w:p w14:paraId="257B8D2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Starn, O. (1995). Maoism in the Andes: The Communist Party of Peru-Shining Path and the refusal of history. </w:t>
      </w:r>
      <w:r w:rsidRPr="005D0B08">
        <w:rPr>
          <w:rFonts w:ascii="Calibri" w:hAnsi="Calibri"/>
          <w:i/>
          <w:iCs/>
          <w:noProof/>
          <w:sz w:val="22"/>
        </w:rPr>
        <w:t>Journal of Latin American Studies</w:t>
      </w:r>
      <w:r w:rsidRPr="005D0B08">
        <w:rPr>
          <w:rFonts w:ascii="Calibri" w:hAnsi="Calibri"/>
          <w:noProof/>
          <w:sz w:val="22"/>
        </w:rPr>
        <w:t xml:space="preserve">, </w:t>
      </w:r>
      <w:r w:rsidRPr="005D0B08">
        <w:rPr>
          <w:rFonts w:ascii="Calibri" w:hAnsi="Calibri"/>
          <w:i/>
          <w:iCs/>
          <w:noProof/>
          <w:sz w:val="22"/>
        </w:rPr>
        <w:t>27</w:t>
      </w:r>
      <w:r w:rsidRPr="005D0B08">
        <w:rPr>
          <w:rFonts w:ascii="Calibri" w:hAnsi="Calibri"/>
          <w:noProof/>
          <w:sz w:val="22"/>
        </w:rPr>
        <w:t>(2), 399–421. Retrieved from http://www.jstor.org/stable/158120</w:t>
      </w:r>
    </w:p>
    <w:p w14:paraId="0FE3579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Steel, G., &amp; Zoomers, A. (2009). Social mobility in the Central Andes of Peru and Bolivia. </w:t>
      </w:r>
      <w:r w:rsidRPr="005D0B08">
        <w:rPr>
          <w:rFonts w:ascii="Calibri" w:hAnsi="Calibri"/>
          <w:i/>
          <w:iCs/>
          <w:noProof/>
          <w:sz w:val="22"/>
        </w:rPr>
        <w:t>International Development Planning Review</w:t>
      </w:r>
      <w:r w:rsidRPr="005D0B08">
        <w:rPr>
          <w:rFonts w:ascii="Calibri" w:hAnsi="Calibri"/>
          <w:noProof/>
          <w:sz w:val="22"/>
        </w:rPr>
        <w:t xml:space="preserve">, </w:t>
      </w:r>
      <w:r w:rsidRPr="005D0B08">
        <w:rPr>
          <w:rFonts w:ascii="Calibri" w:hAnsi="Calibri"/>
          <w:i/>
          <w:iCs/>
          <w:noProof/>
          <w:sz w:val="22"/>
        </w:rPr>
        <w:t>31</w:t>
      </w:r>
      <w:r w:rsidRPr="005D0B08">
        <w:rPr>
          <w:rFonts w:ascii="Calibri" w:hAnsi="Calibri"/>
          <w:noProof/>
          <w:sz w:val="22"/>
        </w:rPr>
        <w:t>(4), 377–396.</w:t>
      </w:r>
    </w:p>
    <w:p w14:paraId="1FA3A20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Steinbrink, M. (2007). Exploring the role of migrants’ networks in the context of translocal livelihoods in South Africa. In Beate Lohnert (Ed.), </w:t>
      </w:r>
      <w:r w:rsidRPr="005D0B08">
        <w:rPr>
          <w:rFonts w:ascii="Calibri" w:hAnsi="Calibri"/>
          <w:i/>
          <w:iCs/>
          <w:noProof/>
          <w:sz w:val="22"/>
        </w:rPr>
        <w:t>Social Networks: Potential and Constraints. Indications from South Africa</w:t>
      </w:r>
      <w:r w:rsidRPr="005D0B08">
        <w:rPr>
          <w:rFonts w:ascii="Calibri" w:hAnsi="Calibri"/>
          <w:noProof/>
          <w:sz w:val="22"/>
        </w:rPr>
        <w:t xml:space="preserve"> (pp. 73–113). Saarbrücken: Verlag für Entwicklungspolitik.</w:t>
      </w:r>
    </w:p>
    <w:p w14:paraId="638AE70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Steinbrink, M. (2009). Urbanisation, poverty and translocality: insights from South Africa. </w:t>
      </w:r>
      <w:r w:rsidRPr="005D0B08">
        <w:rPr>
          <w:rFonts w:ascii="Calibri" w:hAnsi="Calibri"/>
          <w:i/>
          <w:iCs/>
          <w:noProof/>
          <w:sz w:val="22"/>
        </w:rPr>
        <w:t>Etude de La Population Africaine/African Population Studies</w:t>
      </w:r>
      <w:r w:rsidRPr="005D0B08">
        <w:rPr>
          <w:rFonts w:ascii="Calibri" w:hAnsi="Calibri"/>
          <w:noProof/>
          <w:sz w:val="22"/>
        </w:rPr>
        <w:t xml:space="preserve">, </w:t>
      </w:r>
      <w:r w:rsidRPr="005D0B08">
        <w:rPr>
          <w:rFonts w:ascii="Calibri" w:hAnsi="Calibri"/>
          <w:i/>
          <w:iCs/>
          <w:noProof/>
          <w:sz w:val="22"/>
        </w:rPr>
        <w:t>23</w:t>
      </w:r>
      <w:r w:rsidRPr="005D0B08">
        <w:rPr>
          <w:rFonts w:ascii="Calibri" w:hAnsi="Calibri"/>
          <w:noProof/>
          <w:sz w:val="22"/>
        </w:rPr>
        <w:t>, 219–252.</w:t>
      </w:r>
    </w:p>
    <w:p w14:paraId="62CD587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Sykes, G. M., &amp; Matza, D. (1957). Techniques of neutralization: a theory of delinquency. </w:t>
      </w:r>
      <w:r w:rsidRPr="005D0B08">
        <w:rPr>
          <w:rFonts w:ascii="Calibri" w:hAnsi="Calibri"/>
          <w:i/>
          <w:iCs/>
          <w:noProof/>
          <w:sz w:val="22"/>
        </w:rPr>
        <w:t>American Sociological Review</w:t>
      </w:r>
      <w:r w:rsidRPr="005D0B08">
        <w:rPr>
          <w:rFonts w:ascii="Calibri" w:hAnsi="Calibri"/>
          <w:noProof/>
          <w:sz w:val="22"/>
        </w:rPr>
        <w:t xml:space="preserve">, </w:t>
      </w:r>
      <w:r w:rsidRPr="005D0B08">
        <w:rPr>
          <w:rFonts w:ascii="Calibri" w:hAnsi="Calibri"/>
          <w:i/>
          <w:iCs/>
          <w:noProof/>
          <w:sz w:val="22"/>
        </w:rPr>
        <w:t>22</w:t>
      </w:r>
      <w:r w:rsidRPr="005D0B08">
        <w:rPr>
          <w:rFonts w:ascii="Calibri" w:hAnsi="Calibri"/>
          <w:noProof/>
          <w:sz w:val="22"/>
        </w:rPr>
        <w:t>(6), 664–670.</w:t>
      </w:r>
    </w:p>
    <w:p w14:paraId="7AC6FF01"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Tacoli, C, McGranahan, G., &amp; Satterthwaite, D. (2008). Urbanization, poverty and ineqaulity: is rural-urban migration a poverty problem or part of the solution? In G. Martine, G. McGranahan, M. Montgomery, &amp; R. Fernandez-Castilla (Eds.), </w:t>
      </w:r>
      <w:r w:rsidRPr="005D0B08">
        <w:rPr>
          <w:rFonts w:ascii="Calibri" w:hAnsi="Calibri"/>
          <w:i/>
          <w:iCs/>
          <w:noProof/>
          <w:sz w:val="22"/>
        </w:rPr>
        <w:t>The New Global Frontier: Urbanization, Poverty and Environment in the 21st Century</w:t>
      </w:r>
      <w:r w:rsidRPr="005D0B08">
        <w:rPr>
          <w:rFonts w:ascii="Calibri" w:hAnsi="Calibri"/>
          <w:noProof/>
          <w:sz w:val="22"/>
        </w:rPr>
        <w:t xml:space="preserve"> (pp. 37–53). London, UK: Earthscan.</w:t>
      </w:r>
    </w:p>
    <w:p w14:paraId="3F31B14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Tacoli, Cecilia. (2011). </w:t>
      </w:r>
      <w:r w:rsidRPr="005D0B08">
        <w:rPr>
          <w:rFonts w:ascii="Calibri" w:hAnsi="Calibri"/>
          <w:i/>
          <w:iCs/>
          <w:noProof/>
          <w:sz w:val="22"/>
        </w:rPr>
        <w:t>Not only climate change: mobility, vulnerability and socio-economic transformations in environmentally fragile areas of Bolivia, Senegal and Tanzania</w:t>
      </w:r>
      <w:r w:rsidRPr="005D0B08">
        <w:rPr>
          <w:rFonts w:ascii="Calibri" w:hAnsi="Calibri"/>
          <w:noProof/>
          <w:sz w:val="22"/>
        </w:rPr>
        <w:t xml:space="preserve"> (Human Settlements No. 28). </w:t>
      </w:r>
      <w:r w:rsidRPr="005D0B08">
        <w:rPr>
          <w:rFonts w:ascii="Calibri" w:hAnsi="Calibri"/>
          <w:i/>
          <w:iCs/>
          <w:noProof/>
          <w:sz w:val="22"/>
        </w:rPr>
        <w:t>Rural-Urban Interactions and Livelihood Strategies</w:t>
      </w:r>
      <w:r w:rsidRPr="005D0B08">
        <w:rPr>
          <w:rFonts w:ascii="Calibri" w:hAnsi="Calibri"/>
          <w:noProof/>
          <w:sz w:val="22"/>
        </w:rPr>
        <w:t>. London. Retrieved from http://pubs.iied.org/pdfs/10590IIED.pdf</w:t>
      </w:r>
    </w:p>
    <w:p w14:paraId="706B3B5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Takenaka, A., Paerregaard, K., &amp; Berg, U. (2010). Peruvian migration in a global context. </w:t>
      </w:r>
      <w:r w:rsidRPr="005D0B08">
        <w:rPr>
          <w:rFonts w:ascii="Calibri" w:hAnsi="Calibri"/>
          <w:i/>
          <w:iCs/>
          <w:noProof/>
          <w:sz w:val="22"/>
        </w:rPr>
        <w:t>Latin American Perspectives</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(5), 3–11.</w:t>
      </w:r>
    </w:p>
    <w:p w14:paraId="5CCFB80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Takenaka, A., &amp; Pren, K. A. (2010). Leaving to get ahead: assessing the relationship between mobility and inequality in Peru. </w:t>
      </w:r>
      <w:r w:rsidRPr="005D0B08">
        <w:rPr>
          <w:rFonts w:ascii="Calibri" w:hAnsi="Calibri"/>
          <w:i/>
          <w:iCs/>
          <w:noProof/>
          <w:sz w:val="22"/>
        </w:rPr>
        <w:t>Latin American Perspectives</w:t>
      </w:r>
      <w:r w:rsidRPr="005D0B08">
        <w:rPr>
          <w:rFonts w:ascii="Calibri" w:hAnsi="Calibri"/>
          <w:noProof/>
          <w:sz w:val="22"/>
        </w:rPr>
        <w:t xml:space="preserve">, </w:t>
      </w:r>
      <w:r w:rsidRPr="005D0B08">
        <w:rPr>
          <w:rFonts w:ascii="Calibri" w:hAnsi="Calibri"/>
          <w:i/>
          <w:iCs/>
          <w:noProof/>
          <w:sz w:val="22"/>
        </w:rPr>
        <w:t>37</w:t>
      </w:r>
      <w:r w:rsidRPr="005D0B08">
        <w:rPr>
          <w:rFonts w:ascii="Calibri" w:hAnsi="Calibri"/>
          <w:noProof/>
          <w:sz w:val="22"/>
        </w:rPr>
        <w:t>(5), 29–49.</w:t>
      </w:r>
    </w:p>
    <w:p w14:paraId="27D35BC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Tan, B. A. ., &amp; Yeoh, B. S. . (2011). Translocal family relations amongst the Lahu in Northern Thailand. In Katherine Brickell &amp; A. Datta (Eds.), </w:t>
      </w:r>
      <w:r w:rsidRPr="005D0B08">
        <w:rPr>
          <w:rFonts w:ascii="Calibri" w:hAnsi="Calibri"/>
          <w:i/>
          <w:iCs/>
          <w:noProof/>
          <w:sz w:val="22"/>
        </w:rPr>
        <w:t>Translocal Geographies: Spaces, Places, Connections</w:t>
      </w:r>
      <w:r w:rsidRPr="005D0B08">
        <w:rPr>
          <w:rFonts w:ascii="Calibri" w:hAnsi="Calibri"/>
          <w:noProof/>
          <w:sz w:val="22"/>
        </w:rPr>
        <w:t xml:space="preserve"> (pp. 23–38). Farnham, UK: Ashgate Publishing Limited.</w:t>
      </w:r>
    </w:p>
    <w:p w14:paraId="7274B17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Tanski, J. M. (1994). The impact of crisis, stabilization and structural adjustment on women in Lima, Peru. </w:t>
      </w:r>
      <w:r w:rsidRPr="005D0B08">
        <w:rPr>
          <w:rFonts w:ascii="Calibri" w:hAnsi="Calibri"/>
          <w:i/>
          <w:iCs/>
          <w:noProof/>
          <w:sz w:val="22"/>
        </w:rPr>
        <w:t>World Development</w:t>
      </w:r>
      <w:r w:rsidRPr="005D0B08">
        <w:rPr>
          <w:rFonts w:ascii="Calibri" w:hAnsi="Calibri"/>
          <w:noProof/>
          <w:sz w:val="22"/>
        </w:rPr>
        <w:t xml:space="preserve">, </w:t>
      </w:r>
      <w:r w:rsidRPr="005D0B08">
        <w:rPr>
          <w:rFonts w:ascii="Calibri" w:hAnsi="Calibri"/>
          <w:i/>
          <w:iCs/>
          <w:noProof/>
          <w:sz w:val="22"/>
        </w:rPr>
        <w:t>22</w:t>
      </w:r>
      <w:r w:rsidRPr="005D0B08">
        <w:rPr>
          <w:rFonts w:ascii="Calibri" w:hAnsi="Calibri"/>
          <w:noProof/>
          <w:sz w:val="22"/>
        </w:rPr>
        <w:t>(11), 1627–1642.</w:t>
      </w:r>
    </w:p>
    <w:p w14:paraId="01C909B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Taylor, J. E., Arango, J., Hugo, G., Kouaouci, A., Massey, D. S., &amp; Pellegrino, A. (1996). International </w:t>
      </w:r>
      <w:r w:rsidRPr="005D0B08">
        <w:rPr>
          <w:rFonts w:ascii="Calibri" w:hAnsi="Calibri"/>
          <w:noProof/>
          <w:sz w:val="22"/>
        </w:rPr>
        <w:lastRenderedPageBreak/>
        <w:t xml:space="preserve">migration and community development. </w:t>
      </w:r>
      <w:r w:rsidRPr="005D0B08">
        <w:rPr>
          <w:rFonts w:ascii="Calibri" w:hAnsi="Calibri"/>
          <w:i/>
          <w:iCs/>
          <w:noProof/>
          <w:sz w:val="22"/>
        </w:rPr>
        <w:t>Population Index</w:t>
      </w:r>
      <w:r w:rsidRPr="005D0B08">
        <w:rPr>
          <w:rFonts w:ascii="Calibri" w:hAnsi="Calibri"/>
          <w:noProof/>
          <w:sz w:val="22"/>
        </w:rPr>
        <w:t xml:space="preserve">, </w:t>
      </w:r>
      <w:r w:rsidRPr="005D0B08">
        <w:rPr>
          <w:rFonts w:ascii="Calibri" w:hAnsi="Calibri"/>
          <w:i/>
          <w:iCs/>
          <w:noProof/>
          <w:sz w:val="22"/>
        </w:rPr>
        <w:t>62</w:t>
      </w:r>
      <w:r w:rsidRPr="005D0B08">
        <w:rPr>
          <w:rFonts w:ascii="Calibri" w:hAnsi="Calibri"/>
          <w:noProof/>
          <w:sz w:val="22"/>
        </w:rPr>
        <w:t>(3), 397–418.</w:t>
      </w:r>
    </w:p>
    <w:p w14:paraId="188638C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Taylor, L. (2011). Environmentalism and social protest: the contemporary anti-mining mobilization in the province of San Marcos and the Condebamba Valley, Peru. </w:t>
      </w:r>
      <w:r w:rsidRPr="005D0B08">
        <w:rPr>
          <w:rFonts w:ascii="Calibri" w:hAnsi="Calibri"/>
          <w:i/>
          <w:iCs/>
          <w:noProof/>
          <w:sz w:val="22"/>
        </w:rPr>
        <w:t>Journal of Agrarian Change</w:t>
      </w:r>
      <w:r w:rsidRPr="005D0B08">
        <w:rPr>
          <w:rFonts w:ascii="Calibri" w:hAnsi="Calibri"/>
          <w:noProof/>
          <w:sz w:val="22"/>
        </w:rPr>
        <w:t xml:space="preserve">, </w:t>
      </w:r>
      <w:r w:rsidRPr="005D0B08">
        <w:rPr>
          <w:rFonts w:ascii="Calibri" w:hAnsi="Calibri"/>
          <w:i/>
          <w:iCs/>
          <w:noProof/>
          <w:sz w:val="22"/>
        </w:rPr>
        <w:t>11</w:t>
      </w:r>
      <w:r w:rsidRPr="005D0B08">
        <w:rPr>
          <w:rFonts w:ascii="Calibri" w:hAnsi="Calibri"/>
          <w:noProof/>
          <w:sz w:val="22"/>
        </w:rPr>
        <w:t>(3), 420–439.</w:t>
      </w:r>
    </w:p>
    <w:p w14:paraId="703BE8F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Temple, B., &amp; Edwards, R. (2002). Interpreters/translators and cross-language research: Reflexivity and border crossings. </w:t>
      </w:r>
      <w:r w:rsidRPr="005D0B08">
        <w:rPr>
          <w:rFonts w:ascii="Calibri" w:hAnsi="Calibri"/>
          <w:i/>
          <w:iCs/>
          <w:noProof/>
          <w:sz w:val="22"/>
        </w:rPr>
        <w:t>International Journal of Qualitative Methods</w:t>
      </w:r>
      <w:r w:rsidRPr="005D0B08">
        <w:rPr>
          <w:rFonts w:ascii="Calibri" w:hAnsi="Calibri"/>
          <w:noProof/>
          <w:sz w:val="22"/>
        </w:rPr>
        <w:t xml:space="preserve">, </w:t>
      </w:r>
      <w:r w:rsidRPr="005D0B08">
        <w:rPr>
          <w:rFonts w:ascii="Calibri" w:hAnsi="Calibri"/>
          <w:i/>
          <w:iCs/>
          <w:noProof/>
          <w:sz w:val="22"/>
        </w:rPr>
        <w:t>1</w:t>
      </w:r>
      <w:r w:rsidRPr="005D0B08">
        <w:rPr>
          <w:rFonts w:ascii="Calibri" w:hAnsi="Calibri"/>
          <w:noProof/>
          <w:sz w:val="22"/>
        </w:rPr>
        <w:t>(2), 1–12.</w:t>
      </w:r>
    </w:p>
    <w:p w14:paraId="4565BDC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TePaske, J. J., Klein, H. S., &amp; Brown, K. W. (1982). </w:t>
      </w:r>
      <w:r w:rsidRPr="005D0B08">
        <w:rPr>
          <w:rFonts w:ascii="Calibri" w:hAnsi="Calibri"/>
          <w:i/>
          <w:iCs/>
          <w:noProof/>
          <w:sz w:val="22"/>
        </w:rPr>
        <w:t>The Royal Treasuries of the Spanish Empire in America, vol. 1</w:t>
      </w:r>
      <w:r w:rsidRPr="005D0B08">
        <w:rPr>
          <w:rFonts w:ascii="Calibri" w:hAnsi="Calibri"/>
          <w:noProof/>
          <w:sz w:val="22"/>
        </w:rPr>
        <w:t>. Durham, NC: Duke University Press.</w:t>
      </w:r>
    </w:p>
    <w:p w14:paraId="6B2D3D3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Teschner, B. A. (2014). “Orpaillage pays for everything”: How artisanal mining supported rural institutions following Mali’s coup d’état. </w:t>
      </w:r>
      <w:r w:rsidRPr="005D0B08">
        <w:rPr>
          <w:rFonts w:ascii="Calibri" w:hAnsi="Calibri"/>
          <w:i/>
          <w:iCs/>
          <w:noProof/>
          <w:sz w:val="22"/>
        </w:rPr>
        <w:t>Futures</w:t>
      </w:r>
      <w:r w:rsidRPr="005D0B08">
        <w:rPr>
          <w:rFonts w:ascii="Calibri" w:hAnsi="Calibri"/>
          <w:noProof/>
          <w:sz w:val="22"/>
        </w:rPr>
        <w:t xml:space="preserve">, </w:t>
      </w:r>
      <w:r w:rsidRPr="005D0B08">
        <w:rPr>
          <w:rFonts w:ascii="Calibri" w:hAnsi="Calibri"/>
          <w:i/>
          <w:iCs/>
          <w:noProof/>
          <w:sz w:val="22"/>
        </w:rPr>
        <w:t>62</w:t>
      </w:r>
      <w:r w:rsidRPr="005D0B08">
        <w:rPr>
          <w:rFonts w:ascii="Calibri" w:hAnsi="Calibri"/>
          <w:noProof/>
          <w:sz w:val="22"/>
        </w:rPr>
        <w:t>(Part A), 140–150.</w:t>
      </w:r>
    </w:p>
    <w:p w14:paraId="4191AE2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The Economist. (2018). A warning on poverty from Peru: a setback on the long road to poverty eradication. Retrieved January 2, 2019, from https://www.economist.com/the-americas/2018/05/10/a-warning-on-poverty-from-peru</w:t>
      </w:r>
    </w:p>
    <w:p w14:paraId="0CD4273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Thieme, S, &amp; Muller-Boker, U. (2010). Social networks and migration: Women’s livelihoods between far west Nepal and Delhi. </w:t>
      </w:r>
      <w:r w:rsidRPr="005D0B08">
        <w:rPr>
          <w:rFonts w:ascii="Calibri" w:hAnsi="Calibri"/>
          <w:i/>
          <w:iCs/>
          <w:noProof/>
          <w:sz w:val="22"/>
        </w:rPr>
        <w:t>European Bulletin of Himalayan Research</w:t>
      </w:r>
      <w:r w:rsidRPr="005D0B08">
        <w:rPr>
          <w:rFonts w:ascii="Calibri" w:hAnsi="Calibri"/>
          <w:noProof/>
          <w:sz w:val="22"/>
        </w:rPr>
        <w:t xml:space="preserve">, </w:t>
      </w:r>
      <w:r w:rsidRPr="005D0B08">
        <w:rPr>
          <w:rFonts w:ascii="Calibri" w:hAnsi="Calibri"/>
          <w:i/>
          <w:iCs/>
          <w:noProof/>
          <w:sz w:val="22"/>
        </w:rPr>
        <w:t>35</w:t>
      </w:r>
      <w:r w:rsidRPr="005D0B08">
        <w:rPr>
          <w:rFonts w:ascii="Calibri" w:hAnsi="Calibri"/>
          <w:noProof/>
          <w:sz w:val="22"/>
        </w:rPr>
        <w:t>–</w:t>
      </w:r>
      <w:r w:rsidRPr="005D0B08">
        <w:rPr>
          <w:rFonts w:ascii="Calibri" w:hAnsi="Calibri"/>
          <w:i/>
          <w:iCs/>
          <w:noProof/>
          <w:sz w:val="22"/>
        </w:rPr>
        <w:t>36</w:t>
      </w:r>
      <w:r w:rsidRPr="005D0B08">
        <w:rPr>
          <w:rFonts w:ascii="Calibri" w:hAnsi="Calibri"/>
          <w:noProof/>
          <w:sz w:val="22"/>
        </w:rPr>
        <w:t>, 107–121.</w:t>
      </w:r>
    </w:p>
    <w:p w14:paraId="41F0BF7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Thieme, S, &amp; Siegmann, K. . (2010). Coping on Women’s Backs Social Capital–Vulnerability Links through a Gender Lens. </w:t>
      </w:r>
      <w:r w:rsidRPr="005D0B08">
        <w:rPr>
          <w:rFonts w:ascii="Calibri" w:hAnsi="Calibri"/>
          <w:i/>
          <w:iCs/>
          <w:noProof/>
          <w:sz w:val="22"/>
        </w:rPr>
        <w:t>Current Sociology</w:t>
      </w:r>
      <w:r w:rsidRPr="005D0B08">
        <w:rPr>
          <w:rFonts w:ascii="Calibri" w:hAnsi="Calibri"/>
          <w:noProof/>
          <w:sz w:val="22"/>
        </w:rPr>
        <w:t xml:space="preserve">, </w:t>
      </w:r>
      <w:r w:rsidRPr="005D0B08">
        <w:rPr>
          <w:rFonts w:ascii="Calibri" w:hAnsi="Calibri"/>
          <w:i/>
          <w:iCs/>
          <w:noProof/>
          <w:sz w:val="22"/>
        </w:rPr>
        <w:t>58</w:t>
      </w:r>
      <w:r w:rsidRPr="005D0B08">
        <w:rPr>
          <w:rFonts w:ascii="Calibri" w:hAnsi="Calibri"/>
          <w:noProof/>
          <w:sz w:val="22"/>
        </w:rPr>
        <w:t>(5), 715–737.</w:t>
      </w:r>
    </w:p>
    <w:p w14:paraId="4BEE46A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Thieme, Susan. (2008). Sustaining Livelihoods in Multi-local Settings: Possible Theoretical Linkages between Transnational Migration and Livelihood Studies. </w:t>
      </w:r>
      <w:r w:rsidRPr="005D0B08">
        <w:rPr>
          <w:rFonts w:ascii="Calibri" w:hAnsi="Calibri"/>
          <w:i/>
          <w:iCs/>
          <w:noProof/>
          <w:sz w:val="22"/>
        </w:rPr>
        <w:t>Mobilities</w:t>
      </w:r>
      <w:r w:rsidRPr="005D0B08">
        <w:rPr>
          <w:rFonts w:ascii="Calibri" w:hAnsi="Calibri"/>
          <w:noProof/>
          <w:sz w:val="22"/>
        </w:rPr>
        <w:t xml:space="preserve">, </w:t>
      </w:r>
      <w:r w:rsidRPr="005D0B08">
        <w:rPr>
          <w:rFonts w:ascii="Calibri" w:hAnsi="Calibri"/>
          <w:i/>
          <w:iCs/>
          <w:noProof/>
          <w:sz w:val="22"/>
        </w:rPr>
        <w:t>3</w:t>
      </w:r>
      <w:r w:rsidRPr="005D0B08">
        <w:rPr>
          <w:rFonts w:ascii="Calibri" w:hAnsi="Calibri"/>
          <w:noProof/>
          <w:sz w:val="22"/>
        </w:rPr>
        <w:t>(1), 51–71.</w:t>
      </w:r>
    </w:p>
    <w:p w14:paraId="0F19F36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Thornton, R. (2014). Zamazama, “illegal” artisanal miners, misrepresented by the South African Press and Government.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1</w:t>
      </w:r>
      <w:r w:rsidRPr="005D0B08">
        <w:rPr>
          <w:rFonts w:ascii="Calibri" w:hAnsi="Calibri"/>
          <w:noProof/>
          <w:sz w:val="22"/>
        </w:rPr>
        <w:t>(2), 127–129.</w:t>
      </w:r>
    </w:p>
    <w:p w14:paraId="719C664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Titeca, K., &amp; de Herdt, T. (2010). Regulation, Cross-border Trade and Practical Norms in West Nile, North-Western Uganda. </w:t>
      </w:r>
      <w:r w:rsidRPr="005D0B08">
        <w:rPr>
          <w:rFonts w:ascii="Calibri" w:hAnsi="Calibri"/>
          <w:i/>
          <w:iCs/>
          <w:noProof/>
          <w:sz w:val="22"/>
        </w:rPr>
        <w:t>Africa: Journal of the International African Institute</w:t>
      </w:r>
      <w:r w:rsidRPr="005D0B08">
        <w:rPr>
          <w:rFonts w:ascii="Calibri" w:hAnsi="Calibri"/>
          <w:noProof/>
          <w:sz w:val="22"/>
        </w:rPr>
        <w:t xml:space="preserve">, </w:t>
      </w:r>
      <w:r w:rsidRPr="005D0B08">
        <w:rPr>
          <w:rFonts w:ascii="Calibri" w:hAnsi="Calibri"/>
          <w:i/>
          <w:iCs/>
          <w:noProof/>
          <w:sz w:val="22"/>
        </w:rPr>
        <w:t>80</w:t>
      </w:r>
      <w:r w:rsidRPr="005D0B08">
        <w:rPr>
          <w:rFonts w:ascii="Calibri" w:hAnsi="Calibri"/>
          <w:noProof/>
          <w:sz w:val="22"/>
        </w:rPr>
        <w:t>(4), 573–594.</w:t>
      </w:r>
    </w:p>
    <w:p w14:paraId="180B944C"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Toledo Orozco, Z., &amp; Veiga, M. (2018). Locals’ attitudes toward artisanal and large-scale mining: a case study of Tambogrande, Peru.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5</w:t>
      </w:r>
      <w:r w:rsidRPr="005D0B08">
        <w:rPr>
          <w:rFonts w:ascii="Calibri" w:hAnsi="Calibri"/>
          <w:noProof/>
          <w:sz w:val="22"/>
        </w:rPr>
        <w:t>(2), 327–334.</w:t>
      </w:r>
    </w:p>
    <w:p w14:paraId="0F44E29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Trouillot, M. (2001). The Anthropology of the State in the Age of Globalization. </w:t>
      </w:r>
      <w:r w:rsidRPr="005D0B08">
        <w:rPr>
          <w:rFonts w:ascii="Calibri" w:hAnsi="Calibri"/>
          <w:i/>
          <w:iCs/>
          <w:noProof/>
          <w:sz w:val="22"/>
        </w:rPr>
        <w:t>Current Anthropology</w:t>
      </w:r>
      <w:r w:rsidRPr="005D0B08">
        <w:rPr>
          <w:rFonts w:ascii="Calibri" w:hAnsi="Calibri"/>
          <w:noProof/>
          <w:sz w:val="22"/>
        </w:rPr>
        <w:t xml:space="preserve">, </w:t>
      </w:r>
      <w:r w:rsidRPr="005D0B08">
        <w:rPr>
          <w:rFonts w:ascii="Calibri" w:hAnsi="Calibri"/>
          <w:i/>
          <w:iCs/>
          <w:noProof/>
          <w:sz w:val="22"/>
        </w:rPr>
        <w:t>42</w:t>
      </w:r>
      <w:r w:rsidRPr="005D0B08">
        <w:rPr>
          <w:rFonts w:ascii="Calibri" w:hAnsi="Calibri"/>
          <w:noProof/>
          <w:sz w:val="22"/>
        </w:rPr>
        <w:t>(1), 125-138.</w:t>
      </w:r>
    </w:p>
    <w:p w14:paraId="60B51FB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Tschakert, P. (2009). Recognizing and nurturing artisanal mining as a viable livelihood.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(1–2), 24–31.</w:t>
      </w:r>
    </w:p>
    <w:p w14:paraId="1F8F2C3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Tschakert, P., &amp; Singha, K. (2007). Contaminated identities: mercury and marginalization in Ghana’s artisanal mining sector.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38</w:t>
      </w:r>
      <w:r w:rsidRPr="005D0B08">
        <w:rPr>
          <w:rFonts w:ascii="Calibri" w:hAnsi="Calibri"/>
          <w:noProof/>
          <w:sz w:val="22"/>
        </w:rPr>
        <w:t>(6), 1304–1321.</w:t>
      </w:r>
    </w:p>
    <w:p w14:paraId="52A0074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Tubb, D. (2015). Muddy decisions: Gold in the Choco, Colombia. </w:t>
      </w:r>
      <w:r w:rsidRPr="005D0B08">
        <w:rPr>
          <w:rFonts w:ascii="Calibri" w:hAnsi="Calibri"/>
          <w:i/>
          <w:iCs/>
          <w:noProof/>
          <w:sz w:val="22"/>
        </w:rPr>
        <w:t>The Extractive Industries and Society</w:t>
      </w:r>
      <w:r w:rsidRPr="005D0B08">
        <w:rPr>
          <w:rFonts w:ascii="Calibri" w:hAnsi="Calibri"/>
          <w:noProof/>
          <w:sz w:val="22"/>
        </w:rPr>
        <w:t xml:space="preserve">, </w:t>
      </w:r>
      <w:r w:rsidRPr="005D0B08">
        <w:rPr>
          <w:rFonts w:ascii="Calibri" w:hAnsi="Calibri"/>
          <w:i/>
          <w:iCs/>
          <w:noProof/>
          <w:sz w:val="22"/>
        </w:rPr>
        <w:t>2</w:t>
      </w:r>
      <w:r w:rsidRPr="005D0B08">
        <w:rPr>
          <w:rFonts w:ascii="Calibri" w:hAnsi="Calibri"/>
          <w:noProof/>
          <w:sz w:val="22"/>
        </w:rPr>
        <w:t>(4), 722–733.</w:t>
      </w:r>
    </w:p>
    <w:p w14:paraId="6045268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Turner, R. H. (1978). Deviance avowal as neutralization of commitment. </w:t>
      </w:r>
      <w:r w:rsidRPr="005D0B08">
        <w:rPr>
          <w:rFonts w:ascii="Calibri" w:hAnsi="Calibri"/>
          <w:i/>
          <w:iCs/>
          <w:noProof/>
          <w:sz w:val="22"/>
        </w:rPr>
        <w:t>Social Problems</w:t>
      </w:r>
      <w:r w:rsidRPr="005D0B08">
        <w:rPr>
          <w:rFonts w:ascii="Calibri" w:hAnsi="Calibri"/>
          <w:noProof/>
          <w:sz w:val="22"/>
        </w:rPr>
        <w:t xml:space="preserve">, </w:t>
      </w:r>
      <w:r w:rsidRPr="005D0B08">
        <w:rPr>
          <w:rFonts w:ascii="Calibri" w:hAnsi="Calibri"/>
          <w:i/>
          <w:iCs/>
          <w:noProof/>
          <w:sz w:val="22"/>
        </w:rPr>
        <w:t>19</w:t>
      </w:r>
      <w:r w:rsidRPr="005D0B08">
        <w:rPr>
          <w:rFonts w:ascii="Calibri" w:hAnsi="Calibri"/>
          <w:noProof/>
          <w:sz w:val="22"/>
        </w:rPr>
        <w:t>(3), 308–</w:t>
      </w:r>
      <w:r w:rsidRPr="005D0B08">
        <w:rPr>
          <w:rFonts w:ascii="Calibri" w:hAnsi="Calibri"/>
          <w:noProof/>
          <w:sz w:val="22"/>
        </w:rPr>
        <w:lastRenderedPageBreak/>
        <w:t>321.</w:t>
      </w:r>
    </w:p>
    <w:p w14:paraId="57E5130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Turner, S. (2010). Research Note: The silenced assistant. Reflections of invisible interpreters and research assistants. </w:t>
      </w:r>
      <w:r w:rsidRPr="005D0B08">
        <w:rPr>
          <w:rFonts w:ascii="Calibri" w:hAnsi="Calibri"/>
          <w:i/>
          <w:iCs/>
          <w:noProof/>
          <w:sz w:val="22"/>
        </w:rPr>
        <w:t>Asia Pacific Viewpoint</w:t>
      </w:r>
      <w:r w:rsidRPr="005D0B08">
        <w:rPr>
          <w:rFonts w:ascii="Calibri" w:hAnsi="Calibri"/>
          <w:noProof/>
          <w:sz w:val="22"/>
        </w:rPr>
        <w:t xml:space="preserve">, </w:t>
      </w:r>
      <w:r w:rsidRPr="005D0B08">
        <w:rPr>
          <w:rFonts w:ascii="Calibri" w:hAnsi="Calibri"/>
          <w:i/>
          <w:iCs/>
          <w:noProof/>
          <w:sz w:val="22"/>
        </w:rPr>
        <w:t>51</w:t>
      </w:r>
      <w:r w:rsidRPr="005D0B08">
        <w:rPr>
          <w:rFonts w:ascii="Calibri" w:hAnsi="Calibri"/>
          <w:noProof/>
          <w:sz w:val="22"/>
        </w:rPr>
        <w:t>(2), 206–219.</w:t>
      </w:r>
    </w:p>
    <w:p w14:paraId="0A175CD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Urkidi, L., &amp; Walter, M. (2011). Dimensions of environmental justice in anti-gold mining movements in Latin America.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42</w:t>
      </w:r>
      <w:r w:rsidRPr="005D0B08">
        <w:rPr>
          <w:rFonts w:ascii="Calibri" w:hAnsi="Calibri"/>
          <w:noProof/>
          <w:sz w:val="22"/>
        </w:rPr>
        <w:t>(6), 683–695.</w:t>
      </w:r>
    </w:p>
    <w:p w14:paraId="3D517C8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USAID. (2005). </w:t>
      </w:r>
      <w:r w:rsidRPr="005D0B08">
        <w:rPr>
          <w:rFonts w:ascii="Calibri" w:hAnsi="Calibri"/>
          <w:i/>
          <w:iCs/>
          <w:noProof/>
          <w:sz w:val="22"/>
        </w:rPr>
        <w:t>Minerals and conflict: A toolkit for intervention. Office of Conflict Management and Mitigation</w:t>
      </w:r>
      <w:r w:rsidRPr="005D0B08">
        <w:rPr>
          <w:rFonts w:ascii="Calibri" w:hAnsi="Calibri"/>
          <w:noProof/>
          <w:sz w:val="22"/>
        </w:rPr>
        <w:t>. Washington, DC.</w:t>
      </w:r>
    </w:p>
    <w:p w14:paraId="7A22E10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Valdivia, C., Gilles, J. L., &amp; Turin, C. (2013). Andean pastoral women in a changing world: opportunities and challenges. </w:t>
      </w:r>
      <w:r w:rsidRPr="005D0B08">
        <w:rPr>
          <w:rFonts w:ascii="Calibri" w:hAnsi="Calibri"/>
          <w:i/>
          <w:iCs/>
          <w:noProof/>
          <w:sz w:val="22"/>
        </w:rPr>
        <w:t>Rangelands</w:t>
      </w:r>
      <w:r w:rsidRPr="005D0B08">
        <w:rPr>
          <w:rFonts w:ascii="Calibri" w:hAnsi="Calibri"/>
          <w:noProof/>
          <w:sz w:val="22"/>
        </w:rPr>
        <w:t xml:space="preserve">, </w:t>
      </w:r>
      <w:r w:rsidRPr="005D0B08">
        <w:rPr>
          <w:rFonts w:ascii="Calibri" w:hAnsi="Calibri"/>
          <w:i/>
          <w:iCs/>
          <w:noProof/>
          <w:sz w:val="22"/>
        </w:rPr>
        <w:t>35</w:t>
      </w:r>
      <w:r w:rsidRPr="005D0B08">
        <w:rPr>
          <w:rFonts w:ascii="Calibri" w:hAnsi="Calibri"/>
          <w:noProof/>
          <w:sz w:val="22"/>
        </w:rPr>
        <w:t>(6), 75–81.</w:t>
      </w:r>
    </w:p>
    <w:p w14:paraId="27203DF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Van Bockstael, S. (2014). The persistence of informality: perspectives on the future of artisanal mining in Liberia. </w:t>
      </w:r>
      <w:r w:rsidRPr="005D0B08">
        <w:rPr>
          <w:rFonts w:ascii="Calibri" w:hAnsi="Calibri"/>
          <w:i/>
          <w:iCs/>
          <w:noProof/>
          <w:sz w:val="22"/>
        </w:rPr>
        <w:t>Futures</w:t>
      </w:r>
      <w:r w:rsidRPr="005D0B08">
        <w:rPr>
          <w:rFonts w:ascii="Calibri" w:hAnsi="Calibri"/>
          <w:noProof/>
          <w:sz w:val="22"/>
        </w:rPr>
        <w:t xml:space="preserve">, </w:t>
      </w:r>
      <w:r w:rsidRPr="005D0B08">
        <w:rPr>
          <w:rFonts w:ascii="Calibri" w:hAnsi="Calibri"/>
          <w:i/>
          <w:iCs/>
          <w:noProof/>
          <w:sz w:val="22"/>
        </w:rPr>
        <w:t>62</w:t>
      </w:r>
      <w:r w:rsidRPr="005D0B08">
        <w:rPr>
          <w:rFonts w:ascii="Calibri" w:hAnsi="Calibri"/>
          <w:noProof/>
          <w:sz w:val="22"/>
        </w:rPr>
        <w:t>(Part A), 10–20.</w:t>
      </w:r>
    </w:p>
    <w:p w14:paraId="1AF5CDA0"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van Dijk, T. (2011). Livelihoods, capitals and livelihood trajectories: a more sociological conceptualisation. </w:t>
      </w:r>
      <w:r w:rsidRPr="005D0B08">
        <w:rPr>
          <w:rFonts w:ascii="Calibri" w:hAnsi="Calibri"/>
          <w:i/>
          <w:iCs/>
          <w:noProof/>
          <w:sz w:val="22"/>
        </w:rPr>
        <w:t>Progress in Development Studies</w:t>
      </w:r>
      <w:r w:rsidRPr="005D0B08">
        <w:rPr>
          <w:rFonts w:ascii="Calibri" w:hAnsi="Calibri"/>
          <w:noProof/>
          <w:sz w:val="22"/>
        </w:rPr>
        <w:t xml:space="preserve">, </w:t>
      </w:r>
      <w:r w:rsidRPr="005D0B08">
        <w:rPr>
          <w:rFonts w:ascii="Calibri" w:hAnsi="Calibri"/>
          <w:i/>
          <w:iCs/>
          <w:noProof/>
          <w:sz w:val="22"/>
        </w:rPr>
        <w:t>11</w:t>
      </w:r>
      <w:r w:rsidRPr="005D0B08">
        <w:rPr>
          <w:rFonts w:ascii="Calibri" w:hAnsi="Calibri"/>
          <w:noProof/>
          <w:sz w:val="22"/>
        </w:rPr>
        <w:t>(2), 101–117.</w:t>
      </w:r>
    </w:p>
    <w:p w14:paraId="62DE42F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van Dun, M. (2012). The drugs industry and peasant self-defence in a Peruvian cocaine enclave. </w:t>
      </w:r>
      <w:r w:rsidRPr="005D0B08">
        <w:rPr>
          <w:rFonts w:ascii="Calibri" w:hAnsi="Calibri"/>
          <w:i/>
          <w:iCs/>
          <w:noProof/>
          <w:sz w:val="22"/>
        </w:rPr>
        <w:t>International Journal of Drug Policy</w:t>
      </w:r>
      <w:r w:rsidRPr="005D0B08">
        <w:rPr>
          <w:rFonts w:ascii="Calibri" w:hAnsi="Calibri"/>
          <w:noProof/>
          <w:sz w:val="22"/>
        </w:rPr>
        <w:t xml:space="preserve">, </w:t>
      </w:r>
      <w:r w:rsidRPr="005D0B08">
        <w:rPr>
          <w:rFonts w:ascii="Calibri" w:hAnsi="Calibri"/>
          <w:i/>
          <w:iCs/>
          <w:noProof/>
          <w:sz w:val="22"/>
        </w:rPr>
        <w:t>23</w:t>
      </w:r>
      <w:r w:rsidRPr="005D0B08">
        <w:rPr>
          <w:rFonts w:ascii="Calibri" w:hAnsi="Calibri"/>
          <w:noProof/>
          <w:sz w:val="22"/>
        </w:rPr>
        <w:t>(6), 442–448.</w:t>
      </w:r>
    </w:p>
    <w:p w14:paraId="03BD229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Veiga, M., &amp; Beinhoff, C. (1997). UNECA Centres: A way to reduce mercury emissions from artisanal gold mining and provide badly needed training. </w:t>
      </w:r>
      <w:r w:rsidRPr="005D0B08">
        <w:rPr>
          <w:rFonts w:ascii="Calibri" w:hAnsi="Calibri"/>
          <w:i/>
          <w:iCs/>
          <w:noProof/>
          <w:sz w:val="22"/>
        </w:rPr>
        <w:t>Industry and Environment</w:t>
      </w:r>
      <w:r w:rsidRPr="005D0B08">
        <w:rPr>
          <w:rFonts w:ascii="Calibri" w:hAnsi="Calibri"/>
          <w:noProof/>
          <w:sz w:val="22"/>
        </w:rPr>
        <w:t xml:space="preserve">, </w:t>
      </w:r>
      <w:r w:rsidRPr="005D0B08">
        <w:rPr>
          <w:rFonts w:ascii="Calibri" w:hAnsi="Calibri"/>
          <w:i/>
          <w:iCs/>
          <w:noProof/>
          <w:sz w:val="22"/>
        </w:rPr>
        <w:t>20</w:t>
      </w:r>
      <w:r w:rsidRPr="005D0B08">
        <w:rPr>
          <w:rFonts w:ascii="Calibri" w:hAnsi="Calibri"/>
          <w:noProof/>
          <w:sz w:val="22"/>
        </w:rPr>
        <w:t>(4), 49–51.</w:t>
      </w:r>
    </w:p>
    <w:p w14:paraId="09E5525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Velayutham, S., &amp; Wise, A. (2005). Moral economies of a translocal village: obligation and shame among South Indian transnational migrants. </w:t>
      </w:r>
      <w:r w:rsidRPr="005D0B08">
        <w:rPr>
          <w:rFonts w:ascii="Calibri" w:hAnsi="Calibri"/>
          <w:i/>
          <w:iCs/>
          <w:noProof/>
          <w:sz w:val="22"/>
        </w:rPr>
        <w:t>Global Networks</w:t>
      </w:r>
      <w:r w:rsidRPr="005D0B08">
        <w:rPr>
          <w:rFonts w:ascii="Calibri" w:hAnsi="Calibri"/>
          <w:noProof/>
          <w:sz w:val="22"/>
        </w:rPr>
        <w:t xml:space="preserve">, </w:t>
      </w:r>
      <w:r w:rsidRPr="005D0B08">
        <w:rPr>
          <w:rFonts w:ascii="Calibri" w:hAnsi="Calibri"/>
          <w:i/>
          <w:iCs/>
          <w:noProof/>
          <w:sz w:val="22"/>
        </w:rPr>
        <w:t>5</w:t>
      </w:r>
      <w:r w:rsidRPr="005D0B08">
        <w:rPr>
          <w:rFonts w:ascii="Calibri" w:hAnsi="Calibri"/>
          <w:noProof/>
          <w:sz w:val="22"/>
        </w:rPr>
        <w:t>(1), 22–47.</w:t>
      </w:r>
    </w:p>
    <w:p w14:paraId="3D95097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Vélez-Torres, I. (2016). Disputes over gold mining and dispossession of local afrodescendant communities from the Alto Cauca, Colombia. </w:t>
      </w:r>
      <w:r w:rsidRPr="005D0B08">
        <w:rPr>
          <w:rFonts w:ascii="Calibri" w:hAnsi="Calibri"/>
          <w:i/>
          <w:iCs/>
          <w:noProof/>
          <w:sz w:val="22"/>
        </w:rPr>
        <w:t>Third World Thematics: A TWQ Journal</w:t>
      </w:r>
      <w:r w:rsidRPr="005D0B08">
        <w:rPr>
          <w:rFonts w:ascii="Calibri" w:hAnsi="Calibri"/>
          <w:noProof/>
          <w:sz w:val="22"/>
        </w:rPr>
        <w:t xml:space="preserve">, </w:t>
      </w:r>
      <w:r w:rsidRPr="005D0B08">
        <w:rPr>
          <w:rFonts w:ascii="Calibri" w:hAnsi="Calibri"/>
          <w:i/>
          <w:iCs/>
          <w:noProof/>
          <w:sz w:val="22"/>
        </w:rPr>
        <w:t>1</w:t>
      </w:r>
      <w:r w:rsidRPr="005D0B08">
        <w:rPr>
          <w:rFonts w:ascii="Calibri" w:hAnsi="Calibri"/>
          <w:noProof/>
          <w:sz w:val="22"/>
        </w:rPr>
        <w:t>(2), 235–248.</w:t>
      </w:r>
    </w:p>
    <w:p w14:paraId="1998A14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Vélez-Torres, I., &amp; Agergaard, J. (2014). An alternative approach to the dominant narratives on ‘displacement’ in Colombia.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53</w:t>
      </w:r>
      <w:r w:rsidRPr="005D0B08">
        <w:rPr>
          <w:rFonts w:ascii="Calibri" w:hAnsi="Calibri"/>
          <w:noProof/>
          <w:sz w:val="22"/>
        </w:rPr>
        <w:t>, 116–125.</w:t>
      </w:r>
    </w:p>
    <w:p w14:paraId="0F6FD71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Verbrugge, B. (2014). Capital interests: a historical analysis of the transformation of small-scale gold mining in Compostela Valley province, Southern Philippines.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1</w:t>
      </w:r>
      <w:r w:rsidRPr="005D0B08">
        <w:rPr>
          <w:rFonts w:ascii="Calibri" w:hAnsi="Calibri"/>
          <w:noProof/>
          <w:sz w:val="22"/>
        </w:rPr>
        <w:t>(1), 86–95.</w:t>
      </w:r>
    </w:p>
    <w:p w14:paraId="509C67D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Verbrugge, B. (2015). The economic logic of persistent informality: artisanal and small-scale mining in the Southern Philippines. </w:t>
      </w:r>
      <w:r w:rsidRPr="005D0B08">
        <w:rPr>
          <w:rFonts w:ascii="Calibri" w:hAnsi="Calibri"/>
          <w:i/>
          <w:iCs/>
          <w:noProof/>
          <w:sz w:val="22"/>
        </w:rPr>
        <w:t>Development and Change</w:t>
      </w:r>
      <w:r w:rsidRPr="005D0B08">
        <w:rPr>
          <w:rFonts w:ascii="Calibri" w:hAnsi="Calibri"/>
          <w:noProof/>
          <w:sz w:val="22"/>
        </w:rPr>
        <w:t xml:space="preserve">, </w:t>
      </w:r>
      <w:r w:rsidRPr="005D0B08">
        <w:rPr>
          <w:rFonts w:ascii="Calibri" w:hAnsi="Calibri"/>
          <w:i/>
          <w:iCs/>
          <w:noProof/>
          <w:sz w:val="22"/>
        </w:rPr>
        <w:t>46</w:t>
      </w:r>
      <w:r w:rsidRPr="005D0B08">
        <w:rPr>
          <w:rFonts w:ascii="Calibri" w:hAnsi="Calibri"/>
          <w:noProof/>
          <w:sz w:val="22"/>
        </w:rPr>
        <w:t>(5), 1023–1046.</w:t>
      </w:r>
    </w:p>
    <w:p w14:paraId="1B47DFE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Verbrugge, B. (2016). Voices from below: Artisanal- and small-scale mining as a product and catalyst of rural transformation. </w:t>
      </w:r>
      <w:r w:rsidRPr="005D0B08">
        <w:rPr>
          <w:rFonts w:ascii="Calibri" w:hAnsi="Calibri"/>
          <w:i/>
          <w:iCs/>
          <w:noProof/>
          <w:sz w:val="22"/>
        </w:rPr>
        <w:t>Journal of Rural Studies</w:t>
      </w:r>
      <w:r w:rsidRPr="005D0B08">
        <w:rPr>
          <w:rFonts w:ascii="Calibri" w:hAnsi="Calibri"/>
          <w:noProof/>
          <w:sz w:val="22"/>
        </w:rPr>
        <w:t xml:space="preserve">, </w:t>
      </w:r>
      <w:r w:rsidRPr="005D0B08">
        <w:rPr>
          <w:rFonts w:ascii="Calibri" w:hAnsi="Calibri"/>
          <w:i/>
          <w:iCs/>
          <w:noProof/>
          <w:sz w:val="22"/>
        </w:rPr>
        <w:t>47</w:t>
      </w:r>
      <w:r w:rsidRPr="005D0B08">
        <w:rPr>
          <w:rFonts w:ascii="Calibri" w:hAnsi="Calibri"/>
          <w:noProof/>
          <w:sz w:val="22"/>
        </w:rPr>
        <w:t>(Part A), 108–116.</w:t>
      </w:r>
    </w:p>
    <w:p w14:paraId="2F6530A7" w14:textId="07D0C410"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Verbrugge, B. (2017). Towards a negotiated solution to conflicts between large-scale and small-scale miners? The Acupan contract mining project in the Philippines. </w:t>
      </w:r>
      <w:r w:rsidRPr="005D0B08">
        <w:rPr>
          <w:rFonts w:ascii="Calibri" w:hAnsi="Calibri"/>
          <w:i/>
          <w:iCs/>
          <w:noProof/>
          <w:sz w:val="22"/>
        </w:rPr>
        <w:t>Extractive Industries and Society</w:t>
      </w:r>
      <w:r w:rsidRPr="005D0B08">
        <w:rPr>
          <w:rFonts w:ascii="Calibri" w:hAnsi="Calibri"/>
          <w:noProof/>
          <w:sz w:val="22"/>
        </w:rPr>
        <w:t xml:space="preserve">, </w:t>
      </w:r>
      <w:r w:rsidRPr="005D0B08">
        <w:rPr>
          <w:rFonts w:ascii="Calibri" w:hAnsi="Calibri"/>
          <w:i/>
          <w:iCs/>
          <w:noProof/>
          <w:sz w:val="22"/>
        </w:rPr>
        <w:t>4</w:t>
      </w:r>
      <w:r w:rsidRPr="005D0B08">
        <w:rPr>
          <w:rFonts w:ascii="Calibri" w:hAnsi="Calibri"/>
          <w:noProof/>
          <w:sz w:val="22"/>
        </w:rPr>
        <w:t xml:space="preserve">(2), 352–360. </w:t>
      </w:r>
    </w:p>
    <w:p w14:paraId="5808560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lastRenderedPageBreak/>
        <w:t xml:space="preserve">Verbrugge, B., &amp; Besmanos, B. (2016). Formalizing artisanal and small-scale mining: Whither the workforce?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47</w:t>
      </w:r>
      <w:r w:rsidRPr="005D0B08">
        <w:rPr>
          <w:rFonts w:ascii="Calibri" w:hAnsi="Calibri"/>
          <w:noProof/>
          <w:sz w:val="22"/>
        </w:rPr>
        <w:t>(3), 134–141.</w:t>
      </w:r>
    </w:p>
    <w:p w14:paraId="52DA135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Verité. (2016). </w:t>
      </w:r>
      <w:r w:rsidRPr="005D0B08">
        <w:rPr>
          <w:rFonts w:ascii="Calibri" w:hAnsi="Calibri"/>
          <w:i/>
          <w:iCs/>
          <w:noProof/>
          <w:sz w:val="22"/>
        </w:rPr>
        <w:t>The Nexus of Illegal Gold Mining and Human Trafficking in Global Supply Chains: Lessons from Latin America</w:t>
      </w:r>
      <w:r w:rsidRPr="005D0B08">
        <w:rPr>
          <w:rFonts w:ascii="Calibri" w:hAnsi="Calibri"/>
          <w:noProof/>
          <w:sz w:val="22"/>
        </w:rPr>
        <w:t>. Amherst, MA.</w:t>
      </w:r>
    </w:p>
    <w:p w14:paraId="132458DB"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Vertovec, S. (2003). Migrant transnationalism and modes of tranformation. In </w:t>
      </w:r>
      <w:r w:rsidRPr="005D0B08">
        <w:rPr>
          <w:rFonts w:ascii="Calibri" w:hAnsi="Calibri"/>
          <w:i/>
          <w:iCs/>
          <w:noProof/>
          <w:sz w:val="22"/>
        </w:rPr>
        <w:t>Social Science Research Council/International Migration Review Conference on Conceptual and Methodological Developments in the Study of International Migration</w:t>
      </w:r>
      <w:r w:rsidRPr="005D0B08">
        <w:rPr>
          <w:rFonts w:ascii="Calibri" w:hAnsi="Calibri"/>
          <w:noProof/>
          <w:sz w:val="22"/>
        </w:rPr>
        <w:t>. Princeton University.</w:t>
      </w:r>
    </w:p>
    <w:p w14:paraId="74718D2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Viale, C., &amp; Monge, C. (2012). La endermedad chola. </w:t>
      </w:r>
      <w:r w:rsidRPr="005D0B08">
        <w:rPr>
          <w:rFonts w:ascii="Calibri" w:hAnsi="Calibri"/>
          <w:i/>
          <w:iCs/>
          <w:noProof/>
          <w:sz w:val="22"/>
        </w:rPr>
        <w:t>Quehacer</w:t>
      </w:r>
      <w:r w:rsidRPr="005D0B08">
        <w:rPr>
          <w:rFonts w:ascii="Calibri" w:hAnsi="Calibri"/>
          <w:noProof/>
          <w:sz w:val="22"/>
        </w:rPr>
        <w:t xml:space="preserve">, </w:t>
      </w:r>
      <w:r w:rsidRPr="005D0B08">
        <w:rPr>
          <w:rFonts w:ascii="Calibri" w:hAnsi="Calibri"/>
          <w:i/>
          <w:iCs/>
          <w:noProof/>
          <w:sz w:val="22"/>
        </w:rPr>
        <w:t>185</w:t>
      </w:r>
      <w:r w:rsidRPr="005D0B08">
        <w:rPr>
          <w:rFonts w:ascii="Calibri" w:hAnsi="Calibri"/>
          <w:noProof/>
          <w:sz w:val="22"/>
        </w:rPr>
        <w:t>, 80–85.</w:t>
      </w:r>
    </w:p>
    <w:p w14:paraId="4340982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Vincent, S. (2012a). Community, comunidad, collectives and neoliberal political decentralization in Peru. </w:t>
      </w:r>
      <w:r w:rsidRPr="005D0B08">
        <w:rPr>
          <w:rFonts w:ascii="Calibri" w:hAnsi="Calibri"/>
          <w:i/>
          <w:iCs/>
          <w:noProof/>
          <w:sz w:val="22"/>
        </w:rPr>
        <w:t>Anthropologica</w:t>
      </w:r>
      <w:r w:rsidRPr="005D0B08">
        <w:rPr>
          <w:rFonts w:ascii="Calibri" w:hAnsi="Calibri"/>
          <w:noProof/>
          <w:sz w:val="22"/>
        </w:rPr>
        <w:t>.</w:t>
      </w:r>
    </w:p>
    <w:p w14:paraId="20194C83"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Vincent, S. (2012b). </w:t>
      </w:r>
      <w:r w:rsidRPr="005D0B08">
        <w:rPr>
          <w:rFonts w:ascii="Calibri" w:hAnsi="Calibri"/>
          <w:i/>
          <w:iCs/>
          <w:noProof/>
          <w:sz w:val="22"/>
        </w:rPr>
        <w:t>Dimensions of Development: History, Community and change in Allpachico, Peru</w:t>
      </w:r>
      <w:r w:rsidRPr="005D0B08">
        <w:rPr>
          <w:rFonts w:ascii="Calibri" w:hAnsi="Calibri"/>
          <w:noProof/>
          <w:sz w:val="22"/>
        </w:rPr>
        <w:t>. Toronto: University of Toronto Press.</w:t>
      </w:r>
    </w:p>
    <w:p w14:paraId="0598F03F"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Wallerstein, I. (1974). </w:t>
      </w:r>
      <w:r w:rsidRPr="005D0B08">
        <w:rPr>
          <w:rFonts w:ascii="Calibri" w:hAnsi="Calibri"/>
          <w:i/>
          <w:iCs/>
          <w:noProof/>
          <w:sz w:val="22"/>
        </w:rPr>
        <w:t>The Modern World System</w:t>
      </w:r>
      <w:r w:rsidRPr="005D0B08">
        <w:rPr>
          <w:rFonts w:ascii="Calibri" w:hAnsi="Calibri"/>
          <w:noProof/>
          <w:sz w:val="22"/>
        </w:rPr>
        <w:t>. New York, NY: Academic Press.</w:t>
      </w:r>
    </w:p>
    <w:p w14:paraId="57454C4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Walsh, A. (2003). "Hot money” and daring consumption in a northern Malagasy mining town. </w:t>
      </w:r>
      <w:r w:rsidRPr="005D0B08">
        <w:rPr>
          <w:rFonts w:ascii="Calibri" w:hAnsi="Calibri"/>
          <w:i/>
          <w:iCs/>
          <w:noProof/>
          <w:sz w:val="22"/>
        </w:rPr>
        <w:t>American Ethnologist</w:t>
      </w:r>
      <w:r w:rsidRPr="005D0B08">
        <w:rPr>
          <w:rFonts w:ascii="Calibri" w:hAnsi="Calibri"/>
          <w:noProof/>
          <w:sz w:val="22"/>
        </w:rPr>
        <w:t xml:space="preserve">, </w:t>
      </w:r>
      <w:r w:rsidRPr="005D0B08">
        <w:rPr>
          <w:rFonts w:ascii="Calibri" w:hAnsi="Calibri"/>
          <w:i/>
          <w:iCs/>
          <w:noProof/>
          <w:sz w:val="22"/>
        </w:rPr>
        <w:t>30</w:t>
      </w:r>
      <w:r w:rsidRPr="005D0B08">
        <w:rPr>
          <w:rFonts w:ascii="Calibri" w:hAnsi="Calibri"/>
          <w:noProof/>
          <w:sz w:val="22"/>
        </w:rPr>
        <w:t>(2), 290–305.</w:t>
      </w:r>
    </w:p>
    <w:p w14:paraId="188BD36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Walsh, A. (2005). The obvious aspects of ecological underprivilege in Ankarana, northern Madagascar. </w:t>
      </w:r>
      <w:r w:rsidRPr="005D0B08">
        <w:rPr>
          <w:rFonts w:ascii="Calibri" w:hAnsi="Calibri"/>
          <w:i/>
          <w:iCs/>
          <w:noProof/>
          <w:sz w:val="22"/>
        </w:rPr>
        <w:t>American Anthropologist</w:t>
      </w:r>
      <w:r w:rsidRPr="005D0B08">
        <w:rPr>
          <w:rFonts w:ascii="Calibri" w:hAnsi="Calibri"/>
          <w:noProof/>
          <w:sz w:val="22"/>
        </w:rPr>
        <w:t xml:space="preserve">, </w:t>
      </w:r>
      <w:r w:rsidRPr="005D0B08">
        <w:rPr>
          <w:rFonts w:ascii="Calibri" w:hAnsi="Calibri"/>
          <w:i/>
          <w:iCs/>
          <w:noProof/>
          <w:sz w:val="22"/>
        </w:rPr>
        <w:t>107</w:t>
      </w:r>
      <w:r w:rsidRPr="005D0B08">
        <w:rPr>
          <w:rFonts w:ascii="Calibri" w:hAnsi="Calibri"/>
          <w:noProof/>
          <w:sz w:val="22"/>
        </w:rPr>
        <w:t>(4), 654–665.</w:t>
      </w:r>
    </w:p>
    <w:p w14:paraId="473AC6B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Walsh, A. (2012). After the rush: living with uncertainty in a Malagasy rural town, Africa. </w:t>
      </w:r>
      <w:r w:rsidRPr="005D0B08">
        <w:rPr>
          <w:rFonts w:ascii="Calibri" w:hAnsi="Calibri"/>
          <w:i/>
          <w:iCs/>
          <w:noProof/>
          <w:sz w:val="22"/>
        </w:rPr>
        <w:t>Africa: The Journal of the International African Institute</w:t>
      </w:r>
      <w:r w:rsidRPr="005D0B08">
        <w:rPr>
          <w:rFonts w:ascii="Calibri" w:hAnsi="Calibri"/>
          <w:noProof/>
          <w:sz w:val="22"/>
        </w:rPr>
        <w:t xml:space="preserve">, </w:t>
      </w:r>
      <w:r w:rsidRPr="005D0B08">
        <w:rPr>
          <w:rFonts w:ascii="Calibri" w:hAnsi="Calibri"/>
          <w:i/>
          <w:iCs/>
          <w:noProof/>
          <w:sz w:val="22"/>
        </w:rPr>
        <w:t>82</w:t>
      </w:r>
      <w:r w:rsidRPr="005D0B08">
        <w:rPr>
          <w:rFonts w:ascii="Calibri" w:hAnsi="Calibri"/>
          <w:noProof/>
          <w:sz w:val="22"/>
        </w:rPr>
        <w:t>(2), 235–251.</w:t>
      </w:r>
    </w:p>
    <w:p w14:paraId="34E5B38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Walsh, A. (2015). Lost and/or left behind in a Malagasy outpost of the “underworld of gemstones.” </w:t>
      </w:r>
      <w:r w:rsidRPr="005D0B08">
        <w:rPr>
          <w:rFonts w:ascii="Calibri" w:hAnsi="Calibri"/>
          <w:i/>
          <w:iCs/>
          <w:noProof/>
          <w:sz w:val="22"/>
        </w:rPr>
        <w:t>Critique of Anthropology</w:t>
      </w:r>
      <w:r w:rsidRPr="005D0B08">
        <w:rPr>
          <w:rFonts w:ascii="Calibri" w:hAnsi="Calibri"/>
          <w:noProof/>
          <w:sz w:val="22"/>
        </w:rPr>
        <w:t xml:space="preserve">, </w:t>
      </w:r>
      <w:r w:rsidRPr="005D0B08">
        <w:rPr>
          <w:rFonts w:ascii="Calibri" w:hAnsi="Calibri"/>
          <w:i/>
          <w:iCs/>
          <w:noProof/>
          <w:sz w:val="22"/>
        </w:rPr>
        <w:t>82</w:t>
      </w:r>
      <w:r w:rsidRPr="005D0B08">
        <w:rPr>
          <w:rFonts w:ascii="Calibri" w:hAnsi="Calibri"/>
          <w:noProof/>
          <w:sz w:val="22"/>
        </w:rPr>
        <w:t>(2), 235–251.</w:t>
      </w:r>
    </w:p>
    <w:p w14:paraId="6B24BDC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Walter, M., &amp; Urkidi, L. (2017). Community mining consultations in Latin America (2002–2012): The contested emergence of a hybrid institution for participation.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84</w:t>
      </w:r>
      <w:r w:rsidRPr="005D0B08">
        <w:rPr>
          <w:rFonts w:ascii="Calibri" w:hAnsi="Calibri"/>
          <w:noProof/>
          <w:sz w:val="22"/>
        </w:rPr>
        <w:t>, 265–279.</w:t>
      </w:r>
    </w:p>
    <w:p w14:paraId="7B91213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Warner, K., Ehrhart, C., Sherbinin, A. de, Adamo, S., &amp; Chai-Onn, T. (2009). </w:t>
      </w:r>
      <w:r w:rsidRPr="005D0B08">
        <w:rPr>
          <w:rFonts w:ascii="Calibri" w:hAnsi="Calibri"/>
          <w:i/>
          <w:iCs/>
          <w:noProof/>
          <w:sz w:val="22"/>
        </w:rPr>
        <w:t>In Search of Shelter: Mapping the Effects of Climte Chage on Human Migration and Displacement</w:t>
      </w:r>
      <w:r w:rsidRPr="005D0B08">
        <w:rPr>
          <w:rFonts w:ascii="Calibri" w:hAnsi="Calibri"/>
          <w:noProof/>
          <w:sz w:val="22"/>
        </w:rPr>
        <w:t>. Chatelaie, Switzerland.</w:t>
      </w:r>
    </w:p>
    <w:p w14:paraId="09B3C4CD"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Warren, C. (1988). </w:t>
      </w:r>
      <w:r w:rsidRPr="005D0B08">
        <w:rPr>
          <w:rFonts w:ascii="Calibri" w:hAnsi="Calibri"/>
          <w:i/>
          <w:iCs/>
          <w:noProof/>
          <w:sz w:val="22"/>
        </w:rPr>
        <w:t>Gender Issues in Field Research</w:t>
      </w:r>
      <w:r w:rsidRPr="005D0B08">
        <w:rPr>
          <w:rFonts w:ascii="Calibri" w:hAnsi="Calibri"/>
          <w:noProof/>
          <w:sz w:val="22"/>
        </w:rPr>
        <w:t>. Newbury, UK: Sage Publications Ltd.</w:t>
      </w:r>
    </w:p>
    <w:p w14:paraId="50919828"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Webb, R., &amp; Fernández-Baca, G. (1993). </w:t>
      </w:r>
      <w:r w:rsidRPr="005D0B08">
        <w:rPr>
          <w:rFonts w:ascii="Calibri" w:hAnsi="Calibri"/>
          <w:i/>
          <w:iCs/>
          <w:noProof/>
          <w:sz w:val="22"/>
        </w:rPr>
        <w:t>Peru en Numeros</w:t>
      </w:r>
      <w:r w:rsidRPr="005D0B08">
        <w:rPr>
          <w:rFonts w:ascii="Calibri" w:hAnsi="Calibri"/>
          <w:noProof/>
          <w:sz w:val="22"/>
        </w:rPr>
        <w:t>. Lima, Peru: Instituto Cuanto.</w:t>
      </w:r>
    </w:p>
    <w:p w14:paraId="7C870C6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Weisse, M., &amp; Naughton-Treves, L. (2016). Conservation beyond park boundaries: the impact of buffer zones on deforestation and mining concessions in the Peruvian Amazon. </w:t>
      </w:r>
      <w:r w:rsidRPr="005D0B08">
        <w:rPr>
          <w:rFonts w:ascii="Calibri" w:hAnsi="Calibri"/>
          <w:i/>
          <w:iCs/>
          <w:noProof/>
          <w:sz w:val="22"/>
        </w:rPr>
        <w:t>Environmental Management</w:t>
      </w:r>
      <w:r w:rsidRPr="005D0B08">
        <w:rPr>
          <w:rFonts w:ascii="Calibri" w:hAnsi="Calibri"/>
          <w:noProof/>
          <w:sz w:val="22"/>
        </w:rPr>
        <w:t xml:space="preserve">, </w:t>
      </w:r>
      <w:r w:rsidRPr="005D0B08">
        <w:rPr>
          <w:rFonts w:ascii="Calibri" w:hAnsi="Calibri"/>
          <w:i/>
          <w:iCs/>
          <w:noProof/>
          <w:sz w:val="22"/>
        </w:rPr>
        <w:t>58</w:t>
      </w:r>
      <w:r w:rsidRPr="005D0B08">
        <w:rPr>
          <w:rFonts w:ascii="Calibri" w:hAnsi="Calibri"/>
          <w:noProof/>
          <w:sz w:val="22"/>
        </w:rPr>
        <w:t>(2), 297–311.</w:t>
      </w:r>
    </w:p>
    <w:p w14:paraId="63F3850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Werlen, B. (1993). </w:t>
      </w:r>
      <w:r w:rsidRPr="005D0B08">
        <w:rPr>
          <w:rFonts w:ascii="Calibri" w:hAnsi="Calibri"/>
          <w:i/>
          <w:iCs/>
          <w:noProof/>
          <w:sz w:val="22"/>
        </w:rPr>
        <w:t>Society, Action and Space: An Alternative Human Geography</w:t>
      </w:r>
      <w:r w:rsidRPr="005D0B08">
        <w:rPr>
          <w:rFonts w:ascii="Calibri" w:hAnsi="Calibri"/>
          <w:noProof/>
          <w:sz w:val="22"/>
        </w:rPr>
        <w:t>. London, UK: Routledge.</w:t>
      </w:r>
    </w:p>
    <w:p w14:paraId="10439E5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Werthmann, K. (2009). Working in a boom-town: Female perspectives on gold-mining in Burkina </w:t>
      </w:r>
      <w:r w:rsidRPr="005D0B08">
        <w:rPr>
          <w:rFonts w:ascii="Calibri" w:hAnsi="Calibri"/>
          <w:noProof/>
          <w:sz w:val="22"/>
        </w:rPr>
        <w:lastRenderedPageBreak/>
        <w:t xml:space="preserve">Faso.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34</w:t>
      </w:r>
      <w:r w:rsidRPr="005D0B08">
        <w:rPr>
          <w:rFonts w:ascii="Calibri" w:hAnsi="Calibri"/>
          <w:noProof/>
          <w:sz w:val="22"/>
        </w:rPr>
        <w:t>, 18–23.</w:t>
      </w:r>
    </w:p>
    <w:p w14:paraId="0D1E0A95"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Werthmann, K. (2010). Following the hills: gold mining camps as heterotopias. In U. Freitag &amp; A. von Oppen (Eds.), </w:t>
      </w:r>
      <w:r w:rsidRPr="005D0B08">
        <w:rPr>
          <w:rFonts w:ascii="Calibri" w:hAnsi="Calibri"/>
          <w:i/>
          <w:iCs/>
          <w:noProof/>
          <w:sz w:val="22"/>
        </w:rPr>
        <w:t>Translocality. The Study of Globalising Processes from a Southern Perspective</w:t>
      </w:r>
      <w:r w:rsidRPr="005D0B08">
        <w:rPr>
          <w:rFonts w:ascii="Calibri" w:hAnsi="Calibri"/>
          <w:noProof/>
          <w:sz w:val="22"/>
        </w:rPr>
        <w:t xml:space="preserve"> (pp. 111–132). Leiden: Brill.</w:t>
      </w:r>
    </w:p>
    <w:p w14:paraId="5488B897"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Wiesner-Hanks, M. E. (2011). Crossing borders in transnational gender history. </w:t>
      </w:r>
      <w:r w:rsidRPr="005D0B08">
        <w:rPr>
          <w:rFonts w:ascii="Calibri" w:hAnsi="Calibri"/>
          <w:i/>
          <w:iCs/>
          <w:noProof/>
          <w:sz w:val="22"/>
        </w:rPr>
        <w:t>Journal of Global History</w:t>
      </w:r>
      <w:r w:rsidRPr="005D0B08">
        <w:rPr>
          <w:rFonts w:ascii="Calibri" w:hAnsi="Calibri"/>
          <w:noProof/>
          <w:sz w:val="22"/>
        </w:rPr>
        <w:t xml:space="preserve">, </w:t>
      </w:r>
      <w:r w:rsidRPr="005D0B08">
        <w:rPr>
          <w:rFonts w:ascii="Calibri" w:hAnsi="Calibri"/>
          <w:i/>
          <w:iCs/>
          <w:noProof/>
          <w:sz w:val="22"/>
        </w:rPr>
        <w:t>6</w:t>
      </w:r>
      <w:r w:rsidRPr="005D0B08">
        <w:rPr>
          <w:rFonts w:ascii="Calibri" w:hAnsi="Calibri"/>
          <w:noProof/>
          <w:sz w:val="22"/>
        </w:rPr>
        <w:t>(3), 357–379.</w:t>
      </w:r>
    </w:p>
    <w:p w14:paraId="1C1E571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Willis, K., &amp; Yeoh, B. (2002). Gendering transnational communities: a comparison of Singaporean and British migrants in China.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33</w:t>
      </w:r>
      <w:r w:rsidRPr="005D0B08">
        <w:rPr>
          <w:rFonts w:ascii="Calibri" w:hAnsi="Calibri"/>
          <w:noProof/>
          <w:sz w:val="22"/>
        </w:rPr>
        <w:t>(4), 553–565.</w:t>
      </w:r>
    </w:p>
    <w:p w14:paraId="5300E0B4"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Wilson, M. L., Renne, E., Roncoli, C., Agyei-Baffour, P., &amp; Tenkorang, E. Y. (2015). Integrated Assessment of Artisanal and Small-Scale gold mining in Ghana – Part 3: Social Sciences and Economics. </w:t>
      </w:r>
      <w:r w:rsidRPr="005D0B08">
        <w:rPr>
          <w:rFonts w:ascii="Calibri" w:hAnsi="Calibri"/>
          <w:i/>
          <w:iCs/>
          <w:noProof/>
          <w:sz w:val="22"/>
        </w:rPr>
        <w:t>International Journal of Environmental Research and Public Health</w:t>
      </w:r>
      <w:r w:rsidRPr="005D0B08">
        <w:rPr>
          <w:rFonts w:ascii="Calibri" w:hAnsi="Calibri"/>
          <w:noProof/>
          <w:sz w:val="22"/>
        </w:rPr>
        <w:t xml:space="preserve">, </w:t>
      </w:r>
      <w:r w:rsidRPr="005D0B08">
        <w:rPr>
          <w:rFonts w:ascii="Calibri" w:hAnsi="Calibri"/>
          <w:i/>
          <w:iCs/>
          <w:noProof/>
          <w:sz w:val="22"/>
        </w:rPr>
        <w:t>27</w:t>
      </w:r>
      <w:r w:rsidRPr="005D0B08">
        <w:rPr>
          <w:rFonts w:ascii="Calibri" w:hAnsi="Calibri"/>
          <w:noProof/>
          <w:sz w:val="22"/>
        </w:rPr>
        <w:t>(7), 8133–8156.</w:t>
      </w:r>
    </w:p>
    <w:p w14:paraId="63B94C2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Winters, N. (2014). Responsibility, Mobility and Power: Translocal Carework Negotiations of Nicaraguan Families. </w:t>
      </w:r>
      <w:r w:rsidRPr="005D0B08">
        <w:rPr>
          <w:rFonts w:ascii="Calibri" w:hAnsi="Calibri"/>
          <w:i/>
          <w:iCs/>
          <w:noProof/>
          <w:sz w:val="22"/>
        </w:rPr>
        <w:t>International Migration Review</w:t>
      </w:r>
      <w:r w:rsidRPr="005D0B08">
        <w:rPr>
          <w:rFonts w:ascii="Calibri" w:hAnsi="Calibri"/>
          <w:noProof/>
          <w:sz w:val="22"/>
        </w:rPr>
        <w:t xml:space="preserve">, </w:t>
      </w:r>
      <w:r w:rsidRPr="005D0B08">
        <w:rPr>
          <w:rFonts w:ascii="Calibri" w:hAnsi="Calibri"/>
          <w:i/>
          <w:iCs/>
          <w:noProof/>
          <w:sz w:val="22"/>
        </w:rPr>
        <w:t>48</w:t>
      </w:r>
      <w:r w:rsidRPr="005D0B08">
        <w:rPr>
          <w:rFonts w:ascii="Calibri" w:hAnsi="Calibri"/>
          <w:noProof/>
          <w:sz w:val="22"/>
        </w:rPr>
        <w:t>(2), 415–441.</w:t>
      </w:r>
    </w:p>
    <w:p w14:paraId="56AC650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Winters, N. (2019). Beyond the bird in the cage? Translocal embodiment and trajectories of Nicaraguan female migrants in Seville, Spain. </w:t>
      </w:r>
      <w:r w:rsidRPr="005D0B08">
        <w:rPr>
          <w:rFonts w:ascii="Calibri" w:hAnsi="Calibri"/>
          <w:i/>
          <w:iCs/>
          <w:noProof/>
          <w:sz w:val="22"/>
        </w:rPr>
        <w:t>Geoforum</w:t>
      </w:r>
      <w:r w:rsidRPr="005D0B08">
        <w:rPr>
          <w:rFonts w:ascii="Calibri" w:hAnsi="Calibri"/>
          <w:noProof/>
          <w:sz w:val="22"/>
        </w:rPr>
        <w:t xml:space="preserve">, </w:t>
      </w:r>
      <w:r w:rsidRPr="005D0B08">
        <w:rPr>
          <w:rFonts w:ascii="Calibri" w:hAnsi="Calibri"/>
          <w:i/>
          <w:iCs/>
          <w:noProof/>
          <w:sz w:val="22"/>
        </w:rPr>
        <w:t>In press</w:t>
      </w:r>
      <w:r w:rsidRPr="005D0B08">
        <w:rPr>
          <w:rFonts w:ascii="Calibri" w:hAnsi="Calibri"/>
          <w:noProof/>
          <w:sz w:val="22"/>
        </w:rPr>
        <w:t>, xx.</w:t>
      </w:r>
    </w:p>
    <w:p w14:paraId="2EAD12CA"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Wood, G. (1985). The politics of development policy Labelling. </w:t>
      </w:r>
      <w:r w:rsidRPr="005D0B08">
        <w:rPr>
          <w:rFonts w:ascii="Calibri" w:hAnsi="Calibri"/>
          <w:i/>
          <w:iCs/>
          <w:noProof/>
          <w:sz w:val="22"/>
        </w:rPr>
        <w:t>Development and Change</w:t>
      </w:r>
      <w:r w:rsidRPr="005D0B08">
        <w:rPr>
          <w:rFonts w:ascii="Calibri" w:hAnsi="Calibri"/>
          <w:noProof/>
          <w:sz w:val="22"/>
        </w:rPr>
        <w:t xml:space="preserve">, </w:t>
      </w:r>
      <w:r w:rsidRPr="005D0B08">
        <w:rPr>
          <w:rFonts w:ascii="Calibri" w:hAnsi="Calibri"/>
          <w:i/>
          <w:iCs/>
          <w:noProof/>
          <w:sz w:val="22"/>
        </w:rPr>
        <w:t>16</w:t>
      </w:r>
      <w:r w:rsidRPr="005D0B08">
        <w:rPr>
          <w:rFonts w:ascii="Calibri" w:hAnsi="Calibri"/>
          <w:noProof/>
          <w:sz w:val="22"/>
        </w:rPr>
        <w:t>(3), 347–373.</w:t>
      </w:r>
    </w:p>
    <w:p w14:paraId="40B6A746"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Yakovleva, N. (2007). Perspectives on female participation in artisanal and small-scale mining: a case study of Birim North District of Ghana. </w:t>
      </w:r>
      <w:r w:rsidRPr="005D0B08">
        <w:rPr>
          <w:rFonts w:ascii="Calibri" w:hAnsi="Calibri"/>
          <w:i/>
          <w:iCs/>
          <w:noProof/>
          <w:sz w:val="22"/>
        </w:rPr>
        <w:t>Resources Policy</w:t>
      </w:r>
      <w:r w:rsidRPr="005D0B08">
        <w:rPr>
          <w:rFonts w:ascii="Calibri" w:hAnsi="Calibri"/>
          <w:noProof/>
          <w:sz w:val="22"/>
        </w:rPr>
        <w:t xml:space="preserve">, </w:t>
      </w:r>
      <w:r w:rsidRPr="005D0B08">
        <w:rPr>
          <w:rFonts w:ascii="Calibri" w:hAnsi="Calibri"/>
          <w:i/>
          <w:iCs/>
          <w:noProof/>
          <w:sz w:val="22"/>
        </w:rPr>
        <w:t>32</w:t>
      </w:r>
      <w:r w:rsidRPr="005D0B08">
        <w:rPr>
          <w:rFonts w:ascii="Calibri" w:hAnsi="Calibri"/>
          <w:noProof/>
          <w:sz w:val="22"/>
        </w:rPr>
        <w:t>, 29–41.</w:t>
      </w:r>
    </w:p>
    <w:p w14:paraId="3A3C04BE"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Ye, J., Wu, H., Rao, J., Ding, B., &amp; Zhang, K. (2016). Left-behind women: gender exclusion and inequality in rural-urban migration in China. </w:t>
      </w:r>
      <w:r w:rsidRPr="005D0B08">
        <w:rPr>
          <w:rFonts w:ascii="Calibri" w:hAnsi="Calibri"/>
          <w:i/>
          <w:iCs/>
          <w:noProof/>
          <w:sz w:val="22"/>
        </w:rPr>
        <w:t>The Journal of Peasant Studies</w:t>
      </w:r>
      <w:r w:rsidRPr="005D0B08">
        <w:rPr>
          <w:rFonts w:ascii="Calibri" w:hAnsi="Calibri"/>
          <w:noProof/>
          <w:sz w:val="22"/>
        </w:rPr>
        <w:t xml:space="preserve">, </w:t>
      </w:r>
      <w:r w:rsidRPr="005D0B08">
        <w:rPr>
          <w:rFonts w:ascii="Calibri" w:hAnsi="Calibri"/>
          <w:i/>
          <w:iCs/>
          <w:noProof/>
          <w:sz w:val="22"/>
        </w:rPr>
        <w:t>43</w:t>
      </w:r>
      <w:r w:rsidRPr="005D0B08">
        <w:rPr>
          <w:rFonts w:ascii="Calibri" w:hAnsi="Calibri"/>
          <w:noProof/>
          <w:sz w:val="22"/>
        </w:rPr>
        <w:t>(4), 910–941.</w:t>
      </w:r>
    </w:p>
    <w:p w14:paraId="2B8EBE79"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Yiftachel, O. (2010). Critical theory and ‘gray space’: Mobilization of the colonized’. </w:t>
      </w:r>
      <w:r w:rsidRPr="005D0B08">
        <w:rPr>
          <w:rFonts w:ascii="Calibri" w:hAnsi="Calibri"/>
          <w:i/>
          <w:iCs/>
          <w:noProof/>
          <w:sz w:val="22"/>
        </w:rPr>
        <w:t>City</w:t>
      </w:r>
      <w:r w:rsidRPr="005D0B08">
        <w:rPr>
          <w:rFonts w:ascii="Calibri" w:hAnsi="Calibri"/>
          <w:noProof/>
          <w:sz w:val="22"/>
        </w:rPr>
        <w:t xml:space="preserve">, </w:t>
      </w:r>
      <w:r w:rsidRPr="005D0B08">
        <w:rPr>
          <w:rFonts w:ascii="Calibri" w:hAnsi="Calibri"/>
          <w:i/>
          <w:iCs/>
          <w:noProof/>
          <w:sz w:val="22"/>
        </w:rPr>
        <w:t>13</w:t>
      </w:r>
      <w:r w:rsidRPr="005D0B08">
        <w:rPr>
          <w:rFonts w:ascii="Calibri" w:hAnsi="Calibri"/>
          <w:noProof/>
          <w:sz w:val="22"/>
        </w:rPr>
        <w:t>(2–3), 246–263.</w:t>
      </w:r>
    </w:p>
    <w:p w14:paraId="1E2DEC72" w14:textId="77777777" w:rsidR="005D0B08" w:rsidRPr="005D0B08" w:rsidRDefault="005D0B08" w:rsidP="005D0B08">
      <w:pPr>
        <w:widowControl w:val="0"/>
        <w:autoSpaceDE w:val="0"/>
        <w:autoSpaceDN w:val="0"/>
        <w:adjustRightInd w:val="0"/>
        <w:spacing w:line="360" w:lineRule="auto"/>
        <w:ind w:left="480" w:hanging="480"/>
        <w:rPr>
          <w:rFonts w:ascii="Calibri" w:hAnsi="Calibri"/>
          <w:noProof/>
          <w:sz w:val="22"/>
        </w:rPr>
      </w:pPr>
      <w:r w:rsidRPr="005D0B08">
        <w:rPr>
          <w:rFonts w:ascii="Calibri" w:hAnsi="Calibri"/>
          <w:noProof/>
          <w:sz w:val="22"/>
        </w:rPr>
        <w:t xml:space="preserve">Yin, R. (2009). </w:t>
      </w:r>
      <w:r w:rsidRPr="005D0B08">
        <w:rPr>
          <w:rFonts w:ascii="Calibri" w:hAnsi="Calibri"/>
          <w:i/>
          <w:iCs/>
          <w:noProof/>
          <w:sz w:val="22"/>
        </w:rPr>
        <w:t>Case Study Research: Design and Methods</w:t>
      </w:r>
      <w:r w:rsidRPr="005D0B08">
        <w:rPr>
          <w:rFonts w:ascii="Calibri" w:hAnsi="Calibri"/>
          <w:noProof/>
          <w:sz w:val="22"/>
        </w:rPr>
        <w:t xml:space="preserve"> (4th ed.). London, UK: Sage Publications Ltd.</w:t>
      </w:r>
    </w:p>
    <w:p w14:paraId="0B7E2466" w14:textId="7EF35385" w:rsidR="0091076C" w:rsidRPr="00C10E4A" w:rsidRDefault="005D0B08" w:rsidP="0060034B">
      <w:pPr>
        <w:pStyle w:val="NoSpacing"/>
        <w:spacing w:line="360" w:lineRule="auto"/>
        <w:jc w:val="both"/>
        <w:rPr>
          <w:rFonts w:ascii="Calibri" w:hAnsi="Calibri" w:cstheme="majorHAnsi"/>
          <w:sz w:val="22"/>
          <w:szCs w:val="22"/>
          <w:lang w:val="en-GB"/>
        </w:rPr>
      </w:pPr>
      <w:r>
        <w:rPr>
          <w:rFonts w:ascii="Calibri" w:hAnsi="Calibri" w:cstheme="majorHAnsi"/>
          <w:sz w:val="22"/>
          <w:szCs w:val="22"/>
          <w:lang w:val="en-GB"/>
        </w:rPr>
        <w:fldChar w:fldCharType="end"/>
      </w:r>
    </w:p>
    <w:p w14:paraId="56DA484A" w14:textId="77777777" w:rsidR="00CB1E20" w:rsidRPr="00C10E4A" w:rsidRDefault="00CB1E20" w:rsidP="0060034B">
      <w:pPr>
        <w:pStyle w:val="NoSpacing"/>
        <w:spacing w:line="360" w:lineRule="auto"/>
        <w:jc w:val="both"/>
        <w:rPr>
          <w:rFonts w:ascii="Calibri" w:hAnsi="Calibri" w:cstheme="majorHAnsi"/>
          <w:sz w:val="22"/>
          <w:szCs w:val="22"/>
          <w:lang w:val="en-GB"/>
        </w:rPr>
      </w:pPr>
    </w:p>
    <w:p w14:paraId="19727855" w14:textId="77777777" w:rsidR="002D6A2F" w:rsidRPr="002D6A2F" w:rsidRDefault="002D6A2F" w:rsidP="002D6A2F"/>
    <w:p w14:paraId="0F142863" w14:textId="595D02A5" w:rsidR="00CB1E20" w:rsidRPr="00C10E4A" w:rsidRDefault="00CB1E20" w:rsidP="00A446DD">
      <w:pPr>
        <w:widowControl w:val="0"/>
        <w:autoSpaceDE w:val="0"/>
        <w:autoSpaceDN w:val="0"/>
        <w:adjustRightInd w:val="0"/>
        <w:ind w:left="480" w:hanging="480"/>
        <w:rPr>
          <w:rFonts w:ascii="Calibri" w:hAnsi="Calibri" w:cstheme="majorHAnsi"/>
          <w:sz w:val="22"/>
          <w:szCs w:val="22"/>
          <w:lang w:val="en-GB"/>
        </w:rPr>
      </w:pPr>
    </w:p>
    <w:sectPr w:rsidR="00CB1E20" w:rsidRPr="00C10E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B45DE" w14:textId="77777777" w:rsidR="00D95089" w:rsidRDefault="00D95089" w:rsidP="003E574E">
      <w:r>
        <w:separator/>
      </w:r>
    </w:p>
  </w:endnote>
  <w:endnote w:type="continuationSeparator" w:id="0">
    <w:p w14:paraId="32556F49" w14:textId="77777777" w:rsidR="00D95089" w:rsidRDefault="00D95089" w:rsidP="003E5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CharisSIL-Identity-H">
    <w:altName w:val="Times New Roman"/>
    <w:panose1 w:val="00000000000000000000"/>
    <w:charset w:val="00"/>
    <w:family w:val="roman"/>
    <w:notTrueType/>
    <w:pitch w:val="default"/>
  </w:font>
  <w:font w:name="Excelsior">
    <w:altName w:val="Times New Roman"/>
    <w:panose1 w:val="00000000000000000000"/>
    <w:charset w:val="00"/>
    <w:family w:val="roman"/>
    <w:notTrueType/>
    <w:pitch w:val="default"/>
  </w:font>
  <w:font w:name="Courier">
    <w:panose1 w:val="02070409020205020404"/>
    <w:charset w:val="00"/>
    <w:family w:val="auto"/>
    <w:pitch w:val="variable"/>
    <w:sig w:usb0="00000003" w:usb1="00000000" w:usb2="00000000" w:usb3="00000000" w:csb0="00000001" w:csb1="00000000"/>
  </w:font>
  <w:font w:name="CharisSIL">
    <w:altName w:val="@Heiti SC Light"/>
    <w:panose1 w:val="00000000000000000000"/>
    <w:charset w:val="80"/>
    <w:family w:val="swiss"/>
    <w:notTrueType/>
    <w:pitch w:val="default"/>
    <w:sig w:usb0="00000001" w:usb1="08070000" w:usb2="00000010" w:usb3="00000000" w:csb0="00020000" w:csb1="00000000"/>
  </w:font>
  <w:font w:name="AdvOT46dcae81">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auto"/>
    <w:pitch w:val="variable"/>
    <w:sig w:usb0="A000007F" w:usb1="4000205B" w:usb2="00000000" w:usb3="00000000" w:csb0="00000193"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83179346"/>
      <w:docPartObj>
        <w:docPartGallery w:val="Page Numbers (Bottom of Page)"/>
        <w:docPartUnique/>
      </w:docPartObj>
    </w:sdtPr>
    <w:sdtEndPr>
      <w:rPr>
        <w:rStyle w:val="PageNumber"/>
      </w:rPr>
    </w:sdtEndPr>
    <w:sdtContent>
      <w:p w14:paraId="38B9A259" w14:textId="4BD1A2FE" w:rsidR="009A2C11" w:rsidRDefault="009A2C11" w:rsidP="00FA0397">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BC2B7" w14:textId="77777777" w:rsidR="009A2C11" w:rsidRDefault="009A2C11" w:rsidP="00FA03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43499250"/>
      <w:docPartObj>
        <w:docPartGallery w:val="Page Numbers (Bottom of Page)"/>
        <w:docPartUnique/>
      </w:docPartObj>
    </w:sdtPr>
    <w:sdtEndPr>
      <w:rPr>
        <w:rStyle w:val="PageNumber"/>
      </w:rPr>
    </w:sdtEndPr>
    <w:sdtContent>
      <w:p w14:paraId="66986E8C" w14:textId="3A2D17BA" w:rsidR="009A2C11" w:rsidRDefault="009A2C11" w:rsidP="00FA0397">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36641">
          <w:rPr>
            <w:rStyle w:val="PageNumber"/>
            <w:noProof/>
          </w:rPr>
          <w:t>2</w:t>
        </w:r>
        <w:r>
          <w:rPr>
            <w:rStyle w:val="PageNumber"/>
          </w:rPr>
          <w:fldChar w:fldCharType="end"/>
        </w:r>
      </w:p>
    </w:sdtContent>
  </w:sdt>
  <w:p w14:paraId="0E7CD8DE" w14:textId="77777777" w:rsidR="009A2C11" w:rsidRDefault="009A2C11" w:rsidP="008734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FBFAF" w14:textId="77777777" w:rsidR="00D95089" w:rsidRDefault="00D95089" w:rsidP="003E574E">
      <w:r>
        <w:separator/>
      </w:r>
    </w:p>
  </w:footnote>
  <w:footnote w:type="continuationSeparator" w:id="0">
    <w:p w14:paraId="7CD98D0F" w14:textId="77777777" w:rsidR="00D95089" w:rsidRDefault="00D95089" w:rsidP="003E574E">
      <w:r>
        <w:continuationSeparator/>
      </w:r>
    </w:p>
  </w:footnote>
  <w:footnote w:id="1">
    <w:p w14:paraId="72DFE4BA" w14:textId="62396F17" w:rsidR="009A2C11" w:rsidRPr="000807A5" w:rsidRDefault="009A2C11" w:rsidP="009F11B8">
      <w:pPr>
        <w:pStyle w:val="FootnoteText"/>
        <w:rPr>
          <w:sz w:val="18"/>
          <w:szCs w:val="18"/>
          <w:lang w:val="es-ES_tradnl"/>
        </w:rPr>
      </w:pPr>
      <w:r w:rsidRPr="000807A5">
        <w:rPr>
          <w:rStyle w:val="FootnoteReference"/>
          <w:sz w:val="18"/>
          <w:szCs w:val="18"/>
        </w:rPr>
        <w:footnoteRef/>
      </w:r>
      <w:r>
        <w:rPr>
          <w:sz w:val="18"/>
          <w:szCs w:val="18"/>
          <w:lang w:val="es-ES_tradnl"/>
        </w:rPr>
        <w:t xml:space="preserve"> The </w:t>
      </w:r>
      <w:r w:rsidRPr="000807A5">
        <w:rPr>
          <w:sz w:val="18"/>
          <w:szCs w:val="18"/>
          <w:lang w:val="es-ES_tradnl"/>
        </w:rPr>
        <w:t xml:space="preserve">informal mining town of La Rinconada is </w:t>
      </w:r>
      <w:r>
        <w:rPr>
          <w:sz w:val="18"/>
          <w:szCs w:val="18"/>
          <w:lang w:val="es-ES_tradnl"/>
        </w:rPr>
        <w:t xml:space="preserve">high in the Peruvian Andes, over 5,000m above sea-level, </w:t>
      </w:r>
      <w:r w:rsidRPr="000807A5">
        <w:rPr>
          <w:sz w:val="18"/>
          <w:szCs w:val="18"/>
          <w:lang w:val="es-ES_tradnl"/>
        </w:rPr>
        <w:t>and here mining takes place inside the mountain.</w:t>
      </w:r>
    </w:p>
  </w:footnote>
  <w:footnote w:id="2">
    <w:p w14:paraId="6E11A09D" w14:textId="2D7B4649" w:rsidR="009A2C11" w:rsidRPr="00973554" w:rsidRDefault="009A2C11">
      <w:pPr>
        <w:pStyle w:val="FootnoteText"/>
        <w:rPr>
          <w:sz w:val="18"/>
          <w:szCs w:val="18"/>
        </w:rPr>
      </w:pPr>
      <w:r w:rsidRPr="000807A5">
        <w:rPr>
          <w:rStyle w:val="FootnoteReference"/>
          <w:sz w:val="18"/>
          <w:szCs w:val="18"/>
        </w:rPr>
        <w:footnoteRef/>
      </w:r>
      <w:r w:rsidRPr="000807A5">
        <w:rPr>
          <w:sz w:val="18"/>
          <w:szCs w:val="18"/>
        </w:rPr>
        <w:t xml:space="preserve"> ‘Mestizos’ are people of a mixed European and American Indian descent</w:t>
      </w:r>
    </w:p>
  </w:footnote>
  <w:footnote w:id="3">
    <w:p w14:paraId="592AD483" w14:textId="14AFBEF5" w:rsidR="009A2C11" w:rsidRDefault="009A2C11">
      <w:pPr>
        <w:pStyle w:val="FootnoteText"/>
      </w:pPr>
      <w:r>
        <w:rPr>
          <w:rStyle w:val="FootnoteReference"/>
        </w:rPr>
        <w:footnoteRef/>
      </w:r>
      <w:r>
        <w:t xml:space="preserve"> </w:t>
      </w:r>
      <w:r w:rsidRPr="00A254B8">
        <w:rPr>
          <w:sz w:val="18"/>
          <w:szCs w:val="18"/>
        </w:rPr>
        <w:t>While Quechua and to a lesser extent A</w:t>
      </w:r>
      <w:r>
        <w:rPr>
          <w:sz w:val="18"/>
          <w:szCs w:val="18"/>
        </w:rPr>
        <w:t>ymara are spoken</w:t>
      </w:r>
      <w:r w:rsidRPr="00A254B8">
        <w:rPr>
          <w:sz w:val="18"/>
          <w:szCs w:val="18"/>
        </w:rPr>
        <w:t xml:space="preserve"> in the Andes, there are also hundreds of native Amazonian languages</w:t>
      </w:r>
      <w:r>
        <w:t xml:space="preserve"> </w:t>
      </w:r>
    </w:p>
  </w:footnote>
  <w:footnote w:id="4">
    <w:p w14:paraId="7769940E" w14:textId="5937AE79" w:rsidR="009A2C11" w:rsidRPr="00C01B10" w:rsidRDefault="009A2C11">
      <w:pPr>
        <w:pStyle w:val="FootnoteText"/>
        <w:rPr>
          <w:sz w:val="20"/>
          <w:szCs w:val="20"/>
        </w:rPr>
      </w:pPr>
      <w:r w:rsidRPr="002116BC">
        <w:rPr>
          <w:rStyle w:val="FootnoteReference"/>
        </w:rPr>
        <w:footnoteRef/>
      </w:r>
      <w:r w:rsidRPr="00C01B10">
        <w:rPr>
          <w:sz w:val="20"/>
          <w:szCs w:val="20"/>
        </w:rPr>
        <w:t xml:space="preserve"> </w:t>
      </w:r>
      <w:r w:rsidRPr="00C01B10">
        <w:rPr>
          <w:i/>
          <w:iCs/>
          <w:sz w:val="20"/>
          <w:szCs w:val="20"/>
        </w:rPr>
        <w:t>Obrero</w:t>
      </w:r>
      <w:r w:rsidRPr="00C01B10">
        <w:rPr>
          <w:sz w:val="20"/>
          <w:szCs w:val="20"/>
        </w:rPr>
        <w:t xml:space="preserve"> is the S</w:t>
      </w:r>
      <w:r>
        <w:rPr>
          <w:sz w:val="20"/>
          <w:szCs w:val="20"/>
        </w:rPr>
        <w:t>panish term for a mine worker or labourer</w:t>
      </w:r>
    </w:p>
  </w:footnote>
  <w:footnote w:id="5">
    <w:p w14:paraId="1BCA5A92" w14:textId="3A6C06B2" w:rsidR="009A2C11" w:rsidRPr="00D35D90" w:rsidRDefault="009A2C11" w:rsidP="00F2183E">
      <w:pPr>
        <w:pStyle w:val="FootnoteText"/>
        <w:rPr>
          <w:rFonts w:cstheme="majorHAnsi"/>
          <w:sz w:val="20"/>
          <w:szCs w:val="20"/>
          <w:lang w:val="en-GB"/>
        </w:rPr>
      </w:pPr>
      <w:r w:rsidRPr="00D35D90">
        <w:rPr>
          <w:rStyle w:val="FootnoteReference"/>
          <w:rFonts w:cstheme="majorHAnsi"/>
        </w:rPr>
        <w:footnoteRef/>
      </w:r>
      <w:r w:rsidRPr="00D35D90">
        <w:rPr>
          <w:rFonts w:cstheme="majorHAnsi"/>
          <w:sz w:val="20"/>
          <w:szCs w:val="20"/>
          <w:lang w:val="en-GB"/>
        </w:rPr>
        <w:t xml:space="preserve">A </w:t>
      </w:r>
      <w:r w:rsidRPr="00D35D90">
        <w:rPr>
          <w:rFonts w:cstheme="majorHAnsi"/>
          <w:i/>
          <w:iCs/>
          <w:sz w:val="20"/>
          <w:szCs w:val="20"/>
          <w:lang w:val="en-GB"/>
        </w:rPr>
        <w:t xml:space="preserve">chifa </w:t>
      </w:r>
      <w:r w:rsidRPr="00D35D90">
        <w:rPr>
          <w:rFonts w:cstheme="majorHAnsi"/>
          <w:sz w:val="20"/>
          <w:szCs w:val="20"/>
          <w:lang w:val="en-GB"/>
        </w:rPr>
        <w:t>is a restaurant which sells Chinese-Peruvian fusion cuisine</w:t>
      </w:r>
      <w:r>
        <w:rPr>
          <w:rFonts w:cstheme="majorHAnsi"/>
          <w:sz w:val="20"/>
          <w:szCs w:val="20"/>
          <w:lang w:val="en-GB"/>
        </w:rPr>
        <w:t>.</w:t>
      </w:r>
    </w:p>
  </w:footnote>
  <w:footnote w:id="6">
    <w:p w14:paraId="3D0149E3" w14:textId="3E8B4101" w:rsidR="009A2C11" w:rsidRPr="008808BD" w:rsidRDefault="009A2C11" w:rsidP="00F2183E">
      <w:pPr>
        <w:pStyle w:val="FootnoteText"/>
        <w:rPr>
          <w:lang w:val="en-GB"/>
        </w:rPr>
      </w:pPr>
      <w:r w:rsidRPr="008808BD">
        <w:rPr>
          <w:rStyle w:val="FootnoteReference"/>
        </w:rPr>
        <w:footnoteRef/>
      </w:r>
      <w:r w:rsidRPr="008808BD">
        <w:rPr>
          <w:rFonts w:cstheme="majorHAnsi"/>
          <w:sz w:val="16"/>
          <w:szCs w:val="16"/>
          <w:lang w:val="en-GB"/>
        </w:rPr>
        <w:t xml:space="preserve">Guinea-pigs have a high ritual value in Andean folk culture. Many families breed them for household consumption </w:t>
      </w:r>
      <w:r>
        <w:rPr>
          <w:rFonts w:cstheme="majorHAnsi"/>
          <w:sz w:val="16"/>
          <w:szCs w:val="16"/>
          <w:lang w:val="en-GB"/>
        </w:rPr>
        <w:fldChar w:fldCharType="begin" w:fldLock="1"/>
      </w:r>
      <w:r>
        <w:rPr>
          <w:rFonts w:cstheme="majorHAnsi"/>
          <w:sz w:val="16"/>
          <w:szCs w:val="16"/>
          <w:lang w:val="en-GB"/>
        </w:rPr>
        <w:instrText>ADDIN CSL_CITATION {"citationItems":[{"id":"ITEM-1","itemData":{"author":[{"dropping-particle":"","family":"Gade","given":"Daniel W","non-dropping-particle":"","parse-names":false,"suffix":""}],"container-title":"Geographical Review","id":"ITEM-1","issue":"2","issued":{"date-parts":[["1967"]]},"page":"213-224","title":"The guinea pig in Andean folk culture","type":"article-journal","volume":"57"},"uris":["http://www.mendeley.com/documents/?uuid=f4761bcb-9014-4a26-8c10-2ed8c8defd33"]}],"mendeley":{"formattedCitation":"(Gade, 1967)","plainTextFormattedCitation":"(Gade, 1967)","previouslyFormattedCitation":"(Gade, 1967)"},"properties":{"noteIndex":0},"schema":"https://github.com/citation-style-language/schema/raw/master/csl-citation.json"}</w:instrText>
      </w:r>
      <w:r>
        <w:rPr>
          <w:rFonts w:cstheme="majorHAnsi"/>
          <w:sz w:val="16"/>
          <w:szCs w:val="16"/>
          <w:lang w:val="en-GB"/>
        </w:rPr>
        <w:fldChar w:fldCharType="separate"/>
      </w:r>
      <w:r w:rsidRPr="008808BD">
        <w:rPr>
          <w:rFonts w:cstheme="majorHAnsi"/>
          <w:noProof/>
          <w:sz w:val="16"/>
          <w:szCs w:val="16"/>
          <w:lang w:val="en-GB"/>
        </w:rPr>
        <w:t>(Gade, 1967)</w:t>
      </w:r>
      <w:r>
        <w:rPr>
          <w:rFonts w:cstheme="majorHAnsi"/>
          <w:sz w:val="16"/>
          <w:szCs w:val="16"/>
          <w:lang w:val="en-GB"/>
        </w:rPr>
        <w:fldChar w:fldCharType="end"/>
      </w:r>
      <w:r w:rsidRPr="008808BD">
        <w:rPr>
          <w:rFonts w:cstheme="majorHAnsi"/>
          <w:sz w:val="16"/>
          <w:szCs w:val="16"/>
          <w:lang w:val="en-GB"/>
        </w:rPr>
        <w:t>.</w:t>
      </w:r>
    </w:p>
  </w:footnote>
  <w:footnote w:id="7">
    <w:p w14:paraId="734C5150" w14:textId="1471819C" w:rsidR="009A2C11" w:rsidRPr="002C2A3F" w:rsidRDefault="009A2C11" w:rsidP="00B53FA8">
      <w:pPr>
        <w:pStyle w:val="FootnoteText"/>
        <w:rPr>
          <w:sz w:val="20"/>
          <w:szCs w:val="20"/>
        </w:rPr>
      </w:pPr>
      <w:r w:rsidRPr="002116BC">
        <w:rPr>
          <w:rStyle w:val="FootnoteReference"/>
        </w:rPr>
        <w:footnoteRef/>
      </w:r>
      <w:r w:rsidRPr="002C2A3F">
        <w:rPr>
          <w:sz w:val="20"/>
          <w:szCs w:val="20"/>
        </w:rPr>
        <w:t xml:space="preserve"> The valley of the Apurimac, Ene and Mantaro rivers (also knows as the VRAEM) is a geo</w:t>
      </w:r>
      <w:r>
        <w:rPr>
          <w:sz w:val="20"/>
          <w:szCs w:val="20"/>
        </w:rPr>
        <w:t>-</w:t>
      </w:r>
      <w:r w:rsidRPr="002C2A3F">
        <w:rPr>
          <w:sz w:val="20"/>
          <w:szCs w:val="20"/>
        </w:rPr>
        <w:t xml:space="preserve">political area of Peru which is extremely poor and produces a lot of cocaine, and is therefore known as being violent and dangerous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45CE"/>
    <w:multiLevelType w:val="hybridMultilevel"/>
    <w:tmpl w:val="6616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E2ED1"/>
    <w:multiLevelType w:val="hybridMultilevel"/>
    <w:tmpl w:val="241A588E"/>
    <w:lvl w:ilvl="0" w:tplc="F4249E0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967020"/>
    <w:multiLevelType w:val="hybridMultilevel"/>
    <w:tmpl w:val="9D9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0F7D61"/>
    <w:multiLevelType w:val="hybridMultilevel"/>
    <w:tmpl w:val="FA924E08"/>
    <w:lvl w:ilvl="0" w:tplc="F4249E0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98530C"/>
    <w:multiLevelType w:val="hybridMultilevel"/>
    <w:tmpl w:val="5C66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CA7"/>
    <w:rsid w:val="0000046F"/>
    <w:rsid w:val="000010F4"/>
    <w:rsid w:val="000020C4"/>
    <w:rsid w:val="0000605D"/>
    <w:rsid w:val="000063EC"/>
    <w:rsid w:val="00006481"/>
    <w:rsid w:val="00011131"/>
    <w:rsid w:val="000127F1"/>
    <w:rsid w:val="00014D90"/>
    <w:rsid w:val="00016F94"/>
    <w:rsid w:val="00017550"/>
    <w:rsid w:val="000175BA"/>
    <w:rsid w:val="00020345"/>
    <w:rsid w:val="00022882"/>
    <w:rsid w:val="0002336F"/>
    <w:rsid w:val="00023F58"/>
    <w:rsid w:val="000262B8"/>
    <w:rsid w:val="00030E91"/>
    <w:rsid w:val="00032082"/>
    <w:rsid w:val="00033F8A"/>
    <w:rsid w:val="000372F1"/>
    <w:rsid w:val="0004146F"/>
    <w:rsid w:val="00045548"/>
    <w:rsid w:val="000462EE"/>
    <w:rsid w:val="00053262"/>
    <w:rsid w:val="000543D1"/>
    <w:rsid w:val="0005492F"/>
    <w:rsid w:val="00054F7D"/>
    <w:rsid w:val="00055316"/>
    <w:rsid w:val="00055562"/>
    <w:rsid w:val="00055709"/>
    <w:rsid w:val="000574D7"/>
    <w:rsid w:val="000601E0"/>
    <w:rsid w:val="00060D17"/>
    <w:rsid w:val="000614C3"/>
    <w:rsid w:val="0006194D"/>
    <w:rsid w:val="00061C18"/>
    <w:rsid w:val="00061CD1"/>
    <w:rsid w:val="00061F17"/>
    <w:rsid w:val="00063656"/>
    <w:rsid w:val="00063C8C"/>
    <w:rsid w:val="00063DE7"/>
    <w:rsid w:val="00064626"/>
    <w:rsid w:val="000646A3"/>
    <w:rsid w:val="0006712F"/>
    <w:rsid w:val="00067554"/>
    <w:rsid w:val="00067A3D"/>
    <w:rsid w:val="00071C60"/>
    <w:rsid w:val="00074561"/>
    <w:rsid w:val="000745A8"/>
    <w:rsid w:val="00075C9C"/>
    <w:rsid w:val="00076AED"/>
    <w:rsid w:val="00077B61"/>
    <w:rsid w:val="00080352"/>
    <w:rsid w:val="000807A5"/>
    <w:rsid w:val="00080E18"/>
    <w:rsid w:val="00081554"/>
    <w:rsid w:val="00082A5A"/>
    <w:rsid w:val="00084922"/>
    <w:rsid w:val="00085546"/>
    <w:rsid w:val="00086698"/>
    <w:rsid w:val="00086EE2"/>
    <w:rsid w:val="0008779D"/>
    <w:rsid w:val="00087CF8"/>
    <w:rsid w:val="00087DE1"/>
    <w:rsid w:val="00091107"/>
    <w:rsid w:val="00092F14"/>
    <w:rsid w:val="000936E2"/>
    <w:rsid w:val="00093750"/>
    <w:rsid w:val="000940C2"/>
    <w:rsid w:val="000954D7"/>
    <w:rsid w:val="0009574E"/>
    <w:rsid w:val="00096C4F"/>
    <w:rsid w:val="0009789E"/>
    <w:rsid w:val="000979BD"/>
    <w:rsid w:val="000A0C0B"/>
    <w:rsid w:val="000A18EE"/>
    <w:rsid w:val="000A1CD0"/>
    <w:rsid w:val="000A2C06"/>
    <w:rsid w:val="000A5B5A"/>
    <w:rsid w:val="000A7AA4"/>
    <w:rsid w:val="000B0219"/>
    <w:rsid w:val="000B098B"/>
    <w:rsid w:val="000B0DC6"/>
    <w:rsid w:val="000B172A"/>
    <w:rsid w:val="000B2E41"/>
    <w:rsid w:val="000C1151"/>
    <w:rsid w:val="000C161D"/>
    <w:rsid w:val="000C16E7"/>
    <w:rsid w:val="000C34BB"/>
    <w:rsid w:val="000C3F44"/>
    <w:rsid w:val="000C4968"/>
    <w:rsid w:val="000C4978"/>
    <w:rsid w:val="000C7954"/>
    <w:rsid w:val="000D03CC"/>
    <w:rsid w:val="000D0425"/>
    <w:rsid w:val="000D2526"/>
    <w:rsid w:val="000D3B60"/>
    <w:rsid w:val="000D48B9"/>
    <w:rsid w:val="000D691C"/>
    <w:rsid w:val="000D7EFD"/>
    <w:rsid w:val="000E1180"/>
    <w:rsid w:val="000E13B9"/>
    <w:rsid w:val="000E2297"/>
    <w:rsid w:val="000E40DB"/>
    <w:rsid w:val="000E5057"/>
    <w:rsid w:val="000F107D"/>
    <w:rsid w:val="000F1423"/>
    <w:rsid w:val="000F1591"/>
    <w:rsid w:val="000F1838"/>
    <w:rsid w:val="000F24C5"/>
    <w:rsid w:val="000F2AAC"/>
    <w:rsid w:val="000F3717"/>
    <w:rsid w:val="000F4324"/>
    <w:rsid w:val="000F445E"/>
    <w:rsid w:val="000F4BEF"/>
    <w:rsid w:val="000F4EC6"/>
    <w:rsid w:val="000F5B72"/>
    <w:rsid w:val="000F736A"/>
    <w:rsid w:val="00100F0C"/>
    <w:rsid w:val="00102CE6"/>
    <w:rsid w:val="00103D20"/>
    <w:rsid w:val="0010441C"/>
    <w:rsid w:val="001044F7"/>
    <w:rsid w:val="0010482C"/>
    <w:rsid w:val="00105F7C"/>
    <w:rsid w:val="00111A4C"/>
    <w:rsid w:val="001128B0"/>
    <w:rsid w:val="00114517"/>
    <w:rsid w:val="00114671"/>
    <w:rsid w:val="00114C03"/>
    <w:rsid w:val="00115408"/>
    <w:rsid w:val="00115A02"/>
    <w:rsid w:val="00117100"/>
    <w:rsid w:val="00120E00"/>
    <w:rsid w:val="001236D5"/>
    <w:rsid w:val="00123AB0"/>
    <w:rsid w:val="00124537"/>
    <w:rsid w:val="00124A82"/>
    <w:rsid w:val="00126F72"/>
    <w:rsid w:val="00130A52"/>
    <w:rsid w:val="00131463"/>
    <w:rsid w:val="001332C0"/>
    <w:rsid w:val="00134FB0"/>
    <w:rsid w:val="00135CA7"/>
    <w:rsid w:val="00137377"/>
    <w:rsid w:val="0014190C"/>
    <w:rsid w:val="001445E3"/>
    <w:rsid w:val="00144BE2"/>
    <w:rsid w:val="00145147"/>
    <w:rsid w:val="00147085"/>
    <w:rsid w:val="00150BB4"/>
    <w:rsid w:val="00153DCB"/>
    <w:rsid w:val="00153EDC"/>
    <w:rsid w:val="0015705F"/>
    <w:rsid w:val="001606F4"/>
    <w:rsid w:val="00162C86"/>
    <w:rsid w:val="00163497"/>
    <w:rsid w:val="00170378"/>
    <w:rsid w:val="001705C6"/>
    <w:rsid w:val="001706FC"/>
    <w:rsid w:val="00170897"/>
    <w:rsid w:val="001717DC"/>
    <w:rsid w:val="00172A42"/>
    <w:rsid w:val="00174470"/>
    <w:rsid w:val="0017524B"/>
    <w:rsid w:val="00176FA2"/>
    <w:rsid w:val="00176FEF"/>
    <w:rsid w:val="0017734F"/>
    <w:rsid w:val="001774C5"/>
    <w:rsid w:val="001776D8"/>
    <w:rsid w:val="00177C64"/>
    <w:rsid w:val="00177EEF"/>
    <w:rsid w:val="00181DC5"/>
    <w:rsid w:val="00184D19"/>
    <w:rsid w:val="00186040"/>
    <w:rsid w:val="00186D8F"/>
    <w:rsid w:val="001900E4"/>
    <w:rsid w:val="00191CF2"/>
    <w:rsid w:val="00191F0D"/>
    <w:rsid w:val="0019375F"/>
    <w:rsid w:val="00194100"/>
    <w:rsid w:val="001949BE"/>
    <w:rsid w:val="00195FDF"/>
    <w:rsid w:val="001975AA"/>
    <w:rsid w:val="00197754"/>
    <w:rsid w:val="0019790F"/>
    <w:rsid w:val="001A0192"/>
    <w:rsid w:val="001A06FE"/>
    <w:rsid w:val="001A227F"/>
    <w:rsid w:val="001A4C6E"/>
    <w:rsid w:val="001A7F8F"/>
    <w:rsid w:val="001B115B"/>
    <w:rsid w:val="001B2315"/>
    <w:rsid w:val="001B2EDE"/>
    <w:rsid w:val="001B36F6"/>
    <w:rsid w:val="001B4834"/>
    <w:rsid w:val="001B5579"/>
    <w:rsid w:val="001C0B6F"/>
    <w:rsid w:val="001C0EFB"/>
    <w:rsid w:val="001C22D3"/>
    <w:rsid w:val="001C2901"/>
    <w:rsid w:val="001C5455"/>
    <w:rsid w:val="001D41BF"/>
    <w:rsid w:val="001D4DC3"/>
    <w:rsid w:val="001D64A8"/>
    <w:rsid w:val="001E127D"/>
    <w:rsid w:val="001E1A00"/>
    <w:rsid w:val="001E2F94"/>
    <w:rsid w:val="001E4F88"/>
    <w:rsid w:val="001E5BD3"/>
    <w:rsid w:val="001E6D97"/>
    <w:rsid w:val="001E6F34"/>
    <w:rsid w:val="001E7571"/>
    <w:rsid w:val="001F083C"/>
    <w:rsid w:val="001F151B"/>
    <w:rsid w:val="001F2BA2"/>
    <w:rsid w:val="001F63CA"/>
    <w:rsid w:val="001F74A9"/>
    <w:rsid w:val="001F7A8B"/>
    <w:rsid w:val="001F7BC1"/>
    <w:rsid w:val="0020068C"/>
    <w:rsid w:val="00201E4E"/>
    <w:rsid w:val="00202E44"/>
    <w:rsid w:val="002035C1"/>
    <w:rsid w:val="00203623"/>
    <w:rsid w:val="00204B6F"/>
    <w:rsid w:val="00206FDD"/>
    <w:rsid w:val="002077F0"/>
    <w:rsid w:val="002111FF"/>
    <w:rsid w:val="002116BC"/>
    <w:rsid w:val="002127E0"/>
    <w:rsid w:val="00212C09"/>
    <w:rsid w:val="002130FB"/>
    <w:rsid w:val="00213236"/>
    <w:rsid w:val="00213BCE"/>
    <w:rsid w:val="00217316"/>
    <w:rsid w:val="00220995"/>
    <w:rsid w:val="002215DD"/>
    <w:rsid w:val="002221CE"/>
    <w:rsid w:val="0022396B"/>
    <w:rsid w:val="00223FE3"/>
    <w:rsid w:val="00224343"/>
    <w:rsid w:val="00224BE9"/>
    <w:rsid w:val="002255B6"/>
    <w:rsid w:val="0022758B"/>
    <w:rsid w:val="002278C0"/>
    <w:rsid w:val="0023017A"/>
    <w:rsid w:val="00231402"/>
    <w:rsid w:val="00231A23"/>
    <w:rsid w:val="002321CC"/>
    <w:rsid w:val="00233DB2"/>
    <w:rsid w:val="00236830"/>
    <w:rsid w:val="00236B24"/>
    <w:rsid w:val="002371E7"/>
    <w:rsid w:val="00237DF7"/>
    <w:rsid w:val="00240092"/>
    <w:rsid w:val="00240369"/>
    <w:rsid w:val="00240451"/>
    <w:rsid w:val="00240629"/>
    <w:rsid w:val="00241756"/>
    <w:rsid w:val="00241C0C"/>
    <w:rsid w:val="0024649D"/>
    <w:rsid w:val="00246A3C"/>
    <w:rsid w:val="00246AFE"/>
    <w:rsid w:val="00252BB1"/>
    <w:rsid w:val="002534DD"/>
    <w:rsid w:val="002549FB"/>
    <w:rsid w:val="00254B68"/>
    <w:rsid w:val="00255277"/>
    <w:rsid w:val="00256853"/>
    <w:rsid w:val="00257016"/>
    <w:rsid w:val="0025716E"/>
    <w:rsid w:val="00257185"/>
    <w:rsid w:val="0025779C"/>
    <w:rsid w:val="00260195"/>
    <w:rsid w:val="002606A1"/>
    <w:rsid w:val="0026091D"/>
    <w:rsid w:val="00260A59"/>
    <w:rsid w:val="0026192C"/>
    <w:rsid w:val="002657B1"/>
    <w:rsid w:val="00265F20"/>
    <w:rsid w:val="00266B1C"/>
    <w:rsid w:val="00266B9F"/>
    <w:rsid w:val="00266EBD"/>
    <w:rsid w:val="002723E7"/>
    <w:rsid w:val="0027338B"/>
    <w:rsid w:val="002737CB"/>
    <w:rsid w:val="0027386B"/>
    <w:rsid w:val="002749EC"/>
    <w:rsid w:val="0027688D"/>
    <w:rsid w:val="00277027"/>
    <w:rsid w:val="00277A0E"/>
    <w:rsid w:val="00282B1E"/>
    <w:rsid w:val="002851BC"/>
    <w:rsid w:val="002858DE"/>
    <w:rsid w:val="00286545"/>
    <w:rsid w:val="00287185"/>
    <w:rsid w:val="00290549"/>
    <w:rsid w:val="00293248"/>
    <w:rsid w:val="002932C7"/>
    <w:rsid w:val="0029395E"/>
    <w:rsid w:val="00293B57"/>
    <w:rsid w:val="00294FB4"/>
    <w:rsid w:val="0029711D"/>
    <w:rsid w:val="002A33F4"/>
    <w:rsid w:val="002A3BD2"/>
    <w:rsid w:val="002A47EA"/>
    <w:rsid w:val="002A484D"/>
    <w:rsid w:val="002A60F8"/>
    <w:rsid w:val="002A7173"/>
    <w:rsid w:val="002A718B"/>
    <w:rsid w:val="002A76B1"/>
    <w:rsid w:val="002A79E3"/>
    <w:rsid w:val="002A7AB9"/>
    <w:rsid w:val="002A7BAB"/>
    <w:rsid w:val="002A7F30"/>
    <w:rsid w:val="002B09A6"/>
    <w:rsid w:val="002B14A3"/>
    <w:rsid w:val="002B3608"/>
    <w:rsid w:val="002B3B6A"/>
    <w:rsid w:val="002B77BD"/>
    <w:rsid w:val="002B7BE8"/>
    <w:rsid w:val="002C00F0"/>
    <w:rsid w:val="002C13A8"/>
    <w:rsid w:val="002C23BE"/>
    <w:rsid w:val="002C294B"/>
    <w:rsid w:val="002C4256"/>
    <w:rsid w:val="002C4FE0"/>
    <w:rsid w:val="002C5432"/>
    <w:rsid w:val="002C58D5"/>
    <w:rsid w:val="002C6AE6"/>
    <w:rsid w:val="002C76AF"/>
    <w:rsid w:val="002D4F92"/>
    <w:rsid w:val="002D6899"/>
    <w:rsid w:val="002D6A2F"/>
    <w:rsid w:val="002D6E5D"/>
    <w:rsid w:val="002D7AA3"/>
    <w:rsid w:val="002E1953"/>
    <w:rsid w:val="002E1D11"/>
    <w:rsid w:val="002E2457"/>
    <w:rsid w:val="002E332A"/>
    <w:rsid w:val="002E5CC0"/>
    <w:rsid w:val="002E74C6"/>
    <w:rsid w:val="002E7EAA"/>
    <w:rsid w:val="002F0CEA"/>
    <w:rsid w:val="002F12F6"/>
    <w:rsid w:val="002F2BB5"/>
    <w:rsid w:val="002F2FFC"/>
    <w:rsid w:val="002F346D"/>
    <w:rsid w:val="002F3715"/>
    <w:rsid w:val="002F3743"/>
    <w:rsid w:val="002F75AD"/>
    <w:rsid w:val="00300887"/>
    <w:rsid w:val="003025DC"/>
    <w:rsid w:val="00303D2F"/>
    <w:rsid w:val="00305359"/>
    <w:rsid w:val="00311E2A"/>
    <w:rsid w:val="00311EFA"/>
    <w:rsid w:val="00312D94"/>
    <w:rsid w:val="00313766"/>
    <w:rsid w:val="00313D10"/>
    <w:rsid w:val="0031405B"/>
    <w:rsid w:val="00315C21"/>
    <w:rsid w:val="00315FC7"/>
    <w:rsid w:val="0031778E"/>
    <w:rsid w:val="00317EAA"/>
    <w:rsid w:val="00323EDE"/>
    <w:rsid w:val="0032564B"/>
    <w:rsid w:val="0032642C"/>
    <w:rsid w:val="0032791E"/>
    <w:rsid w:val="0033002C"/>
    <w:rsid w:val="0033043E"/>
    <w:rsid w:val="00331B11"/>
    <w:rsid w:val="0033274E"/>
    <w:rsid w:val="00335984"/>
    <w:rsid w:val="003361C2"/>
    <w:rsid w:val="003363E5"/>
    <w:rsid w:val="0033698F"/>
    <w:rsid w:val="00340928"/>
    <w:rsid w:val="0034177F"/>
    <w:rsid w:val="00341AA7"/>
    <w:rsid w:val="0034213E"/>
    <w:rsid w:val="00351ECC"/>
    <w:rsid w:val="00353B0E"/>
    <w:rsid w:val="00354E91"/>
    <w:rsid w:val="0035644E"/>
    <w:rsid w:val="00356CA6"/>
    <w:rsid w:val="00356E2C"/>
    <w:rsid w:val="0035723F"/>
    <w:rsid w:val="00357B04"/>
    <w:rsid w:val="003620F5"/>
    <w:rsid w:val="0036261D"/>
    <w:rsid w:val="003627B6"/>
    <w:rsid w:val="00363219"/>
    <w:rsid w:val="003636D2"/>
    <w:rsid w:val="003637C9"/>
    <w:rsid w:val="00363A6B"/>
    <w:rsid w:val="00364DBE"/>
    <w:rsid w:val="00364E9A"/>
    <w:rsid w:val="003666D8"/>
    <w:rsid w:val="00366766"/>
    <w:rsid w:val="003710AB"/>
    <w:rsid w:val="003712AE"/>
    <w:rsid w:val="003739EF"/>
    <w:rsid w:val="00374447"/>
    <w:rsid w:val="003748B6"/>
    <w:rsid w:val="00375961"/>
    <w:rsid w:val="00375E8B"/>
    <w:rsid w:val="00375EE6"/>
    <w:rsid w:val="00375F0A"/>
    <w:rsid w:val="00375FB0"/>
    <w:rsid w:val="003766F8"/>
    <w:rsid w:val="00381E8B"/>
    <w:rsid w:val="003824B6"/>
    <w:rsid w:val="0038447E"/>
    <w:rsid w:val="00384D74"/>
    <w:rsid w:val="00385BF1"/>
    <w:rsid w:val="00387A7B"/>
    <w:rsid w:val="00390691"/>
    <w:rsid w:val="00390CAA"/>
    <w:rsid w:val="00390E36"/>
    <w:rsid w:val="00391C20"/>
    <w:rsid w:val="00392671"/>
    <w:rsid w:val="003932E2"/>
    <w:rsid w:val="00395DC9"/>
    <w:rsid w:val="00397E75"/>
    <w:rsid w:val="003A08B7"/>
    <w:rsid w:val="003A22B2"/>
    <w:rsid w:val="003A28CA"/>
    <w:rsid w:val="003A3422"/>
    <w:rsid w:val="003A35B4"/>
    <w:rsid w:val="003A4664"/>
    <w:rsid w:val="003A477C"/>
    <w:rsid w:val="003A4BA2"/>
    <w:rsid w:val="003A5592"/>
    <w:rsid w:val="003A55E8"/>
    <w:rsid w:val="003A5D42"/>
    <w:rsid w:val="003A758D"/>
    <w:rsid w:val="003B3208"/>
    <w:rsid w:val="003B41E5"/>
    <w:rsid w:val="003B5DCB"/>
    <w:rsid w:val="003B663E"/>
    <w:rsid w:val="003B68A4"/>
    <w:rsid w:val="003C03E2"/>
    <w:rsid w:val="003C0736"/>
    <w:rsid w:val="003C29A5"/>
    <w:rsid w:val="003C3465"/>
    <w:rsid w:val="003C3E55"/>
    <w:rsid w:val="003C3EC8"/>
    <w:rsid w:val="003C4666"/>
    <w:rsid w:val="003C4EBD"/>
    <w:rsid w:val="003C57EC"/>
    <w:rsid w:val="003C6091"/>
    <w:rsid w:val="003C71AE"/>
    <w:rsid w:val="003C722A"/>
    <w:rsid w:val="003D0100"/>
    <w:rsid w:val="003D0D8A"/>
    <w:rsid w:val="003D0E5B"/>
    <w:rsid w:val="003D1D4F"/>
    <w:rsid w:val="003D2146"/>
    <w:rsid w:val="003D3B91"/>
    <w:rsid w:val="003D5173"/>
    <w:rsid w:val="003D623A"/>
    <w:rsid w:val="003D7C8B"/>
    <w:rsid w:val="003E0610"/>
    <w:rsid w:val="003E10A3"/>
    <w:rsid w:val="003E175A"/>
    <w:rsid w:val="003E224C"/>
    <w:rsid w:val="003E2463"/>
    <w:rsid w:val="003E38C7"/>
    <w:rsid w:val="003E574E"/>
    <w:rsid w:val="003E65EA"/>
    <w:rsid w:val="003F0D63"/>
    <w:rsid w:val="003F1274"/>
    <w:rsid w:val="003F26CF"/>
    <w:rsid w:val="003F2C07"/>
    <w:rsid w:val="003F3B4E"/>
    <w:rsid w:val="003F3D19"/>
    <w:rsid w:val="003F40C7"/>
    <w:rsid w:val="003F5DD3"/>
    <w:rsid w:val="00400F83"/>
    <w:rsid w:val="00402E46"/>
    <w:rsid w:val="0040411C"/>
    <w:rsid w:val="004043A0"/>
    <w:rsid w:val="00406E3A"/>
    <w:rsid w:val="00406F8F"/>
    <w:rsid w:val="00407110"/>
    <w:rsid w:val="00410EAA"/>
    <w:rsid w:val="00412ADA"/>
    <w:rsid w:val="0041362C"/>
    <w:rsid w:val="00414164"/>
    <w:rsid w:val="0041449D"/>
    <w:rsid w:val="00415560"/>
    <w:rsid w:val="004176B6"/>
    <w:rsid w:val="004176D7"/>
    <w:rsid w:val="00417A90"/>
    <w:rsid w:val="0042162F"/>
    <w:rsid w:val="00421F32"/>
    <w:rsid w:val="004241B3"/>
    <w:rsid w:val="0042599E"/>
    <w:rsid w:val="00426281"/>
    <w:rsid w:val="0043353E"/>
    <w:rsid w:val="00433836"/>
    <w:rsid w:val="00435F73"/>
    <w:rsid w:val="00436DAE"/>
    <w:rsid w:val="0043783E"/>
    <w:rsid w:val="00437BE6"/>
    <w:rsid w:val="004440D8"/>
    <w:rsid w:val="00444A19"/>
    <w:rsid w:val="00445A8A"/>
    <w:rsid w:val="00451FED"/>
    <w:rsid w:val="00452B4D"/>
    <w:rsid w:val="0045300B"/>
    <w:rsid w:val="004530F0"/>
    <w:rsid w:val="004534F9"/>
    <w:rsid w:val="00455773"/>
    <w:rsid w:val="004562B8"/>
    <w:rsid w:val="00456B3F"/>
    <w:rsid w:val="00456E46"/>
    <w:rsid w:val="00457773"/>
    <w:rsid w:val="00457B79"/>
    <w:rsid w:val="004609AA"/>
    <w:rsid w:val="00460CF8"/>
    <w:rsid w:val="00463585"/>
    <w:rsid w:val="00464062"/>
    <w:rsid w:val="00464550"/>
    <w:rsid w:val="00464926"/>
    <w:rsid w:val="00465480"/>
    <w:rsid w:val="004706A5"/>
    <w:rsid w:val="004708E8"/>
    <w:rsid w:val="0047096C"/>
    <w:rsid w:val="00470E26"/>
    <w:rsid w:val="0047192A"/>
    <w:rsid w:val="00472364"/>
    <w:rsid w:val="00473584"/>
    <w:rsid w:val="00473F52"/>
    <w:rsid w:val="00475547"/>
    <w:rsid w:val="00475B3D"/>
    <w:rsid w:val="0047780E"/>
    <w:rsid w:val="00480C23"/>
    <w:rsid w:val="00481C3C"/>
    <w:rsid w:val="004821A5"/>
    <w:rsid w:val="0048477A"/>
    <w:rsid w:val="00484C52"/>
    <w:rsid w:val="004857A1"/>
    <w:rsid w:val="00486730"/>
    <w:rsid w:val="00491B5E"/>
    <w:rsid w:val="00493151"/>
    <w:rsid w:val="00493D64"/>
    <w:rsid w:val="0049421A"/>
    <w:rsid w:val="00494778"/>
    <w:rsid w:val="0049610B"/>
    <w:rsid w:val="004A01B8"/>
    <w:rsid w:val="004A1338"/>
    <w:rsid w:val="004A27C0"/>
    <w:rsid w:val="004A3001"/>
    <w:rsid w:val="004A3120"/>
    <w:rsid w:val="004A3EF1"/>
    <w:rsid w:val="004A3EFE"/>
    <w:rsid w:val="004A59DA"/>
    <w:rsid w:val="004A72EE"/>
    <w:rsid w:val="004A7F20"/>
    <w:rsid w:val="004B0526"/>
    <w:rsid w:val="004B09B0"/>
    <w:rsid w:val="004B27F3"/>
    <w:rsid w:val="004B2B3D"/>
    <w:rsid w:val="004B3347"/>
    <w:rsid w:val="004B3E3E"/>
    <w:rsid w:val="004B4C46"/>
    <w:rsid w:val="004B633E"/>
    <w:rsid w:val="004B6894"/>
    <w:rsid w:val="004C1951"/>
    <w:rsid w:val="004C4482"/>
    <w:rsid w:val="004C742B"/>
    <w:rsid w:val="004D0F54"/>
    <w:rsid w:val="004D19DE"/>
    <w:rsid w:val="004D287A"/>
    <w:rsid w:val="004D2957"/>
    <w:rsid w:val="004D3AD9"/>
    <w:rsid w:val="004D3EFA"/>
    <w:rsid w:val="004D442C"/>
    <w:rsid w:val="004D69C5"/>
    <w:rsid w:val="004D7B4D"/>
    <w:rsid w:val="004E053C"/>
    <w:rsid w:val="004E0F0D"/>
    <w:rsid w:val="004E19ED"/>
    <w:rsid w:val="004E4BB5"/>
    <w:rsid w:val="004E5F90"/>
    <w:rsid w:val="004E7271"/>
    <w:rsid w:val="004E7811"/>
    <w:rsid w:val="004E7EFC"/>
    <w:rsid w:val="004F01C2"/>
    <w:rsid w:val="004F07D9"/>
    <w:rsid w:val="004F1E34"/>
    <w:rsid w:val="004F2501"/>
    <w:rsid w:val="004F3020"/>
    <w:rsid w:val="004F58C8"/>
    <w:rsid w:val="004F632A"/>
    <w:rsid w:val="004F6524"/>
    <w:rsid w:val="004F6B89"/>
    <w:rsid w:val="00502226"/>
    <w:rsid w:val="0050346A"/>
    <w:rsid w:val="005043E2"/>
    <w:rsid w:val="00504B6B"/>
    <w:rsid w:val="0051011B"/>
    <w:rsid w:val="00511ADD"/>
    <w:rsid w:val="00513113"/>
    <w:rsid w:val="00514211"/>
    <w:rsid w:val="00515D48"/>
    <w:rsid w:val="00516970"/>
    <w:rsid w:val="0051766A"/>
    <w:rsid w:val="00517C60"/>
    <w:rsid w:val="00517F61"/>
    <w:rsid w:val="005212B7"/>
    <w:rsid w:val="005217E9"/>
    <w:rsid w:val="00522E07"/>
    <w:rsid w:val="005244BA"/>
    <w:rsid w:val="005252FE"/>
    <w:rsid w:val="00525C87"/>
    <w:rsid w:val="0052626E"/>
    <w:rsid w:val="00526744"/>
    <w:rsid w:val="00530BE4"/>
    <w:rsid w:val="00530DE8"/>
    <w:rsid w:val="00531DD9"/>
    <w:rsid w:val="00533C80"/>
    <w:rsid w:val="005365C3"/>
    <w:rsid w:val="005401A1"/>
    <w:rsid w:val="00541E9C"/>
    <w:rsid w:val="00542D3C"/>
    <w:rsid w:val="00543313"/>
    <w:rsid w:val="0054377D"/>
    <w:rsid w:val="00544273"/>
    <w:rsid w:val="0054500A"/>
    <w:rsid w:val="0054505F"/>
    <w:rsid w:val="00546907"/>
    <w:rsid w:val="00551837"/>
    <w:rsid w:val="005527DD"/>
    <w:rsid w:val="005533C3"/>
    <w:rsid w:val="0055536C"/>
    <w:rsid w:val="00560EC8"/>
    <w:rsid w:val="00561962"/>
    <w:rsid w:val="00562178"/>
    <w:rsid w:val="005628C9"/>
    <w:rsid w:val="005640BC"/>
    <w:rsid w:val="005647E2"/>
    <w:rsid w:val="00565082"/>
    <w:rsid w:val="00565C53"/>
    <w:rsid w:val="005661FB"/>
    <w:rsid w:val="0056751A"/>
    <w:rsid w:val="00570C82"/>
    <w:rsid w:val="00572CF7"/>
    <w:rsid w:val="0057339C"/>
    <w:rsid w:val="00574ED1"/>
    <w:rsid w:val="00576033"/>
    <w:rsid w:val="005768CD"/>
    <w:rsid w:val="00576FAF"/>
    <w:rsid w:val="0057795D"/>
    <w:rsid w:val="00581079"/>
    <w:rsid w:val="00582ABE"/>
    <w:rsid w:val="005850C4"/>
    <w:rsid w:val="005850CA"/>
    <w:rsid w:val="00585600"/>
    <w:rsid w:val="00585BA1"/>
    <w:rsid w:val="0058777A"/>
    <w:rsid w:val="00591AD1"/>
    <w:rsid w:val="0059261C"/>
    <w:rsid w:val="00594BFD"/>
    <w:rsid w:val="005956E6"/>
    <w:rsid w:val="00597EA4"/>
    <w:rsid w:val="005A333E"/>
    <w:rsid w:val="005A4279"/>
    <w:rsid w:val="005B2DAF"/>
    <w:rsid w:val="005B3CB8"/>
    <w:rsid w:val="005B5F62"/>
    <w:rsid w:val="005B6AF9"/>
    <w:rsid w:val="005C0844"/>
    <w:rsid w:val="005C38EE"/>
    <w:rsid w:val="005C5ABA"/>
    <w:rsid w:val="005C6ACC"/>
    <w:rsid w:val="005D0B08"/>
    <w:rsid w:val="005D2EEB"/>
    <w:rsid w:val="005D31A6"/>
    <w:rsid w:val="005D4C47"/>
    <w:rsid w:val="005D4D8C"/>
    <w:rsid w:val="005D4E60"/>
    <w:rsid w:val="005D703E"/>
    <w:rsid w:val="005D7668"/>
    <w:rsid w:val="005D7AC4"/>
    <w:rsid w:val="005E2C58"/>
    <w:rsid w:val="005E2DB7"/>
    <w:rsid w:val="005E3583"/>
    <w:rsid w:val="005E3970"/>
    <w:rsid w:val="005E4553"/>
    <w:rsid w:val="005E572D"/>
    <w:rsid w:val="005E588A"/>
    <w:rsid w:val="005E7587"/>
    <w:rsid w:val="005F0DCC"/>
    <w:rsid w:val="005F0EE4"/>
    <w:rsid w:val="005F1D6A"/>
    <w:rsid w:val="005F67D3"/>
    <w:rsid w:val="005F7500"/>
    <w:rsid w:val="0060034B"/>
    <w:rsid w:val="00600D0B"/>
    <w:rsid w:val="00601394"/>
    <w:rsid w:val="00601CEF"/>
    <w:rsid w:val="00606537"/>
    <w:rsid w:val="006072AC"/>
    <w:rsid w:val="006111A0"/>
    <w:rsid w:val="00611BA2"/>
    <w:rsid w:val="006156A2"/>
    <w:rsid w:val="006158A2"/>
    <w:rsid w:val="00615B17"/>
    <w:rsid w:val="006172B6"/>
    <w:rsid w:val="00620BB5"/>
    <w:rsid w:val="00624D55"/>
    <w:rsid w:val="006252E8"/>
    <w:rsid w:val="0062663B"/>
    <w:rsid w:val="00626C5C"/>
    <w:rsid w:val="00627263"/>
    <w:rsid w:val="00631222"/>
    <w:rsid w:val="00631BC5"/>
    <w:rsid w:val="00632BEF"/>
    <w:rsid w:val="00633F5B"/>
    <w:rsid w:val="006340F9"/>
    <w:rsid w:val="00636641"/>
    <w:rsid w:val="00640F25"/>
    <w:rsid w:val="0064152E"/>
    <w:rsid w:val="00642CAC"/>
    <w:rsid w:val="00643428"/>
    <w:rsid w:val="00644821"/>
    <w:rsid w:val="006449C0"/>
    <w:rsid w:val="006454E5"/>
    <w:rsid w:val="006461EA"/>
    <w:rsid w:val="006473BD"/>
    <w:rsid w:val="006475B2"/>
    <w:rsid w:val="00647E0A"/>
    <w:rsid w:val="00650C0F"/>
    <w:rsid w:val="006516AF"/>
    <w:rsid w:val="00653891"/>
    <w:rsid w:val="0065416A"/>
    <w:rsid w:val="00655033"/>
    <w:rsid w:val="006572D1"/>
    <w:rsid w:val="00661ADB"/>
    <w:rsid w:val="00661F7E"/>
    <w:rsid w:val="006639BD"/>
    <w:rsid w:val="00664129"/>
    <w:rsid w:val="006641BF"/>
    <w:rsid w:val="006647D8"/>
    <w:rsid w:val="00665903"/>
    <w:rsid w:val="0066670F"/>
    <w:rsid w:val="00670DD0"/>
    <w:rsid w:val="006715AC"/>
    <w:rsid w:val="00672EEB"/>
    <w:rsid w:val="00674706"/>
    <w:rsid w:val="00676E34"/>
    <w:rsid w:val="00680892"/>
    <w:rsid w:val="006809D7"/>
    <w:rsid w:val="00681618"/>
    <w:rsid w:val="00682C0B"/>
    <w:rsid w:val="006834EA"/>
    <w:rsid w:val="00683AE3"/>
    <w:rsid w:val="00684BF0"/>
    <w:rsid w:val="00684D2E"/>
    <w:rsid w:val="00684F0A"/>
    <w:rsid w:val="00685E13"/>
    <w:rsid w:val="006903EE"/>
    <w:rsid w:val="00692FEE"/>
    <w:rsid w:val="0069439F"/>
    <w:rsid w:val="00695F6B"/>
    <w:rsid w:val="0069704A"/>
    <w:rsid w:val="0069742F"/>
    <w:rsid w:val="00697A46"/>
    <w:rsid w:val="006A0077"/>
    <w:rsid w:val="006A0FAC"/>
    <w:rsid w:val="006A11DC"/>
    <w:rsid w:val="006A4052"/>
    <w:rsid w:val="006A4120"/>
    <w:rsid w:val="006A5AD7"/>
    <w:rsid w:val="006A67DD"/>
    <w:rsid w:val="006A7145"/>
    <w:rsid w:val="006B12E4"/>
    <w:rsid w:val="006B391A"/>
    <w:rsid w:val="006B5534"/>
    <w:rsid w:val="006B6291"/>
    <w:rsid w:val="006B7EBF"/>
    <w:rsid w:val="006C1D66"/>
    <w:rsid w:val="006C4566"/>
    <w:rsid w:val="006C572D"/>
    <w:rsid w:val="006C65C7"/>
    <w:rsid w:val="006C6E6A"/>
    <w:rsid w:val="006C70AE"/>
    <w:rsid w:val="006D136C"/>
    <w:rsid w:val="006D2D42"/>
    <w:rsid w:val="006D3832"/>
    <w:rsid w:val="006D60F7"/>
    <w:rsid w:val="006D741E"/>
    <w:rsid w:val="006D7E9D"/>
    <w:rsid w:val="006E01F6"/>
    <w:rsid w:val="006E0EEF"/>
    <w:rsid w:val="006E191D"/>
    <w:rsid w:val="006E296C"/>
    <w:rsid w:val="006E669C"/>
    <w:rsid w:val="006E68FE"/>
    <w:rsid w:val="006F0FCE"/>
    <w:rsid w:val="006F1973"/>
    <w:rsid w:val="006F1B73"/>
    <w:rsid w:val="006F3349"/>
    <w:rsid w:val="006F37F0"/>
    <w:rsid w:val="006F3B1A"/>
    <w:rsid w:val="006F4498"/>
    <w:rsid w:val="006F490A"/>
    <w:rsid w:val="006F6757"/>
    <w:rsid w:val="006F72E5"/>
    <w:rsid w:val="006F7330"/>
    <w:rsid w:val="007020ED"/>
    <w:rsid w:val="00702B6D"/>
    <w:rsid w:val="00703A11"/>
    <w:rsid w:val="007129A1"/>
    <w:rsid w:val="0071388D"/>
    <w:rsid w:val="00713CC4"/>
    <w:rsid w:val="00714239"/>
    <w:rsid w:val="00715866"/>
    <w:rsid w:val="00715C0C"/>
    <w:rsid w:val="00715E61"/>
    <w:rsid w:val="007168E5"/>
    <w:rsid w:val="00720BFB"/>
    <w:rsid w:val="00721C60"/>
    <w:rsid w:val="007228C3"/>
    <w:rsid w:val="00723B32"/>
    <w:rsid w:val="00725311"/>
    <w:rsid w:val="00726B5F"/>
    <w:rsid w:val="007273FC"/>
    <w:rsid w:val="00727674"/>
    <w:rsid w:val="00730FD9"/>
    <w:rsid w:val="00731BAA"/>
    <w:rsid w:val="007324D5"/>
    <w:rsid w:val="00732E35"/>
    <w:rsid w:val="00732FB9"/>
    <w:rsid w:val="00737FA8"/>
    <w:rsid w:val="0074018B"/>
    <w:rsid w:val="0074032A"/>
    <w:rsid w:val="00742AF4"/>
    <w:rsid w:val="00742DEF"/>
    <w:rsid w:val="0074372D"/>
    <w:rsid w:val="00745635"/>
    <w:rsid w:val="007458DA"/>
    <w:rsid w:val="007459EC"/>
    <w:rsid w:val="00745BB2"/>
    <w:rsid w:val="00750815"/>
    <w:rsid w:val="007531E8"/>
    <w:rsid w:val="00754497"/>
    <w:rsid w:val="007552B2"/>
    <w:rsid w:val="007555B6"/>
    <w:rsid w:val="00755859"/>
    <w:rsid w:val="00755EB9"/>
    <w:rsid w:val="007570BC"/>
    <w:rsid w:val="00760196"/>
    <w:rsid w:val="00760F1B"/>
    <w:rsid w:val="00761ADC"/>
    <w:rsid w:val="00762C4E"/>
    <w:rsid w:val="00764CF8"/>
    <w:rsid w:val="007668C1"/>
    <w:rsid w:val="00767BAA"/>
    <w:rsid w:val="00771E28"/>
    <w:rsid w:val="00772A30"/>
    <w:rsid w:val="007730D9"/>
    <w:rsid w:val="00773365"/>
    <w:rsid w:val="007746D7"/>
    <w:rsid w:val="0077574B"/>
    <w:rsid w:val="0077618A"/>
    <w:rsid w:val="007762FC"/>
    <w:rsid w:val="007767C5"/>
    <w:rsid w:val="007778F0"/>
    <w:rsid w:val="00777EE1"/>
    <w:rsid w:val="0078064F"/>
    <w:rsid w:val="00780AE6"/>
    <w:rsid w:val="00780FA8"/>
    <w:rsid w:val="00781270"/>
    <w:rsid w:val="0078143E"/>
    <w:rsid w:val="00781E91"/>
    <w:rsid w:val="0078274D"/>
    <w:rsid w:val="0078364F"/>
    <w:rsid w:val="007840C9"/>
    <w:rsid w:val="00784F2E"/>
    <w:rsid w:val="007857AB"/>
    <w:rsid w:val="007874F5"/>
    <w:rsid w:val="00790819"/>
    <w:rsid w:val="00790EC3"/>
    <w:rsid w:val="00792218"/>
    <w:rsid w:val="0079239D"/>
    <w:rsid w:val="00793046"/>
    <w:rsid w:val="007948FC"/>
    <w:rsid w:val="00796957"/>
    <w:rsid w:val="0079741D"/>
    <w:rsid w:val="00797CED"/>
    <w:rsid w:val="007A4076"/>
    <w:rsid w:val="007A425E"/>
    <w:rsid w:val="007A5451"/>
    <w:rsid w:val="007A62DD"/>
    <w:rsid w:val="007A6419"/>
    <w:rsid w:val="007A757C"/>
    <w:rsid w:val="007A7DCE"/>
    <w:rsid w:val="007B1665"/>
    <w:rsid w:val="007B19FE"/>
    <w:rsid w:val="007B21CF"/>
    <w:rsid w:val="007B348D"/>
    <w:rsid w:val="007B4158"/>
    <w:rsid w:val="007B4814"/>
    <w:rsid w:val="007B4C06"/>
    <w:rsid w:val="007B529C"/>
    <w:rsid w:val="007B5A28"/>
    <w:rsid w:val="007B68F1"/>
    <w:rsid w:val="007B7C36"/>
    <w:rsid w:val="007C03C9"/>
    <w:rsid w:val="007C0E40"/>
    <w:rsid w:val="007C2BB7"/>
    <w:rsid w:val="007C3996"/>
    <w:rsid w:val="007C47CA"/>
    <w:rsid w:val="007C4E1E"/>
    <w:rsid w:val="007C519D"/>
    <w:rsid w:val="007D1DF3"/>
    <w:rsid w:val="007D3B19"/>
    <w:rsid w:val="007D48B5"/>
    <w:rsid w:val="007D51F1"/>
    <w:rsid w:val="007D6AC0"/>
    <w:rsid w:val="007D6DD4"/>
    <w:rsid w:val="007D7D73"/>
    <w:rsid w:val="007E020D"/>
    <w:rsid w:val="007E07E5"/>
    <w:rsid w:val="007E0A18"/>
    <w:rsid w:val="007E6EF2"/>
    <w:rsid w:val="007E7606"/>
    <w:rsid w:val="007F0CCA"/>
    <w:rsid w:val="007F11D8"/>
    <w:rsid w:val="007F1385"/>
    <w:rsid w:val="007F1856"/>
    <w:rsid w:val="007F1BBD"/>
    <w:rsid w:val="007F27D0"/>
    <w:rsid w:val="007F6059"/>
    <w:rsid w:val="007F6E9E"/>
    <w:rsid w:val="007F78A0"/>
    <w:rsid w:val="007F7D69"/>
    <w:rsid w:val="008013F5"/>
    <w:rsid w:val="008015D4"/>
    <w:rsid w:val="00803CFF"/>
    <w:rsid w:val="00804772"/>
    <w:rsid w:val="0080759E"/>
    <w:rsid w:val="00811043"/>
    <w:rsid w:val="008127FD"/>
    <w:rsid w:val="0081283D"/>
    <w:rsid w:val="008135B5"/>
    <w:rsid w:val="00813973"/>
    <w:rsid w:val="00813A88"/>
    <w:rsid w:val="00815B47"/>
    <w:rsid w:val="008179C6"/>
    <w:rsid w:val="00817C78"/>
    <w:rsid w:val="00824201"/>
    <w:rsid w:val="00824C84"/>
    <w:rsid w:val="00830084"/>
    <w:rsid w:val="008300B6"/>
    <w:rsid w:val="008317C7"/>
    <w:rsid w:val="00831F41"/>
    <w:rsid w:val="008322CD"/>
    <w:rsid w:val="0083356B"/>
    <w:rsid w:val="00833595"/>
    <w:rsid w:val="008348AE"/>
    <w:rsid w:val="00834AED"/>
    <w:rsid w:val="00834EED"/>
    <w:rsid w:val="00835907"/>
    <w:rsid w:val="00835A1C"/>
    <w:rsid w:val="00840873"/>
    <w:rsid w:val="008410D4"/>
    <w:rsid w:val="00841156"/>
    <w:rsid w:val="0084178D"/>
    <w:rsid w:val="0084290B"/>
    <w:rsid w:val="008433BB"/>
    <w:rsid w:val="0084363F"/>
    <w:rsid w:val="00843BA2"/>
    <w:rsid w:val="00843DED"/>
    <w:rsid w:val="0084446D"/>
    <w:rsid w:val="00844FD6"/>
    <w:rsid w:val="008455A1"/>
    <w:rsid w:val="00845F5C"/>
    <w:rsid w:val="00846492"/>
    <w:rsid w:val="00846B4C"/>
    <w:rsid w:val="00846B60"/>
    <w:rsid w:val="008503BC"/>
    <w:rsid w:val="00850568"/>
    <w:rsid w:val="00852C98"/>
    <w:rsid w:val="00852DD6"/>
    <w:rsid w:val="00852FF1"/>
    <w:rsid w:val="0085421D"/>
    <w:rsid w:val="008549D1"/>
    <w:rsid w:val="00855319"/>
    <w:rsid w:val="008557C6"/>
    <w:rsid w:val="0085678C"/>
    <w:rsid w:val="00857678"/>
    <w:rsid w:val="008607EA"/>
    <w:rsid w:val="00860B99"/>
    <w:rsid w:val="00860D09"/>
    <w:rsid w:val="00860D12"/>
    <w:rsid w:val="00860E19"/>
    <w:rsid w:val="00864AFF"/>
    <w:rsid w:val="0086728F"/>
    <w:rsid w:val="008678D3"/>
    <w:rsid w:val="008701D6"/>
    <w:rsid w:val="008703D3"/>
    <w:rsid w:val="00871587"/>
    <w:rsid w:val="00871DD3"/>
    <w:rsid w:val="008723AB"/>
    <w:rsid w:val="008724D3"/>
    <w:rsid w:val="00872FFE"/>
    <w:rsid w:val="00873424"/>
    <w:rsid w:val="00874562"/>
    <w:rsid w:val="00874906"/>
    <w:rsid w:val="00876D75"/>
    <w:rsid w:val="008804C9"/>
    <w:rsid w:val="008808BD"/>
    <w:rsid w:val="00882964"/>
    <w:rsid w:val="00885193"/>
    <w:rsid w:val="008857F9"/>
    <w:rsid w:val="00885CB5"/>
    <w:rsid w:val="00894DE4"/>
    <w:rsid w:val="008A0358"/>
    <w:rsid w:val="008A1E6F"/>
    <w:rsid w:val="008A3DAE"/>
    <w:rsid w:val="008A5950"/>
    <w:rsid w:val="008A596A"/>
    <w:rsid w:val="008A59ED"/>
    <w:rsid w:val="008B1129"/>
    <w:rsid w:val="008B2B24"/>
    <w:rsid w:val="008B2D38"/>
    <w:rsid w:val="008B43B4"/>
    <w:rsid w:val="008B4E0E"/>
    <w:rsid w:val="008B7ADE"/>
    <w:rsid w:val="008C0D1D"/>
    <w:rsid w:val="008C32ED"/>
    <w:rsid w:val="008C405D"/>
    <w:rsid w:val="008C4BCB"/>
    <w:rsid w:val="008C68C5"/>
    <w:rsid w:val="008D060B"/>
    <w:rsid w:val="008D0809"/>
    <w:rsid w:val="008D222E"/>
    <w:rsid w:val="008D2C78"/>
    <w:rsid w:val="008D34FC"/>
    <w:rsid w:val="008D39F2"/>
    <w:rsid w:val="008E006F"/>
    <w:rsid w:val="008E1E2E"/>
    <w:rsid w:val="008E34D5"/>
    <w:rsid w:val="008E3918"/>
    <w:rsid w:val="008E4862"/>
    <w:rsid w:val="008E7165"/>
    <w:rsid w:val="008E72E2"/>
    <w:rsid w:val="008E7BFB"/>
    <w:rsid w:val="008E7FCE"/>
    <w:rsid w:val="008F22B9"/>
    <w:rsid w:val="008F2C11"/>
    <w:rsid w:val="008F2CC7"/>
    <w:rsid w:val="008F2F5C"/>
    <w:rsid w:val="008F2F8F"/>
    <w:rsid w:val="008F40BC"/>
    <w:rsid w:val="008F5D01"/>
    <w:rsid w:val="009003C9"/>
    <w:rsid w:val="00900A37"/>
    <w:rsid w:val="009043F6"/>
    <w:rsid w:val="00904869"/>
    <w:rsid w:val="00904F35"/>
    <w:rsid w:val="0090643D"/>
    <w:rsid w:val="00906830"/>
    <w:rsid w:val="00907034"/>
    <w:rsid w:val="00907662"/>
    <w:rsid w:val="0091076C"/>
    <w:rsid w:val="00911D45"/>
    <w:rsid w:val="00912ED8"/>
    <w:rsid w:val="00913F8E"/>
    <w:rsid w:val="00915E72"/>
    <w:rsid w:val="00916AA0"/>
    <w:rsid w:val="00921399"/>
    <w:rsid w:val="009220E9"/>
    <w:rsid w:val="009221C6"/>
    <w:rsid w:val="0092301B"/>
    <w:rsid w:val="00923CFD"/>
    <w:rsid w:val="00924244"/>
    <w:rsid w:val="00925CB5"/>
    <w:rsid w:val="00926374"/>
    <w:rsid w:val="00927A88"/>
    <w:rsid w:val="009318BE"/>
    <w:rsid w:val="0093220A"/>
    <w:rsid w:val="009336ED"/>
    <w:rsid w:val="00934C03"/>
    <w:rsid w:val="00935409"/>
    <w:rsid w:val="00935A33"/>
    <w:rsid w:val="00937356"/>
    <w:rsid w:val="00940466"/>
    <w:rsid w:val="0094176C"/>
    <w:rsid w:val="00944584"/>
    <w:rsid w:val="00946741"/>
    <w:rsid w:val="00947159"/>
    <w:rsid w:val="0095041D"/>
    <w:rsid w:val="00950471"/>
    <w:rsid w:val="00953490"/>
    <w:rsid w:val="00955CDF"/>
    <w:rsid w:val="00957720"/>
    <w:rsid w:val="00960E3A"/>
    <w:rsid w:val="00962605"/>
    <w:rsid w:val="009628C7"/>
    <w:rsid w:val="0096299A"/>
    <w:rsid w:val="009633C1"/>
    <w:rsid w:val="00964D43"/>
    <w:rsid w:val="009665EF"/>
    <w:rsid w:val="00970B73"/>
    <w:rsid w:val="00972817"/>
    <w:rsid w:val="00972CA0"/>
    <w:rsid w:val="00973554"/>
    <w:rsid w:val="00973836"/>
    <w:rsid w:val="009748F1"/>
    <w:rsid w:val="00974CD8"/>
    <w:rsid w:val="00974D7A"/>
    <w:rsid w:val="009752FA"/>
    <w:rsid w:val="0097586A"/>
    <w:rsid w:val="00976134"/>
    <w:rsid w:val="00976A3D"/>
    <w:rsid w:val="00981A15"/>
    <w:rsid w:val="009855FF"/>
    <w:rsid w:val="00986AF4"/>
    <w:rsid w:val="00986D5B"/>
    <w:rsid w:val="00990785"/>
    <w:rsid w:val="00991147"/>
    <w:rsid w:val="00991ECF"/>
    <w:rsid w:val="00992057"/>
    <w:rsid w:val="00993225"/>
    <w:rsid w:val="00993BAE"/>
    <w:rsid w:val="0099498D"/>
    <w:rsid w:val="00995E8B"/>
    <w:rsid w:val="009A0A35"/>
    <w:rsid w:val="009A0AE2"/>
    <w:rsid w:val="009A0ED7"/>
    <w:rsid w:val="009A0FCD"/>
    <w:rsid w:val="009A1137"/>
    <w:rsid w:val="009A2712"/>
    <w:rsid w:val="009A2C11"/>
    <w:rsid w:val="009A4DF0"/>
    <w:rsid w:val="009A537B"/>
    <w:rsid w:val="009A5460"/>
    <w:rsid w:val="009A638C"/>
    <w:rsid w:val="009B0F5A"/>
    <w:rsid w:val="009B1270"/>
    <w:rsid w:val="009B49AE"/>
    <w:rsid w:val="009B563A"/>
    <w:rsid w:val="009B67E3"/>
    <w:rsid w:val="009C00D7"/>
    <w:rsid w:val="009C02BF"/>
    <w:rsid w:val="009C0675"/>
    <w:rsid w:val="009C1116"/>
    <w:rsid w:val="009C1EBB"/>
    <w:rsid w:val="009C3E4B"/>
    <w:rsid w:val="009C4223"/>
    <w:rsid w:val="009C53B1"/>
    <w:rsid w:val="009C5891"/>
    <w:rsid w:val="009D0241"/>
    <w:rsid w:val="009D0485"/>
    <w:rsid w:val="009D12BA"/>
    <w:rsid w:val="009D2036"/>
    <w:rsid w:val="009D2F6F"/>
    <w:rsid w:val="009D6230"/>
    <w:rsid w:val="009D7958"/>
    <w:rsid w:val="009D7C5D"/>
    <w:rsid w:val="009E022C"/>
    <w:rsid w:val="009E0946"/>
    <w:rsid w:val="009E2240"/>
    <w:rsid w:val="009E58CC"/>
    <w:rsid w:val="009E7E3E"/>
    <w:rsid w:val="009F0102"/>
    <w:rsid w:val="009F0CA7"/>
    <w:rsid w:val="009F11B8"/>
    <w:rsid w:val="009F42DD"/>
    <w:rsid w:val="009F56C9"/>
    <w:rsid w:val="009F741D"/>
    <w:rsid w:val="00A0056F"/>
    <w:rsid w:val="00A00580"/>
    <w:rsid w:val="00A022C2"/>
    <w:rsid w:val="00A02F4A"/>
    <w:rsid w:val="00A0508E"/>
    <w:rsid w:val="00A05A14"/>
    <w:rsid w:val="00A05C0A"/>
    <w:rsid w:val="00A05CED"/>
    <w:rsid w:val="00A115BE"/>
    <w:rsid w:val="00A1203C"/>
    <w:rsid w:val="00A12747"/>
    <w:rsid w:val="00A14051"/>
    <w:rsid w:val="00A14CC9"/>
    <w:rsid w:val="00A14D78"/>
    <w:rsid w:val="00A15A04"/>
    <w:rsid w:val="00A16164"/>
    <w:rsid w:val="00A1695E"/>
    <w:rsid w:val="00A1753E"/>
    <w:rsid w:val="00A17F73"/>
    <w:rsid w:val="00A202E4"/>
    <w:rsid w:val="00A207BE"/>
    <w:rsid w:val="00A20C2C"/>
    <w:rsid w:val="00A21776"/>
    <w:rsid w:val="00A22B9A"/>
    <w:rsid w:val="00A2300F"/>
    <w:rsid w:val="00A2368C"/>
    <w:rsid w:val="00A24B52"/>
    <w:rsid w:val="00A25382"/>
    <w:rsid w:val="00A254B8"/>
    <w:rsid w:val="00A26AA5"/>
    <w:rsid w:val="00A3067A"/>
    <w:rsid w:val="00A32F6B"/>
    <w:rsid w:val="00A332A4"/>
    <w:rsid w:val="00A33F03"/>
    <w:rsid w:val="00A35355"/>
    <w:rsid w:val="00A35562"/>
    <w:rsid w:val="00A35BB0"/>
    <w:rsid w:val="00A363DF"/>
    <w:rsid w:val="00A40629"/>
    <w:rsid w:val="00A40BAC"/>
    <w:rsid w:val="00A40D10"/>
    <w:rsid w:val="00A415EE"/>
    <w:rsid w:val="00A41B6E"/>
    <w:rsid w:val="00A42D8D"/>
    <w:rsid w:val="00A446DD"/>
    <w:rsid w:val="00A46AA3"/>
    <w:rsid w:val="00A53F91"/>
    <w:rsid w:val="00A541A0"/>
    <w:rsid w:val="00A542C9"/>
    <w:rsid w:val="00A5501E"/>
    <w:rsid w:val="00A55AF4"/>
    <w:rsid w:val="00A56ED1"/>
    <w:rsid w:val="00A6180E"/>
    <w:rsid w:val="00A63452"/>
    <w:rsid w:val="00A65956"/>
    <w:rsid w:val="00A66B9D"/>
    <w:rsid w:val="00A6715C"/>
    <w:rsid w:val="00A70BEB"/>
    <w:rsid w:val="00A70DD0"/>
    <w:rsid w:val="00A725B5"/>
    <w:rsid w:val="00A727B1"/>
    <w:rsid w:val="00A73B21"/>
    <w:rsid w:val="00A74790"/>
    <w:rsid w:val="00A75D96"/>
    <w:rsid w:val="00A75E80"/>
    <w:rsid w:val="00A76D4E"/>
    <w:rsid w:val="00A77A71"/>
    <w:rsid w:val="00A811BA"/>
    <w:rsid w:val="00A825D9"/>
    <w:rsid w:val="00A83496"/>
    <w:rsid w:val="00A85900"/>
    <w:rsid w:val="00A8604F"/>
    <w:rsid w:val="00A863A4"/>
    <w:rsid w:val="00A901B3"/>
    <w:rsid w:val="00A90490"/>
    <w:rsid w:val="00A90949"/>
    <w:rsid w:val="00A91C53"/>
    <w:rsid w:val="00A930D7"/>
    <w:rsid w:val="00A9346A"/>
    <w:rsid w:val="00A937CF"/>
    <w:rsid w:val="00A94AE1"/>
    <w:rsid w:val="00A95A06"/>
    <w:rsid w:val="00A95CF9"/>
    <w:rsid w:val="00A965C6"/>
    <w:rsid w:val="00A97BF5"/>
    <w:rsid w:val="00AA43B4"/>
    <w:rsid w:val="00AA4FF7"/>
    <w:rsid w:val="00AA4FF9"/>
    <w:rsid w:val="00AA55FE"/>
    <w:rsid w:val="00AA5C88"/>
    <w:rsid w:val="00AA6252"/>
    <w:rsid w:val="00AA7189"/>
    <w:rsid w:val="00AB20D7"/>
    <w:rsid w:val="00AB2996"/>
    <w:rsid w:val="00AB4393"/>
    <w:rsid w:val="00AB4BDA"/>
    <w:rsid w:val="00AB56FF"/>
    <w:rsid w:val="00AB6EC7"/>
    <w:rsid w:val="00AB6F06"/>
    <w:rsid w:val="00AB7FFB"/>
    <w:rsid w:val="00AC0969"/>
    <w:rsid w:val="00AC1BC0"/>
    <w:rsid w:val="00AC6573"/>
    <w:rsid w:val="00AC676F"/>
    <w:rsid w:val="00AC77CE"/>
    <w:rsid w:val="00AD0893"/>
    <w:rsid w:val="00AD0ACB"/>
    <w:rsid w:val="00AD19FC"/>
    <w:rsid w:val="00AD1B53"/>
    <w:rsid w:val="00AD2281"/>
    <w:rsid w:val="00AD2E32"/>
    <w:rsid w:val="00AD2EF2"/>
    <w:rsid w:val="00AD58B1"/>
    <w:rsid w:val="00AD677E"/>
    <w:rsid w:val="00AD6CB2"/>
    <w:rsid w:val="00AE09AA"/>
    <w:rsid w:val="00AE11A5"/>
    <w:rsid w:val="00AE1AF6"/>
    <w:rsid w:val="00AE2BCF"/>
    <w:rsid w:val="00AE3ED3"/>
    <w:rsid w:val="00AE5395"/>
    <w:rsid w:val="00AE5A2E"/>
    <w:rsid w:val="00AE6F75"/>
    <w:rsid w:val="00AF0258"/>
    <w:rsid w:val="00AF0AF0"/>
    <w:rsid w:val="00AF2E07"/>
    <w:rsid w:val="00AF39CA"/>
    <w:rsid w:val="00AF3C28"/>
    <w:rsid w:val="00AF3CFC"/>
    <w:rsid w:val="00AF4144"/>
    <w:rsid w:val="00AF437B"/>
    <w:rsid w:val="00AF4627"/>
    <w:rsid w:val="00AF7E75"/>
    <w:rsid w:val="00B02856"/>
    <w:rsid w:val="00B03102"/>
    <w:rsid w:val="00B06217"/>
    <w:rsid w:val="00B07B14"/>
    <w:rsid w:val="00B10B6B"/>
    <w:rsid w:val="00B10EF4"/>
    <w:rsid w:val="00B11ADD"/>
    <w:rsid w:val="00B12D96"/>
    <w:rsid w:val="00B12F90"/>
    <w:rsid w:val="00B13167"/>
    <w:rsid w:val="00B13777"/>
    <w:rsid w:val="00B140BD"/>
    <w:rsid w:val="00B14B94"/>
    <w:rsid w:val="00B15398"/>
    <w:rsid w:val="00B15ABE"/>
    <w:rsid w:val="00B15E94"/>
    <w:rsid w:val="00B16C09"/>
    <w:rsid w:val="00B20057"/>
    <w:rsid w:val="00B20F88"/>
    <w:rsid w:val="00B21FFD"/>
    <w:rsid w:val="00B22556"/>
    <w:rsid w:val="00B233BE"/>
    <w:rsid w:val="00B23452"/>
    <w:rsid w:val="00B24AFB"/>
    <w:rsid w:val="00B25842"/>
    <w:rsid w:val="00B27384"/>
    <w:rsid w:val="00B27E3B"/>
    <w:rsid w:val="00B320E2"/>
    <w:rsid w:val="00B329B2"/>
    <w:rsid w:val="00B33F4C"/>
    <w:rsid w:val="00B3516B"/>
    <w:rsid w:val="00B35D70"/>
    <w:rsid w:val="00B367A8"/>
    <w:rsid w:val="00B41A6B"/>
    <w:rsid w:val="00B42175"/>
    <w:rsid w:val="00B43B3D"/>
    <w:rsid w:val="00B43FF2"/>
    <w:rsid w:val="00B4534E"/>
    <w:rsid w:val="00B470D1"/>
    <w:rsid w:val="00B50C7D"/>
    <w:rsid w:val="00B53FA8"/>
    <w:rsid w:val="00B5602F"/>
    <w:rsid w:val="00B60CA6"/>
    <w:rsid w:val="00B6147E"/>
    <w:rsid w:val="00B6172E"/>
    <w:rsid w:val="00B62CBC"/>
    <w:rsid w:val="00B64848"/>
    <w:rsid w:val="00B64CD6"/>
    <w:rsid w:val="00B64EA9"/>
    <w:rsid w:val="00B665BE"/>
    <w:rsid w:val="00B673A8"/>
    <w:rsid w:val="00B67ED4"/>
    <w:rsid w:val="00B72E58"/>
    <w:rsid w:val="00B7362D"/>
    <w:rsid w:val="00B7547B"/>
    <w:rsid w:val="00B76939"/>
    <w:rsid w:val="00B7721B"/>
    <w:rsid w:val="00B808BD"/>
    <w:rsid w:val="00B80B65"/>
    <w:rsid w:val="00B8227A"/>
    <w:rsid w:val="00B823D6"/>
    <w:rsid w:val="00B84362"/>
    <w:rsid w:val="00B855FE"/>
    <w:rsid w:val="00B86594"/>
    <w:rsid w:val="00B87A59"/>
    <w:rsid w:val="00B929CD"/>
    <w:rsid w:val="00B96ED9"/>
    <w:rsid w:val="00B97DE2"/>
    <w:rsid w:val="00BA2216"/>
    <w:rsid w:val="00BA3162"/>
    <w:rsid w:val="00BA47DF"/>
    <w:rsid w:val="00BA5A45"/>
    <w:rsid w:val="00BA5C9A"/>
    <w:rsid w:val="00BA72E9"/>
    <w:rsid w:val="00BB0E4F"/>
    <w:rsid w:val="00BB0F8C"/>
    <w:rsid w:val="00BB121E"/>
    <w:rsid w:val="00BB181E"/>
    <w:rsid w:val="00BB2018"/>
    <w:rsid w:val="00BB446D"/>
    <w:rsid w:val="00BB516D"/>
    <w:rsid w:val="00BB6798"/>
    <w:rsid w:val="00BC03A7"/>
    <w:rsid w:val="00BC1584"/>
    <w:rsid w:val="00BC1DB4"/>
    <w:rsid w:val="00BC288A"/>
    <w:rsid w:val="00BC3ADA"/>
    <w:rsid w:val="00BC5497"/>
    <w:rsid w:val="00BC5FC9"/>
    <w:rsid w:val="00BC6BBF"/>
    <w:rsid w:val="00BC7DC7"/>
    <w:rsid w:val="00BD0A7C"/>
    <w:rsid w:val="00BD1432"/>
    <w:rsid w:val="00BD16BE"/>
    <w:rsid w:val="00BD1EFE"/>
    <w:rsid w:val="00BD2031"/>
    <w:rsid w:val="00BD2665"/>
    <w:rsid w:val="00BD2D2F"/>
    <w:rsid w:val="00BD2EED"/>
    <w:rsid w:val="00BD36B3"/>
    <w:rsid w:val="00BD3790"/>
    <w:rsid w:val="00BD3A5D"/>
    <w:rsid w:val="00BD4B49"/>
    <w:rsid w:val="00BD637C"/>
    <w:rsid w:val="00BE35C0"/>
    <w:rsid w:val="00BE5EE2"/>
    <w:rsid w:val="00BE76D7"/>
    <w:rsid w:val="00BE7E39"/>
    <w:rsid w:val="00BF0EFA"/>
    <w:rsid w:val="00BF36CA"/>
    <w:rsid w:val="00BF6FF8"/>
    <w:rsid w:val="00BF7807"/>
    <w:rsid w:val="00C01B10"/>
    <w:rsid w:val="00C02CB5"/>
    <w:rsid w:val="00C04B52"/>
    <w:rsid w:val="00C059D2"/>
    <w:rsid w:val="00C06219"/>
    <w:rsid w:val="00C10E4A"/>
    <w:rsid w:val="00C13D9F"/>
    <w:rsid w:val="00C140C7"/>
    <w:rsid w:val="00C14508"/>
    <w:rsid w:val="00C16D97"/>
    <w:rsid w:val="00C170FF"/>
    <w:rsid w:val="00C17537"/>
    <w:rsid w:val="00C200B6"/>
    <w:rsid w:val="00C20132"/>
    <w:rsid w:val="00C201D6"/>
    <w:rsid w:val="00C20870"/>
    <w:rsid w:val="00C2136A"/>
    <w:rsid w:val="00C21441"/>
    <w:rsid w:val="00C218D4"/>
    <w:rsid w:val="00C26617"/>
    <w:rsid w:val="00C27B83"/>
    <w:rsid w:val="00C27D12"/>
    <w:rsid w:val="00C30720"/>
    <w:rsid w:val="00C31ABE"/>
    <w:rsid w:val="00C31DF2"/>
    <w:rsid w:val="00C31E64"/>
    <w:rsid w:val="00C374D8"/>
    <w:rsid w:val="00C40467"/>
    <w:rsid w:val="00C41EBD"/>
    <w:rsid w:val="00C4292B"/>
    <w:rsid w:val="00C4366D"/>
    <w:rsid w:val="00C4372F"/>
    <w:rsid w:val="00C43AEE"/>
    <w:rsid w:val="00C45572"/>
    <w:rsid w:val="00C516CD"/>
    <w:rsid w:val="00C52708"/>
    <w:rsid w:val="00C55997"/>
    <w:rsid w:val="00C56201"/>
    <w:rsid w:val="00C564D4"/>
    <w:rsid w:val="00C60A10"/>
    <w:rsid w:val="00C61229"/>
    <w:rsid w:val="00C61A2C"/>
    <w:rsid w:val="00C6215D"/>
    <w:rsid w:val="00C622F1"/>
    <w:rsid w:val="00C62B25"/>
    <w:rsid w:val="00C6316A"/>
    <w:rsid w:val="00C63535"/>
    <w:rsid w:val="00C642B1"/>
    <w:rsid w:val="00C646B7"/>
    <w:rsid w:val="00C6499C"/>
    <w:rsid w:val="00C66190"/>
    <w:rsid w:val="00C666C8"/>
    <w:rsid w:val="00C66B0A"/>
    <w:rsid w:val="00C73001"/>
    <w:rsid w:val="00C7396E"/>
    <w:rsid w:val="00C748F3"/>
    <w:rsid w:val="00C7565B"/>
    <w:rsid w:val="00C76E26"/>
    <w:rsid w:val="00C84229"/>
    <w:rsid w:val="00C86846"/>
    <w:rsid w:val="00C87950"/>
    <w:rsid w:val="00C91D00"/>
    <w:rsid w:val="00C925CA"/>
    <w:rsid w:val="00C929E4"/>
    <w:rsid w:val="00C92B42"/>
    <w:rsid w:val="00C92E39"/>
    <w:rsid w:val="00C92FEC"/>
    <w:rsid w:val="00C93A46"/>
    <w:rsid w:val="00C93E59"/>
    <w:rsid w:val="00C967FF"/>
    <w:rsid w:val="00C97B48"/>
    <w:rsid w:val="00CA04AD"/>
    <w:rsid w:val="00CA2A33"/>
    <w:rsid w:val="00CA7799"/>
    <w:rsid w:val="00CB0813"/>
    <w:rsid w:val="00CB0D63"/>
    <w:rsid w:val="00CB1E20"/>
    <w:rsid w:val="00CB33D1"/>
    <w:rsid w:val="00CB3FDD"/>
    <w:rsid w:val="00CB5C21"/>
    <w:rsid w:val="00CB769D"/>
    <w:rsid w:val="00CB7F52"/>
    <w:rsid w:val="00CC0935"/>
    <w:rsid w:val="00CC3E7B"/>
    <w:rsid w:val="00CC50A3"/>
    <w:rsid w:val="00CC735F"/>
    <w:rsid w:val="00CD2C1F"/>
    <w:rsid w:val="00CD44D4"/>
    <w:rsid w:val="00CD44FD"/>
    <w:rsid w:val="00CD4A14"/>
    <w:rsid w:val="00CD53B8"/>
    <w:rsid w:val="00CD5AA2"/>
    <w:rsid w:val="00CE05BC"/>
    <w:rsid w:val="00CE4B8D"/>
    <w:rsid w:val="00CE53A7"/>
    <w:rsid w:val="00CE5781"/>
    <w:rsid w:val="00CE5DD1"/>
    <w:rsid w:val="00CE60B0"/>
    <w:rsid w:val="00CE6678"/>
    <w:rsid w:val="00CF0DDA"/>
    <w:rsid w:val="00CF1873"/>
    <w:rsid w:val="00CF20C6"/>
    <w:rsid w:val="00CF46A5"/>
    <w:rsid w:val="00D013A5"/>
    <w:rsid w:val="00D01930"/>
    <w:rsid w:val="00D04AB8"/>
    <w:rsid w:val="00D05D74"/>
    <w:rsid w:val="00D06266"/>
    <w:rsid w:val="00D116F6"/>
    <w:rsid w:val="00D11773"/>
    <w:rsid w:val="00D11AD8"/>
    <w:rsid w:val="00D11C06"/>
    <w:rsid w:val="00D11C36"/>
    <w:rsid w:val="00D12AE9"/>
    <w:rsid w:val="00D15EF9"/>
    <w:rsid w:val="00D16F05"/>
    <w:rsid w:val="00D17B22"/>
    <w:rsid w:val="00D17CFF"/>
    <w:rsid w:val="00D21D22"/>
    <w:rsid w:val="00D252ED"/>
    <w:rsid w:val="00D2596A"/>
    <w:rsid w:val="00D25B65"/>
    <w:rsid w:val="00D26DB1"/>
    <w:rsid w:val="00D27652"/>
    <w:rsid w:val="00D30E66"/>
    <w:rsid w:val="00D31077"/>
    <w:rsid w:val="00D3327C"/>
    <w:rsid w:val="00D33BF2"/>
    <w:rsid w:val="00D35D90"/>
    <w:rsid w:val="00D36963"/>
    <w:rsid w:val="00D37045"/>
    <w:rsid w:val="00D3740E"/>
    <w:rsid w:val="00D3785B"/>
    <w:rsid w:val="00D37F47"/>
    <w:rsid w:val="00D412F8"/>
    <w:rsid w:val="00D435A2"/>
    <w:rsid w:val="00D44D33"/>
    <w:rsid w:val="00D44E2C"/>
    <w:rsid w:val="00D458DE"/>
    <w:rsid w:val="00D45AB8"/>
    <w:rsid w:val="00D47069"/>
    <w:rsid w:val="00D50466"/>
    <w:rsid w:val="00D51819"/>
    <w:rsid w:val="00D53396"/>
    <w:rsid w:val="00D5386D"/>
    <w:rsid w:val="00D53BEE"/>
    <w:rsid w:val="00D57760"/>
    <w:rsid w:val="00D57942"/>
    <w:rsid w:val="00D616ED"/>
    <w:rsid w:val="00D62E73"/>
    <w:rsid w:val="00D66410"/>
    <w:rsid w:val="00D67836"/>
    <w:rsid w:val="00D67DA2"/>
    <w:rsid w:val="00D71A39"/>
    <w:rsid w:val="00D7211F"/>
    <w:rsid w:val="00D722E2"/>
    <w:rsid w:val="00D722EB"/>
    <w:rsid w:val="00D72321"/>
    <w:rsid w:val="00D729EA"/>
    <w:rsid w:val="00D743CC"/>
    <w:rsid w:val="00D75103"/>
    <w:rsid w:val="00D752D8"/>
    <w:rsid w:val="00D75EDD"/>
    <w:rsid w:val="00D8027F"/>
    <w:rsid w:val="00D807B7"/>
    <w:rsid w:val="00D807BB"/>
    <w:rsid w:val="00D81EF6"/>
    <w:rsid w:val="00D82219"/>
    <w:rsid w:val="00D8316E"/>
    <w:rsid w:val="00D858EC"/>
    <w:rsid w:val="00D8742E"/>
    <w:rsid w:val="00D90D49"/>
    <w:rsid w:val="00D913F9"/>
    <w:rsid w:val="00D948A7"/>
    <w:rsid w:val="00D94E96"/>
    <w:rsid w:val="00D95089"/>
    <w:rsid w:val="00D95F60"/>
    <w:rsid w:val="00D96A0F"/>
    <w:rsid w:val="00D97D13"/>
    <w:rsid w:val="00DA0A7B"/>
    <w:rsid w:val="00DA2062"/>
    <w:rsid w:val="00DA2165"/>
    <w:rsid w:val="00DA2C5F"/>
    <w:rsid w:val="00DA3497"/>
    <w:rsid w:val="00DA59F3"/>
    <w:rsid w:val="00DA6384"/>
    <w:rsid w:val="00DA7E47"/>
    <w:rsid w:val="00DB1E9C"/>
    <w:rsid w:val="00DB2164"/>
    <w:rsid w:val="00DB3DA8"/>
    <w:rsid w:val="00DB4AB4"/>
    <w:rsid w:val="00DB4AE3"/>
    <w:rsid w:val="00DB6BE4"/>
    <w:rsid w:val="00DC0397"/>
    <w:rsid w:val="00DC0610"/>
    <w:rsid w:val="00DC276D"/>
    <w:rsid w:val="00DC2965"/>
    <w:rsid w:val="00DC3DAA"/>
    <w:rsid w:val="00DC3DBB"/>
    <w:rsid w:val="00DC5CFB"/>
    <w:rsid w:val="00DD323A"/>
    <w:rsid w:val="00DD7CCD"/>
    <w:rsid w:val="00DE2845"/>
    <w:rsid w:val="00DE28CB"/>
    <w:rsid w:val="00DE4AE0"/>
    <w:rsid w:val="00DE57E8"/>
    <w:rsid w:val="00DE5BB8"/>
    <w:rsid w:val="00DE5D90"/>
    <w:rsid w:val="00DF1D26"/>
    <w:rsid w:val="00DF2248"/>
    <w:rsid w:val="00DF292A"/>
    <w:rsid w:val="00DF3FC1"/>
    <w:rsid w:val="00DF50C9"/>
    <w:rsid w:val="00DF6524"/>
    <w:rsid w:val="00DF763A"/>
    <w:rsid w:val="00DF7F15"/>
    <w:rsid w:val="00E01062"/>
    <w:rsid w:val="00E021FC"/>
    <w:rsid w:val="00E034A5"/>
    <w:rsid w:val="00E03C84"/>
    <w:rsid w:val="00E04337"/>
    <w:rsid w:val="00E04730"/>
    <w:rsid w:val="00E04A9C"/>
    <w:rsid w:val="00E05EEF"/>
    <w:rsid w:val="00E06A67"/>
    <w:rsid w:val="00E115B2"/>
    <w:rsid w:val="00E12D10"/>
    <w:rsid w:val="00E13D2B"/>
    <w:rsid w:val="00E13EEE"/>
    <w:rsid w:val="00E160AA"/>
    <w:rsid w:val="00E17523"/>
    <w:rsid w:val="00E202AA"/>
    <w:rsid w:val="00E207EF"/>
    <w:rsid w:val="00E20F22"/>
    <w:rsid w:val="00E21B9E"/>
    <w:rsid w:val="00E2597D"/>
    <w:rsid w:val="00E30102"/>
    <w:rsid w:val="00E306EA"/>
    <w:rsid w:val="00E308C9"/>
    <w:rsid w:val="00E33A1C"/>
    <w:rsid w:val="00E34E72"/>
    <w:rsid w:val="00E35D52"/>
    <w:rsid w:val="00E35EDD"/>
    <w:rsid w:val="00E3640F"/>
    <w:rsid w:val="00E36663"/>
    <w:rsid w:val="00E36ADE"/>
    <w:rsid w:val="00E4015F"/>
    <w:rsid w:val="00E42750"/>
    <w:rsid w:val="00E431BB"/>
    <w:rsid w:val="00E433EA"/>
    <w:rsid w:val="00E43646"/>
    <w:rsid w:val="00E44F0C"/>
    <w:rsid w:val="00E4518B"/>
    <w:rsid w:val="00E45641"/>
    <w:rsid w:val="00E459B7"/>
    <w:rsid w:val="00E45B86"/>
    <w:rsid w:val="00E45F49"/>
    <w:rsid w:val="00E51004"/>
    <w:rsid w:val="00E51029"/>
    <w:rsid w:val="00E5250C"/>
    <w:rsid w:val="00E526D2"/>
    <w:rsid w:val="00E53768"/>
    <w:rsid w:val="00E53CA2"/>
    <w:rsid w:val="00E53FDA"/>
    <w:rsid w:val="00E5421F"/>
    <w:rsid w:val="00E5595F"/>
    <w:rsid w:val="00E57B1E"/>
    <w:rsid w:val="00E6052F"/>
    <w:rsid w:val="00E60604"/>
    <w:rsid w:val="00E62A9B"/>
    <w:rsid w:val="00E62FF5"/>
    <w:rsid w:val="00E63D77"/>
    <w:rsid w:val="00E65D31"/>
    <w:rsid w:val="00E67C0E"/>
    <w:rsid w:val="00E7020E"/>
    <w:rsid w:val="00E710B8"/>
    <w:rsid w:val="00E727B5"/>
    <w:rsid w:val="00E76430"/>
    <w:rsid w:val="00E81EFF"/>
    <w:rsid w:val="00E820FB"/>
    <w:rsid w:val="00E839FB"/>
    <w:rsid w:val="00E83B2E"/>
    <w:rsid w:val="00E83F73"/>
    <w:rsid w:val="00E84BEF"/>
    <w:rsid w:val="00E85BA7"/>
    <w:rsid w:val="00E90740"/>
    <w:rsid w:val="00E910C5"/>
    <w:rsid w:val="00E93207"/>
    <w:rsid w:val="00E93E7E"/>
    <w:rsid w:val="00E9672F"/>
    <w:rsid w:val="00E970D5"/>
    <w:rsid w:val="00E97578"/>
    <w:rsid w:val="00E97A0D"/>
    <w:rsid w:val="00EA2CE2"/>
    <w:rsid w:val="00EA4873"/>
    <w:rsid w:val="00EA489E"/>
    <w:rsid w:val="00EA4C95"/>
    <w:rsid w:val="00EA5243"/>
    <w:rsid w:val="00EA55F5"/>
    <w:rsid w:val="00EA5608"/>
    <w:rsid w:val="00EA75E3"/>
    <w:rsid w:val="00EA7F80"/>
    <w:rsid w:val="00EA7F83"/>
    <w:rsid w:val="00EB02DD"/>
    <w:rsid w:val="00EB10C1"/>
    <w:rsid w:val="00EB1F13"/>
    <w:rsid w:val="00EB291C"/>
    <w:rsid w:val="00EB2BA8"/>
    <w:rsid w:val="00EB46F2"/>
    <w:rsid w:val="00EB4EF0"/>
    <w:rsid w:val="00EC4FAE"/>
    <w:rsid w:val="00EC54DE"/>
    <w:rsid w:val="00EC5535"/>
    <w:rsid w:val="00EC5FB9"/>
    <w:rsid w:val="00EC6B94"/>
    <w:rsid w:val="00EC7E8B"/>
    <w:rsid w:val="00ED0651"/>
    <w:rsid w:val="00ED1093"/>
    <w:rsid w:val="00ED141A"/>
    <w:rsid w:val="00ED235A"/>
    <w:rsid w:val="00ED2E0C"/>
    <w:rsid w:val="00ED3EA5"/>
    <w:rsid w:val="00ED4C57"/>
    <w:rsid w:val="00ED6111"/>
    <w:rsid w:val="00ED7C2C"/>
    <w:rsid w:val="00EE12FF"/>
    <w:rsid w:val="00EE2041"/>
    <w:rsid w:val="00EE3830"/>
    <w:rsid w:val="00EE687C"/>
    <w:rsid w:val="00EF0BCB"/>
    <w:rsid w:val="00EF1395"/>
    <w:rsid w:val="00EF2D9D"/>
    <w:rsid w:val="00EF4467"/>
    <w:rsid w:val="00F00DEA"/>
    <w:rsid w:val="00F020F7"/>
    <w:rsid w:val="00F04318"/>
    <w:rsid w:val="00F04B3F"/>
    <w:rsid w:val="00F078A1"/>
    <w:rsid w:val="00F11B08"/>
    <w:rsid w:val="00F123B3"/>
    <w:rsid w:val="00F129CD"/>
    <w:rsid w:val="00F12A78"/>
    <w:rsid w:val="00F13313"/>
    <w:rsid w:val="00F135C9"/>
    <w:rsid w:val="00F14C81"/>
    <w:rsid w:val="00F16371"/>
    <w:rsid w:val="00F2183E"/>
    <w:rsid w:val="00F21E78"/>
    <w:rsid w:val="00F21F94"/>
    <w:rsid w:val="00F2266E"/>
    <w:rsid w:val="00F22A0F"/>
    <w:rsid w:val="00F254BE"/>
    <w:rsid w:val="00F25609"/>
    <w:rsid w:val="00F26E23"/>
    <w:rsid w:val="00F270FE"/>
    <w:rsid w:val="00F273D6"/>
    <w:rsid w:val="00F27FE4"/>
    <w:rsid w:val="00F30947"/>
    <w:rsid w:val="00F32A9B"/>
    <w:rsid w:val="00F32E2A"/>
    <w:rsid w:val="00F3533C"/>
    <w:rsid w:val="00F356E1"/>
    <w:rsid w:val="00F35BAC"/>
    <w:rsid w:val="00F368AD"/>
    <w:rsid w:val="00F36911"/>
    <w:rsid w:val="00F37E0C"/>
    <w:rsid w:val="00F406BC"/>
    <w:rsid w:val="00F4177B"/>
    <w:rsid w:val="00F419B1"/>
    <w:rsid w:val="00F42644"/>
    <w:rsid w:val="00F42ADE"/>
    <w:rsid w:val="00F444F5"/>
    <w:rsid w:val="00F44B46"/>
    <w:rsid w:val="00F45C77"/>
    <w:rsid w:val="00F46AB5"/>
    <w:rsid w:val="00F474AE"/>
    <w:rsid w:val="00F474DB"/>
    <w:rsid w:val="00F475E8"/>
    <w:rsid w:val="00F51FE4"/>
    <w:rsid w:val="00F52984"/>
    <w:rsid w:val="00F52DF1"/>
    <w:rsid w:val="00F54058"/>
    <w:rsid w:val="00F5646A"/>
    <w:rsid w:val="00F5678B"/>
    <w:rsid w:val="00F570FC"/>
    <w:rsid w:val="00F57712"/>
    <w:rsid w:val="00F607BE"/>
    <w:rsid w:val="00F61E9A"/>
    <w:rsid w:val="00F6233C"/>
    <w:rsid w:val="00F63E10"/>
    <w:rsid w:val="00F63FDE"/>
    <w:rsid w:val="00F64E12"/>
    <w:rsid w:val="00F65333"/>
    <w:rsid w:val="00F657D0"/>
    <w:rsid w:val="00F67C07"/>
    <w:rsid w:val="00F67D08"/>
    <w:rsid w:val="00F70CCA"/>
    <w:rsid w:val="00F73108"/>
    <w:rsid w:val="00F73881"/>
    <w:rsid w:val="00F73C7F"/>
    <w:rsid w:val="00F73E63"/>
    <w:rsid w:val="00F73FBD"/>
    <w:rsid w:val="00F74D81"/>
    <w:rsid w:val="00F777D5"/>
    <w:rsid w:val="00F77909"/>
    <w:rsid w:val="00F8018F"/>
    <w:rsid w:val="00F806DA"/>
    <w:rsid w:val="00F80AD5"/>
    <w:rsid w:val="00F80D8E"/>
    <w:rsid w:val="00F80F9A"/>
    <w:rsid w:val="00F811C3"/>
    <w:rsid w:val="00F8186B"/>
    <w:rsid w:val="00F8200F"/>
    <w:rsid w:val="00F834D8"/>
    <w:rsid w:val="00F836F9"/>
    <w:rsid w:val="00F86AD2"/>
    <w:rsid w:val="00F87687"/>
    <w:rsid w:val="00F87FEC"/>
    <w:rsid w:val="00F9052F"/>
    <w:rsid w:val="00F92817"/>
    <w:rsid w:val="00F92A10"/>
    <w:rsid w:val="00F92B45"/>
    <w:rsid w:val="00F9624E"/>
    <w:rsid w:val="00F96394"/>
    <w:rsid w:val="00F97040"/>
    <w:rsid w:val="00FA0397"/>
    <w:rsid w:val="00FA3CD5"/>
    <w:rsid w:val="00FA4FF0"/>
    <w:rsid w:val="00FA54CD"/>
    <w:rsid w:val="00FA632C"/>
    <w:rsid w:val="00FA69C0"/>
    <w:rsid w:val="00FA75E8"/>
    <w:rsid w:val="00FB3E94"/>
    <w:rsid w:val="00FB49B2"/>
    <w:rsid w:val="00FB7647"/>
    <w:rsid w:val="00FB7F81"/>
    <w:rsid w:val="00FC17F6"/>
    <w:rsid w:val="00FC2BC1"/>
    <w:rsid w:val="00FC37EC"/>
    <w:rsid w:val="00FC4C70"/>
    <w:rsid w:val="00FC52AD"/>
    <w:rsid w:val="00FC5612"/>
    <w:rsid w:val="00FC5F8B"/>
    <w:rsid w:val="00FC70F1"/>
    <w:rsid w:val="00FD08A2"/>
    <w:rsid w:val="00FD1963"/>
    <w:rsid w:val="00FD2F83"/>
    <w:rsid w:val="00FD39B9"/>
    <w:rsid w:val="00FD39CF"/>
    <w:rsid w:val="00FD5479"/>
    <w:rsid w:val="00FD770E"/>
    <w:rsid w:val="00FD7D27"/>
    <w:rsid w:val="00FE00E4"/>
    <w:rsid w:val="00FE1FDD"/>
    <w:rsid w:val="00FE2054"/>
    <w:rsid w:val="00FE44D6"/>
    <w:rsid w:val="00FE470A"/>
    <w:rsid w:val="00FE47C4"/>
    <w:rsid w:val="00FE778D"/>
    <w:rsid w:val="00FF0C2B"/>
    <w:rsid w:val="00FF1135"/>
    <w:rsid w:val="00FF13FC"/>
    <w:rsid w:val="00FF227A"/>
    <w:rsid w:val="00FF2424"/>
    <w:rsid w:val="00FF2A6D"/>
    <w:rsid w:val="00FF3145"/>
    <w:rsid w:val="00FF46FE"/>
    <w:rsid w:val="00FF4885"/>
    <w:rsid w:val="00FF5C99"/>
    <w:rsid w:val="00FF60CB"/>
    <w:rsid w:val="00FF7621"/>
    <w:rsid w:val="00FF788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F57698"/>
  <w15:docId w15:val="{B8CE6C84-377A-4E13-9CAE-3EC03D1D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CA7"/>
    <w:pPr>
      <w:spacing w:after="0" w:line="240" w:lineRule="auto"/>
    </w:pPr>
    <w:rPr>
      <w:sz w:val="24"/>
      <w:szCs w:val="24"/>
      <w:lang w:val="en-US" w:eastAsia="en-US"/>
    </w:rPr>
  </w:style>
  <w:style w:type="paragraph" w:styleId="Heading1">
    <w:name w:val="heading 1"/>
    <w:basedOn w:val="Normal"/>
    <w:next w:val="Normal"/>
    <w:link w:val="Heading1Char"/>
    <w:uiPriority w:val="9"/>
    <w:qFormat/>
    <w:rsid w:val="00FC17F6"/>
    <w:pPr>
      <w:keepNext/>
      <w:keepLines/>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5E588A"/>
    <w:pPr>
      <w:keepNext/>
      <w:keepLines/>
      <w:spacing w:before="4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4E5F90"/>
    <w:pPr>
      <w:keepNext/>
      <w:keepLines/>
      <w:spacing w:line="360" w:lineRule="auto"/>
      <w:jc w:val="both"/>
      <w:outlineLvl w:val="2"/>
    </w:pPr>
    <w:rPr>
      <w:rFonts w:ascii="Calibri" w:eastAsiaTheme="majorEastAsia" w:hAnsi="Calibri" w:cstheme="majorHAnsi"/>
      <w:color w:val="1F4D78" w:themeColor="accent1" w:themeShade="7F"/>
      <w:lang w:val="en-GB"/>
    </w:rPr>
  </w:style>
  <w:style w:type="paragraph" w:styleId="Heading4">
    <w:name w:val="heading 4"/>
    <w:basedOn w:val="Normal"/>
    <w:link w:val="Heading4Char"/>
    <w:uiPriority w:val="9"/>
    <w:qFormat/>
    <w:rsid w:val="00FC17F6"/>
    <w:pPr>
      <w:spacing w:before="100" w:beforeAutospacing="1" w:after="100" w:afterAutospacing="1"/>
      <w:outlineLvl w:val="3"/>
    </w:pPr>
    <w:rPr>
      <w:rFonts w:asciiTheme="majorHAnsi" w:hAnsiTheme="majorHAnsi" w:cs="Times New Roman"/>
      <w:b/>
      <w:bCs/>
      <w:sz w:val="22"/>
      <w:lang w:val="en-GB"/>
    </w:rPr>
  </w:style>
  <w:style w:type="paragraph" w:styleId="Heading5">
    <w:name w:val="heading 5"/>
    <w:basedOn w:val="Normal"/>
    <w:next w:val="Normal"/>
    <w:link w:val="Heading5Char"/>
    <w:uiPriority w:val="9"/>
    <w:unhideWhenUsed/>
    <w:qFormat/>
    <w:rsid w:val="00FC17F6"/>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7F6"/>
    <w:rPr>
      <w:rFonts w:asciiTheme="majorHAnsi" w:eastAsiaTheme="majorEastAsia" w:hAnsiTheme="majorHAnsi" w:cstheme="majorBidi"/>
      <w:b/>
      <w:bCs/>
      <w:sz w:val="32"/>
      <w:szCs w:val="32"/>
      <w:lang w:val="en-US" w:eastAsia="en-US"/>
    </w:rPr>
  </w:style>
  <w:style w:type="character" w:customStyle="1" w:styleId="Heading4Char">
    <w:name w:val="Heading 4 Char"/>
    <w:basedOn w:val="DefaultParagraphFont"/>
    <w:link w:val="Heading4"/>
    <w:uiPriority w:val="9"/>
    <w:rsid w:val="00FC17F6"/>
    <w:rPr>
      <w:rFonts w:asciiTheme="majorHAnsi" w:hAnsiTheme="majorHAnsi" w:cs="Times New Roman"/>
      <w:b/>
      <w:bCs/>
      <w:szCs w:val="24"/>
      <w:lang w:eastAsia="en-US"/>
    </w:rPr>
  </w:style>
  <w:style w:type="paragraph" w:styleId="ListParagraph">
    <w:name w:val="List Paragraph"/>
    <w:basedOn w:val="Normal"/>
    <w:uiPriority w:val="34"/>
    <w:qFormat/>
    <w:rsid w:val="003E574E"/>
    <w:pPr>
      <w:spacing w:after="200" w:line="276" w:lineRule="auto"/>
      <w:ind w:left="720"/>
      <w:contextualSpacing/>
    </w:pPr>
    <w:rPr>
      <w:rFonts w:eastAsiaTheme="minorHAnsi"/>
      <w:sz w:val="22"/>
      <w:szCs w:val="22"/>
      <w:lang w:val="es-CO"/>
    </w:rPr>
  </w:style>
  <w:style w:type="paragraph" w:styleId="NormalWeb">
    <w:name w:val="Normal (Web)"/>
    <w:basedOn w:val="Normal"/>
    <w:uiPriority w:val="99"/>
    <w:unhideWhenUsed/>
    <w:rsid w:val="003E574E"/>
    <w:pPr>
      <w:spacing w:before="100" w:beforeAutospacing="1" w:after="100" w:afterAutospacing="1"/>
    </w:pPr>
    <w:rPr>
      <w:rFonts w:ascii="Times New Roman" w:hAnsi="Times New Roman" w:cs="Times New Roman"/>
      <w:sz w:val="20"/>
      <w:szCs w:val="20"/>
      <w:lang w:val="en-GB"/>
    </w:rPr>
  </w:style>
  <w:style w:type="character" w:customStyle="1" w:styleId="apple-converted-space">
    <w:name w:val="apple-converted-space"/>
    <w:basedOn w:val="DefaultParagraphFont"/>
    <w:rsid w:val="003E574E"/>
  </w:style>
  <w:style w:type="character" w:customStyle="1" w:styleId="title-text">
    <w:name w:val="title-text"/>
    <w:basedOn w:val="DefaultParagraphFont"/>
    <w:rsid w:val="003E574E"/>
  </w:style>
  <w:style w:type="character" w:styleId="Hyperlink">
    <w:name w:val="Hyperlink"/>
    <w:basedOn w:val="DefaultParagraphFont"/>
    <w:uiPriority w:val="99"/>
    <w:unhideWhenUsed/>
    <w:rsid w:val="003E574E"/>
    <w:rPr>
      <w:color w:val="0000FF"/>
      <w:u w:val="single"/>
    </w:rPr>
  </w:style>
  <w:style w:type="paragraph" w:styleId="BalloonText">
    <w:name w:val="Balloon Text"/>
    <w:basedOn w:val="Normal"/>
    <w:link w:val="BalloonTextChar"/>
    <w:uiPriority w:val="99"/>
    <w:unhideWhenUsed/>
    <w:rsid w:val="003E574E"/>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E574E"/>
    <w:rPr>
      <w:rFonts w:ascii="Lucida Grande" w:hAnsi="Lucida Grande" w:cs="Lucida Grande"/>
      <w:sz w:val="18"/>
      <w:szCs w:val="18"/>
      <w:lang w:val="en-US" w:eastAsia="en-US"/>
    </w:rPr>
  </w:style>
  <w:style w:type="paragraph" w:styleId="CommentText">
    <w:name w:val="annotation text"/>
    <w:basedOn w:val="Normal"/>
    <w:link w:val="CommentTextChar"/>
    <w:uiPriority w:val="99"/>
    <w:unhideWhenUsed/>
    <w:rsid w:val="003E574E"/>
    <w:rPr>
      <w:sz w:val="20"/>
      <w:szCs w:val="20"/>
    </w:rPr>
  </w:style>
  <w:style w:type="character" w:customStyle="1" w:styleId="CommentTextChar">
    <w:name w:val="Comment Text Char"/>
    <w:basedOn w:val="DefaultParagraphFont"/>
    <w:link w:val="CommentText"/>
    <w:uiPriority w:val="99"/>
    <w:rsid w:val="003E574E"/>
    <w:rPr>
      <w:sz w:val="20"/>
      <w:szCs w:val="20"/>
      <w:lang w:val="en-US" w:eastAsia="en-US"/>
    </w:rPr>
  </w:style>
  <w:style w:type="character" w:styleId="CommentReference">
    <w:name w:val="annotation reference"/>
    <w:basedOn w:val="DefaultParagraphFont"/>
    <w:uiPriority w:val="99"/>
    <w:semiHidden/>
    <w:unhideWhenUsed/>
    <w:rsid w:val="003E574E"/>
    <w:rPr>
      <w:sz w:val="18"/>
      <w:szCs w:val="18"/>
    </w:rPr>
  </w:style>
  <w:style w:type="paragraph" w:styleId="CommentSubject">
    <w:name w:val="annotation subject"/>
    <w:basedOn w:val="CommentText"/>
    <w:next w:val="CommentText"/>
    <w:link w:val="CommentSubjectChar"/>
    <w:uiPriority w:val="99"/>
    <w:semiHidden/>
    <w:unhideWhenUsed/>
    <w:rsid w:val="003E574E"/>
    <w:rPr>
      <w:b/>
      <w:bCs/>
    </w:rPr>
  </w:style>
  <w:style w:type="character" w:customStyle="1" w:styleId="CommentSubjectChar">
    <w:name w:val="Comment Subject Char"/>
    <w:basedOn w:val="CommentTextChar"/>
    <w:link w:val="CommentSubject"/>
    <w:uiPriority w:val="99"/>
    <w:semiHidden/>
    <w:rsid w:val="003E574E"/>
    <w:rPr>
      <w:b/>
      <w:bCs/>
      <w:sz w:val="20"/>
      <w:szCs w:val="20"/>
      <w:lang w:val="en-US" w:eastAsia="en-US"/>
    </w:rPr>
  </w:style>
  <w:style w:type="character" w:customStyle="1" w:styleId="fontstyle01">
    <w:name w:val="fontstyle01"/>
    <w:basedOn w:val="DefaultParagraphFont"/>
    <w:rsid w:val="003E574E"/>
    <w:rPr>
      <w:rFonts w:ascii="CharisSIL-Identity-H" w:hAnsi="CharisSIL-Identity-H" w:hint="default"/>
      <w:b w:val="0"/>
      <w:bCs w:val="0"/>
      <w:i w:val="0"/>
      <w:iCs w:val="0"/>
      <w:color w:val="000000"/>
      <w:sz w:val="16"/>
      <w:szCs w:val="16"/>
    </w:rPr>
  </w:style>
  <w:style w:type="paragraph" w:styleId="NoSpacing">
    <w:name w:val="No Spacing"/>
    <w:uiPriority w:val="1"/>
    <w:qFormat/>
    <w:rsid w:val="003E574E"/>
    <w:pPr>
      <w:spacing w:after="0" w:line="240" w:lineRule="auto"/>
    </w:pPr>
    <w:rPr>
      <w:sz w:val="24"/>
      <w:szCs w:val="24"/>
      <w:lang w:val="en-US" w:eastAsia="en-US"/>
    </w:rPr>
  </w:style>
  <w:style w:type="character" w:customStyle="1" w:styleId="fontstyle21">
    <w:name w:val="fontstyle21"/>
    <w:basedOn w:val="DefaultParagraphFont"/>
    <w:rsid w:val="003E574E"/>
    <w:rPr>
      <w:rFonts w:ascii="Excelsior" w:hAnsi="Excelsior" w:hint="default"/>
      <w:b w:val="0"/>
      <w:bCs w:val="0"/>
      <w:i w:val="0"/>
      <w:iCs w:val="0"/>
      <w:color w:val="000000"/>
      <w:sz w:val="18"/>
      <w:szCs w:val="18"/>
    </w:rPr>
  </w:style>
  <w:style w:type="character" w:customStyle="1" w:styleId="Heading3Char">
    <w:name w:val="Heading 3 Char"/>
    <w:basedOn w:val="DefaultParagraphFont"/>
    <w:link w:val="Heading3"/>
    <w:uiPriority w:val="9"/>
    <w:rsid w:val="004E5F90"/>
    <w:rPr>
      <w:rFonts w:ascii="Calibri" w:eastAsiaTheme="majorEastAsia" w:hAnsi="Calibri" w:cstheme="majorHAnsi"/>
      <w:color w:val="1F4D78" w:themeColor="accent1" w:themeShade="7F"/>
      <w:sz w:val="24"/>
      <w:szCs w:val="24"/>
      <w:lang w:eastAsia="en-US"/>
    </w:rPr>
  </w:style>
  <w:style w:type="paragraph" w:styleId="FootnoteText">
    <w:name w:val="footnote text"/>
    <w:basedOn w:val="Normal"/>
    <w:link w:val="FootnoteTextChar"/>
    <w:uiPriority w:val="99"/>
    <w:unhideWhenUsed/>
    <w:rsid w:val="003E574E"/>
  </w:style>
  <w:style w:type="character" w:customStyle="1" w:styleId="FootnoteTextChar">
    <w:name w:val="Footnote Text Char"/>
    <w:basedOn w:val="DefaultParagraphFont"/>
    <w:link w:val="FootnoteText"/>
    <w:uiPriority w:val="99"/>
    <w:rsid w:val="003E574E"/>
    <w:rPr>
      <w:sz w:val="24"/>
      <w:szCs w:val="24"/>
      <w:lang w:val="en-US" w:eastAsia="en-US"/>
    </w:rPr>
  </w:style>
  <w:style w:type="character" w:styleId="FootnoteReference">
    <w:name w:val="footnote reference"/>
    <w:basedOn w:val="DefaultParagraphFont"/>
    <w:uiPriority w:val="99"/>
    <w:unhideWhenUsed/>
    <w:rsid w:val="003E574E"/>
    <w:rPr>
      <w:vertAlign w:val="superscript"/>
    </w:rPr>
  </w:style>
  <w:style w:type="table" w:styleId="TableGrid">
    <w:name w:val="Table Grid"/>
    <w:basedOn w:val="TableNormal"/>
    <w:uiPriority w:val="59"/>
    <w:rsid w:val="003E574E"/>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74E"/>
    <w:pPr>
      <w:tabs>
        <w:tab w:val="center" w:pos="4320"/>
        <w:tab w:val="right" w:pos="8640"/>
      </w:tabs>
    </w:pPr>
  </w:style>
  <w:style w:type="character" w:customStyle="1" w:styleId="HeaderChar">
    <w:name w:val="Header Char"/>
    <w:basedOn w:val="DefaultParagraphFont"/>
    <w:link w:val="Header"/>
    <w:uiPriority w:val="99"/>
    <w:rsid w:val="003E574E"/>
    <w:rPr>
      <w:sz w:val="24"/>
      <w:szCs w:val="24"/>
      <w:lang w:val="en-US" w:eastAsia="en-US"/>
    </w:rPr>
  </w:style>
  <w:style w:type="paragraph" w:styleId="Footer">
    <w:name w:val="footer"/>
    <w:basedOn w:val="Normal"/>
    <w:link w:val="FooterChar"/>
    <w:uiPriority w:val="99"/>
    <w:unhideWhenUsed/>
    <w:rsid w:val="003E574E"/>
    <w:pPr>
      <w:tabs>
        <w:tab w:val="center" w:pos="4320"/>
        <w:tab w:val="right" w:pos="8640"/>
      </w:tabs>
    </w:pPr>
  </w:style>
  <w:style w:type="character" w:customStyle="1" w:styleId="FooterChar">
    <w:name w:val="Footer Char"/>
    <w:basedOn w:val="DefaultParagraphFont"/>
    <w:link w:val="Footer"/>
    <w:uiPriority w:val="99"/>
    <w:rsid w:val="003E574E"/>
    <w:rPr>
      <w:sz w:val="24"/>
      <w:szCs w:val="24"/>
      <w:lang w:val="en-US" w:eastAsia="en-US"/>
    </w:rPr>
  </w:style>
  <w:style w:type="paragraph" w:styleId="HTMLPreformatted">
    <w:name w:val="HTML Preformatted"/>
    <w:basedOn w:val="Normal"/>
    <w:link w:val="HTMLPreformattedChar"/>
    <w:uiPriority w:val="99"/>
    <w:unhideWhenUsed/>
    <w:rsid w:val="003E5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rsid w:val="003E574E"/>
    <w:rPr>
      <w:rFonts w:ascii="Courier" w:hAnsi="Courier" w:cs="Courier"/>
      <w:sz w:val="20"/>
      <w:szCs w:val="20"/>
      <w:lang w:eastAsia="en-US"/>
    </w:rPr>
  </w:style>
  <w:style w:type="character" w:customStyle="1" w:styleId="nlmarticle-title">
    <w:name w:val="nlm_article-title"/>
    <w:basedOn w:val="DefaultParagraphFont"/>
    <w:rsid w:val="003E574E"/>
  </w:style>
  <w:style w:type="character" w:styleId="Emphasis">
    <w:name w:val="Emphasis"/>
    <w:basedOn w:val="DefaultParagraphFont"/>
    <w:uiPriority w:val="20"/>
    <w:qFormat/>
    <w:rsid w:val="0091076C"/>
    <w:rPr>
      <w:i/>
      <w:iCs/>
    </w:rPr>
  </w:style>
  <w:style w:type="character" w:styleId="Strong">
    <w:name w:val="Strong"/>
    <w:basedOn w:val="DefaultParagraphFont"/>
    <w:uiPriority w:val="22"/>
    <w:qFormat/>
    <w:rsid w:val="0091076C"/>
    <w:rPr>
      <w:b/>
      <w:bCs/>
    </w:rPr>
  </w:style>
  <w:style w:type="numbering" w:customStyle="1" w:styleId="NoList1">
    <w:name w:val="No List1"/>
    <w:next w:val="NoList"/>
    <w:uiPriority w:val="99"/>
    <w:semiHidden/>
    <w:unhideWhenUsed/>
    <w:rsid w:val="007B5A28"/>
  </w:style>
  <w:style w:type="character" w:customStyle="1" w:styleId="ref-lnk">
    <w:name w:val="ref-lnk"/>
    <w:basedOn w:val="DefaultParagraphFont"/>
    <w:rsid w:val="007B5A28"/>
  </w:style>
  <w:style w:type="character" w:customStyle="1" w:styleId="ref-overlay">
    <w:name w:val="ref-overlay"/>
    <w:basedOn w:val="DefaultParagraphFont"/>
    <w:rsid w:val="007B5A28"/>
  </w:style>
  <w:style w:type="character" w:customStyle="1" w:styleId="hlfld-contribauthor">
    <w:name w:val="hlfld-contribauthor"/>
    <w:basedOn w:val="DefaultParagraphFont"/>
    <w:rsid w:val="007B5A28"/>
  </w:style>
  <w:style w:type="character" w:customStyle="1" w:styleId="nlmgiven-names">
    <w:name w:val="nlm_given-names"/>
    <w:basedOn w:val="DefaultParagraphFont"/>
    <w:rsid w:val="007B5A28"/>
  </w:style>
  <w:style w:type="character" w:customStyle="1" w:styleId="nlmyear">
    <w:name w:val="nlm_year"/>
    <w:basedOn w:val="DefaultParagraphFont"/>
    <w:rsid w:val="007B5A28"/>
  </w:style>
  <w:style w:type="character" w:customStyle="1" w:styleId="nlmfpage">
    <w:name w:val="nlm_fpage"/>
    <w:basedOn w:val="DefaultParagraphFont"/>
    <w:rsid w:val="007B5A28"/>
  </w:style>
  <w:style w:type="character" w:customStyle="1" w:styleId="nlmlpage">
    <w:name w:val="nlm_lpage"/>
    <w:basedOn w:val="DefaultParagraphFont"/>
    <w:rsid w:val="007B5A28"/>
  </w:style>
  <w:style w:type="character" w:customStyle="1" w:styleId="nlmpub-id">
    <w:name w:val="nlm_pub-id"/>
    <w:basedOn w:val="DefaultParagraphFont"/>
    <w:rsid w:val="007B5A28"/>
  </w:style>
  <w:style w:type="character" w:customStyle="1" w:styleId="ref-links">
    <w:name w:val="ref-links"/>
    <w:basedOn w:val="DefaultParagraphFont"/>
    <w:rsid w:val="007B5A28"/>
  </w:style>
  <w:style w:type="character" w:customStyle="1" w:styleId="xlinks-container">
    <w:name w:val="xlinks-container"/>
    <w:basedOn w:val="DefaultParagraphFont"/>
    <w:rsid w:val="007B5A28"/>
  </w:style>
  <w:style w:type="character" w:customStyle="1" w:styleId="googlescholar-container">
    <w:name w:val="googlescholar-container"/>
    <w:basedOn w:val="DefaultParagraphFont"/>
    <w:rsid w:val="007B5A28"/>
  </w:style>
  <w:style w:type="paragraph" w:styleId="Revision">
    <w:name w:val="Revision"/>
    <w:hidden/>
    <w:uiPriority w:val="99"/>
    <w:semiHidden/>
    <w:rsid w:val="006C65C7"/>
    <w:pPr>
      <w:spacing w:after="0" w:line="240" w:lineRule="auto"/>
    </w:pPr>
    <w:rPr>
      <w:sz w:val="24"/>
      <w:szCs w:val="24"/>
      <w:lang w:val="en-US" w:eastAsia="en-US"/>
    </w:rPr>
  </w:style>
  <w:style w:type="character" w:customStyle="1" w:styleId="nlmpublisher-loc">
    <w:name w:val="nlm_publisher-loc"/>
    <w:basedOn w:val="DefaultParagraphFont"/>
    <w:rsid w:val="006C65C7"/>
  </w:style>
  <w:style w:type="character" w:customStyle="1" w:styleId="nlmpublisher-name">
    <w:name w:val="nlm_publisher-name"/>
    <w:basedOn w:val="DefaultParagraphFont"/>
    <w:rsid w:val="006C65C7"/>
  </w:style>
  <w:style w:type="paragraph" w:customStyle="1" w:styleId="Default">
    <w:name w:val="Default"/>
    <w:rsid w:val="00713CC4"/>
    <w:pPr>
      <w:widowControl w:val="0"/>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styleId="SubtleReference">
    <w:name w:val="Subtle Reference"/>
    <w:basedOn w:val="DefaultParagraphFont"/>
    <w:uiPriority w:val="31"/>
    <w:qFormat/>
    <w:rsid w:val="00713CC4"/>
    <w:rPr>
      <w:smallCaps/>
      <w:color w:val="5A5A5A" w:themeColor="text1" w:themeTint="A5"/>
    </w:rPr>
  </w:style>
  <w:style w:type="character" w:customStyle="1" w:styleId="Heading2Char">
    <w:name w:val="Heading 2 Char"/>
    <w:basedOn w:val="DefaultParagraphFont"/>
    <w:link w:val="Heading2"/>
    <w:uiPriority w:val="9"/>
    <w:rsid w:val="005E588A"/>
    <w:rPr>
      <w:rFonts w:eastAsiaTheme="majorEastAsia" w:cstheme="majorBidi"/>
      <w:sz w:val="26"/>
      <w:szCs w:val="26"/>
      <w:lang w:val="en-US" w:eastAsia="en-US"/>
    </w:rPr>
  </w:style>
  <w:style w:type="character" w:customStyle="1" w:styleId="Heading5Char">
    <w:name w:val="Heading 5 Char"/>
    <w:basedOn w:val="DefaultParagraphFont"/>
    <w:link w:val="Heading5"/>
    <w:uiPriority w:val="9"/>
    <w:rsid w:val="00FC17F6"/>
    <w:rPr>
      <w:rFonts w:asciiTheme="majorHAnsi" w:eastAsiaTheme="majorEastAsia" w:hAnsiTheme="majorHAnsi" w:cstheme="majorBidi"/>
      <w:sz w:val="24"/>
      <w:szCs w:val="24"/>
      <w:lang w:val="en-US" w:eastAsia="en-US"/>
    </w:rPr>
  </w:style>
  <w:style w:type="paragraph" w:styleId="TOCHeading">
    <w:name w:val="TOC Heading"/>
    <w:basedOn w:val="Heading1"/>
    <w:next w:val="Normal"/>
    <w:uiPriority w:val="39"/>
    <w:unhideWhenUsed/>
    <w:qFormat/>
    <w:rsid w:val="009B563A"/>
    <w:pPr>
      <w:spacing w:before="240" w:line="259" w:lineRule="auto"/>
      <w:outlineLvl w:val="9"/>
    </w:pPr>
    <w:rPr>
      <w:b w:val="0"/>
      <w:bCs w:val="0"/>
      <w:color w:val="2E74B5" w:themeColor="accent1" w:themeShade="BF"/>
    </w:rPr>
  </w:style>
  <w:style w:type="paragraph" w:styleId="TOC1">
    <w:name w:val="toc 1"/>
    <w:basedOn w:val="Normal"/>
    <w:next w:val="Normal"/>
    <w:autoRedefine/>
    <w:uiPriority w:val="39"/>
    <w:unhideWhenUsed/>
    <w:rsid w:val="009B563A"/>
    <w:pPr>
      <w:spacing w:after="100"/>
    </w:pPr>
  </w:style>
  <w:style w:type="paragraph" w:styleId="TOC2">
    <w:name w:val="toc 2"/>
    <w:basedOn w:val="Normal"/>
    <w:next w:val="Normal"/>
    <w:autoRedefine/>
    <w:uiPriority w:val="39"/>
    <w:unhideWhenUsed/>
    <w:rsid w:val="009B563A"/>
    <w:pPr>
      <w:spacing w:after="100"/>
      <w:ind w:left="240"/>
    </w:pPr>
  </w:style>
  <w:style w:type="paragraph" w:styleId="TOC3">
    <w:name w:val="toc 3"/>
    <w:basedOn w:val="Normal"/>
    <w:next w:val="Normal"/>
    <w:autoRedefine/>
    <w:uiPriority w:val="39"/>
    <w:unhideWhenUsed/>
    <w:rsid w:val="009B563A"/>
    <w:pPr>
      <w:spacing w:after="100"/>
      <w:ind w:left="480"/>
    </w:pPr>
  </w:style>
  <w:style w:type="paragraph" w:styleId="TOC4">
    <w:name w:val="toc 4"/>
    <w:basedOn w:val="Normal"/>
    <w:next w:val="Normal"/>
    <w:autoRedefine/>
    <w:uiPriority w:val="39"/>
    <w:unhideWhenUsed/>
    <w:rsid w:val="009B563A"/>
    <w:pPr>
      <w:spacing w:after="100" w:line="259" w:lineRule="auto"/>
      <w:ind w:left="660"/>
    </w:pPr>
    <w:rPr>
      <w:sz w:val="22"/>
      <w:szCs w:val="22"/>
      <w:lang w:val="en-GB" w:eastAsia="zh-CN"/>
    </w:rPr>
  </w:style>
  <w:style w:type="paragraph" w:styleId="TOC5">
    <w:name w:val="toc 5"/>
    <w:basedOn w:val="Normal"/>
    <w:next w:val="Normal"/>
    <w:autoRedefine/>
    <w:uiPriority w:val="39"/>
    <w:unhideWhenUsed/>
    <w:rsid w:val="009B563A"/>
    <w:pPr>
      <w:spacing w:after="100" w:line="259" w:lineRule="auto"/>
      <w:ind w:left="880"/>
    </w:pPr>
    <w:rPr>
      <w:sz w:val="22"/>
      <w:szCs w:val="22"/>
      <w:lang w:val="en-GB" w:eastAsia="zh-CN"/>
    </w:rPr>
  </w:style>
  <w:style w:type="paragraph" w:styleId="TOC6">
    <w:name w:val="toc 6"/>
    <w:basedOn w:val="Normal"/>
    <w:next w:val="Normal"/>
    <w:autoRedefine/>
    <w:uiPriority w:val="39"/>
    <w:unhideWhenUsed/>
    <w:rsid w:val="009B563A"/>
    <w:pPr>
      <w:spacing w:after="100" w:line="259" w:lineRule="auto"/>
      <w:ind w:left="1100"/>
    </w:pPr>
    <w:rPr>
      <w:sz w:val="22"/>
      <w:szCs w:val="22"/>
      <w:lang w:val="en-GB" w:eastAsia="zh-CN"/>
    </w:rPr>
  </w:style>
  <w:style w:type="paragraph" w:styleId="TOC7">
    <w:name w:val="toc 7"/>
    <w:basedOn w:val="Normal"/>
    <w:next w:val="Normal"/>
    <w:autoRedefine/>
    <w:uiPriority w:val="39"/>
    <w:unhideWhenUsed/>
    <w:rsid w:val="009B563A"/>
    <w:pPr>
      <w:spacing w:after="100" w:line="259" w:lineRule="auto"/>
      <w:ind w:left="1320"/>
    </w:pPr>
    <w:rPr>
      <w:sz w:val="22"/>
      <w:szCs w:val="22"/>
      <w:lang w:val="en-GB" w:eastAsia="zh-CN"/>
    </w:rPr>
  </w:style>
  <w:style w:type="paragraph" w:styleId="TOC8">
    <w:name w:val="toc 8"/>
    <w:basedOn w:val="Normal"/>
    <w:next w:val="Normal"/>
    <w:autoRedefine/>
    <w:uiPriority w:val="39"/>
    <w:unhideWhenUsed/>
    <w:rsid w:val="009B563A"/>
    <w:pPr>
      <w:spacing w:after="100" w:line="259" w:lineRule="auto"/>
      <w:ind w:left="1540"/>
    </w:pPr>
    <w:rPr>
      <w:sz w:val="22"/>
      <w:szCs w:val="22"/>
      <w:lang w:val="en-GB" w:eastAsia="zh-CN"/>
    </w:rPr>
  </w:style>
  <w:style w:type="paragraph" w:styleId="TOC9">
    <w:name w:val="toc 9"/>
    <w:basedOn w:val="Normal"/>
    <w:next w:val="Normal"/>
    <w:autoRedefine/>
    <w:uiPriority w:val="39"/>
    <w:unhideWhenUsed/>
    <w:rsid w:val="009B563A"/>
    <w:pPr>
      <w:spacing w:after="100" w:line="259" w:lineRule="auto"/>
      <w:ind w:left="1760"/>
    </w:pPr>
    <w:rPr>
      <w:sz w:val="22"/>
      <w:szCs w:val="22"/>
      <w:lang w:val="en-GB" w:eastAsia="zh-CN"/>
    </w:rPr>
  </w:style>
  <w:style w:type="character" w:styleId="PageNumber">
    <w:name w:val="page number"/>
    <w:basedOn w:val="DefaultParagraphFont"/>
    <w:uiPriority w:val="99"/>
    <w:semiHidden/>
    <w:unhideWhenUsed/>
    <w:rsid w:val="00406F8F"/>
  </w:style>
  <w:style w:type="character" w:customStyle="1" w:styleId="a">
    <w:name w:val="a"/>
    <w:basedOn w:val="DefaultParagraphFont"/>
    <w:rsid w:val="004D3EFA"/>
  </w:style>
  <w:style w:type="paragraph" w:styleId="DocumentMap">
    <w:name w:val="Document Map"/>
    <w:basedOn w:val="Normal"/>
    <w:link w:val="DocumentMapChar"/>
    <w:uiPriority w:val="99"/>
    <w:semiHidden/>
    <w:unhideWhenUsed/>
    <w:rsid w:val="00E63D77"/>
    <w:rPr>
      <w:rFonts w:ascii="Lucida Grande" w:hAnsi="Lucida Grande" w:cs="Lucida Grande"/>
    </w:rPr>
  </w:style>
  <w:style w:type="character" w:customStyle="1" w:styleId="DocumentMapChar">
    <w:name w:val="Document Map Char"/>
    <w:basedOn w:val="DefaultParagraphFont"/>
    <w:link w:val="DocumentMap"/>
    <w:uiPriority w:val="99"/>
    <w:semiHidden/>
    <w:rsid w:val="00E63D77"/>
    <w:rPr>
      <w:rFonts w:ascii="Lucida Grande" w:hAnsi="Lucida Grande" w:cs="Lucida Grande"/>
      <w:sz w:val="24"/>
      <w:szCs w:val="24"/>
      <w:lang w:val="en-US" w:eastAsia="en-US"/>
    </w:rPr>
  </w:style>
  <w:style w:type="character" w:styleId="EndnoteReference">
    <w:name w:val="endnote reference"/>
    <w:basedOn w:val="DefaultParagraphFont"/>
    <w:uiPriority w:val="99"/>
    <w:semiHidden/>
    <w:unhideWhenUsed/>
    <w:rsid w:val="002116BC"/>
    <w:rPr>
      <w:vertAlign w:val="superscript"/>
    </w:rPr>
  </w:style>
  <w:style w:type="numbering" w:customStyle="1" w:styleId="NoList2">
    <w:name w:val="No List2"/>
    <w:next w:val="NoList"/>
    <w:uiPriority w:val="99"/>
    <w:semiHidden/>
    <w:unhideWhenUsed/>
    <w:rsid w:val="00D36963"/>
  </w:style>
  <w:style w:type="numbering" w:customStyle="1" w:styleId="NoList11">
    <w:name w:val="No List11"/>
    <w:next w:val="NoList"/>
    <w:uiPriority w:val="99"/>
    <w:semiHidden/>
    <w:unhideWhenUsed/>
    <w:rsid w:val="00D36963"/>
  </w:style>
  <w:style w:type="numbering" w:customStyle="1" w:styleId="NoList111">
    <w:name w:val="No List111"/>
    <w:next w:val="NoList"/>
    <w:uiPriority w:val="99"/>
    <w:semiHidden/>
    <w:unhideWhenUsed/>
    <w:rsid w:val="00D36963"/>
  </w:style>
  <w:style w:type="character" w:customStyle="1" w:styleId="pagenumber0">
    <w:name w:val="pagenumber"/>
    <w:basedOn w:val="DefaultParagraphFont"/>
    <w:rsid w:val="00375961"/>
  </w:style>
  <w:style w:type="character" w:styleId="FollowedHyperlink">
    <w:name w:val="FollowedHyperlink"/>
    <w:basedOn w:val="DefaultParagraphFont"/>
    <w:uiPriority w:val="99"/>
    <w:semiHidden/>
    <w:unhideWhenUsed/>
    <w:rsid w:val="003759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2371">
      <w:bodyDiv w:val="1"/>
      <w:marLeft w:val="0"/>
      <w:marRight w:val="0"/>
      <w:marTop w:val="0"/>
      <w:marBottom w:val="0"/>
      <w:divBdr>
        <w:top w:val="none" w:sz="0" w:space="0" w:color="auto"/>
        <w:left w:val="none" w:sz="0" w:space="0" w:color="auto"/>
        <w:bottom w:val="none" w:sz="0" w:space="0" w:color="auto"/>
        <w:right w:val="none" w:sz="0" w:space="0" w:color="auto"/>
      </w:divBdr>
      <w:divsChild>
        <w:div w:id="534738649">
          <w:marLeft w:val="0"/>
          <w:marRight w:val="0"/>
          <w:marTop w:val="0"/>
          <w:marBottom w:val="0"/>
          <w:divBdr>
            <w:top w:val="none" w:sz="0" w:space="0" w:color="auto"/>
            <w:left w:val="none" w:sz="0" w:space="0" w:color="auto"/>
            <w:bottom w:val="none" w:sz="0" w:space="0" w:color="auto"/>
            <w:right w:val="none" w:sz="0" w:space="0" w:color="auto"/>
          </w:divBdr>
          <w:divsChild>
            <w:div w:id="2117021446">
              <w:marLeft w:val="0"/>
              <w:marRight w:val="0"/>
              <w:marTop w:val="0"/>
              <w:marBottom w:val="0"/>
              <w:divBdr>
                <w:top w:val="none" w:sz="0" w:space="0" w:color="auto"/>
                <w:left w:val="none" w:sz="0" w:space="0" w:color="auto"/>
                <w:bottom w:val="none" w:sz="0" w:space="0" w:color="auto"/>
                <w:right w:val="none" w:sz="0" w:space="0" w:color="auto"/>
              </w:divBdr>
              <w:divsChild>
                <w:div w:id="120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963">
      <w:bodyDiv w:val="1"/>
      <w:marLeft w:val="0"/>
      <w:marRight w:val="0"/>
      <w:marTop w:val="0"/>
      <w:marBottom w:val="0"/>
      <w:divBdr>
        <w:top w:val="none" w:sz="0" w:space="0" w:color="auto"/>
        <w:left w:val="none" w:sz="0" w:space="0" w:color="auto"/>
        <w:bottom w:val="none" w:sz="0" w:space="0" w:color="auto"/>
        <w:right w:val="none" w:sz="0" w:space="0" w:color="auto"/>
      </w:divBdr>
    </w:div>
    <w:div w:id="488905401">
      <w:bodyDiv w:val="1"/>
      <w:marLeft w:val="0"/>
      <w:marRight w:val="0"/>
      <w:marTop w:val="0"/>
      <w:marBottom w:val="0"/>
      <w:divBdr>
        <w:top w:val="none" w:sz="0" w:space="0" w:color="auto"/>
        <w:left w:val="none" w:sz="0" w:space="0" w:color="auto"/>
        <w:bottom w:val="none" w:sz="0" w:space="0" w:color="auto"/>
        <w:right w:val="none" w:sz="0" w:space="0" w:color="auto"/>
      </w:divBdr>
      <w:divsChild>
        <w:div w:id="243301145">
          <w:marLeft w:val="0"/>
          <w:marRight w:val="0"/>
          <w:marTop w:val="0"/>
          <w:marBottom w:val="0"/>
          <w:divBdr>
            <w:top w:val="none" w:sz="0" w:space="0" w:color="auto"/>
            <w:left w:val="none" w:sz="0" w:space="0" w:color="auto"/>
            <w:bottom w:val="none" w:sz="0" w:space="0" w:color="auto"/>
            <w:right w:val="none" w:sz="0" w:space="0" w:color="auto"/>
          </w:divBdr>
          <w:divsChild>
            <w:div w:id="886571565">
              <w:marLeft w:val="0"/>
              <w:marRight w:val="0"/>
              <w:marTop w:val="0"/>
              <w:marBottom w:val="0"/>
              <w:divBdr>
                <w:top w:val="none" w:sz="0" w:space="0" w:color="auto"/>
                <w:left w:val="none" w:sz="0" w:space="0" w:color="auto"/>
                <w:bottom w:val="none" w:sz="0" w:space="0" w:color="auto"/>
                <w:right w:val="none" w:sz="0" w:space="0" w:color="auto"/>
              </w:divBdr>
              <w:divsChild>
                <w:div w:id="19856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58859">
      <w:bodyDiv w:val="1"/>
      <w:marLeft w:val="0"/>
      <w:marRight w:val="0"/>
      <w:marTop w:val="0"/>
      <w:marBottom w:val="0"/>
      <w:divBdr>
        <w:top w:val="none" w:sz="0" w:space="0" w:color="auto"/>
        <w:left w:val="none" w:sz="0" w:space="0" w:color="auto"/>
        <w:bottom w:val="none" w:sz="0" w:space="0" w:color="auto"/>
        <w:right w:val="none" w:sz="0" w:space="0" w:color="auto"/>
      </w:divBdr>
    </w:div>
    <w:div w:id="721170976">
      <w:bodyDiv w:val="1"/>
      <w:marLeft w:val="0"/>
      <w:marRight w:val="0"/>
      <w:marTop w:val="0"/>
      <w:marBottom w:val="0"/>
      <w:divBdr>
        <w:top w:val="none" w:sz="0" w:space="0" w:color="auto"/>
        <w:left w:val="none" w:sz="0" w:space="0" w:color="auto"/>
        <w:bottom w:val="none" w:sz="0" w:space="0" w:color="auto"/>
        <w:right w:val="none" w:sz="0" w:space="0" w:color="auto"/>
      </w:divBdr>
      <w:divsChild>
        <w:div w:id="1198663577">
          <w:marLeft w:val="0"/>
          <w:marRight w:val="0"/>
          <w:marTop w:val="0"/>
          <w:marBottom w:val="0"/>
          <w:divBdr>
            <w:top w:val="none" w:sz="0" w:space="0" w:color="auto"/>
            <w:left w:val="none" w:sz="0" w:space="0" w:color="auto"/>
            <w:bottom w:val="none" w:sz="0" w:space="0" w:color="auto"/>
            <w:right w:val="none" w:sz="0" w:space="0" w:color="auto"/>
          </w:divBdr>
          <w:divsChild>
            <w:div w:id="1155730795">
              <w:marLeft w:val="0"/>
              <w:marRight w:val="0"/>
              <w:marTop w:val="0"/>
              <w:marBottom w:val="0"/>
              <w:divBdr>
                <w:top w:val="none" w:sz="0" w:space="0" w:color="auto"/>
                <w:left w:val="none" w:sz="0" w:space="0" w:color="auto"/>
                <w:bottom w:val="none" w:sz="0" w:space="0" w:color="auto"/>
                <w:right w:val="none" w:sz="0" w:space="0" w:color="auto"/>
              </w:divBdr>
              <w:divsChild>
                <w:div w:id="1225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79599">
      <w:bodyDiv w:val="1"/>
      <w:marLeft w:val="0"/>
      <w:marRight w:val="0"/>
      <w:marTop w:val="0"/>
      <w:marBottom w:val="0"/>
      <w:divBdr>
        <w:top w:val="none" w:sz="0" w:space="0" w:color="auto"/>
        <w:left w:val="none" w:sz="0" w:space="0" w:color="auto"/>
        <w:bottom w:val="none" w:sz="0" w:space="0" w:color="auto"/>
        <w:right w:val="none" w:sz="0" w:space="0" w:color="auto"/>
      </w:divBdr>
    </w:div>
    <w:div w:id="749011608">
      <w:bodyDiv w:val="1"/>
      <w:marLeft w:val="0"/>
      <w:marRight w:val="0"/>
      <w:marTop w:val="0"/>
      <w:marBottom w:val="0"/>
      <w:divBdr>
        <w:top w:val="none" w:sz="0" w:space="0" w:color="auto"/>
        <w:left w:val="none" w:sz="0" w:space="0" w:color="auto"/>
        <w:bottom w:val="none" w:sz="0" w:space="0" w:color="auto"/>
        <w:right w:val="none" w:sz="0" w:space="0" w:color="auto"/>
      </w:divBdr>
    </w:div>
    <w:div w:id="920216005">
      <w:bodyDiv w:val="1"/>
      <w:marLeft w:val="0"/>
      <w:marRight w:val="0"/>
      <w:marTop w:val="0"/>
      <w:marBottom w:val="0"/>
      <w:divBdr>
        <w:top w:val="none" w:sz="0" w:space="0" w:color="auto"/>
        <w:left w:val="none" w:sz="0" w:space="0" w:color="auto"/>
        <w:bottom w:val="none" w:sz="0" w:space="0" w:color="auto"/>
        <w:right w:val="none" w:sz="0" w:space="0" w:color="auto"/>
      </w:divBdr>
    </w:div>
    <w:div w:id="944117988">
      <w:bodyDiv w:val="1"/>
      <w:marLeft w:val="0"/>
      <w:marRight w:val="0"/>
      <w:marTop w:val="0"/>
      <w:marBottom w:val="0"/>
      <w:divBdr>
        <w:top w:val="none" w:sz="0" w:space="0" w:color="auto"/>
        <w:left w:val="none" w:sz="0" w:space="0" w:color="auto"/>
        <w:bottom w:val="none" w:sz="0" w:space="0" w:color="auto"/>
        <w:right w:val="none" w:sz="0" w:space="0" w:color="auto"/>
      </w:divBdr>
    </w:div>
    <w:div w:id="966083097">
      <w:bodyDiv w:val="1"/>
      <w:marLeft w:val="0"/>
      <w:marRight w:val="0"/>
      <w:marTop w:val="0"/>
      <w:marBottom w:val="0"/>
      <w:divBdr>
        <w:top w:val="none" w:sz="0" w:space="0" w:color="auto"/>
        <w:left w:val="none" w:sz="0" w:space="0" w:color="auto"/>
        <w:bottom w:val="none" w:sz="0" w:space="0" w:color="auto"/>
        <w:right w:val="none" w:sz="0" w:space="0" w:color="auto"/>
      </w:divBdr>
    </w:div>
    <w:div w:id="993484807">
      <w:bodyDiv w:val="1"/>
      <w:marLeft w:val="0"/>
      <w:marRight w:val="0"/>
      <w:marTop w:val="0"/>
      <w:marBottom w:val="0"/>
      <w:divBdr>
        <w:top w:val="none" w:sz="0" w:space="0" w:color="auto"/>
        <w:left w:val="none" w:sz="0" w:space="0" w:color="auto"/>
        <w:bottom w:val="none" w:sz="0" w:space="0" w:color="auto"/>
        <w:right w:val="none" w:sz="0" w:space="0" w:color="auto"/>
      </w:divBdr>
    </w:div>
    <w:div w:id="1338189504">
      <w:bodyDiv w:val="1"/>
      <w:marLeft w:val="0"/>
      <w:marRight w:val="0"/>
      <w:marTop w:val="0"/>
      <w:marBottom w:val="0"/>
      <w:divBdr>
        <w:top w:val="none" w:sz="0" w:space="0" w:color="auto"/>
        <w:left w:val="none" w:sz="0" w:space="0" w:color="auto"/>
        <w:bottom w:val="none" w:sz="0" w:space="0" w:color="auto"/>
        <w:right w:val="none" w:sz="0" w:space="0" w:color="auto"/>
      </w:divBdr>
    </w:div>
    <w:div w:id="1341659818">
      <w:bodyDiv w:val="1"/>
      <w:marLeft w:val="0"/>
      <w:marRight w:val="0"/>
      <w:marTop w:val="0"/>
      <w:marBottom w:val="0"/>
      <w:divBdr>
        <w:top w:val="none" w:sz="0" w:space="0" w:color="auto"/>
        <w:left w:val="none" w:sz="0" w:space="0" w:color="auto"/>
        <w:bottom w:val="none" w:sz="0" w:space="0" w:color="auto"/>
        <w:right w:val="none" w:sz="0" w:space="0" w:color="auto"/>
      </w:divBdr>
    </w:div>
    <w:div w:id="1375345463">
      <w:bodyDiv w:val="1"/>
      <w:marLeft w:val="0"/>
      <w:marRight w:val="0"/>
      <w:marTop w:val="0"/>
      <w:marBottom w:val="0"/>
      <w:divBdr>
        <w:top w:val="none" w:sz="0" w:space="0" w:color="auto"/>
        <w:left w:val="none" w:sz="0" w:space="0" w:color="auto"/>
        <w:bottom w:val="none" w:sz="0" w:space="0" w:color="auto"/>
        <w:right w:val="none" w:sz="0" w:space="0" w:color="auto"/>
      </w:divBdr>
      <w:divsChild>
        <w:div w:id="854267250">
          <w:marLeft w:val="0"/>
          <w:marRight w:val="0"/>
          <w:marTop w:val="0"/>
          <w:marBottom w:val="0"/>
          <w:divBdr>
            <w:top w:val="none" w:sz="0" w:space="0" w:color="auto"/>
            <w:left w:val="none" w:sz="0" w:space="0" w:color="auto"/>
            <w:bottom w:val="none" w:sz="0" w:space="0" w:color="auto"/>
            <w:right w:val="none" w:sz="0" w:space="0" w:color="auto"/>
          </w:divBdr>
          <w:divsChild>
            <w:div w:id="1824853067">
              <w:marLeft w:val="0"/>
              <w:marRight w:val="0"/>
              <w:marTop w:val="0"/>
              <w:marBottom w:val="0"/>
              <w:divBdr>
                <w:top w:val="none" w:sz="0" w:space="0" w:color="auto"/>
                <w:left w:val="none" w:sz="0" w:space="0" w:color="auto"/>
                <w:bottom w:val="none" w:sz="0" w:space="0" w:color="auto"/>
                <w:right w:val="none" w:sz="0" w:space="0" w:color="auto"/>
              </w:divBdr>
              <w:divsChild>
                <w:div w:id="10037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46340">
      <w:bodyDiv w:val="1"/>
      <w:marLeft w:val="0"/>
      <w:marRight w:val="0"/>
      <w:marTop w:val="0"/>
      <w:marBottom w:val="0"/>
      <w:divBdr>
        <w:top w:val="none" w:sz="0" w:space="0" w:color="auto"/>
        <w:left w:val="none" w:sz="0" w:space="0" w:color="auto"/>
        <w:bottom w:val="none" w:sz="0" w:space="0" w:color="auto"/>
        <w:right w:val="none" w:sz="0" w:space="0" w:color="auto"/>
      </w:divBdr>
    </w:div>
    <w:div w:id="1703284720">
      <w:bodyDiv w:val="1"/>
      <w:marLeft w:val="0"/>
      <w:marRight w:val="0"/>
      <w:marTop w:val="0"/>
      <w:marBottom w:val="0"/>
      <w:divBdr>
        <w:top w:val="none" w:sz="0" w:space="0" w:color="auto"/>
        <w:left w:val="none" w:sz="0" w:space="0" w:color="auto"/>
        <w:bottom w:val="none" w:sz="0" w:space="0" w:color="auto"/>
        <w:right w:val="none" w:sz="0" w:space="0" w:color="auto"/>
      </w:divBdr>
    </w:div>
    <w:div w:id="1756396475">
      <w:bodyDiv w:val="1"/>
      <w:marLeft w:val="0"/>
      <w:marRight w:val="0"/>
      <w:marTop w:val="0"/>
      <w:marBottom w:val="0"/>
      <w:divBdr>
        <w:top w:val="none" w:sz="0" w:space="0" w:color="auto"/>
        <w:left w:val="none" w:sz="0" w:space="0" w:color="auto"/>
        <w:bottom w:val="none" w:sz="0" w:space="0" w:color="auto"/>
        <w:right w:val="none" w:sz="0" w:space="0" w:color="auto"/>
      </w:divBdr>
    </w:div>
    <w:div w:id="1793740802">
      <w:bodyDiv w:val="1"/>
      <w:marLeft w:val="0"/>
      <w:marRight w:val="0"/>
      <w:marTop w:val="0"/>
      <w:marBottom w:val="0"/>
      <w:divBdr>
        <w:top w:val="none" w:sz="0" w:space="0" w:color="auto"/>
        <w:left w:val="none" w:sz="0" w:space="0" w:color="auto"/>
        <w:bottom w:val="none" w:sz="0" w:space="0" w:color="auto"/>
        <w:right w:val="none" w:sz="0" w:space="0" w:color="auto"/>
      </w:divBdr>
    </w:div>
    <w:div w:id="1897160302">
      <w:bodyDiv w:val="1"/>
      <w:marLeft w:val="0"/>
      <w:marRight w:val="0"/>
      <w:marTop w:val="0"/>
      <w:marBottom w:val="0"/>
      <w:divBdr>
        <w:top w:val="none" w:sz="0" w:space="0" w:color="auto"/>
        <w:left w:val="none" w:sz="0" w:space="0" w:color="auto"/>
        <w:bottom w:val="none" w:sz="0" w:space="0" w:color="auto"/>
        <w:right w:val="none" w:sz="0" w:space="0" w:color="auto"/>
      </w:divBdr>
    </w:div>
    <w:div w:id="1904291127">
      <w:bodyDiv w:val="1"/>
      <w:marLeft w:val="0"/>
      <w:marRight w:val="0"/>
      <w:marTop w:val="0"/>
      <w:marBottom w:val="0"/>
      <w:divBdr>
        <w:top w:val="none" w:sz="0" w:space="0" w:color="auto"/>
        <w:left w:val="none" w:sz="0" w:space="0" w:color="auto"/>
        <w:bottom w:val="none" w:sz="0" w:space="0" w:color="auto"/>
        <w:right w:val="none" w:sz="0" w:space="0" w:color="auto"/>
      </w:divBdr>
      <w:divsChild>
        <w:div w:id="259147977">
          <w:marLeft w:val="0"/>
          <w:marRight w:val="0"/>
          <w:marTop w:val="0"/>
          <w:marBottom w:val="0"/>
          <w:divBdr>
            <w:top w:val="none" w:sz="0" w:space="0" w:color="auto"/>
            <w:left w:val="none" w:sz="0" w:space="0" w:color="auto"/>
            <w:bottom w:val="none" w:sz="0" w:space="0" w:color="auto"/>
            <w:right w:val="none" w:sz="0" w:space="0" w:color="auto"/>
          </w:divBdr>
          <w:divsChild>
            <w:div w:id="635643370">
              <w:marLeft w:val="0"/>
              <w:marRight w:val="0"/>
              <w:marTop w:val="0"/>
              <w:marBottom w:val="0"/>
              <w:divBdr>
                <w:top w:val="none" w:sz="0" w:space="0" w:color="auto"/>
                <w:left w:val="none" w:sz="0" w:space="0" w:color="auto"/>
                <w:bottom w:val="none" w:sz="0" w:space="0" w:color="auto"/>
                <w:right w:val="none" w:sz="0" w:space="0" w:color="auto"/>
              </w:divBdr>
              <w:divsChild>
                <w:div w:id="2229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73432">
      <w:bodyDiv w:val="1"/>
      <w:marLeft w:val="0"/>
      <w:marRight w:val="0"/>
      <w:marTop w:val="0"/>
      <w:marBottom w:val="0"/>
      <w:divBdr>
        <w:top w:val="none" w:sz="0" w:space="0" w:color="auto"/>
        <w:left w:val="none" w:sz="0" w:space="0" w:color="auto"/>
        <w:bottom w:val="none" w:sz="0" w:space="0" w:color="auto"/>
        <w:right w:val="none" w:sz="0" w:space="0" w:color="auto"/>
      </w:divBdr>
      <w:divsChild>
        <w:div w:id="656878488">
          <w:marLeft w:val="0"/>
          <w:marRight w:val="0"/>
          <w:marTop w:val="0"/>
          <w:marBottom w:val="0"/>
          <w:divBdr>
            <w:top w:val="none" w:sz="0" w:space="0" w:color="auto"/>
            <w:left w:val="none" w:sz="0" w:space="0" w:color="auto"/>
            <w:bottom w:val="none" w:sz="0" w:space="0" w:color="auto"/>
            <w:right w:val="none" w:sz="0" w:space="0" w:color="auto"/>
          </w:divBdr>
          <w:divsChild>
            <w:div w:id="128865360">
              <w:marLeft w:val="0"/>
              <w:marRight w:val="0"/>
              <w:marTop w:val="0"/>
              <w:marBottom w:val="0"/>
              <w:divBdr>
                <w:top w:val="none" w:sz="0" w:space="0" w:color="auto"/>
                <w:left w:val="none" w:sz="0" w:space="0" w:color="auto"/>
                <w:bottom w:val="none" w:sz="0" w:space="0" w:color="auto"/>
                <w:right w:val="none" w:sz="0" w:space="0" w:color="auto"/>
              </w:divBdr>
              <w:divsChild>
                <w:div w:id="11393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85584">
      <w:bodyDiv w:val="1"/>
      <w:marLeft w:val="0"/>
      <w:marRight w:val="0"/>
      <w:marTop w:val="0"/>
      <w:marBottom w:val="0"/>
      <w:divBdr>
        <w:top w:val="none" w:sz="0" w:space="0" w:color="auto"/>
        <w:left w:val="none" w:sz="0" w:space="0" w:color="auto"/>
        <w:bottom w:val="none" w:sz="0" w:space="0" w:color="auto"/>
        <w:right w:val="none" w:sz="0" w:space="0" w:color="auto"/>
      </w:divBdr>
    </w:div>
    <w:div w:id="2116708342">
      <w:bodyDiv w:val="1"/>
      <w:marLeft w:val="0"/>
      <w:marRight w:val="0"/>
      <w:marTop w:val="0"/>
      <w:marBottom w:val="0"/>
      <w:divBdr>
        <w:top w:val="none" w:sz="0" w:space="0" w:color="auto"/>
        <w:left w:val="none" w:sz="0" w:space="0" w:color="auto"/>
        <w:bottom w:val="none" w:sz="0" w:space="0" w:color="auto"/>
        <w:right w:val="none" w:sz="0" w:space="0" w:color="auto"/>
      </w:divBdr>
      <w:divsChild>
        <w:div w:id="1354647854">
          <w:marLeft w:val="0"/>
          <w:marRight w:val="0"/>
          <w:marTop w:val="0"/>
          <w:marBottom w:val="0"/>
          <w:divBdr>
            <w:top w:val="none" w:sz="0" w:space="0" w:color="auto"/>
            <w:left w:val="none" w:sz="0" w:space="0" w:color="auto"/>
            <w:bottom w:val="none" w:sz="0" w:space="0" w:color="auto"/>
            <w:right w:val="none" w:sz="0" w:space="0" w:color="auto"/>
          </w:divBdr>
          <w:divsChild>
            <w:div w:id="1555776238">
              <w:marLeft w:val="0"/>
              <w:marRight w:val="0"/>
              <w:marTop w:val="0"/>
              <w:marBottom w:val="0"/>
              <w:divBdr>
                <w:top w:val="none" w:sz="0" w:space="0" w:color="auto"/>
                <w:left w:val="none" w:sz="0" w:space="0" w:color="auto"/>
                <w:bottom w:val="none" w:sz="0" w:space="0" w:color="auto"/>
                <w:right w:val="none" w:sz="0" w:space="0" w:color="auto"/>
              </w:divBdr>
              <w:divsChild>
                <w:div w:id="15446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003BD4A5883747907ED7F5591AD9CC" ma:contentTypeVersion="11" ma:contentTypeDescription="Create a new document." ma:contentTypeScope="" ma:versionID="7e3dbcdc7b7952f1ee828d9c8f47fbd3">
  <xsd:schema xmlns:xsd="http://www.w3.org/2001/XMLSchema" xmlns:xs="http://www.w3.org/2001/XMLSchema" xmlns:p="http://schemas.microsoft.com/office/2006/metadata/properties" xmlns:ns3="8d3e2de0-5ea8-4e37-be4d-b58257090160" xmlns:ns4="ee3fd685-4d3c-4159-9a88-afd3d5acce5c" targetNamespace="http://schemas.microsoft.com/office/2006/metadata/properties" ma:root="true" ma:fieldsID="9ac546bb6616230b6efd9bd29dc027c0" ns3:_="" ns4:_="">
    <xsd:import namespace="8d3e2de0-5ea8-4e37-be4d-b58257090160"/>
    <xsd:import namespace="ee3fd685-4d3c-4159-9a88-afd3d5acce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e2de0-5ea8-4e37-be4d-b582570901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3fd685-4d3c-4159-9a88-afd3d5acce5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84D80-B2E9-4DAB-91F2-943C45527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e2de0-5ea8-4e37-be4d-b58257090160"/>
    <ds:schemaRef ds:uri="ee3fd685-4d3c-4159-9a88-afd3d5acc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55541-A975-481C-B05D-AD9BF40879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2B5260-27AC-4323-BF62-81F20DB6958E}">
  <ds:schemaRefs>
    <ds:schemaRef ds:uri="http://schemas.microsoft.com/sharepoint/v3/contenttype/forms"/>
  </ds:schemaRefs>
</ds:datastoreItem>
</file>

<file path=customXml/itemProps4.xml><?xml version="1.0" encoding="utf-8"?>
<ds:datastoreItem xmlns:ds="http://schemas.openxmlformats.org/officeDocument/2006/customXml" ds:itemID="{D6D61F90-48A2-4596-82C8-5F7BD72E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287</Pages>
  <Words>458015</Words>
  <Characters>2610692</Characters>
  <Application>Microsoft Office Word</Application>
  <DocSecurity>0</DocSecurity>
  <Lines>21755</Lines>
  <Paragraphs>6125</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3062582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Faulkner</dc:creator>
  <cp:keywords/>
  <dc:description/>
  <cp:lastModifiedBy>David Heymann</cp:lastModifiedBy>
  <cp:revision>8</cp:revision>
  <cp:lastPrinted>2020-04-02T13:59:00Z</cp:lastPrinted>
  <dcterms:created xsi:type="dcterms:W3CDTF">2020-05-18T20:40:00Z</dcterms:created>
  <dcterms:modified xsi:type="dcterms:W3CDTF">2020-07-15T11:20:00Z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31e8bd26-91e4-301d-81ab-6e68fad231f2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0x0101007F003BD4A5883747907ED7F5591AD9CC</vt:lpwstr>
  </property>
</Properties>
</file>